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781" w:type="dxa"/>
        <w:tblInd w:w="-147" w:type="dxa"/>
        <w:tblLook w:val="04A0" w:firstRow="1" w:lastRow="0" w:firstColumn="1" w:lastColumn="0" w:noHBand="0" w:noVBand="1"/>
      </w:tblPr>
      <w:tblGrid>
        <w:gridCol w:w="993"/>
        <w:gridCol w:w="8788"/>
      </w:tblGrid>
      <w:tr w:rsidR="0088469F" w:rsidRPr="005C3846" w14:paraId="7B1A4AA5" w14:textId="77777777" w:rsidTr="00F23969">
        <w:trPr>
          <w:ins w:id="0" w:author="만든 이"/>
        </w:trPr>
        <w:tc>
          <w:tcPr>
            <w:tcW w:w="993" w:type="dxa"/>
          </w:tcPr>
          <w:p w14:paraId="42D93DF9" w14:textId="77777777" w:rsidR="0088469F" w:rsidRPr="00F23969" w:rsidRDefault="0088469F" w:rsidP="006D1220">
            <w:pPr>
              <w:outlineLvl w:val="0"/>
              <w:rPr>
                <w:ins w:id="1" w:author="만든 이"/>
                <w:rFonts w:ascii="Times New Roman" w:hAnsi="Times New Roman" w:cs="Times New Roman"/>
                <w:b/>
              </w:rPr>
            </w:pPr>
            <w:ins w:id="2" w:author="만든 이">
              <w:r w:rsidRPr="00F23969">
                <w:rPr>
                  <w:rFonts w:ascii="Times New Roman" w:hAnsi="Times New Roman" w:cs="Times New Roman"/>
                  <w:lang w:val="en-GB"/>
                </w:rPr>
                <w:t>IT</w:t>
              </w:r>
            </w:ins>
          </w:p>
        </w:tc>
        <w:tc>
          <w:tcPr>
            <w:tcW w:w="8788" w:type="dxa"/>
          </w:tcPr>
          <w:p w14:paraId="232B4CDB" w14:textId="692F3A5A" w:rsidR="0088469F" w:rsidRPr="00F23969" w:rsidRDefault="0088469F" w:rsidP="006D1220">
            <w:pPr>
              <w:rPr>
                <w:ins w:id="3" w:author="만든 이"/>
                <w:rFonts w:ascii="Times New Roman" w:hAnsi="Times New Roman" w:cs="Times New Roman"/>
              </w:rPr>
            </w:pPr>
            <w:ins w:id="4" w:author="만든 이">
              <w:r w:rsidRPr="00F23969">
                <w:rPr>
                  <w:rFonts w:ascii="Times New Roman" w:hAnsi="Times New Roman" w:cs="Times New Roman"/>
                </w:rPr>
                <w:t xml:space="preserve">Il presente documento riporta le informazioni sul prodotto approvate relative a </w:t>
              </w:r>
              <w:r w:rsidRPr="00F23969">
                <w:rPr>
                  <w:rFonts w:ascii="Times New Roman" w:hAnsi="Times New Roman" w:cs="Times New Roman"/>
                  <w:lang w:val="en-GB" w:eastAsia="ko-KR"/>
                </w:rPr>
                <w:t>Yuflyma</w:t>
              </w:r>
              <w:r w:rsidRPr="00F23969">
                <w:rPr>
                  <w:rFonts w:ascii="Times New Roman" w:hAnsi="Times New Roman" w:cs="Times New Roman"/>
                </w:rPr>
                <w:t xml:space="preserve">, con evidenziate le modifiche che vi sono state apportate rispetto alla procedura precedente </w:t>
              </w:r>
              <w:r w:rsidRPr="00F23969">
                <w:rPr>
                  <w:rFonts w:ascii="Times New Roman" w:eastAsia="맑은 고딕" w:hAnsi="Times New Roman" w:cs="Times New Roman"/>
                  <w:lang w:eastAsia="ko-KR"/>
                </w:rPr>
                <w:t>(</w:t>
              </w:r>
              <w:r w:rsidR="002D0ED8" w:rsidRPr="00F23969">
                <w:rPr>
                  <w:rFonts w:ascii="Times New Roman" w:eastAsia="맑은 고딕" w:hAnsi="Times New Roman" w:cs="Times New Roman"/>
                  <w:lang w:eastAsia="ko-KR"/>
                </w:rPr>
                <w:t>VR/0000255330</w:t>
              </w:r>
              <w:r w:rsidRPr="00F23969">
                <w:rPr>
                  <w:rFonts w:ascii="Times New Roman" w:hAnsi="Times New Roman" w:cs="Times New Roman"/>
                </w:rPr>
                <w:t>).</w:t>
              </w:r>
            </w:ins>
          </w:p>
          <w:p w14:paraId="4F302767" w14:textId="77777777" w:rsidR="0088469F" w:rsidRPr="00F23969" w:rsidRDefault="0088469F" w:rsidP="006D1220">
            <w:pPr>
              <w:rPr>
                <w:ins w:id="5" w:author="만든 이"/>
                <w:rFonts w:ascii="Times New Roman" w:hAnsi="Times New Roman" w:cs="Times New Roman"/>
              </w:rPr>
            </w:pPr>
          </w:p>
          <w:p w14:paraId="05647CF4" w14:textId="2A0D2901" w:rsidR="0088469F" w:rsidRPr="00F23969" w:rsidRDefault="0088469F" w:rsidP="006D1220">
            <w:pPr>
              <w:pStyle w:val="Style1"/>
              <w:pBdr>
                <w:top w:val="none" w:sz="0" w:space="0" w:color="auto"/>
                <w:left w:val="none" w:sz="0" w:space="0" w:color="auto"/>
                <w:bottom w:val="none" w:sz="0" w:space="0" w:color="auto"/>
                <w:right w:val="none" w:sz="0" w:space="0" w:color="auto"/>
              </w:pBdr>
              <w:rPr>
                <w:ins w:id="6" w:author="만든 이"/>
                <w:rFonts w:eastAsia="맑은 고딕"/>
                <w:szCs w:val="22"/>
                <w:lang w:eastAsia="ko-KR"/>
              </w:rPr>
            </w:pPr>
            <w:ins w:id="7" w:author="만든 이">
              <w:r w:rsidRPr="00F23969">
                <w:rPr>
                  <w:szCs w:val="22"/>
                </w:rPr>
                <w:t xml:space="preserve">Per maggiori informazioni, consultare il sito web dell’Agenzia europea per i medicinali: </w:t>
              </w:r>
            </w:ins>
            <w:r w:rsidRPr="00F23969">
              <w:rPr>
                <w:szCs w:val="22"/>
              </w:rPr>
              <w:fldChar w:fldCharType="begin"/>
            </w:r>
            <w:r w:rsidRPr="00F23969">
              <w:rPr>
                <w:szCs w:val="22"/>
              </w:rPr>
              <w:instrText>HYPERLINK "https://www.ema.europa.eu/en/medicines/human/EPAR/yuflyma"</w:instrText>
            </w:r>
            <w:r w:rsidRPr="00F23969">
              <w:rPr>
                <w:szCs w:val="22"/>
              </w:rPr>
            </w:r>
            <w:r w:rsidRPr="00F23969">
              <w:rPr>
                <w:szCs w:val="22"/>
              </w:rPr>
              <w:fldChar w:fldCharType="separate"/>
            </w:r>
            <w:ins w:id="8" w:author="만든 이">
              <w:r w:rsidRPr="00F23969">
                <w:rPr>
                  <w:rStyle w:val="ad"/>
                  <w:rFonts w:eastAsia="맑은 고딕"/>
                  <w:szCs w:val="22"/>
                  <w:lang w:eastAsia="ko-KR"/>
                </w:rPr>
                <w:t>https://www.ema.europa.eu/en/medicines/human/EPAR/yuflyma</w:t>
              </w:r>
              <w:r w:rsidRPr="00F23969">
                <w:rPr>
                  <w:rStyle w:val="ad"/>
                  <w:rFonts w:eastAsia="맑은 고딕"/>
                  <w:szCs w:val="22"/>
                  <w:lang w:eastAsia="ko-KR"/>
                </w:rPr>
                <w:fldChar w:fldCharType="end"/>
              </w:r>
            </w:ins>
          </w:p>
        </w:tc>
      </w:tr>
    </w:tbl>
    <w:p w14:paraId="4A1C5DF8" w14:textId="3BAA8EE7" w:rsidR="00953B2E" w:rsidRPr="0088469F" w:rsidRDefault="00953B2E">
      <w:pPr>
        <w:spacing w:line="200" w:lineRule="exact"/>
        <w:rPr>
          <w:rFonts w:ascii="Times New Roman" w:hAnsi="Times New Roman" w:cs="Times New Roman"/>
          <w:sz w:val="20"/>
          <w:szCs w:val="20"/>
          <w:lang w:eastAsia="ko-KR"/>
        </w:rPr>
      </w:pPr>
    </w:p>
    <w:p w14:paraId="3D4DE031" w14:textId="77777777" w:rsidR="00953B2E" w:rsidRPr="00C35766" w:rsidRDefault="00953B2E">
      <w:pPr>
        <w:spacing w:line="200" w:lineRule="exact"/>
        <w:rPr>
          <w:rFonts w:ascii="Times New Roman" w:hAnsi="Times New Roman" w:cs="Times New Roman"/>
          <w:sz w:val="20"/>
          <w:szCs w:val="20"/>
        </w:rPr>
      </w:pPr>
    </w:p>
    <w:p w14:paraId="6F9E7D42" w14:textId="77777777" w:rsidR="00953B2E" w:rsidRPr="00C35766" w:rsidRDefault="00953B2E">
      <w:pPr>
        <w:spacing w:line="200" w:lineRule="exact"/>
        <w:rPr>
          <w:rFonts w:ascii="Times New Roman" w:hAnsi="Times New Roman" w:cs="Times New Roman"/>
          <w:sz w:val="20"/>
          <w:szCs w:val="20"/>
        </w:rPr>
      </w:pPr>
    </w:p>
    <w:p w14:paraId="2E38356E" w14:textId="77777777" w:rsidR="00953B2E" w:rsidRPr="00C35766" w:rsidRDefault="00953B2E">
      <w:pPr>
        <w:spacing w:line="200" w:lineRule="exact"/>
        <w:rPr>
          <w:rFonts w:ascii="Times New Roman" w:hAnsi="Times New Roman" w:cs="Times New Roman"/>
          <w:sz w:val="20"/>
          <w:szCs w:val="20"/>
        </w:rPr>
      </w:pPr>
    </w:p>
    <w:p w14:paraId="3D667888" w14:textId="77777777" w:rsidR="00953B2E" w:rsidRPr="00C35766" w:rsidRDefault="00953B2E">
      <w:pPr>
        <w:spacing w:line="200" w:lineRule="exact"/>
        <w:rPr>
          <w:rFonts w:ascii="Times New Roman" w:hAnsi="Times New Roman" w:cs="Times New Roman"/>
          <w:sz w:val="20"/>
          <w:szCs w:val="20"/>
        </w:rPr>
      </w:pPr>
    </w:p>
    <w:p w14:paraId="1F2ABC65" w14:textId="77777777" w:rsidR="00953B2E" w:rsidRPr="00C35766" w:rsidRDefault="00953B2E">
      <w:pPr>
        <w:spacing w:line="200" w:lineRule="exact"/>
        <w:rPr>
          <w:rFonts w:ascii="Times New Roman" w:hAnsi="Times New Roman" w:cs="Times New Roman"/>
          <w:sz w:val="20"/>
          <w:szCs w:val="20"/>
        </w:rPr>
      </w:pPr>
    </w:p>
    <w:p w14:paraId="458A3101" w14:textId="77777777" w:rsidR="00953B2E" w:rsidRPr="00C35766" w:rsidRDefault="00953B2E">
      <w:pPr>
        <w:spacing w:line="200" w:lineRule="exact"/>
        <w:rPr>
          <w:rFonts w:ascii="Times New Roman" w:hAnsi="Times New Roman" w:cs="Times New Roman"/>
          <w:sz w:val="20"/>
          <w:szCs w:val="20"/>
        </w:rPr>
      </w:pPr>
    </w:p>
    <w:p w14:paraId="6186C3AF" w14:textId="77777777" w:rsidR="00953B2E" w:rsidRPr="00C35766" w:rsidRDefault="00953B2E">
      <w:pPr>
        <w:spacing w:line="200" w:lineRule="exact"/>
        <w:rPr>
          <w:rFonts w:ascii="Times New Roman" w:hAnsi="Times New Roman" w:cs="Times New Roman"/>
          <w:sz w:val="20"/>
          <w:szCs w:val="20"/>
        </w:rPr>
      </w:pPr>
    </w:p>
    <w:p w14:paraId="0A0E05FE" w14:textId="77777777" w:rsidR="00953B2E" w:rsidRPr="00C35766" w:rsidRDefault="00953B2E">
      <w:pPr>
        <w:spacing w:line="200" w:lineRule="exact"/>
        <w:rPr>
          <w:rFonts w:ascii="Times New Roman" w:hAnsi="Times New Roman" w:cs="Times New Roman"/>
          <w:sz w:val="20"/>
          <w:szCs w:val="20"/>
        </w:rPr>
      </w:pPr>
    </w:p>
    <w:p w14:paraId="57088696" w14:textId="77777777" w:rsidR="00953B2E" w:rsidRPr="00C35766" w:rsidRDefault="00953B2E">
      <w:pPr>
        <w:spacing w:line="200" w:lineRule="exact"/>
        <w:rPr>
          <w:rFonts w:ascii="Times New Roman" w:hAnsi="Times New Roman" w:cs="Times New Roman"/>
          <w:sz w:val="20"/>
          <w:szCs w:val="20"/>
        </w:rPr>
      </w:pPr>
    </w:p>
    <w:p w14:paraId="7D2013DC" w14:textId="77777777" w:rsidR="00953B2E" w:rsidRPr="00C35766" w:rsidRDefault="00953B2E">
      <w:pPr>
        <w:spacing w:line="200" w:lineRule="exact"/>
        <w:rPr>
          <w:rFonts w:ascii="Times New Roman" w:hAnsi="Times New Roman" w:cs="Times New Roman"/>
          <w:sz w:val="20"/>
          <w:szCs w:val="20"/>
        </w:rPr>
      </w:pPr>
    </w:p>
    <w:p w14:paraId="52A6EA4A" w14:textId="77777777" w:rsidR="00953B2E" w:rsidRPr="00C35766" w:rsidRDefault="00953B2E">
      <w:pPr>
        <w:spacing w:line="200" w:lineRule="exact"/>
        <w:rPr>
          <w:rFonts w:ascii="Times New Roman" w:hAnsi="Times New Roman" w:cs="Times New Roman"/>
          <w:sz w:val="20"/>
          <w:szCs w:val="20"/>
        </w:rPr>
      </w:pPr>
    </w:p>
    <w:p w14:paraId="6876ED06" w14:textId="77777777" w:rsidR="00953B2E" w:rsidRPr="00C35766" w:rsidRDefault="00953B2E">
      <w:pPr>
        <w:spacing w:line="200" w:lineRule="exact"/>
        <w:rPr>
          <w:rFonts w:ascii="Times New Roman" w:hAnsi="Times New Roman" w:cs="Times New Roman"/>
          <w:sz w:val="20"/>
          <w:szCs w:val="20"/>
        </w:rPr>
      </w:pPr>
    </w:p>
    <w:p w14:paraId="356FFEB5" w14:textId="77777777" w:rsidR="00953B2E" w:rsidRPr="00C35766" w:rsidRDefault="00953B2E">
      <w:pPr>
        <w:spacing w:line="200" w:lineRule="exact"/>
        <w:rPr>
          <w:rFonts w:ascii="Times New Roman" w:hAnsi="Times New Roman" w:cs="Times New Roman"/>
          <w:sz w:val="20"/>
          <w:szCs w:val="20"/>
          <w:lang w:eastAsia="ko-KR"/>
        </w:rPr>
      </w:pPr>
    </w:p>
    <w:p w14:paraId="248B4570" w14:textId="77777777" w:rsidR="00953B2E" w:rsidRPr="00C35766" w:rsidRDefault="00953B2E">
      <w:pPr>
        <w:spacing w:line="200" w:lineRule="exact"/>
        <w:rPr>
          <w:rFonts w:ascii="Times New Roman" w:hAnsi="Times New Roman" w:cs="Times New Roman"/>
          <w:sz w:val="20"/>
          <w:szCs w:val="20"/>
          <w:lang w:eastAsia="ko-KR"/>
        </w:rPr>
      </w:pPr>
    </w:p>
    <w:p w14:paraId="0DF3B1CE" w14:textId="77777777" w:rsidR="00953B2E" w:rsidRPr="00C35766" w:rsidRDefault="00953B2E">
      <w:pPr>
        <w:spacing w:line="200" w:lineRule="exact"/>
        <w:rPr>
          <w:rFonts w:ascii="Times New Roman" w:hAnsi="Times New Roman" w:cs="Times New Roman"/>
          <w:sz w:val="20"/>
          <w:szCs w:val="20"/>
          <w:lang w:eastAsia="ko-KR"/>
        </w:rPr>
      </w:pPr>
    </w:p>
    <w:p w14:paraId="58F8F6B0" w14:textId="77777777" w:rsidR="00953B2E" w:rsidRPr="00C35766" w:rsidRDefault="00953B2E">
      <w:pPr>
        <w:spacing w:line="200" w:lineRule="exact"/>
        <w:rPr>
          <w:rFonts w:ascii="Times New Roman" w:hAnsi="Times New Roman" w:cs="Times New Roman"/>
          <w:sz w:val="20"/>
          <w:szCs w:val="20"/>
          <w:lang w:eastAsia="ko-KR"/>
        </w:rPr>
      </w:pPr>
    </w:p>
    <w:p w14:paraId="621CA962" w14:textId="77777777" w:rsidR="00953B2E" w:rsidRPr="00C35766" w:rsidRDefault="00953B2E">
      <w:pPr>
        <w:spacing w:line="200" w:lineRule="exact"/>
        <w:rPr>
          <w:rFonts w:ascii="Times New Roman" w:hAnsi="Times New Roman" w:cs="Times New Roman"/>
          <w:sz w:val="20"/>
          <w:szCs w:val="20"/>
          <w:lang w:eastAsia="ko-KR"/>
        </w:rPr>
      </w:pPr>
    </w:p>
    <w:p w14:paraId="009B0094" w14:textId="77777777" w:rsidR="00953B2E" w:rsidRPr="00C35766" w:rsidRDefault="00953B2E">
      <w:pPr>
        <w:spacing w:line="200" w:lineRule="exact"/>
        <w:rPr>
          <w:rFonts w:ascii="Times New Roman" w:hAnsi="Times New Roman" w:cs="Times New Roman"/>
          <w:sz w:val="20"/>
          <w:szCs w:val="20"/>
          <w:lang w:eastAsia="ko-KR"/>
        </w:rPr>
      </w:pPr>
    </w:p>
    <w:p w14:paraId="5571D76D" w14:textId="77777777" w:rsidR="00953B2E" w:rsidRPr="00C35766" w:rsidRDefault="00953B2E">
      <w:pPr>
        <w:spacing w:line="200" w:lineRule="exact"/>
        <w:rPr>
          <w:rFonts w:ascii="Times New Roman" w:hAnsi="Times New Roman" w:cs="Times New Roman"/>
          <w:sz w:val="20"/>
          <w:szCs w:val="20"/>
          <w:lang w:eastAsia="ko-KR"/>
        </w:rPr>
      </w:pPr>
    </w:p>
    <w:p w14:paraId="0B624A24" w14:textId="77777777" w:rsidR="00953B2E" w:rsidRPr="00C35766" w:rsidRDefault="00953B2E">
      <w:pPr>
        <w:spacing w:line="200" w:lineRule="exact"/>
        <w:rPr>
          <w:rFonts w:ascii="Times New Roman" w:hAnsi="Times New Roman" w:cs="Times New Roman"/>
          <w:sz w:val="20"/>
          <w:szCs w:val="20"/>
          <w:lang w:eastAsia="ko-KR"/>
        </w:rPr>
      </w:pPr>
    </w:p>
    <w:p w14:paraId="54C30857" w14:textId="77777777" w:rsidR="00953B2E" w:rsidRPr="00C35766" w:rsidRDefault="00953B2E">
      <w:pPr>
        <w:spacing w:line="200" w:lineRule="exact"/>
        <w:rPr>
          <w:rFonts w:ascii="Times New Roman" w:hAnsi="Times New Roman" w:cs="Times New Roman"/>
          <w:sz w:val="20"/>
          <w:szCs w:val="20"/>
          <w:lang w:eastAsia="ko-KR"/>
        </w:rPr>
      </w:pPr>
    </w:p>
    <w:p w14:paraId="5923D376" w14:textId="77777777" w:rsidR="00953B2E" w:rsidRPr="00C35766" w:rsidRDefault="00953B2E">
      <w:pPr>
        <w:spacing w:line="200" w:lineRule="exact"/>
        <w:rPr>
          <w:rFonts w:ascii="Times New Roman" w:hAnsi="Times New Roman" w:cs="Times New Roman"/>
          <w:sz w:val="20"/>
          <w:szCs w:val="20"/>
          <w:lang w:eastAsia="ko-KR"/>
        </w:rPr>
      </w:pPr>
    </w:p>
    <w:p w14:paraId="4E74383F" w14:textId="77777777" w:rsidR="00953B2E" w:rsidRPr="00C35766" w:rsidRDefault="00953B2E">
      <w:pPr>
        <w:spacing w:line="200" w:lineRule="exact"/>
        <w:rPr>
          <w:rFonts w:ascii="Times New Roman" w:hAnsi="Times New Roman" w:cs="Times New Roman"/>
          <w:sz w:val="20"/>
          <w:szCs w:val="20"/>
          <w:lang w:eastAsia="ko-KR"/>
        </w:rPr>
      </w:pPr>
    </w:p>
    <w:p w14:paraId="5B9EB5AE" w14:textId="77777777" w:rsidR="00953B2E" w:rsidRPr="00C35766" w:rsidRDefault="00953B2E">
      <w:pPr>
        <w:spacing w:line="200" w:lineRule="exact"/>
        <w:rPr>
          <w:rFonts w:ascii="Times New Roman" w:hAnsi="Times New Roman" w:cs="Times New Roman"/>
          <w:sz w:val="20"/>
          <w:szCs w:val="20"/>
          <w:lang w:eastAsia="ko-KR"/>
        </w:rPr>
      </w:pPr>
    </w:p>
    <w:p w14:paraId="72ACCA85" w14:textId="77777777" w:rsidR="00953B2E" w:rsidRPr="00C35766" w:rsidRDefault="00953B2E">
      <w:pPr>
        <w:spacing w:line="200" w:lineRule="exact"/>
        <w:rPr>
          <w:rFonts w:ascii="Times New Roman" w:hAnsi="Times New Roman" w:cs="Times New Roman"/>
          <w:sz w:val="20"/>
          <w:szCs w:val="20"/>
          <w:lang w:eastAsia="ko-KR"/>
        </w:rPr>
      </w:pPr>
    </w:p>
    <w:p w14:paraId="69E24940" w14:textId="77777777" w:rsidR="00953B2E" w:rsidRPr="00C35766" w:rsidRDefault="00953B2E">
      <w:pPr>
        <w:spacing w:line="200" w:lineRule="exact"/>
        <w:rPr>
          <w:rFonts w:ascii="Times New Roman" w:hAnsi="Times New Roman" w:cs="Times New Roman"/>
          <w:sz w:val="20"/>
          <w:szCs w:val="20"/>
          <w:lang w:eastAsia="ko-KR"/>
        </w:rPr>
      </w:pPr>
    </w:p>
    <w:p w14:paraId="2920FCAF" w14:textId="77777777" w:rsidR="00953B2E" w:rsidRPr="00C35766" w:rsidRDefault="00953B2E">
      <w:pPr>
        <w:spacing w:line="200" w:lineRule="exact"/>
        <w:rPr>
          <w:rFonts w:ascii="Times New Roman" w:hAnsi="Times New Roman" w:cs="Times New Roman"/>
          <w:sz w:val="20"/>
          <w:szCs w:val="20"/>
          <w:lang w:eastAsia="ko-KR"/>
        </w:rPr>
      </w:pPr>
    </w:p>
    <w:p w14:paraId="718A96A5" w14:textId="77777777" w:rsidR="00953B2E" w:rsidRPr="00C35766" w:rsidRDefault="00953B2E">
      <w:pPr>
        <w:spacing w:line="200" w:lineRule="exact"/>
        <w:rPr>
          <w:rFonts w:ascii="Times New Roman" w:hAnsi="Times New Roman" w:cs="Times New Roman"/>
          <w:sz w:val="20"/>
          <w:szCs w:val="20"/>
          <w:lang w:eastAsia="ko-KR"/>
        </w:rPr>
      </w:pPr>
    </w:p>
    <w:p w14:paraId="6CC2264F" w14:textId="77777777" w:rsidR="00953B2E" w:rsidRPr="00C35766" w:rsidRDefault="00953B2E">
      <w:pPr>
        <w:spacing w:before="4" w:line="200" w:lineRule="exact"/>
        <w:jc w:val="center"/>
        <w:rPr>
          <w:rFonts w:ascii="Times New Roman" w:hAnsi="Times New Roman" w:cs="Times New Roman"/>
          <w:sz w:val="20"/>
          <w:szCs w:val="20"/>
          <w:lang w:eastAsia="ko-KR"/>
        </w:rPr>
      </w:pPr>
    </w:p>
    <w:p w14:paraId="6F4493F7" w14:textId="77777777" w:rsidR="00953B2E" w:rsidRPr="00C35766" w:rsidRDefault="005F0C19">
      <w:pPr>
        <w:pStyle w:val="TableParagraph"/>
        <w:jc w:val="center"/>
        <w:rPr>
          <w:rFonts w:ascii="Times New Roman" w:hAnsi="Times New Roman" w:cs="Times New Roman"/>
          <w:b/>
          <w:lang w:val="it-IT"/>
        </w:rPr>
      </w:pPr>
      <w:r w:rsidRPr="00C35766">
        <w:rPr>
          <w:rFonts w:ascii="Times New Roman" w:eastAsia="Times New Roman" w:hAnsi="Times New Roman" w:cs="Times New Roman"/>
          <w:b/>
          <w:bCs/>
          <w:lang w:val="it-IT"/>
        </w:rPr>
        <w:t>ALLEGATO I</w:t>
      </w:r>
    </w:p>
    <w:p w14:paraId="34ED60E5" w14:textId="77777777" w:rsidR="00953B2E" w:rsidRPr="00C35766" w:rsidRDefault="00953B2E">
      <w:pPr>
        <w:pStyle w:val="1"/>
        <w:spacing w:before="72"/>
        <w:ind w:left="0" w:right="5"/>
        <w:jc w:val="center"/>
        <w:rPr>
          <w:rFonts w:cs="Times New Roman"/>
          <w:spacing w:val="-1"/>
          <w:lang w:val="it-IT"/>
        </w:rPr>
      </w:pPr>
    </w:p>
    <w:p w14:paraId="11AAF5E7" w14:textId="77777777" w:rsidR="00953B2E" w:rsidRPr="00C35766" w:rsidRDefault="005F0C19">
      <w:pPr>
        <w:pStyle w:val="1"/>
        <w:spacing w:before="72"/>
        <w:ind w:left="0" w:right="5"/>
        <w:jc w:val="center"/>
        <w:rPr>
          <w:rFonts w:cs="Times New Roman"/>
          <w:spacing w:val="-1"/>
          <w:lang w:val="it-IT"/>
        </w:rPr>
      </w:pPr>
      <w:r w:rsidRPr="00C35766">
        <w:rPr>
          <w:rFonts w:cs="Times New Roman"/>
          <w:spacing w:val="-1"/>
          <w:lang w:val="it-IT"/>
        </w:rPr>
        <w:t>RIASSUNTO DELLE CARATTERISTICHE DEL PRODOTTO</w:t>
      </w:r>
    </w:p>
    <w:p w14:paraId="66A8680C" w14:textId="77777777" w:rsidR="00953B2E" w:rsidRPr="00C35766" w:rsidRDefault="00953B2E">
      <w:pPr>
        <w:rPr>
          <w:rFonts w:ascii="Times New Roman" w:hAnsi="Times New Roman" w:cs="Times New Roman"/>
          <w:lang w:val="it-IT"/>
        </w:rPr>
      </w:pPr>
    </w:p>
    <w:p w14:paraId="65AC78FC" w14:textId="77777777" w:rsidR="00953B2E" w:rsidRPr="00C35766" w:rsidRDefault="005F0C19">
      <w:pPr>
        <w:rPr>
          <w:rFonts w:ascii="Times New Roman" w:hAnsi="Times New Roman" w:cs="Times New Roman"/>
          <w:lang w:val="it-IT"/>
        </w:rPr>
      </w:pPr>
      <w:r w:rsidRPr="00C35766">
        <w:rPr>
          <w:rFonts w:ascii="Times New Roman" w:hAnsi="Times New Roman" w:cs="Times New Roman"/>
          <w:lang w:val="it-IT"/>
        </w:rPr>
        <w:br w:type="page"/>
      </w:r>
    </w:p>
    <w:p w14:paraId="24AA5994" w14:textId="77777777" w:rsidR="00953B2E" w:rsidRPr="00C35766" w:rsidRDefault="00F23969">
      <w:pPr>
        <w:rPr>
          <w:rFonts w:ascii="Times New Roman" w:eastAsia="맑은 고딕" w:hAnsi="Times New Roman" w:cs="Times New Roman"/>
          <w:lang w:val="it-IT" w:eastAsia="ko-KR"/>
        </w:rPr>
      </w:pPr>
      <w:r>
        <w:rPr>
          <w:rFonts w:ascii="Times New Roman" w:hAnsi="Times New Roman" w:cs="Times New Roman"/>
        </w:rPr>
        <w:lastRenderedPageBreak/>
        <w:pict w14:anchorId="2D4639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T_1000x858px" style="width:14.4pt;height:14.4pt;visibility:visible;mso-wrap-style:square">
            <v:imagedata r:id="rId11" o:title="BT_1000x858px"/>
          </v:shape>
        </w:pict>
      </w:r>
      <w:r w:rsidR="005F0C19" w:rsidRPr="00C35766">
        <w:rPr>
          <w:rFonts w:ascii="Times New Roman" w:hAnsi="Times New Roman" w:cs="Times New Roman"/>
          <w:lang w:val="it-IT"/>
        </w:rPr>
        <w:t xml:space="preserve"> Medicinale sottoposto a monitoraggio addizionale. Ciò permetterà la rapida identificazione di nuove informazioni sulla sicurezza. Agli operatori sanitari è richiesto di segnalare qualsiasi reazione avversa sospetta. Vedere paragrafo 4.8 per informazioni sulle modalità di segnalazione delle reazioni avverse.</w:t>
      </w:r>
    </w:p>
    <w:p w14:paraId="363B4A2C" w14:textId="77777777" w:rsidR="00953B2E" w:rsidRPr="00C35766" w:rsidRDefault="00953B2E">
      <w:pPr>
        <w:widowControl/>
        <w:tabs>
          <w:tab w:val="left" w:pos="567"/>
        </w:tabs>
        <w:rPr>
          <w:rFonts w:ascii="Times New Roman" w:eastAsia="Times New Roman" w:hAnsi="Times New Roman" w:cs="Times New Roman"/>
          <w:lang w:val="it-IT"/>
        </w:rPr>
      </w:pPr>
    </w:p>
    <w:p w14:paraId="1B9957CC" w14:textId="77777777" w:rsidR="00953B2E" w:rsidRPr="00C35766" w:rsidRDefault="00953B2E">
      <w:pPr>
        <w:widowControl/>
        <w:tabs>
          <w:tab w:val="left" w:pos="567"/>
        </w:tabs>
        <w:rPr>
          <w:rFonts w:ascii="Times New Roman" w:eastAsia="Times New Roman" w:hAnsi="Times New Roman" w:cs="Times New Roman"/>
          <w:lang w:val="it-IT"/>
        </w:rPr>
      </w:pPr>
    </w:p>
    <w:p w14:paraId="64C9F078" w14:textId="77777777" w:rsidR="00953B2E" w:rsidRPr="00C35766" w:rsidRDefault="005F0C19" w:rsidP="00787805">
      <w:pPr>
        <w:widowControl/>
        <w:numPr>
          <w:ilvl w:val="0"/>
          <w:numId w:val="25"/>
        </w:numPr>
        <w:tabs>
          <w:tab w:val="left" w:pos="567"/>
        </w:tabs>
        <w:spacing w:line="260" w:lineRule="exact"/>
        <w:ind w:left="0" w:firstLine="0"/>
        <w:rPr>
          <w:rFonts w:ascii="Times New Roman" w:hAnsi="Times New Roman" w:cs="Times New Roman"/>
          <w:noProof/>
          <w:lang w:val="en-GB"/>
        </w:rPr>
      </w:pPr>
      <w:r w:rsidRPr="00C35766">
        <w:rPr>
          <w:rFonts w:ascii="Times New Roman" w:eastAsia="Times New Roman" w:hAnsi="Times New Roman" w:cs="Times New Roman"/>
          <w:b/>
          <w:bCs/>
          <w:noProof/>
          <w:lang w:val="it-IT"/>
        </w:rPr>
        <w:t>DENOMINAZIONE DEL MEDICINALE</w:t>
      </w:r>
    </w:p>
    <w:p w14:paraId="321B10C0" w14:textId="77777777" w:rsidR="00953B2E" w:rsidRPr="00C35766" w:rsidRDefault="00953B2E">
      <w:pPr>
        <w:spacing w:line="240" w:lineRule="exact"/>
        <w:rPr>
          <w:rFonts w:ascii="Times New Roman" w:hAnsi="Times New Roman" w:cs="Times New Roman"/>
        </w:rPr>
      </w:pPr>
    </w:p>
    <w:p w14:paraId="535E5178" w14:textId="6F2C996E" w:rsidR="00953B2E" w:rsidRPr="00C35766" w:rsidRDefault="005F0C19">
      <w:pPr>
        <w:widowControl/>
        <w:tabs>
          <w:tab w:val="left" w:pos="567"/>
        </w:tabs>
        <w:rPr>
          <w:rFonts w:ascii="Times New Roman" w:hAnsi="Times New Roman" w:cs="Times New Roman"/>
          <w:lang w:val="it-IT"/>
        </w:rPr>
      </w:pPr>
      <w:r w:rsidRPr="00C35766">
        <w:rPr>
          <w:rFonts w:ascii="Times New Roman" w:eastAsia="Times New Roman" w:hAnsi="Times New Roman" w:cs="Times New Roman"/>
          <w:lang w:val="it-IT"/>
        </w:rPr>
        <w:t>Yuflyma 40 mg soluzione iniettabile in siringa pre</w:t>
      </w:r>
      <w:r w:rsidR="0092097A" w:rsidRPr="00C35766">
        <w:rPr>
          <w:rFonts w:ascii="Times New Roman" w:eastAsia="Times New Roman" w:hAnsi="Times New Roman" w:cs="Times New Roman"/>
          <w:lang w:val="it-IT"/>
        </w:rPr>
        <w:t>-</w:t>
      </w:r>
      <w:r w:rsidRPr="00C35766">
        <w:rPr>
          <w:rFonts w:ascii="Times New Roman" w:eastAsia="Times New Roman" w:hAnsi="Times New Roman" w:cs="Times New Roman"/>
          <w:lang w:val="it-IT"/>
        </w:rPr>
        <w:t>riempita</w:t>
      </w:r>
    </w:p>
    <w:p w14:paraId="64683984" w14:textId="77777777" w:rsidR="00953B2E" w:rsidRPr="00C35766" w:rsidRDefault="00953B2E">
      <w:pPr>
        <w:widowControl/>
        <w:tabs>
          <w:tab w:val="left" w:pos="567"/>
        </w:tabs>
        <w:rPr>
          <w:rFonts w:ascii="Times New Roman" w:hAnsi="Times New Roman" w:cs="Times New Roman"/>
          <w:lang w:val="it-IT"/>
        </w:rPr>
      </w:pPr>
    </w:p>
    <w:p w14:paraId="0D735D64" w14:textId="2B94D08B" w:rsidR="00953B2E" w:rsidRPr="00C35766" w:rsidRDefault="005F0C19">
      <w:pPr>
        <w:widowControl/>
        <w:tabs>
          <w:tab w:val="left" w:pos="567"/>
        </w:tabs>
        <w:rPr>
          <w:rFonts w:ascii="Times New Roman" w:hAnsi="Times New Roman" w:cs="Times New Roman"/>
          <w:lang w:val="it-IT"/>
        </w:rPr>
      </w:pPr>
      <w:r w:rsidRPr="00C35766">
        <w:rPr>
          <w:rFonts w:ascii="Times New Roman" w:eastAsia="Times New Roman" w:hAnsi="Times New Roman" w:cs="Times New Roman"/>
          <w:lang w:val="it-IT"/>
        </w:rPr>
        <w:t xml:space="preserve">Yuflyma 40 mg soluzione iniettabile in penna </w:t>
      </w:r>
      <w:r w:rsidR="0092097A" w:rsidRPr="00C35766">
        <w:rPr>
          <w:rFonts w:ascii="Times New Roman" w:eastAsia="Times New Roman" w:hAnsi="Times New Roman" w:cs="Times New Roman"/>
          <w:lang w:val="it-IT"/>
        </w:rPr>
        <w:t>pre-riempita</w:t>
      </w:r>
    </w:p>
    <w:p w14:paraId="1DD2700A" w14:textId="77777777" w:rsidR="00953B2E" w:rsidRPr="00C35766" w:rsidRDefault="00953B2E">
      <w:pPr>
        <w:spacing w:line="200" w:lineRule="exact"/>
        <w:rPr>
          <w:rFonts w:ascii="Times New Roman" w:hAnsi="Times New Roman" w:cs="Times New Roman"/>
          <w:lang w:val="it-IT"/>
        </w:rPr>
      </w:pPr>
    </w:p>
    <w:p w14:paraId="2D20F7A4" w14:textId="77777777" w:rsidR="00953B2E" w:rsidRPr="00C35766" w:rsidRDefault="00953B2E">
      <w:pPr>
        <w:widowControl/>
        <w:tabs>
          <w:tab w:val="left" w:pos="567"/>
        </w:tabs>
        <w:spacing w:line="260" w:lineRule="exact"/>
        <w:rPr>
          <w:rFonts w:ascii="Times New Roman" w:hAnsi="Times New Roman" w:cs="Times New Roman"/>
          <w:b/>
          <w:lang w:val="it-IT"/>
        </w:rPr>
      </w:pPr>
    </w:p>
    <w:p w14:paraId="64C91768" w14:textId="77777777" w:rsidR="00953B2E" w:rsidRPr="00C35766" w:rsidRDefault="005F0C19" w:rsidP="00787805">
      <w:pPr>
        <w:widowControl/>
        <w:numPr>
          <w:ilvl w:val="0"/>
          <w:numId w:val="25"/>
        </w:numPr>
        <w:tabs>
          <w:tab w:val="left" w:pos="567"/>
        </w:tabs>
        <w:spacing w:line="260" w:lineRule="exact"/>
        <w:ind w:left="0" w:firstLine="0"/>
        <w:rPr>
          <w:rFonts w:ascii="Times New Roman" w:hAnsi="Times New Roman" w:cs="Times New Roman"/>
          <w:b/>
          <w:bCs/>
          <w:spacing w:val="-1"/>
        </w:rPr>
      </w:pPr>
      <w:r w:rsidRPr="00C35766">
        <w:rPr>
          <w:rFonts w:ascii="Times New Roman" w:eastAsia="Times New Roman" w:hAnsi="Times New Roman" w:cs="Times New Roman"/>
          <w:b/>
          <w:bCs/>
          <w:noProof/>
          <w:lang w:val="it-IT"/>
        </w:rPr>
        <w:t>COMPOSIZIONE QUALITATIVA E QUANTITATIVA</w:t>
      </w:r>
    </w:p>
    <w:p w14:paraId="1193DFE7" w14:textId="77777777" w:rsidR="00953B2E" w:rsidRPr="00C35766" w:rsidRDefault="00953B2E">
      <w:pPr>
        <w:widowControl/>
        <w:tabs>
          <w:tab w:val="left" w:pos="567"/>
        </w:tabs>
        <w:rPr>
          <w:rFonts w:ascii="Times New Roman" w:eastAsia="Times New Roman" w:hAnsi="Times New Roman" w:cs="Times New Roman"/>
          <w:u w:val="single"/>
          <w:lang w:val="en-GB"/>
        </w:rPr>
      </w:pPr>
    </w:p>
    <w:p w14:paraId="710162B4" w14:textId="37828B10" w:rsidR="00953B2E" w:rsidRPr="00C35766" w:rsidRDefault="005F0C19">
      <w:pPr>
        <w:widowControl/>
        <w:tabs>
          <w:tab w:val="left" w:pos="567"/>
        </w:tabs>
        <w:rPr>
          <w:rFonts w:ascii="Times New Roman" w:hAnsi="Times New Roman" w:cs="Times New Roman"/>
          <w:u w:val="single"/>
          <w:lang w:val="it-IT"/>
        </w:rPr>
      </w:pPr>
      <w:r w:rsidRPr="00C35766">
        <w:rPr>
          <w:rFonts w:ascii="Times New Roman" w:eastAsia="Times New Roman" w:hAnsi="Times New Roman" w:cs="Times New Roman"/>
          <w:u w:val="single"/>
          <w:lang w:val="it-IT"/>
        </w:rPr>
        <w:t xml:space="preserve">Yuflyma 40 mg soluzione iniettabile in siringa </w:t>
      </w:r>
      <w:r w:rsidR="0092097A" w:rsidRPr="00C35766">
        <w:rPr>
          <w:rFonts w:ascii="Times New Roman" w:eastAsia="Times New Roman" w:hAnsi="Times New Roman" w:cs="Times New Roman"/>
          <w:u w:val="single"/>
          <w:lang w:val="it-IT"/>
        </w:rPr>
        <w:t>pre-riempita</w:t>
      </w:r>
    </w:p>
    <w:p w14:paraId="5D347FA9" w14:textId="77777777" w:rsidR="00953B2E" w:rsidRPr="00C35766" w:rsidRDefault="00953B2E">
      <w:pPr>
        <w:widowControl/>
        <w:tabs>
          <w:tab w:val="left" w:pos="567"/>
        </w:tabs>
        <w:adjustRightInd w:val="0"/>
        <w:rPr>
          <w:rFonts w:ascii="Times New Roman" w:hAnsi="Times New Roman" w:cs="Times New Roman"/>
          <w:lang w:val="it-IT"/>
        </w:rPr>
      </w:pPr>
    </w:p>
    <w:p w14:paraId="4212625E" w14:textId="480DBD7C" w:rsidR="00953B2E" w:rsidRPr="00C35766" w:rsidRDefault="005F0C19">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 xml:space="preserve">Ciascuna siringa </w:t>
      </w:r>
      <w:r w:rsidR="0092097A" w:rsidRPr="00C35766">
        <w:rPr>
          <w:rFonts w:ascii="Times New Roman" w:eastAsia="Times New Roman" w:hAnsi="Times New Roman" w:cs="Times New Roman"/>
          <w:lang w:val="it-IT"/>
        </w:rPr>
        <w:t>pre-riempita</w:t>
      </w:r>
      <w:r w:rsidRPr="00C35766">
        <w:rPr>
          <w:rFonts w:ascii="Times New Roman" w:eastAsia="Times New Roman" w:hAnsi="Times New Roman" w:cs="Times New Roman"/>
          <w:lang w:val="it-IT"/>
        </w:rPr>
        <w:t xml:space="preserve"> monodose da 0,4 </w:t>
      </w:r>
      <w:r w:rsidR="00331973" w:rsidRPr="00C35766">
        <w:rPr>
          <w:rFonts w:ascii="Times New Roman" w:eastAsia="Times New Roman" w:hAnsi="Times New Roman" w:cs="Times New Roman"/>
          <w:lang w:val="it-IT"/>
        </w:rPr>
        <w:t>mL</w:t>
      </w:r>
      <w:r w:rsidRPr="00C35766">
        <w:rPr>
          <w:rFonts w:ascii="Times New Roman" w:eastAsia="Times New Roman" w:hAnsi="Times New Roman" w:cs="Times New Roman"/>
          <w:lang w:val="it-IT"/>
        </w:rPr>
        <w:t xml:space="preserve"> contiene 40 mg di adalimumab.</w:t>
      </w:r>
    </w:p>
    <w:p w14:paraId="5654802C" w14:textId="77777777" w:rsidR="00953B2E" w:rsidRPr="00C35766" w:rsidRDefault="00953B2E">
      <w:pPr>
        <w:spacing w:line="240" w:lineRule="exact"/>
        <w:rPr>
          <w:rFonts w:ascii="Times New Roman" w:hAnsi="Times New Roman" w:cs="Times New Roman"/>
          <w:lang w:val="it-IT"/>
        </w:rPr>
      </w:pPr>
    </w:p>
    <w:p w14:paraId="02C5F187" w14:textId="3157B7C7" w:rsidR="00953B2E" w:rsidRPr="00C35766" w:rsidRDefault="005F0C19">
      <w:pPr>
        <w:widowControl/>
        <w:tabs>
          <w:tab w:val="left" w:pos="567"/>
        </w:tabs>
        <w:rPr>
          <w:rFonts w:ascii="Times New Roman" w:hAnsi="Times New Roman" w:cs="Times New Roman"/>
          <w:u w:val="single"/>
          <w:lang w:val="it-IT"/>
        </w:rPr>
      </w:pPr>
      <w:r w:rsidRPr="00C35766">
        <w:rPr>
          <w:rFonts w:ascii="Times New Roman" w:eastAsia="Times New Roman" w:hAnsi="Times New Roman" w:cs="Times New Roman"/>
          <w:u w:val="single"/>
          <w:lang w:val="it-IT"/>
        </w:rPr>
        <w:t xml:space="preserve">Yuflyma 40 mg soluzione iniettabile in penna </w:t>
      </w:r>
      <w:r w:rsidR="0092097A" w:rsidRPr="00C35766">
        <w:rPr>
          <w:rFonts w:ascii="Times New Roman" w:eastAsia="Times New Roman" w:hAnsi="Times New Roman" w:cs="Times New Roman"/>
          <w:u w:val="single"/>
          <w:lang w:val="it-IT"/>
        </w:rPr>
        <w:t>pre-riempita</w:t>
      </w:r>
    </w:p>
    <w:p w14:paraId="7ECF7DD7" w14:textId="77777777" w:rsidR="00953B2E" w:rsidRPr="00C35766" w:rsidRDefault="00953B2E">
      <w:pPr>
        <w:widowControl/>
        <w:tabs>
          <w:tab w:val="left" w:pos="567"/>
        </w:tabs>
        <w:rPr>
          <w:rFonts w:ascii="Times New Roman" w:hAnsi="Times New Roman" w:cs="Times New Roman"/>
          <w:lang w:val="it-IT"/>
        </w:rPr>
      </w:pPr>
    </w:p>
    <w:p w14:paraId="791B8AFA" w14:textId="79A09452" w:rsidR="00953B2E" w:rsidRPr="00C35766" w:rsidRDefault="005F0C19">
      <w:pPr>
        <w:widowControl/>
        <w:tabs>
          <w:tab w:val="left" w:pos="567"/>
        </w:tabs>
        <w:adjustRightInd w:val="0"/>
        <w:rPr>
          <w:rFonts w:ascii="Times New Roman" w:eastAsia="Times New Roman" w:hAnsi="Times New Roman" w:cs="Times New Roman"/>
          <w:lang w:val="es-ES"/>
        </w:rPr>
      </w:pPr>
      <w:r w:rsidRPr="00C35766">
        <w:rPr>
          <w:rFonts w:ascii="Times New Roman" w:eastAsia="Times New Roman" w:hAnsi="Times New Roman" w:cs="Times New Roman"/>
          <w:lang w:val="it-IT"/>
        </w:rPr>
        <w:t xml:space="preserve">Ciascuna penna </w:t>
      </w:r>
      <w:r w:rsidR="0092097A" w:rsidRPr="00C35766">
        <w:rPr>
          <w:rFonts w:ascii="Times New Roman" w:eastAsia="Times New Roman" w:hAnsi="Times New Roman" w:cs="Times New Roman"/>
          <w:lang w:val="it-IT"/>
        </w:rPr>
        <w:t>pre-riempita</w:t>
      </w:r>
      <w:r w:rsidRPr="00C35766">
        <w:rPr>
          <w:rFonts w:ascii="Times New Roman" w:eastAsia="Times New Roman" w:hAnsi="Times New Roman" w:cs="Times New Roman"/>
          <w:lang w:val="it-IT"/>
        </w:rPr>
        <w:t xml:space="preserve"> monodose da 0,4 </w:t>
      </w:r>
      <w:r w:rsidR="00331973" w:rsidRPr="00C35766">
        <w:rPr>
          <w:rFonts w:ascii="Times New Roman" w:eastAsia="Times New Roman" w:hAnsi="Times New Roman" w:cs="Times New Roman"/>
          <w:lang w:val="it-IT"/>
        </w:rPr>
        <w:t>mL</w:t>
      </w:r>
      <w:r w:rsidRPr="00C35766">
        <w:rPr>
          <w:rFonts w:ascii="Times New Roman" w:eastAsia="Times New Roman" w:hAnsi="Times New Roman" w:cs="Times New Roman"/>
          <w:lang w:val="it-IT"/>
        </w:rPr>
        <w:t xml:space="preserve"> contiene 40 mg di adalimumab.</w:t>
      </w:r>
    </w:p>
    <w:p w14:paraId="30AFA2EA" w14:textId="77777777" w:rsidR="00953B2E" w:rsidRPr="00C35766" w:rsidRDefault="00953B2E">
      <w:pPr>
        <w:spacing w:line="240" w:lineRule="exact"/>
        <w:rPr>
          <w:rFonts w:ascii="Times New Roman" w:hAnsi="Times New Roman" w:cs="Times New Roman"/>
          <w:lang w:val="es-ES"/>
        </w:rPr>
      </w:pPr>
    </w:p>
    <w:p w14:paraId="5D09BBDB" w14:textId="77777777" w:rsidR="00953B2E" w:rsidRPr="00C35766" w:rsidRDefault="005F0C19">
      <w:pPr>
        <w:widowControl/>
        <w:tabs>
          <w:tab w:val="left" w:pos="567"/>
        </w:tabs>
        <w:adjustRightInd w:val="0"/>
        <w:rPr>
          <w:rFonts w:ascii="Times New Roman" w:eastAsia="Times New Roman" w:hAnsi="Times New Roman" w:cs="Times New Roman"/>
          <w:lang w:val="es-ES"/>
        </w:rPr>
      </w:pPr>
      <w:r w:rsidRPr="00C35766">
        <w:rPr>
          <w:rFonts w:ascii="Times New Roman" w:eastAsia="Times New Roman" w:hAnsi="Times New Roman" w:cs="Times New Roman"/>
          <w:lang w:val="it-IT"/>
        </w:rPr>
        <w:t>Adalimumab è un anticorpo monoclonale umano ricombinante prodotto in cellule ovariche di criceto cinese (Chinese Hamster Ovary).</w:t>
      </w:r>
    </w:p>
    <w:p w14:paraId="59789A06" w14:textId="77777777" w:rsidR="00953B2E" w:rsidRPr="00C35766" w:rsidRDefault="00953B2E">
      <w:pPr>
        <w:widowControl/>
        <w:tabs>
          <w:tab w:val="left" w:pos="567"/>
        </w:tabs>
        <w:adjustRightInd w:val="0"/>
        <w:rPr>
          <w:rFonts w:ascii="Times New Roman" w:eastAsia="Times New Roman" w:hAnsi="Times New Roman" w:cs="Times New Roman"/>
          <w:lang w:val="es-ES"/>
        </w:rPr>
      </w:pPr>
    </w:p>
    <w:p w14:paraId="02B9AD61" w14:textId="77777777" w:rsidR="00953B2E" w:rsidRPr="00C35766" w:rsidRDefault="005F0C19">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Per l’elenco completo degli eccipienti, vedere paragrafo 6.1.</w:t>
      </w:r>
    </w:p>
    <w:p w14:paraId="283D0382" w14:textId="77777777" w:rsidR="00953B2E" w:rsidRPr="00C35766" w:rsidRDefault="00953B2E">
      <w:pPr>
        <w:spacing w:line="260" w:lineRule="exact"/>
        <w:rPr>
          <w:rFonts w:ascii="Times New Roman" w:hAnsi="Times New Roman" w:cs="Times New Roman"/>
          <w:lang w:val="it-IT"/>
        </w:rPr>
      </w:pPr>
    </w:p>
    <w:p w14:paraId="47BC5E95" w14:textId="77777777" w:rsidR="00953B2E" w:rsidRPr="00C35766" w:rsidRDefault="00953B2E">
      <w:pPr>
        <w:spacing w:line="260" w:lineRule="exact"/>
        <w:rPr>
          <w:rFonts w:ascii="Times New Roman" w:hAnsi="Times New Roman" w:cs="Times New Roman"/>
          <w:lang w:val="it-IT"/>
        </w:rPr>
      </w:pPr>
    </w:p>
    <w:p w14:paraId="20854822" w14:textId="77777777" w:rsidR="00953B2E" w:rsidRPr="00C35766" w:rsidRDefault="005F0C19" w:rsidP="00787805">
      <w:pPr>
        <w:widowControl/>
        <w:numPr>
          <w:ilvl w:val="0"/>
          <w:numId w:val="25"/>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FORMA FARMACEUTICA</w:t>
      </w:r>
    </w:p>
    <w:p w14:paraId="342CF733" w14:textId="77777777" w:rsidR="00953B2E" w:rsidRPr="00C35766" w:rsidRDefault="00953B2E">
      <w:pPr>
        <w:spacing w:line="240" w:lineRule="exact"/>
        <w:rPr>
          <w:rFonts w:ascii="Times New Roman" w:hAnsi="Times New Roman" w:cs="Times New Roman"/>
        </w:rPr>
      </w:pPr>
    </w:p>
    <w:p w14:paraId="3C1437DE" w14:textId="77777777" w:rsidR="00953B2E" w:rsidRPr="00C35766" w:rsidRDefault="005F0C19">
      <w:pPr>
        <w:widowControl/>
        <w:tabs>
          <w:tab w:val="left" w:pos="567"/>
        </w:tabs>
        <w:adjustRightInd w:val="0"/>
        <w:rPr>
          <w:rFonts w:ascii="Times New Roman" w:eastAsia="Times New Roman" w:hAnsi="Times New Roman" w:cs="Times New Roman"/>
          <w:lang w:val="en-GB"/>
        </w:rPr>
      </w:pPr>
      <w:r w:rsidRPr="00C35766">
        <w:rPr>
          <w:rFonts w:ascii="Times New Roman" w:eastAsia="Times New Roman" w:hAnsi="Times New Roman" w:cs="Times New Roman"/>
          <w:lang w:val="it-IT"/>
        </w:rPr>
        <w:t xml:space="preserve">Soluzione iniettabile (per iniezione) </w:t>
      </w:r>
    </w:p>
    <w:p w14:paraId="6EB01F67" w14:textId="77777777" w:rsidR="00953B2E" w:rsidRPr="00C35766" w:rsidRDefault="00953B2E">
      <w:pPr>
        <w:widowControl/>
        <w:tabs>
          <w:tab w:val="left" w:pos="567"/>
        </w:tabs>
        <w:adjustRightInd w:val="0"/>
        <w:rPr>
          <w:rFonts w:ascii="Times New Roman" w:eastAsia="Times New Roman" w:hAnsi="Times New Roman" w:cs="Times New Roman"/>
          <w:lang w:val="en-GB"/>
        </w:rPr>
      </w:pPr>
    </w:p>
    <w:p w14:paraId="75B1B7DD" w14:textId="77777777" w:rsidR="00953B2E" w:rsidRPr="00C35766" w:rsidRDefault="005F0C19">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Soluzione di aspetto da limpido a opalescente, da incolore a tendente al marrone chiaro-giallastro.</w:t>
      </w:r>
    </w:p>
    <w:p w14:paraId="3DE78675" w14:textId="77777777" w:rsidR="00953B2E" w:rsidRPr="00C35766" w:rsidRDefault="00953B2E">
      <w:pPr>
        <w:spacing w:line="260" w:lineRule="exact"/>
        <w:rPr>
          <w:rFonts w:ascii="Times New Roman" w:hAnsi="Times New Roman" w:cs="Times New Roman"/>
          <w:lang w:val="it-IT"/>
        </w:rPr>
      </w:pPr>
    </w:p>
    <w:p w14:paraId="761E0301" w14:textId="77777777" w:rsidR="00953B2E" w:rsidRPr="00C35766" w:rsidRDefault="00953B2E">
      <w:pPr>
        <w:spacing w:line="260" w:lineRule="exact"/>
        <w:rPr>
          <w:rFonts w:ascii="Times New Roman" w:hAnsi="Times New Roman" w:cs="Times New Roman"/>
          <w:lang w:val="it-IT"/>
        </w:rPr>
      </w:pPr>
    </w:p>
    <w:p w14:paraId="786628A8" w14:textId="77777777" w:rsidR="00953B2E" w:rsidRPr="00C35766" w:rsidRDefault="005F0C19" w:rsidP="00787805">
      <w:pPr>
        <w:widowControl/>
        <w:numPr>
          <w:ilvl w:val="0"/>
          <w:numId w:val="25"/>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INFORMAZIONI CLINICHE</w:t>
      </w:r>
    </w:p>
    <w:p w14:paraId="0232B96F" w14:textId="77777777" w:rsidR="00953B2E" w:rsidRPr="00C35766" w:rsidRDefault="00953B2E">
      <w:pPr>
        <w:pStyle w:val="a4"/>
        <w:tabs>
          <w:tab w:val="left" w:pos="672"/>
        </w:tabs>
        <w:rPr>
          <w:rFonts w:ascii="Times New Roman" w:eastAsia="Times New Roman" w:hAnsi="Times New Roman" w:cs="Times New Roman"/>
          <w:b/>
          <w:noProof/>
          <w:lang w:val="en-GB"/>
        </w:rPr>
      </w:pPr>
    </w:p>
    <w:p w14:paraId="6F00894D"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rPr>
      </w:pPr>
      <w:r w:rsidRPr="00C35766">
        <w:rPr>
          <w:rFonts w:ascii="Times New Roman" w:eastAsia="Times New Roman" w:hAnsi="Times New Roman" w:cs="Times New Roman"/>
          <w:b/>
          <w:bCs/>
          <w:noProof/>
          <w:lang w:val="it-IT"/>
        </w:rPr>
        <w:t>Indicazioni terapeutiche</w:t>
      </w:r>
    </w:p>
    <w:p w14:paraId="02A02EBD" w14:textId="77777777" w:rsidR="00953B2E" w:rsidRPr="00C35766" w:rsidRDefault="00953B2E">
      <w:pPr>
        <w:spacing w:line="240" w:lineRule="exact"/>
        <w:rPr>
          <w:rFonts w:ascii="Times New Roman" w:hAnsi="Times New Roman" w:cs="Times New Roman"/>
        </w:rPr>
      </w:pPr>
    </w:p>
    <w:p w14:paraId="562DB218" w14:textId="77777777" w:rsidR="00953B2E" w:rsidRPr="00C35766" w:rsidRDefault="005F0C19">
      <w:pPr>
        <w:pStyle w:val="a3"/>
        <w:rPr>
          <w:u w:val="single"/>
        </w:rPr>
      </w:pPr>
      <w:r w:rsidRPr="00C35766">
        <w:rPr>
          <w:rFonts w:eastAsia="Times New Roman"/>
          <w:u w:val="single" w:color="000000"/>
          <w:lang w:val="it-IT"/>
        </w:rPr>
        <w:t>Artrite reumatoide</w:t>
      </w:r>
    </w:p>
    <w:p w14:paraId="32162DB8" w14:textId="77777777" w:rsidR="00953B2E" w:rsidRPr="00C35766" w:rsidRDefault="00953B2E">
      <w:pPr>
        <w:spacing w:line="170" w:lineRule="exact"/>
        <w:rPr>
          <w:rFonts w:ascii="Times New Roman" w:hAnsi="Times New Roman" w:cs="Times New Roman"/>
        </w:rPr>
      </w:pPr>
    </w:p>
    <w:p w14:paraId="17E4C503" w14:textId="2067065A" w:rsidR="00953B2E" w:rsidRPr="00C35766" w:rsidRDefault="005F0C19">
      <w:pPr>
        <w:pStyle w:val="a3"/>
        <w:rPr>
          <w:lang w:val="it-IT"/>
        </w:rPr>
      </w:pPr>
      <w:r w:rsidRPr="00C35766">
        <w:rPr>
          <w:rFonts w:eastAsia="Times New Roman"/>
          <w:lang w:val="it-IT"/>
        </w:rPr>
        <w:t xml:space="preserve">Yuflyma in </w:t>
      </w:r>
      <w:r w:rsidR="00331973" w:rsidRPr="00C35766">
        <w:rPr>
          <w:rFonts w:eastAsia="Times New Roman"/>
          <w:lang w:val="it-IT"/>
        </w:rPr>
        <w:t>associazione</w:t>
      </w:r>
      <w:r w:rsidRPr="00C35766">
        <w:rPr>
          <w:rFonts w:eastAsia="Times New Roman"/>
          <w:lang w:val="it-IT"/>
        </w:rPr>
        <w:t xml:space="preserve"> con metotressato, è indicato per:</w:t>
      </w:r>
    </w:p>
    <w:p w14:paraId="3E66BD69" w14:textId="77777777" w:rsidR="00953B2E" w:rsidRPr="00C35766" w:rsidRDefault="00953B2E">
      <w:pPr>
        <w:spacing w:line="240" w:lineRule="exact"/>
        <w:rPr>
          <w:rFonts w:ascii="Times New Roman" w:hAnsi="Times New Roman" w:cs="Times New Roman"/>
          <w:lang w:val="it-IT"/>
        </w:rPr>
      </w:pPr>
    </w:p>
    <w:p w14:paraId="067D3D44" w14:textId="77777777" w:rsidR="00953B2E" w:rsidRPr="00C35766" w:rsidRDefault="005F0C19" w:rsidP="00787805">
      <w:pPr>
        <w:pStyle w:val="a3"/>
        <w:numPr>
          <w:ilvl w:val="0"/>
          <w:numId w:val="14"/>
        </w:numPr>
        <w:ind w:left="660" w:hanging="660"/>
        <w:rPr>
          <w:lang w:val="it-IT"/>
        </w:rPr>
      </w:pPr>
      <w:r w:rsidRPr="00C35766">
        <w:rPr>
          <w:rFonts w:eastAsia="Times New Roman"/>
          <w:lang w:val="it-IT"/>
        </w:rPr>
        <w:t>il trattamento di pazienti adulti affetti da artrite reumatoide attiva di grado da moderato a severo quando la risposta ai farmaci anti-reumatici modificanti la malattia (Disease Modifying Anti-Rheumatic Drugs – DMARD), compreso il metotressato, risulta inadeguata.</w:t>
      </w:r>
    </w:p>
    <w:p w14:paraId="0DA3FE32" w14:textId="2B6B6837" w:rsidR="00953B2E" w:rsidRPr="00C35766" w:rsidRDefault="005F0C19" w:rsidP="00787805">
      <w:pPr>
        <w:pStyle w:val="a3"/>
        <w:numPr>
          <w:ilvl w:val="0"/>
          <w:numId w:val="14"/>
        </w:numPr>
        <w:ind w:left="660" w:hanging="660"/>
        <w:rPr>
          <w:lang w:val="it-IT"/>
        </w:rPr>
      </w:pPr>
      <w:r w:rsidRPr="00C35766">
        <w:rPr>
          <w:rFonts w:eastAsia="Times New Roman"/>
          <w:lang w:val="it-IT"/>
        </w:rPr>
        <w:t xml:space="preserve">il trattamento dell’artrite reumatoide </w:t>
      </w:r>
      <w:r w:rsidR="00331973" w:rsidRPr="00C35766">
        <w:rPr>
          <w:rFonts w:eastAsia="Times New Roman"/>
          <w:lang w:val="it-IT"/>
        </w:rPr>
        <w:t>severa</w:t>
      </w:r>
      <w:r w:rsidRPr="00C35766">
        <w:rPr>
          <w:rFonts w:eastAsia="Times New Roman"/>
          <w:lang w:val="it-IT"/>
        </w:rPr>
        <w:t>, attiva e progressiva in adulti non precedentemente trattati con metotressato.</w:t>
      </w:r>
    </w:p>
    <w:p w14:paraId="675B893F" w14:textId="77777777" w:rsidR="00953B2E" w:rsidRPr="00C35766" w:rsidRDefault="00953B2E">
      <w:pPr>
        <w:spacing w:line="240" w:lineRule="exact"/>
        <w:rPr>
          <w:rFonts w:ascii="Times New Roman" w:hAnsi="Times New Roman" w:cs="Times New Roman"/>
          <w:lang w:val="it-IT"/>
        </w:rPr>
      </w:pPr>
    </w:p>
    <w:p w14:paraId="3DAD21DC" w14:textId="77777777" w:rsidR="00953B2E" w:rsidRPr="00C35766" w:rsidRDefault="005F0C19">
      <w:pPr>
        <w:pStyle w:val="a3"/>
        <w:rPr>
          <w:lang w:val="it-IT"/>
        </w:rPr>
      </w:pPr>
      <w:r w:rsidRPr="00C35766">
        <w:rPr>
          <w:rFonts w:eastAsia="Times New Roman"/>
          <w:lang w:val="it-IT"/>
        </w:rPr>
        <w:t>Yuflyma può essere somministrato come monoterapia in caso di intolleranza al metotressato o quando il trattamento continuato con metotressato non è appropriato.</w:t>
      </w:r>
    </w:p>
    <w:p w14:paraId="35F8C4F2" w14:textId="77777777" w:rsidR="00953B2E" w:rsidRPr="00C35766" w:rsidRDefault="00953B2E">
      <w:pPr>
        <w:spacing w:line="240" w:lineRule="exact"/>
        <w:rPr>
          <w:rFonts w:ascii="Times New Roman" w:hAnsi="Times New Roman" w:cs="Times New Roman"/>
          <w:lang w:val="it-IT"/>
        </w:rPr>
      </w:pPr>
    </w:p>
    <w:p w14:paraId="23A85175" w14:textId="416F6930" w:rsidR="00953B2E" w:rsidRPr="00C35766" w:rsidRDefault="005F0C19">
      <w:pPr>
        <w:pStyle w:val="a3"/>
        <w:rPr>
          <w:lang w:val="it-IT"/>
        </w:rPr>
      </w:pPr>
      <w:r w:rsidRPr="00C35766">
        <w:rPr>
          <w:rFonts w:eastAsia="Times New Roman"/>
          <w:lang w:val="it-IT" w:eastAsia="ko-KR"/>
        </w:rPr>
        <w:t>È stato dimostrato che adalimumab riduce il tasso di progressione del danno articolare, valutat</w:t>
      </w:r>
      <w:r w:rsidR="00331973" w:rsidRPr="00C35766">
        <w:rPr>
          <w:rFonts w:eastAsia="Times New Roman"/>
          <w:lang w:val="it-IT" w:eastAsia="ko-KR"/>
        </w:rPr>
        <w:t>o</w:t>
      </w:r>
      <w:r w:rsidRPr="00C35766">
        <w:rPr>
          <w:rFonts w:eastAsia="Times New Roman"/>
          <w:lang w:val="it-IT" w:eastAsia="ko-KR"/>
        </w:rPr>
        <w:t xml:space="preserve"> radiograficamente, e migliora la funzionalità fisica, quando somministrato in </w:t>
      </w:r>
      <w:r w:rsidR="00331973" w:rsidRPr="00C35766">
        <w:rPr>
          <w:rFonts w:eastAsia="Times New Roman"/>
          <w:lang w:val="it-IT" w:eastAsia="ko-KR"/>
        </w:rPr>
        <w:t xml:space="preserve">associazione </w:t>
      </w:r>
      <w:r w:rsidRPr="00C35766">
        <w:rPr>
          <w:rFonts w:eastAsia="Times New Roman"/>
          <w:lang w:val="it-IT" w:eastAsia="ko-KR"/>
        </w:rPr>
        <w:t xml:space="preserve">con </w:t>
      </w:r>
      <w:r w:rsidRPr="00C35766">
        <w:rPr>
          <w:rFonts w:eastAsia="Times New Roman"/>
          <w:lang w:val="it-IT" w:eastAsia="ko-KR"/>
        </w:rPr>
        <w:lastRenderedPageBreak/>
        <w:t>metotressato.</w:t>
      </w:r>
    </w:p>
    <w:p w14:paraId="0B49AB4E" w14:textId="77777777" w:rsidR="00953B2E" w:rsidRPr="00C35766" w:rsidRDefault="00953B2E">
      <w:pPr>
        <w:pStyle w:val="a3"/>
        <w:rPr>
          <w:u w:color="000000"/>
          <w:lang w:val="it-IT"/>
        </w:rPr>
      </w:pPr>
    </w:p>
    <w:p w14:paraId="243D92D9" w14:textId="77777777" w:rsidR="00953B2E" w:rsidRPr="00C35766" w:rsidRDefault="005F0C19">
      <w:pPr>
        <w:pStyle w:val="a3"/>
        <w:rPr>
          <w:u w:val="single" w:color="000000"/>
          <w:lang w:val="it-IT"/>
        </w:rPr>
      </w:pPr>
      <w:r w:rsidRPr="00C35766">
        <w:rPr>
          <w:rFonts w:eastAsia="Times New Roman"/>
          <w:u w:val="single" w:color="000000"/>
          <w:lang w:val="it-IT"/>
        </w:rPr>
        <w:t>Artrite idiopatica giovanile</w:t>
      </w:r>
    </w:p>
    <w:p w14:paraId="69375B8E" w14:textId="77777777" w:rsidR="00953B2E" w:rsidRPr="00C35766" w:rsidRDefault="00953B2E">
      <w:pPr>
        <w:spacing w:line="180" w:lineRule="exact"/>
        <w:rPr>
          <w:rFonts w:ascii="Times New Roman" w:hAnsi="Times New Roman" w:cs="Times New Roman"/>
          <w:lang w:val="it-IT"/>
        </w:rPr>
      </w:pPr>
    </w:p>
    <w:p w14:paraId="0BC056CB" w14:textId="77777777" w:rsidR="00953B2E" w:rsidRPr="00C35766" w:rsidRDefault="005F0C19">
      <w:pPr>
        <w:rPr>
          <w:rFonts w:ascii="Times New Roman" w:hAnsi="Times New Roman" w:cs="Times New Roman"/>
          <w:lang w:val="it-IT"/>
        </w:rPr>
      </w:pPr>
      <w:r w:rsidRPr="00C35766">
        <w:rPr>
          <w:rFonts w:ascii="Times New Roman" w:eastAsia="Times New Roman" w:hAnsi="Times New Roman" w:cs="Times New Roman"/>
          <w:i/>
          <w:iCs/>
          <w:spacing w:val="-1"/>
          <w:lang w:val="it-IT"/>
        </w:rPr>
        <w:t>Artrite idiopatica giovanile poliarticolare</w:t>
      </w:r>
    </w:p>
    <w:p w14:paraId="6CCE550D" w14:textId="77777777" w:rsidR="00953B2E" w:rsidRPr="00C35766" w:rsidRDefault="00953B2E">
      <w:pPr>
        <w:spacing w:line="240" w:lineRule="exact"/>
        <w:rPr>
          <w:rFonts w:ascii="Times New Roman" w:hAnsi="Times New Roman" w:cs="Times New Roman"/>
          <w:lang w:val="it-IT"/>
        </w:rPr>
      </w:pPr>
    </w:p>
    <w:p w14:paraId="42A1D37A" w14:textId="363804CD" w:rsidR="00953B2E" w:rsidRPr="00C35766" w:rsidRDefault="005F0C19">
      <w:pPr>
        <w:pStyle w:val="a3"/>
        <w:rPr>
          <w:lang w:val="it-IT"/>
        </w:rPr>
      </w:pPr>
      <w:r w:rsidRPr="00C35766">
        <w:rPr>
          <w:rFonts w:eastAsia="Times New Roman"/>
          <w:lang w:val="it-IT"/>
        </w:rPr>
        <w:t xml:space="preserve">Yuflyma in </w:t>
      </w:r>
      <w:r w:rsidR="00E2412C" w:rsidRPr="00C35766">
        <w:rPr>
          <w:rFonts w:eastAsia="Times New Roman"/>
          <w:lang w:val="it-IT"/>
        </w:rPr>
        <w:t xml:space="preserve">associazione </w:t>
      </w:r>
      <w:r w:rsidRPr="00C35766">
        <w:rPr>
          <w:rFonts w:eastAsia="Times New Roman"/>
          <w:lang w:val="it-IT"/>
        </w:rPr>
        <w:t>con metotressato è indicato per il trattamento dell’artrite idiopatica giovanile poliarticolare attiva, nei pazienti dai 2 anni di età, che hanno avuto una risposta inadeguata ad uno o più farmaci anti-reumatici modificanti la malattia (DMARD). Yuflyma può essere somministrato come monoterapia in caso di intolleranza al metotressato o quando il trattamento continuato con metotressato non è appropriato (per l’efficacia in monoterapia vedere paragrafo 5.1). Adalimumab non è stato studiato in pazienti di età inferiore a 2 anni.</w:t>
      </w:r>
    </w:p>
    <w:p w14:paraId="553ABD9F" w14:textId="77777777" w:rsidR="00953B2E" w:rsidRPr="00C35766" w:rsidRDefault="00953B2E">
      <w:pPr>
        <w:spacing w:line="240" w:lineRule="exact"/>
        <w:rPr>
          <w:rFonts w:ascii="Times New Roman" w:hAnsi="Times New Roman" w:cs="Times New Roman"/>
          <w:lang w:val="it-IT"/>
        </w:rPr>
      </w:pPr>
    </w:p>
    <w:p w14:paraId="49894F7B" w14:textId="77777777" w:rsidR="00953B2E" w:rsidRPr="00C35766" w:rsidRDefault="005F0C19">
      <w:pPr>
        <w:rPr>
          <w:rFonts w:ascii="Times New Roman" w:hAnsi="Times New Roman" w:cs="Times New Roman"/>
          <w:lang w:val="it-IT"/>
        </w:rPr>
      </w:pPr>
      <w:r w:rsidRPr="00C35766">
        <w:rPr>
          <w:rFonts w:ascii="Times New Roman" w:eastAsia="Times New Roman" w:hAnsi="Times New Roman" w:cs="Times New Roman"/>
          <w:i/>
          <w:iCs/>
          <w:lang w:val="it-IT"/>
        </w:rPr>
        <w:t>Artrite associata ad entesite</w:t>
      </w:r>
    </w:p>
    <w:p w14:paraId="33BB0FE7" w14:textId="77777777" w:rsidR="00953B2E" w:rsidRPr="00C35766" w:rsidRDefault="00953B2E">
      <w:pPr>
        <w:spacing w:line="240" w:lineRule="exact"/>
        <w:rPr>
          <w:rFonts w:ascii="Times New Roman" w:hAnsi="Times New Roman" w:cs="Times New Roman"/>
          <w:lang w:val="it-IT"/>
        </w:rPr>
      </w:pPr>
    </w:p>
    <w:p w14:paraId="2A5DF22D" w14:textId="77777777" w:rsidR="00953B2E" w:rsidRPr="00C35766" w:rsidRDefault="005F0C19">
      <w:pPr>
        <w:pStyle w:val="a3"/>
        <w:rPr>
          <w:lang w:val="it-IT"/>
        </w:rPr>
      </w:pPr>
      <w:r w:rsidRPr="00C35766">
        <w:rPr>
          <w:rFonts w:eastAsia="Times New Roman"/>
          <w:lang w:val="it-IT"/>
        </w:rPr>
        <w:t>Yuflyma è indicato per il trattamento delle forme attive di artrite associata a entesite, nei pazienti dai 6 anni di età che hanno avuto una risposta inadeguata o che sono intolleranti alla terapia convenzionale (vedere paragrafo 5.1).</w:t>
      </w:r>
    </w:p>
    <w:p w14:paraId="71207958" w14:textId="77777777" w:rsidR="00953B2E" w:rsidRPr="00C35766" w:rsidRDefault="00953B2E">
      <w:pPr>
        <w:spacing w:line="240" w:lineRule="exact"/>
        <w:rPr>
          <w:rFonts w:ascii="Times New Roman" w:hAnsi="Times New Roman" w:cs="Times New Roman"/>
          <w:lang w:val="it-IT"/>
        </w:rPr>
      </w:pPr>
    </w:p>
    <w:p w14:paraId="05DC0C60" w14:textId="77777777" w:rsidR="00953B2E" w:rsidRPr="00C35766" w:rsidRDefault="005F0C19">
      <w:pPr>
        <w:pStyle w:val="a3"/>
        <w:rPr>
          <w:u w:val="single" w:color="000000"/>
          <w:lang w:val="fr-FR"/>
        </w:rPr>
      </w:pPr>
      <w:r w:rsidRPr="00C35766">
        <w:rPr>
          <w:rFonts w:eastAsia="Times New Roman"/>
          <w:u w:val="single" w:color="000000"/>
          <w:lang w:val="it-IT"/>
        </w:rPr>
        <w:t>Spondiloartrite assiale</w:t>
      </w:r>
    </w:p>
    <w:p w14:paraId="65D36576" w14:textId="77777777" w:rsidR="00953B2E" w:rsidRPr="00C35766" w:rsidRDefault="00953B2E">
      <w:pPr>
        <w:spacing w:line="180" w:lineRule="exact"/>
        <w:rPr>
          <w:rFonts w:ascii="Times New Roman" w:hAnsi="Times New Roman" w:cs="Times New Roman"/>
          <w:lang w:val="fr-FR"/>
        </w:rPr>
      </w:pPr>
    </w:p>
    <w:p w14:paraId="79E84E9C" w14:textId="77777777" w:rsidR="00953B2E" w:rsidRPr="00C35766" w:rsidRDefault="005F0C19">
      <w:pPr>
        <w:rPr>
          <w:rFonts w:ascii="Times New Roman" w:eastAsia="Times New Roman" w:hAnsi="Times New Roman" w:cs="Times New Roman"/>
          <w:lang w:val="fr-FR"/>
        </w:rPr>
      </w:pPr>
      <w:r w:rsidRPr="00C35766">
        <w:rPr>
          <w:rFonts w:ascii="Times New Roman" w:eastAsia="Times New Roman" w:hAnsi="Times New Roman" w:cs="Times New Roman"/>
          <w:i/>
          <w:iCs/>
          <w:spacing w:val="-1"/>
          <w:lang w:val="it-IT"/>
        </w:rPr>
        <w:t>Spondilite anchilosante (SA)</w:t>
      </w:r>
    </w:p>
    <w:p w14:paraId="601CA258" w14:textId="77777777" w:rsidR="00953B2E" w:rsidRPr="00C35766" w:rsidRDefault="00953B2E">
      <w:pPr>
        <w:spacing w:line="240" w:lineRule="exact"/>
        <w:rPr>
          <w:rFonts w:ascii="Times New Roman" w:hAnsi="Times New Roman" w:cs="Times New Roman"/>
          <w:lang w:val="fr-FR"/>
        </w:rPr>
      </w:pPr>
    </w:p>
    <w:p w14:paraId="458CE48F" w14:textId="223BD878" w:rsidR="00953B2E" w:rsidRPr="00C35766" w:rsidRDefault="005F0C19">
      <w:pPr>
        <w:pStyle w:val="a3"/>
        <w:rPr>
          <w:lang w:val="fr-FR"/>
        </w:rPr>
      </w:pPr>
      <w:r w:rsidRPr="00C35766">
        <w:rPr>
          <w:rFonts w:eastAsia="Times New Roman"/>
          <w:lang w:val="it-IT"/>
        </w:rPr>
        <w:t xml:space="preserve">Yuflyma è indicato per il trattamento dei pazienti adulti affetti da spondilite anchilosante attiva </w:t>
      </w:r>
      <w:r w:rsidR="00A96C58" w:rsidRPr="00C35766">
        <w:rPr>
          <w:rFonts w:eastAsia="Times New Roman"/>
          <w:lang w:val="it-IT"/>
        </w:rPr>
        <w:t xml:space="preserve">severa </w:t>
      </w:r>
      <w:r w:rsidRPr="00C35766">
        <w:rPr>
          <w:rFonts w:eastAsia="Times New Roman"/>
          <w:lang w:val="it-IT"/>
        </w:rPr>
        <w:t>in cui la risposta alla terapia convenzionale non è risultata adeguata.</w:t>
      </w:r>
    </w:p>
    <w:p w14:paraId="49290C94" w14:textId="77777777" w:rsidR="00953B2E" w:rsidRPr="00C35766" w:rsidRDefault="00953B2E">
      <w:pPr>
        <w:spacing w:line="240" w:lineRule="exact"/>
        <w:rPr>
          <w:rFonts w:ascii="Times New Roman" w:hAnsi="Times New Roman" w:cs="Times New Roman"/>
          <w:lang w:val="fr-FR"/>
        </w:rPr>
      </w:pPr>
    </w:p>
    <w:p w14:paraId="46D4604F" w14:textId="77777777" w:rsidR="00953B2E" w:rsidRPr="00C35766" w:rsidRDefault="005F0C19">
      <w:pPr>
        <w:rPr>
          <w:rFonts w:ascii="Times New Roman" w:eastAsia="Times New Roman" w:hAnsi="Times New Roman" w:cs="Times New Roman"/>
          <w:lang w:val="fr-FR"/>
        </w:rPr>
      </w:pPr>
      <w:r w:rsidRPr="00C35766">
        <w:rPr>
          <w:rFonts w:ascii="Times New Roman" w:eastAsia="Times New Roman" w:hAnsi="Times New Roman" w:cs="Times New Roman"/>
          <w:i/>
          <w:iCs/>
          <w:spacing w:val="-1"/>
          <w:lang w:val="it-IT"/>
        </w:rPr>
        <w:t>Spondiloartrite assiale senza evidenza radiografica di SA</w:t>
      </w:r>
    </w:p>
    <w:p w14:paraId="5C7F88AB" w14:textId="77777777" w:rsidR="00953B2E" w:rsidRPr="00C35766" w:rsidRDefault="00953B2E">
      <w:pPr>
        <w:spacing w:line="240" w:lineRule="exact"/>
        <w:rPr>
          <w:rFonts w:ascii="Times New Roman" w:hAnsi="Times New Roman" w:cs="Times New Roman"/>
          <w:lang w:val="fr-FR"/>
        </w:rPr>
      </w:pPr>
    </w:p>
    <w:p w14:paraId="23AAFD63" w14:textId="60196418" w:rsidR="00953B2E" w:rsidRPr="00C35766" w:rsidRDefault="005F0C19">
      <w:pPr>
        <w:pStyle w:val="a3"/>
        <w:rPr>
          <w:lang w:val="fr-FR"/>
        </w:rPr>
      </w:pPr>
      <w:r w:rsidRPr="00C35766">
        <w:rPr>
          <w:rFonts w:eastAsia="Times New Roman"/>
          <w:lang w:val="it-IT"/>
        </w:rPr>
        <w:t xml:space="preserve">Yuflyma è indicato per il trattamento dei pazienti adulti affetti da spondiloartrite assiale </w:t>
      </w:r>
      <w:r w:rsidR="00A96C58" w:rsidRPr="00C35766">
        <w:rPr>
          <w:rFonts w:eastAsia="Times New Roman"/>
          <w:lang w:val="it-IT"/>
        </w:rPr>
        <w:t>severa</w:t>
      </w:r>
      <w:r w:rsidRPr="00C35766">
        <w:rPr>
          <w:rFonts w:eastAsia="Times New Roman"/>
          <w:lang w:val="it-IT"/>
        </w:rPr>
        <w:t xml:space="preserve"> senza evidenza radiografica di SA ma con segni oggettivi di infiammazione rilevati da elevati livelli di Proteina C Reattiva e/o RM</w:t>
      </w:r>
      <w:r w:rsidR="00FF7A11" w:rsidRPr="00C35766">
        <w:rPr>
          <w:rFonts w:eastAsia="Times New Roman"/>
          <w:lang w:val="it-IT"/>
        </w:rPr>
        <w:t>N</w:t>
      </w:r>
      <w:r w:rsidRPr="00C35766">
        <w:rPr>
          <w:rFonts w:eastAsia="Times New Roman"/>
          <w:lang w:val="it-IT"/>
        </w:rPr>
        <w:t>, che hanno avuto una risposta inadeguata a, o sono intolleranti a farmaci antinfiammatori non steroidei (FANS).</w:t>
      </w:r>
    </w:p>
    <w:p w14:paraId="71C77CB4" w14:textId="77777777" w:rsidR="00953B2E" w:rsidRPr="00C35766" w:rsidRDefault="00953B2E">
      <w:pPr>
        <w:spacing w:line="240" w:lineRule="exact"/>
        <w:rPr>
          <w:rFonts w:ascii="Times New Roman" w:hAnsi="Times New Roman" w:cs="Times New Roman"/>
          <w:lang w:val="fr-FR"/>
        </w:rPr>
      </w:pPr>
    </w:p>
    <w:p w14:paraId="0D07F902" w14:textId="77777777" w:rsidR="00953B2E" w:rsidRPr="00C35766" w:rsidRDefault="005F0C19">
      <w:pPr>
        <w:pStyle w:val="a3"/>
        <w:rPr>
          <w:u w:val="single" w:color="000000"/>
          <w:lang w:val="fr-FR"/>
        </w:rPr>
      </w:pPr>
      <w:r w:rsidRPr="00C35766">
        <w:rPr>
          <w:rFonts w:eastAsia="Times New Roman"/>
          <w:u w:val="single" w:color="000000"/>
          <w:lang w:val="it-IT"/>
        </w:rPr>
        <w:t>Artrite psoriasica</w:t>
      </w:r>
    </w:p>
    <w:p w14:paraId="05E87FB2" w14:textId="77777777" w:rsidR="00953B2E" w:rsidRPr="00C35766" w:rsidRDefault="00953B2E">
      <w:pPr>
        <w:spacing w:line="180" w:lineRule="exact"/>
        <w:rPr>
          <w:rFonts w:ascii="Times New Roman" w:hAnsi="Times New Roman" w:cs="Times New Roman"/>
          <w:lang w:val="fr-FR"/>
        </w:rPr>
      </w:pPr>
    </w:p>
    <w:p w14:paraId="43778B75" w14:textId="77777777" w:rsidR="00953B2E" w:rsidRPr="00C35766" w:rsidRDefault="005F0C19">
      <w:pPr>
        <w:pStyle w:val="a3"/>
        <w:rPr>
          <w:lang w:val="fr-FR"/>
        </w:rPr>
      </w:pPr>
      <w:r w:rsidRPr="00C35766">
        <w:rPr>
          <w:rFonts w:eastAsia="Times New Roman"/>
          <w:lang w:val="it-IT"/>
        </w:rPr>
        <w:t>Yuflyma è indicato per il trattamento dell’artrite psoriasica attiva e progressiva in soggetti adulti quando la risposta a precedenti trattamenti con farmaci anti-reumatici modificanti la malattia (Disease Modifying Anti-rheumatic Drugs – DMARD) è stata inadeguata.</w:t>
      </w:r>
    </w:p>
    <w:p w14:paraId="5C2DDF65" w14:textId="77777777" w:rsidR="00953B2E" w:rsidRPr="00C35766" w:rsidRDefault="00953B2E">
      <w:pPr>
        <w:pStyle w:val="a3"/>
        <w:rPr>
          <w:lang w:val="fr-FR"/>
        </w:rPr>
      </w:pPr>
    </w:p>
    <w:p w14:paraId="66E00200" w14:textId="77777777" w:rsidR="00953B2E" w:rsidRPr="00C35766" w:rsidRDefault="005F0C19">
      <w:pPr>
        <w:pStyle w:val="a3"/>
        <w:rPr>
          <w:lang w:val="fr-FR"/>
        </w:rPr>
      </w:pPr>
      <w:r w:rsidRPr="00C35766">
        <w:rPr>
          <w:rFonts w:eastAsia="Times New Roman"/>
          <w:lang w:val="it-IT"/>
        </w:rPr>
        <w:t>È stato dimostrato che Adalimumab riduce la percentuale di progressione del danno articolare periferico rilevato attraverso radiografie in pazienti affetti da sottogruppi poliarticolari simmetrici della malattia (vedere paragrafo 5.1) e migliora la funzionalità fisica.</w:t>
      </w:r>
    </w:p>
    <w:p w14:paraId="3AB9B1D0" w14:textId="77777777" w:rsidR="00953B2E" w:rsidRPr="00C35766" w:rsidRDefault="00953B2E">
      <w:pPr>
        <w:spacing w:line="240" w:lineRule="exact"/>
        <w:rPr>
          <w:rFonts w:ascii="Times New Roman" w:hAnsi="Times New Roman" w:cs="Times New Roman"/>
          <w:lang w:val="fr-FR"/>
        </w:rPr>
      </w:pPr>
    </w:p>
    <w:p w14:paraId="00E73D0D" w14:textId="77777777" w:rsidR="00953B2E" w:rsidRPr="00BD232C" w:rsidRDefault="005F0C19">
      <w:pPr>
        <w:pStyle w:val="a3"/>
        <w:rPr>
          <w:u w:val="single"/>
        </w:rPr>
      </w:pPr>
      <w:r w:rsidRPr="00C35766">
        <w:rPr>
          <w:rFonts w:eastAsia="Times New Roman"/>
          <w:u w:val="single" w:color="000000"/>
          <w:lang w:val="it-IT"/>
        </w:rPr>
        <w:t>Psoriasi</w:t>
      </w:r>
    </w:p>
    <w:p w14:paraId="421DCFF3" w14:textId="77777777" w:rsidR="00953B2E" w:rsidRPr="00BD232C" w:rsidRDefault="00953B2E">
      <w:pPr>
        <w:spacing w:line="180" w:lineRule="exact"/>
        <w:rPr>
          <w:rFonts w:ascii="Times New Roman" w:hAnsi="Times New Roman" w:cs="Times New Roman"/>
        </w:rPr>
      </w:pPr>
    </w:p>
    <w:p w14:paraId="0CBF67E9" w14:textId="77777777" w:rsidR="00953B2E" w:rsidRPr="00BD232C" w:rsidRDefault="005F0C19">
      <w:pPr>
        <w:pStyle w:val="a3"/>
      </w:pPr>
      <w:r w:rsidRPr="00C35766">
        <w:rPr>
          <w:rFonts w:eastAsia="Times New Roman"/>
          <w:lang w:val="it-IT"/>
        </w:rPr>
        <w:t>Yuflyma è indicato per il trattamento della psoriasi cronica a placche di grado da moderato a severo, in pazienti adulti candidati alla terapia sistemica.</w:t>
      </w:r>
    </w:p>
    <w:p w14:paraId="2602114A" w14:textId="77777777" w:rsidR="00953B2E" w:rsidRPr="00BD232C" w:rsidRDefault="00953B2E">
      <w:pPr>
        <w:spacing w:line="240" w:lineRule="exact"/>
        <w:rPr>
          <w:rFonts w:ascii="Times New Roman" w:hAnsi="Times New Roman" w:cs="Times New Roman"/>
        </w:rPr>
      </w:pPr>
    </w:p>
    <w:p w14:paraId="385E0DD6" w14:textId="77777777" w:rsidR="00953B2E" w:rsidRPr="00BD232C" w:rsidRDefault="005F0C19">
      <w:pPr>
        <w:pStyle w:val="a3"/>
        <w:rPr>
          <w:u w:val="single"/>
        </w:rPr>
      </w:pPr>
      <w:r w:rsidRPr="00C35766">
        <w:rPr>
          <w:rFonts w:eastAsia="Times New Roman"/>
          <w:u w:val="single" w:color="000000"/>
          <w:lang w:val="it-IT"/>
        </w:rPr>
        <w:t>Psoriasi a placche pediatrica</w:t>
      </w:r>
    </w:p>
    <w:p w14:paraId="0B45AF4D" w14:textId="77777777" w:rsidR="00953B2E" w:rsidRPr="00BD232C" w:rsidRDefault="00953B2E">
      <w:pPr>
        <w:spacing w:line="180" w:lineRule="exact"/>
        <w:rPr>
          <w:rFonts w:ascii="Times New Roman" w:hAnsi="Times New Roman" w:cs="Times New Roman"/>
        </w:rPr>
      </w:pPr>
    </w:p>
    <w:p w14:paraId="0B62C750" w14:textId="1FFF05ED" w:rsidR="00953B2E" w:rsidRPr="00BD232C" w:rsidRDefault="005F0C19">
      <w:pPr>
        <w:pStyle w:val="a3"/>
      </w:pPr>
      <w:r w:rsidRPr="00C35766">
        <w:rPr>
          <w:rFonts w:eastAsia="Times New Roman"/>
          <w:lang w:val="it-IT"/>
        </w:rPr>
        <w:t xml:space="preserve">Yuflyma è indicato per il trattamento della psoriasi cronica a placche </w:t>
      </w:r>
      <w:r w:rsidR="00A96C58" w:rsidRPr="00C35766">
        <w:rPr>
          <w:rFonts w:eastAsia="Times New Roman"/>
          <w:lang w:val="it-IT"/>
        </w:rPr>
        <w:t xml:space="preserve">severa </w:t>
      </w:r>
      <w:r w:rsidRPr="00C35766">
        <w:rPr>
          <w:rFonts w:eastAsia="Times New Roman"/>
          <w:lang w:val="it-IT"/>
        </w:rPr>
        <w:t>in bambini e adolescenti dai 4 anni di età che abbiano avuto una risposta inadeguata, o siano candidati inappropriati alla terapia topica e alle fototerapie.</w:t>
      </w:r>
    </w:p>
    <w:p w14:paraId="6784ED3A" w14:textId="77777777" w:rsidR="00953B2E" w:rsidRPr="00BD232C" w:rsidRDefault="00953B2E">
      <w:pPr>
        <w:spacing w:line="240" w:lineRule="exact"/>
        <w:rPr>
          <w:rFonts w:ascii="Times New Roman" w:hAnsi="Times New Roman" w:cs="Times New Roman"/>
        </w:rPr>
      </w:pPr>
    </w:p>
    <w:p w14:paraId="718DA781" w14:textId="77777777" w:rsidR="00953B2E" w:rsidRPr="00BD232C" w:rsidRDefault="005F0C19">
      <w:pPr>
        <w:pStyle w:val="a3"/>
        <w:keepNext/>
        <w:rPr>
          <w:u w:val="single"/>
        </w:rPr>
      </w:pPr>
      <w:r w:rsidRPr="00C35766">
        <w:rPr>
          <w:rFonts w:eastAsia="Times New Roman"/>
          <w:u w:val="single" w:color="000000"/>
          <w:lang w:val="it-IT"/>
        </w:rPr>
        <w:lastRenderedPageBreak/>
        <w:t>Idrosadenite Suppurativa (HS)</w:t>
      </w:r>
    </w:p>
    <w:p w14:paraId="625FED1B" w14:textId="77777777" w:rsidR="00953B2E" w:rsidRPr="00BD232C" w:rsidRDefault="00953B2E">
      <w:pPr>
        <w:keepNext/>
        <w:spacing w:line="180" w:lineRule="exact"/>
        <w:rPr>
          <w:rFonts w:ascii="Times New Roman" w:hAnsi="Times New Roman" w:cs="Times New Roman"/>
        </w:rPr>
      </w:pPr>
    </w:p>
    <w:p w14:paraId="15181EB8" w14:textId="77777777" w:rsidR="00953B2E" w:rsidRPr="00BD232C" w:rsidRDefault="005F0C19">
      <w:pPr>
        <w:pStyle w:val="a3"/>
      </w:pPr>
      <w:r w:rsidRPr="00C35766">
        <w:rPr>
          <w:rFonts w:eastAsia="Times New Roman"/>
          <w:lang w:val="it-IT"/>
        </w:rPr>
        <w:t>Yuflyma è indicato per il trattamento dell’Idrosadenite Suppurativa (acne inversa) attiva di grado da moderato a severo in adulti e adolescenti dai 12 anni di età con una risposta inadeguata alla terapia sistemica convenzionale per l’HS (vedere paragrafi 5.1 e 5.2).</w:t>
      </w:r>
    </w:p>
    <w:p w14:paraId="595F40A0" w14:textId="77777777" w:rsidR="00953B2E" w:rsidRPr="00BD232C" w:rsidRDefault="00953B2E">
      <w:pPr>
        <w:pStyle w:val="a3"/>
        <w:rPr>
          <w:u w:color="000000"/>
        </w:rPr>
      </w:pPr>
    </w:p>
    <w:p w14:paraId="363F146A" w14:textId="77777777" w:rsidR="00953B2E" w:rsidRPr="00BD232C" w:rsidRDefault="005F0C19">
      <w:pPr>
        <w:pStyle w:val="a3"/>
        <w:rPr>
          <w:u w:val="single"/>
        </w:rPr>
      </w:pPr>
      <w:r w:rsidRPr="00C35766">
        <w:rPr>
          <w:rFonts w:eastAsia="Times New Roman"/>
          <w:u w:val="single" w:color="000000"/>
          <w:lang w:val="it-IT"/>
        </w:rPr>
        <w:t>Malattia di Crohn</w:t>
      </w:r>
    </w:p>
    <w:p w14:paraId="2CFEFBA1" w14:textId="77777777" w:rsidR="00953B2E" w:rsidRPr="00BD232C" w:rsidRDefault="00953B2E">
      <w:pPr>
        <w:spacing w:line="180" w:lineRule="exact"/>
        <w:rPr>
          <w:rFonts w:ascii="Times New Roman" w:hAnsi="Times New Roman" w:cs="Times New Roman"/>
        </w:rPr>
      </w:pPr>
    </w:p>
    <w:p w14:paraId="4D081027" w14:textId="77777777" w:rsidR="00953B2E" w:rsidRPr="00BD232C" w:rsidRDefault="005F0C19">
      <w:pPr>
        <w:pStyle w:val="a3"/>
      </w:pPr>
      <w:r w:rsidRPr="00C35766">
        <w:rPr>
          <w:rFonts w:eastAsia="Times New Roman"/>
          <w:lang w:val="it-IT"/>
        </w:rPr>
        <w:t>Yuflyma è indicato nel trattamento della malattia di Crohn attiva di grado da moderato a severo in pazienti adulti che non hanno risposto ad un ciclo terapeutico completo ed adeguato a base di corticosteroidi e/o di un immunosoppressore, o nei pazienti intolleranti a tali terapie o che presentino controindicazioni mediche ad esse.</w:t>
      </w:r>
    </w:p>
    <w:p w14:paraId="496078A4" w14:textId="77777777" w:rsidR="00953B2E" w:rsidRPr="00BD232C" w:rsidRDefault="00953B2E">
      <w:pPr>
        <w:spacing w:line="240" w:lineRule="exact"/>
        <w:rPr>
          <w:rFonts w:ascii="Times New Roman" w:hAnsi="Times New Roman" w:cs="Times New Roman"/>
        </w:rPr>
      </w:pPr>
    </w:p>
    <w:p w14:paraId="15010891" w14:textId="77777777" w:rsidR="00953B2E" w:rsidRPr="00BD232C" w:rsidRDefault="005F0C19">
      <w:pPr>
        <w:pStyle w:val="a3"/>
        <w:rPr>
          <w:u w:val="single"/>
        </w:rPr>
      </w:pPr>
      <w:r w:rsidRPr="00C35766">
        <w:rPr>
          <w:rFonts w:eastAsia="Times New Roman"/>
          <w:u w:val="single" w:color="000000"/>
          <w:lang w:val="it-IT"/>
        </w:rPr>
        <w:t>Malattia di Crohn in pazienti pediatrici</w:t>
      </w:r>
    </w:p>
    <w:p w14:paraId="63B2661C" w14:textId="77777777" w:rsidR="00953B2E" w:rsidRPr="00BD232C" w:rsidRDefault="00953B2E">
      <w:pPr>
        <w:spacing w:line="170" w:lineRule="exact"/>
        <w:rPr>
          <w:rFonts w:ascii="Times New Roman" w:hAnsi="Times New Roman" w:cs="Times New Roman"/>
        </w:rPr>
      </w:pPr>
    </w:p>
    <w:p w14:paraId="4E042C4B" w14:textId="32FCBCC3" w:rsidR="00953B2E" w:rsidRPr="00BD232C" w:rsidRDefault="005F0C19">
      <w:pPr>
        <w:pStyle w:val="a3"/>
      </w:pPr>
      <w:r w:rsidRPr="00C35766">
        <w:rPr>
          <w:rFonts w:eastAsia="Times New Roman"/>
          <w:lang w:val="it-IT"/>
        </w:rPr>
        <w:t xml:space="preserve">Yuflyma è indicato nel trattamento della malattia di Crohn attiva di grado da moderato a severo nei pazienti pediatrici (dai 6 anni di età) che hanno avuto una risposta inadeguata alla terapia convenzionale, inclusa la terapia nutrizionale primaria e a una terapia a base di un corticosteroide e/o </w:t>
      </w:r>
      <w:r w:rsidR="00A96C58" w:rsidRPr="00C35766">
        <w:rPr>
          <w:rFonts w:eastAsia="Times New Roman"/>
          <w:lang w:val="it-IT"/>
        </w:rPr>
        <w:t xml:space="preserve">di </w:t>
      </w:r>
      <w:r w:rsidRPr="00C35766">
        <w:rPr>
          <w:rFonts w:eastAsia="Times New Roman"/>
          <w:lang w:val="it-IT"/>
        </w:rPr>
        <w:t>un immunomodulatore, o che sono intolleranti o hanno controindicazioni a tali terapie.</w:t>
      </w:r>
    </w:p>
    <w:p w14:paraId="11241736" w14:textId="77777777" w:rsidR="00953B2E" w:rsidRPr="00BD232C" w:rsidRDefault="00953B2E">
      <w:pPr>
        <w:spacing w:line="240" w:lineRule="exact"/>
        <w:rPr>
          <w:rFonts w:ascii="Times New Roman" w:hAnsi="Times New Roman" w:cs="Times New Roman"/>
        </w:rPr>
      </w:pPr>
    </w:p>
    <w:p w14:paraId="309B1D8D" w14:textId="2FCDABAB" w:rsidR="00953B2E" w:rsidRPr="00BD232C" w:rsidRDefault="005F0C19">
      <w:pPr>
        <w:pStyle w:val="a3"/>
        <w:rPr>
          <w:u w:val="single"/>
        </w:rPr>
      </w:pPr>
      <w:r w:rsidRPr="00C35766">
        <w:rPr>
          <w:rFonts w:eastAsia="Times New Roman"/>
          <w:u w:val="single" w:color="000000"/>
          <w:lang w:val="it-IT"/>
        </w:rPr>
        <w:t>Colite ulcerosa</w:t>
      </w:r>
    </w:p>
    <w:p w14:paraId="49C98722" w14:textId="77777777" w:rsidR="00953B2E" w:rsidRPr="00BD232C" w:rsidRDefault="00953B2E">
      <w:pPr>
        <w:spacing w:line="180" w:lineRule="exact"/>
        <w:rPr>
          <w:rFonts w:ascii="Times New Roman" w:hAnsi="Times New Roman" w:cs="Times New Roman"/>
        </w:rPr>
      </w:pPr>
    </w:p>
    <w:p w14:paraId="5352062E" w14:textId="77777777" w:rsidR="00953B2E" w:rsidRPr="00BD232C" w:rsidRDefault="005F0C19">
      <w:pPr>
        <w:pStyle w:val="a3"/>
      </w:pPr>
      <w:r w:rsidRPr="00C35766">
        <w:rPr>
          <w:rFonts w:eastAsia="Times New Roman"/>
          <w:lang w:val="it-IT"/>
        </w:rPr>
        <w:t>Yuflyma è indicato nel trattamento della colite ulcerosa attiva di grado da moderato a severo in pazienti adulti che hanno manifestato una risposta inadeguata alla terapia convenzionale inclusi i corticosteroidi e la 6-mercaptopurina (6-MP) o l’azatioprina (AZA) o che sono intolleranti o presentano controindicazioni a tali terapie.</w:t>
      </w:r>
    </w:p>
    <w:p w14:paraId="0CC402F5" w14:textId="236D920A" w:rsidR="00953B2E" w:rsidRPr="00BD232C" w:rsidRDefault="00953B2E">
      <w:pPr>
        <w:spacing w:line="240" w:lineRule="exact"/>
        <w:rPr>
          <w:rFonts w:ascii="Times New Roman" w:hAnsi="Times New Roman" w:cs="Times New Roman"/>
        </w:rPr>
      </w:pPr>
    </w:p>
    <w:p w14:paraId="74F20D92" w14:textId="77777777" w:rsidR="003456B7" w:rsidRPr="004F0B2E" w:rsidRDefault="003456B7" w:rsidP="003456B7">
      <w:pPr>
        <w:rPr>
          <w:rFonts w:ascii="Times New Roman" w:hAnsi="Times New Roman" w:cs="Times New Roman"/>
          <w:u w:val="single"/>
          <w:lang w:val="it-IT"/>
        </w:rPr>
      </w:pPr>
      <w:r w:rsidRPr="004F0B2E">
        <w:rPr>
          <w:rFonts w:ascii="Times New Roman" w:hAnsi="Times New Roman" w:cs="Times New Roman"/>
          <w:u w:val="single"/>
          <w:lang w:val="it-IT"/>
        </w:rPr>
        <w:t>Colite ulcerosa pediatrica</w:t>
      </w:r>
    </w:p>
    <w:p w14:paraId="04FF95AD" w14:textId="77777777" w:rsidR="003456B7" w:rsidRPr="004F0B2E" w:rsidRDefault="003456B7" w:rsidP="003456B7">
      <w:pPr>
        <w:rPr>
          <w:rFonts w:ascii="Times New Roman" w:hAnsi="Times New Roman" w:cs="Times New Roman"/>
          <w:lang w:val="it-IT"/>
        </w:rPr>
      </w:pPr>
    </w:p>
    <w:p w14:paraId="5C1DB63C" w14:textId="05C01493" w:rsidR="003456B7" w:rsidRPr="004F0B2E" w:rsidRDefault="00C07877" w:rsidP="003456B7">
      <w:pPr>
        <w:rPr>
          <w:rFonts w:ascii="Times New Roman" w:hAnsi="Times New Roman" w:cs="Times New Roman"/>
          <w:lang w:val="it-IT"/>
        </w:rPr>
      </w:pPr>
      <w:r w:rsidRPr="004F0B2E">
        <w:rPr>
          <w:rFonts w:ascii="Times New Roman" w:hAnsi="Times New Roman" w:cs="Times New Roman"/>
          <w:lang w:val="it-IT"/>
        </w:rPr>
        <w:t>Yuflyma</w:t>
      </w:r>
      <w:r w:rsidR="003456B7" w:rsidRPr="004F0B2E">
        <w:rPr>
          <w:rFonts w:ascii="Times New Roman" w:hAnsi="Times New Roman" w:cs="Times New Roman"/>
          <w:lang w:val="it-IT"/>
        </w:rPr>
        <w:t xml:space="preserve"> è indicato per il trattamento della colite ulcerosa attiva di grado da moderato a severo in pazienti pediatrici (dai 6 anni di età) che hanno avuto una risposta inadeguata alla terapia convenzionale, inclusi corticosteroidi e/o 6-mercaptopurina (6-MP) o azatioprina (AZA), o che sono intolleranti o presentano controindicazioni per tali terapie.</w:t>
      </w:r>
    </w:p>
    <w:p w14:paraId="3D883CF6" w14:textId="77777777" w:rsidR="003456B7" w:rsidRPr="00BD232C" w:rsidRDefault="003456B7">
      <w:pPr>
        <w:spacing w:line="240" w:lineRule="exact"/>
        <w:rPr>
          <w:rFonts w:ascii="Times New Roman" w:hAnsi="Times New Roman" w:cs="Times New Roman"/>
        </w:rPr>
      </w:pPr>
    </w:p>
    <w:p w14:paraId="56B2283A" w14:textId="77777777" w:rsidR="00953B2E" w:rsidRPr="00BD232C" w:rsidRDefault="005F0C19">
      <w:pPr>
        <w:pStyle w:val="a3"/>
        <w:rPr>
          <w:u w:val="single"/>
        </w:rPr>
      </w:pPr>
      <w:r w:rsidRPr="00C35766">
        <w:rPr>
          <w:rFonts w:eastAsia="Times New Roman"/>
          <w:u w:val="single" w:color="000000"/>
          <w:lang w:val="it-IT"/>
        </w:rPr>
        <w:t>Uveite</w:t>
      </w:r>
    </w:p>
    <w:p w14:paraId="0BBE0DE5" w14:textId="77777777" w:rsidR="00953B2E" w:rsidRPr="00BD232C" w:rsidRDefault="00953B2E">
      <w:pPr>
        <w:spacing w:line="180" w:lineRule="exact"/>
        <w:rPr>
          <w:rFonts w:ascii="Times New Roman" w:hAnsi="Times New Roman" w:cs="Times New Roman"/>
        </w:rPr>
      </w:pPr>
    </w:p>
    <w:p w14:paraId="1527AEFC" w14:textId="77777777" w:rsidR="00953B2E" w:rsidRPr="00BD232C" w:rsidRDefault="005F0C19">
      <w:pPr>
        <w:pStyle w:val="a3"/>
      </w:pPr>
      <w:r w:rsidRPr="00C35766">
        <w:rPr>
          <w:rFonts w:eastAsia="Times New Roman"/>
          <w:lang w:val="it-IT"/>
        </w:rPr>
        <w:t>Yuflyma è indicato per il trattamento dell’uveite non-infettiva intermedia, posteriore e panuveite in pazienti adulti che hanno avuto una risposta inadeguata ai corticosteroidi, in pazienti che necessitano di farmaci risparmiatori di corticosteroidi o nei quali il trattamento con corticosteroidi è inappropriato.</w:t>
      </w:r>
    </w:p>
    <w:p w14:paraId="2E70B424" w14:textId="77777777" w:rsidR="00953B2E" w:rsidRPr="00BD232C" w:rsidRDefault="00953B2E">
      <w:pPr>
        <w:spacing w:line="240" w:lineRule="exact"/>
        <w:rPr>
          <w:rFonts w:ascii="Times New Roman" w:hAnsi="Times New Roman" w:cs="Times New Roman"/>
        </w:rPr>
      </w:pPr>
    </w:p>
    <w:p w14:paraId="34BBA491" w14:textId="77777777" w:rsidR="00953B2E" w:rsidRPr="00BD232C" w:rsidRDefault="005F0C19">
      <w:pPr>
        <w:pStyle w:val="a3"/>
        <w:rPr>
          <w:u w:val="single"/>
        </w:rPr>
      </w:pPr>
      <w:r w:rsidRPr="00C35766">
        <w:rPr>
          <w:rFonts w:eastAsia="Times New Roman"/>
          <w:u w:val="single" w:color="000000"/>
          <w:lang w:val="it-IT"/>
        </w:rPr>
        <w:t>Uveite pediatrica</w:t>
      </w:r>
    </w:p>
    <w:p w14:paraId="1DA52033" w14:textId="77777777" w:rsidR="00953B2E" w:rsidRPr="00BD232C" w:rsidRDefault="00953B2E">
      <w:pPr>
        <w:spacing w:line="180" w:lineRule="exact"/>
        <w:rPr>
          <w:rFonts w:ascii="Times New Roman" w:hAnsi="Times New Roman" w:cs="Times New Roman"/>
        </w:rPr>
      </w:pPr>
    </w:p>
    <w:p w14:paraId="62D10FFA" w14:textId="77777777" w:rsidR="00953B2E" w:rsidRPr="00BD232C" w:rsidRDefault="005F0C19">
      <w:pPr>
        <w:pStyle w:val="a3"/>
      </w:pPr>
      <w:r w:rsidRPr="00C35766">
        <w:rPr>
          <w:rFonts w:eastAsia="Times New Roman"/>
          <w:lang w:val="it-IT"/>
        </w:rPr>
        <w:t>Yuflyma è indicato per il trattamento dell’uveite anteriore pediatrica cronica non infettiva nei pazienti dai 2 anni di età che hanno avuto una risposta inadeguata o sono intolleranti alla terapia convenzionale o per i quali la terapia convenzionale non è appropriata.</w:t>
      </w:r>
    </w:p>
    <w:p w14:paraId="095EE6A8" w14:textId="77777777" w:rsidR="00953B2E" w:rsidRPr="00BD232C" w:rsidRDefault="00953B2E">
      <w:pPr>
        <w:spacing w:before="15" w:line="240" w:lineRule="exact"/>
        <w:rPr>
          <w:rFonts w:ascii="Times New Roman" w:hAnsi="Times New Roman" w:cs="Times New Roman"/>
        </w:rPr>
      </w:pPr>
    </w:p>
    <w:p w14:paraId="18C35FAD"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Posologia e modo di somministrazione</w:t>
      </w:r>
    </w:p>
    <w:p w14:paraId="1A3A1C82" w14:textId="77777777" w:rsidR="00953B2E" w:rsidRPr="00C35766" w:rsidRDefault="00953B2E">
      <w:pPr>
        <w:spacing w:before="9" w:line="240" w:lineRule="exact"/>
        <w:rPr>
          <w:rFonts w:ascii="Times New Roman" w:hAnsi="Times New Roman" w:cs="Times New Roman"/>
        </w:rPr>
      </w:pPr>
    </w:p>
    <w:p w14:paraId="42646498" w14:textId="77777777" w:rsidR="00953B2E" w:rsidRPr="00C35766" w:rsidRDefault="005F0C19">
      <w:pPr>
        <w:pStyle w:val="a3"/>
        <w:rPr>
          <w:lang w:val="it-IT"/>
        </w:rPr>
      </w:pPr>
      <w:r w:rsidRPr="00C35766">
        <w:rPr>
          <w:rFonts w:eastAsia="Times New Roman"/>
          <w:lang w:val="it-IT"/>
        </w:rPr>
        <w:t>La terapia con Yuflyma deve essere iniziata e monitorata da medici specialisti con esperienza nella diagnosi e nel trattamento delle patologie per cui Yuflyma è indicato. Gli oculisti sono invitati a consultare uno specialista appropriato prima di iniziare il trattamento con Yuflyma (vedere paragrafo 4.4). Ai pazienti trattati con Yuflyma deve essere consegnata una Scheda Promemoria per il Paziente.</w:t>
      </w:r>
    </w:p>
    <w:p w14:paraId="2073EBFE" w14:textId="77777777" w:rsidR="00953B2E" w:rsidRPr="00C35766" w:rsidRDefault="00953B2E">
      <w:pPr>
        <w:spacing w:line="240" w:lineRule="exact"/>
        <w:rPr>
          <w:rFonts w:ascii="Times New Roman" w:hAnsi="Times New Roman" w:cs="Times New Roman"/>
          <w:lang w:val="it-IT"/>
        </w:rPr>
      </w:pPr>
    </w:p>
    <w:p w14:paraId="1A3141C6" w14:textId="77777777" w:rsidR="00953B2E" w:rsidRPr="00C35766" w:rsidRDefault="005F0C19">
      <w:pPr>
        <w:pStyle w:val="a3"/>
        <w:rPr>
          <w:lang w:val="it-IT"/>
        </w:rPr>
      </w:pPr>
      <w:r w:rsidRPr="00C35766">
        <w:rPr>
          <w:rFonts w:eastAsia="Times New Roman"/>
          <w:lang w:val="it-IT"/>
        </w:rPr>
        <w:t>Dopo adeguate istruzioni sulla tecnica di iniezione di Yuflyma, i pazienti possono eseguire da soli l’iniezione, se il medico lo ritiene opportuno, e con controlli medici periodici, secondo necessità.</w:t>
      </w:r>
    </w:p>
    <w:p w14:paraId="6EB4FBE1" w14:textId="77777777" w:rsidR="00953B2E" w:rsidRPr="00C35766" w:rsidRDefault="00953B2E">
      <w:pPr>
        <w:spacing w:line="240" w:lineRule="exact"/>
        <w:rPr>
          <w:rFonts w:ascii="Times New Roman" w:hAnsi="Times New Roman" w:cs="Times New Roman"/>
          <w:lang w:val="it-IT"/>
        </w:rPr>
      </w:pPr>
    </w:p>
    <w:p w14:paraId="302FD45C" w14:textId="77777777" w:rsidR="00953B2E" w:rsidRPr="00C35766" w:rsidRDefault="005F0C19">
      <w:pPr>
        <w:pStyle w:val="a3"/>
        <w:rPr>
          <w:lang w:val="pt-BR"/>
        </w:rPr>
      </w:pPr>
      <w:r w:rsidRPr="00C35766">
        <w:rPr>
          <w:rFonts w:eastAsia="Times New Roman"/>
          <w:lang w:val="it-IT"/>
        </w:rPr>
        <w:lastRenderedPageBreak/>
        <w:t>Durante il trattamento con Yuflyma, le altre terapie concomitanti (per esempio i corticosteroidi e/o gli agenti immunomodulatori) devono essere ottimizzate.</w:t>
      </w:r>
    </w:p>
    <w:p w14:paraId="35F29D5F" w14:textId="77777777" w:rsidR="00953B2E" w:rsidRPr="00C35766" w:rsidRDefault="00953B2E">
      <w:pPr>
        <w:pStyle w:val="a3"/>
        <w:rPr>
          <w:lang w:val="pt-BR"/>
        </w:rPr>
      </w:pPr>
    </w:p>
    <w:p w14:paraId="378C1815" w14:textId="3FED8585" w:rsidR="00953B2E" w:rsidRPr="00C35766" w:rsidRDefault="005F0C19">
      <w:pPr>
        <w:pStyle w:val="a3"/>
        <w:rPr>
          <w:lang w:val="it-IT"/>
        </w:rPr>
      </w:pPr>
      <w:r w:rsidRPr="00C35766">
        <w:rPr>
          <w:rFonts w:eastAsia="Times New Roman"/>
          <w:lang w:val="it-IT"/>
        </w:rPr>
        <w:t xml:space="preserve">Yuflyma è disponibile </w:t>
      </w:r>
      <w:r w:rsidR="00B25234" w:rsidRPr="00C35766">
        <w:rPr>
          <w:rFonts w:eastAsia="Times New Roman"/>
          <w:lang w:val="it-IT"/>
        </w:rPr>
        <w:t>in presentazioni</w:t>
      </w:r>
      <w:r w:rsidR="00B25234" w:rsidRPr="00C35766" w:rsidDel="00B25234">
        <w:rPr>
          <w:rFonts w:eastAsia="Times New Roman"/>
          <w:lang w:val="it-IT"/>
        </w:rPr>
        <w:t xml:space="preserve"> </w:t>
      </w:r>
      <w:r w:rsidRPr="00C35766">
        <w:rPr>
          <w:rFonts w:eastAsia="Times New Roman"/>
          <w:lang w:val="it-IT"/>
        </w:rPr>
        <w:t xml:space="preserve">da 40 mg </w:t>
      </w:r>
      <w:r w:rsidR="00B25234" w:rsidRPr="00C35766">
        <w:rPr>
          <w:rFonts w:eastAsia="Times New Roman"/>
          <w:lang w:val="it-IT"/>
        </w:rPr>
        <w:t>o presentazioni da 80 mg</w:t>
      </w:r>
      <w:r w:rsidRPr="00C35766">
        <w:rPr>
          <w:rFonts w:eastAsia="Times New Roman"/>
          <w:lang w:val="it-IT"/>
        </w:rPr>
        <w:t>. Pertanto non è possibile somministrare Yuflyma ai pazienti che richiedono meno di una dose intera da 40 mg. Se è richiesto un dosaggio alternativo, devono essere usati altri prodotti a base di adalimumab che offrano tale opzione.</w:t>
      </w:r>
    </w:p>
    <w:p w14:paraId="1484BDEA" w14:textId="77777777" w:rsidR="00953B2E" w:rsidRPr="00C35766" w:rsidRDefault="00953B2E">
      <w:pPr>
        <w:spacing w:line="240" w:lineRule="exact"/>
        <w:rPr>
          <w:rFonts w:ascii="Times New Roman" w:hAnsi="Times New Roman" w:cs="Times New Roman"/>
          <w:lang w:val="it-IT"/>
        </w:rPr>
      </w:pPr>
    </w:p>
    <w:p w14:paraId="43767D25" w14:textId="77777777" w:rsidR="00953B2E" w:rsidRPr="00C35766" w:rsidRDefault="005F0C19">
      <w:pPr>
        <w:pStyle w:val="a3"/>
        <w:rPr>
          <w:u w:val="single"/>
          <w:lang w:val="it-IT"/>
        </w:rPr>
      </w:pPr>
      <w:r w:rsidRPr="00C35766">
        <w:rPr>
          <w:rFonts w:eastAsia="Times New Roman"/>
          <w:u w:val="single" w:color="000000"/>
          <w:lang w:val="it-IT"/>
        </w:rPr>
        <w:t>Posologia</w:t>
      </w:r>
    </w:p>
    <w:p w14:paraId="33ABC4B1" w14:textId="77777777" w:rsidR="00953B2E" w:rsidRPr="00C35766" w:rsidRDefault="00953B2E">
      <w:pPr>
        <w:spacing w:line="170" w:lineRule="exact"/>
        <w:rPr>
          <w:rFonts w:ascii="Times New Roman" w:hAnsi="Times New Roman" w:cs="Times New Roman"/>
          <w:lang w:val="it-IT"/>
        </w:rPr>
      </w:pPr>
    </w:p>
    <w:p w14:paraId="5FA58261" w14:textId="77777777" w:rsidR="00953B2E" w:rsidRPr="00C35766" w:rsidRDefault="005F0C19">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Artrite reumatoide</w:t>
      </w:r>
    </w:p>
    <w:p w14:paraId="6B87B966" w14:textId="77777777" w:rsidR="00953B2E" w:rsidRPr="00C35766" w:rsidRDefault="00953B2E">
      <w:pPr>
        <w:spacing w:line="240" w:lineRule="exact"/>
        <w:rPr>
          <w:rFonts w:ascii="Times New Roman" w:hAnsi="Times New Roman" w:cs="Times New Roman"/>
          <w:lang w:val="it-IT"/>
        </w:rPr>
      </w:pPr>
    </w:p>
    <w:p w14:paraId="50E0690D" w14:textId="77777777" w:rsidR="00953B2E" w:rsidRPr="00C35766" w:rsidRDefault="005F0C19">
      <w:pPr>
        <w:pStyle w:val="a3"/>
        <w:rPr>
          <w:lang w:val="pt-BR"/>
        </w:rPr>
      </w:pPr>
      <w:r w:rsidRPr="00C35766">
        <w:rPr>
          <w:rFonts w:eastAsia="Times New Roman"/>
          <w:lang w:val="it-IT"/>
        </w:rPr>
        <w:t>La dose di Yuflyma indicata per i pazienti adulti con artrite reumatoide è di 40 mg di adalimumab in un’unica dose ogni due settimane tramite iniezione per via sottocutanea. Il metotressato deve essere continuato durante il trattamento con Yuflyma.</w:t>
      </w:r>
    </w:p>
    <w:p w14:paraId="4C2B003F" w14:textId="77777777" w:rsidR="00953B2E" w:rsidRPr="00C35766" w:rsidRDefault="00953B2E">
      <w:pPr>
        <w:pStyle w:val="a3"/>
        <w:rPr>
          <w:lang w:val="pt-BR"/>
        </w:rPr>
      </w:pPr>
    </w:p>
    <w:p w14:paraId="28B559A3" w14:textId="45A69721" w:rsidR="00953B2E" w:rsidRPr="00C35766" w:rsidRDefault="005F0C19">
      <w:pPr>
        <w:pStyle w:val="a3"/>
        <w:rPr>
          <w:lang w:val="it-IT"/>
        </w:rPr>
      </w:pPr>
      <w:r w:rsidRPr="00C35766">
        <w:rPr>
          <w:rFonts w:eastAsia="Times New Roman"/>
          <w:lang w:val="it-IT"/>
        </w:rPr>
        <w:t xml:space="preserve">Glucocorticoidi, salicilati, farmaci anti-infiammatori non-steroidei </w:t>
      </w:r>
      <w:r w:rsidR="00E415A0">
        <w:rPr>
          <w:rFonts w:eastAsia="Times New Roman"/>
          <w:lang w:val="it-IT"/>
        </w:rPr>
        <w:t xml:space="preserve">(FANS) </w:t>
      </w:r>
      <w:r w:rsidRPr="00C35766">
        <w:rPr>
          <w:rFonts w:eastAsia="Times New Roman"/>
          <w:lang w:val="it-IT"/>
        </w:rPr>
        <w:t>o analgesici possono essere continuati in corso di terapia con Yuflyma. Per quanto riguarda l</w:t>
      </w:r>
      <w:r w:rsidR="00D97008" w:rsidRPr="00C35766">
        <w:rPr>
          <w:rFonts w:eastAsia="Times New Roman"/>
          <w:lang w:val="it-IT"/>
        </w:rPr>
        <w:t>’associazione</w:t>
      </w:r>
      <w:r w:rsidR="00D646B1">
        <w:rPr>
          <w:rFonts w:eastAsia="Times New Roman"/>
          <w:lang w:val="it-IT"/>
        </w:rPr>
        <w:t xml:space="preserve"> </w:t>
      </w:r>
      <w:r w:rsidRPr="00C35766">
        <w:rPr>
          <w:rFonts w:eastAsia="Times New Roman"/>
          <w:lang w:val="it-IT"/>
        </w:rPr>
        <w:t>con altri DMARD diversi dal metotressato vedere paragrafi 4.4 e 5.1.</w:t>
      </w:r>
    </w:p>
    <w:p w14:paraId="503C9981" w14:textId="77777777" w:rsidR="00953B2E" w:rsidRPr="00C35766" w:rsidRDefault="00953B2E">
      <w:pPr>
        <w:spacing w:line="240" w:lineRule="exact"/>
        <w:rPr>
          <w:rFonts w:ascii="Times New Roman" w:hAnsi="Times New Roman" w:cs="Times New Roman"/>
          <w:lang w:val="it-IT"/>
        </w:rPr>
      </w:pPr>
    </w:p>
    <w:p w14:paraId="3FD9DB28" w14:textId="77777777" w:rsidR="00953B2E" w:rsidRPr="00C35766" w:rsidRDefault="005F0C19">
      <w:pPr>
        <w:pStyle w:val="a3"/>
        <w:rPr>
          <w:lang w:val="it-IT"/>
        </w:rPr>
      </w:pPr>
      <w:r w:rsidRPr="00C35766">
        <w:rPr>
          <w:rFonts w:eastAsia="Times New Roman"/>
          <w:lang w:val="it-IT"/>
        </w:rPr>
        <w:t>Alcuni pazienti che in monoterapia mostrano una riduzione nella risposta a 40 mg di Yuflyma a settimane alterne possono beneficiare di un aumento del dosaggio a 40 mg di adalimumab ogni settimana o 80 mg a settimane alterne.</w:t>
      </w:r>
    </w:p>
    <w:p w14:paraId="23B95996" w14:textId="77777777" w:rsidR="00953B2E" w:rsidRPr="00C35766" w:rsidRDefault="00953B2E">
      <w:pPr>
        <w:spacing w:line="240" w:lineRule="exact"/>
        <w:rPr>
          <w:rFonts w:ascii="Times New Roman" w:hAnsi="Times New Roman" w:cs="Times New Roman"/>
          <w:lang w:val="it-IT"/>
        </w:rPr>
      </w:pPr>
    </w:p>
    <w:p w14:paraId="18AE90FB" w14:textId="77777777" w:rsidR="00953B2E" w:rsidRPr="00C35766" w:rsidRDefault="005F0C19">
      <w:pPr>
        <w:pStyle w:val="a3"/>
        <w:rPr>
          <w:lang w:val="it-IT"/>
        </w:rPr>
      </w:pPr>
      <w:r w:rsidRPr="00C35766">
        <w:rPr>
          <w:rFonts w:eastAsia="Times New Roman"/>
          <w:lang w:val="it-IT"/>
        </w:rPr>
        <w:t>I dati disponibili suggeriscono che la risposta clinica viene di solito ottenuta entro 12 settimane di trattamento. In un paziente che non risponde entro questo periodo di tempo, la continuazione della terapia deve essere riconsiderata.</w:t>
      </w:r>
    </w:p>
    <w:p w14:paraId="7BFCBD94" w14:textId="77777777" w:rsidR="00953B2E" w:rsidRPr="00C35766" w:rsidRDefault="00953B2E">
      <w:pPr>
        <w:pStyle w:val="a3"/>
        <w:rPr>
          <w:lang w:val="it-IT"/>
        </w:rPr>
      </w:pPr>
    </w:p>
    <w:p w14:paraId="29B6B8E8" w14:textId="77777777" w:rsidR="0099795B" w:rsidRPr="00C35766" w:rsidRDefault="0099795B" w:rsidP="0099795B">
      <w:pPr>
        <w:widowControl/>
        <w:jc w:val="both"/>
        <w:rPr>
          <w:rFonts w:ascii="Times New Roman" w:eastAsia="바탕" w:hAnsi="Times New Roman" w:cs="Times New Roman"/>
          <w:i/>
          <w:u w:val="single"/>
          <w:lang w:val="it-IT" w:eastAsia="it-IT"/>
        </w:rPr>
      </w:pPr>
      <w:r w:rsidRPr="00C35766">
        <w:rPr>
          <w:rFonts w:ascii="Times New Roman" w:eastAsia="바탕" w:hAnsi="Times New Roman" w:cs="Times New Roman"/>
          <w:i/>
          <w:u w:val="single"/>
          <w:lang w:val="it-IT" w:eastAsia="it-IT"/>
        </w:rPr>
        <w:t>Sospensione della dose</w:t>
      </w:r>
    </w:p>
    <w:p w14:paraId="230E205D" w14:textId="77777777" w:rsidR="00953B2E" w:rsidRPr="00C35766" w:rsidRDefault="00953B2E">
      <w:pPr>
        <w:spacing w:line="180" w:lineRule="exact"/>
        <w:rPr>
          <w:rFonts w:ascii="Times New Roman" w:hAnsi="Times New Roman" w:cs="Times New Roman"/>
          <w:lang w:val="it-IT"/>
        </w:rPr>
      </w:pPr>
    </w:p>
    <w:p w14:paraId="6FFC552B" w14:textId="77777777" w:rsidR="00953B2E" w:rsidRPr="00C35766" w:rsidRDefault="005F0C19">
      <w:pPr>
        <w:pStyle w:val="a3"/>
        <w:rPr>
          <w:lang w:val="it-IT"/>
        </w:rPr>
      </w:pPr>
      <w:r w:rsidRPr="00C35766">
        <w:rPr>
          <w:rFonts w:eastAsia="Times New Roman"/>
          <w:lang w:val="it-IT"/>
        </w:rPr>
        <w:t>Ci potrebbe essere necessità di interruzione della somministrazione, per esempio prima di un intervento chirurgico o in caso di grave infezione.</w:t>
      </w:r>
    </w:p>
    <w:p w14:paraId="3E5C341A" w14:textId="77777777" w:rsidR="00953B2E" w:rsidRPr="00C35766" w:rsidRDefault="00953B2E">
      <w:pPr>
        <w:spacing w:line="240" w:lineRule="exact"/>
        <w:rPr>
          <w:rFonts w:ascii="Times New Roman" w:hAnsi="Times New Roman" w:cs="Times New Roman"/>
          <w:lang w:val="it-IT"/>
        </w:rPr>
      </w:pPr>
    </w:p>
    <w:p w14:paraId="7247AF6C" w14:textId="77777777" w:rsidR="00953B2E" w:rsidRPr="00C35766" w:rsidRDefault="005F0C19">
      <w:pPr>
        <w:pStyle w:val="a3"/>
        <w:rPr>
          <w:lang w:val="es-ES"/>
        </w:rPr>
      </w:pPr>
      <w:r w:rsidRPr="00C35766">
        <w:rPr>
          <w:rFonts w:eastAsia="Times New Roman"/>
          <w:lang w:val="it-IT"/>
        </w:rPr>
        <w:t>I dati disponibili indicano che la re-introduzione di adalimumab, dopo sospensione di 70 giorni o più, determina una risposta clinica della stessa importanza e con un profilo di sicurezza simile rispetto a prima della sospensione del dosaggio.</w:t>
      </w:r>
    </w:p>
    <w:p w14:paraId="4321A43E" w14:textId="77777777" w:rsidR="00953B2E" w:rsidRPr="00C35766" w:rsidRDefault="00953B2E">
      <w:pPr>
        <w:spacing w:line="240" w:lineRule="exact"/>
        <w:rPr>
          <w:rFonts w:ascii="Times New Roman" w:hAnsi="Times New Roman" w:cs="Times New Roman"/>
          <w:lang w:val="es-ES"/>
        </w:rPr>
      </w:pPr>
    </w:p>
    <w:p w14:paraId="7CA6A879" w14:textId="77777777" w:rsidR="00953B2E" w:rsidRPr="00C35766" w:rsidRDefault="005F0C19">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Spondilite anchilosante, spondiloartrite assiale senza evidenza radiografica di SA e artrite psoriasica</w:t>
      </w:r>
    </w:p>
    <w:p w14:paraId="209A34E0" w14:textId="77777777" w:rsidR="00953B2E" w:rsidRPr="00C35766" w:rsidRDefault="00953B2E">
      <w:pPr>
        <w:spacing w:line="240" w:lineRule="exact"/>
        <w:rPr>
          <w:rFonts w:ascii="Times New Roman" w:hAnsi="Times New Roman" w:cs="Times New Roman"/>
          <w:lang w:val="es-ES"/>
        </w:rPr>
      </w:pPr>
    </w:p>
    <w:p w14:paraId="56EB4639" w14:textId="77777777" w:rsidR="00953B2E" w:rsidRPr="00C35766" w:rsidRDefault="005F0C19">
      <w:pPr>
        <w:pStyle w:val="a3"/>
        <w:rPr>
          <w:lang w:val="es-ES"/>
        </w:rPr>
      </w:pPr>
      <w:r w:rsidRPr="00C35766">
        <w:rPr>
          <w:rFonts w:eastAsia="Times New Roman"/>
          <w:lang w:val="it-IT"/>
        </w:rPr>
        <w:t>La dose raccomandata di Yuflyma per i pazienti affetti da spondilite anchilosante, spondiloartrite assiale senza evidenza radiografica di SA e per i pazienti con artrite psoriasica è di 40 mg di adalimumab somministrati ogni due settimane in iniezione singola per via sottocutanea.</w:t>
      </w:r>
    </w:p>
    <w:p w14:paraId="1AF1D22D" w14:textId="77777777" w:rsidR="00953B2E" w:rsidRPr="00C35766" w:rsidRDefault="00953B2E">
      <w:pPr>
        <w:spacing w:line="240" w:lineRule="exact"/>
        <w:rPr>
          <w:rFonts w:ascii="Times New Roman" w:hAnsi="Times New Roman" w:cs="Times New Roman"/>
          <w:lang w:val="es-ES"/>
        </w:rPr>
      </w:pPr>
    </w:p>
    <w:p w14:paraId="4A18B72D" w14:textId="77777777" w:rsidR="00953B2E" w:rsidRPr="00C35766" w:rsidRDefault="005F0C19">
      <w:pPr>
        <w:pStyle w:val="a3"/>
        <w:rPr>
          <w:lang w:val="es-ES"/>
        </w:rPr>
      </w:pPr>
      <w:r w:rsidRPr="00C35766">
        <w:rPr>
          <w:rFonts w:eastAsia="Times New Roman"/>
          <w:lang w:val="it-IT"/>
        </w:rPr>
        <w:t>I dati disponibili suggeriscono che la risposta clinica viene di solito ottenuta entro 12 settimane di trattamento. In un paziente che non risponde entro questo periodo di tempo, la continuazione della terapia deve essere riconsiderata.</w:t>
      </w:r>
    </w:p>
    <w:p w14:paraId="31382758" w14:textId="77777777" w:rsidR="00953B2E" w:rsidRPr="00C35766" w:rsidRDefault="00953B2E">
      <w:pPr>
        <w:spacing w:line="240" w:lineRule="exact"/>
        <w:rPr>
          <w:rFonts w:ascii="Times New Roman" w:hAnsi="Times New Roman" w:cs="Times New Roman"/>
          <w:lang w:val="es-ES"/>
        </w:rPr>
      </w:pPr>
    </w:p>
    <w:p w14:paraId="524A2752" w14:textId="77777777" w:rsidR="00953B2E" w:rsidRPr="00C35766" w:rsidRDefault="005F0C19">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Psoriasi</w:t>
      </w:r>
    </w:p>
    <w:p w14:paraId="01D35227" w14:textId="77777777" w:rsidR="00953B2E" w:rsidRPr="00C35766" w:rsidRDefault="00953B2E">
      <w:pPr>
        <w:spacing w:line="240" w:lineRule="exact"/>
        <w:rPr>
          <w:rFonts w:ascii="Times New Roman" w:hAnsi="Times New Roman" w:cs="Times New Roman"/>
          <w:lang w:val="es-ES"/>
        </w:rPr>
      </w:pPr>
    </w:p>
    <w:p w14:paraId="23036215" w14:textId="77777777" w:rsidR="00953B2E" w:rsidRPr="00C35766" w:rsidRDefault="005F0C19">
      <w:pPr>
        <w:pStyle w:val="a3"/>
        <w:rPr>
          <w:lang w:val="es-ES"/>
        </w:rPr>
      </w:pPr>
      <w:r w:rsidRPr="00C35766">
        <w:rPr>
          <w:rFonts w:eastAsia="Times New Roman"/>
          <w:lang w:val="it-IT"/>
        </w:rPr>
        <w:t>La dose raccomandata di Yuflyma per i pazienti adulti è costituita da una dose iniziale pari a 80 mg, somministrati per via sottocutanea, seguita da una dose pari a 40 mg, per via sottocutanea, somministrati a settimane alterne, ad iniziare dalla settimana successiva all’assunzione della dose iniziale.</w:t>
      </w:r>
    </w:p>
    <w:p w14:paraId="53D69726" w14:textId="77777777" w:rsidR="00953B2E" w:rsidRPr="00C35766" w:rsidRDefault="00953B2E">
      <w:pPr>
        <w:spacing w:line="240" w:lineRule="exact"/>
        <w:rPr>
          <w:rFonts w:ascii="Times New Roman" w:hAnsi="Times New Roman" w:cs="Times New Roman"/>
          <w:lang w:val="es-ES"/>
        </w:rPr>
      </w:pPr>
    </w:p>
    <w:p w14:paraId="6A715D47" w14:textId="77777777" w:rsidR="00953B2E" w:rsidRPr="00C35766" w:rsidRDefault="005F0C19">
      <w:pPr>
        <w:pStyle w:val="a3"/>
        <w:rPr>
          <w:lang w:val="es-ES"/>
        </w:rPr>
      </w:pPr>
      <w:r w:rsidRPr="00C35766">
        <w:rPr>
          <w:rFonts w:eastAsia="Times New Roman"/>
          <w:lang w:val="it-IT"/>
        </w:rPr>
        <w:t>Sarebbe opportuno valutare attentamente se sia il caso di proseguire la terapia oltre le 16 settimane qualora i pazienti non abbiano sviluppato una risposta soddisfacente entro tale periodo.</w:t>
      </w:r>
    </w:p>
    <w:p w14:paraId="1A1449C8" w14:textId="77777777" w:rsidR="00953B2E" w:rsidRPr="00C35766" w:rsidRDefault="00953B2E">
      <w:pPr>
        <w:spacing w:line="240" w:lineRule="exact"/>
        <w:rPr>
          <w:rFonts w:ascii="Times New Roman" w:hAnsi="Times New Roman" w:cs="Times New Roman"/>
          <w:lang w:val="es-ES"/>
        </w:rPr>
      </w:pPr>
    </w:p>
    <w:p w14:paraId="175F4118" w14:textId="77777777" w:rsidR="00953B2E" w:rsidRPr="00C35766" w:rsidRDefault="005F0C19">
      <w:pPr>
        <w:pStyle w:val="a3"/>
        <w:rPr>
          <w:lang w:val="it-IT"/>
        </w:rPr>
      </w:pPr>
      <w:r w:rsidRPr="00C35766">
        <w:rPr>
          <w:rFonts w:eastAsia="Times New Roman"/>
          <w:lang w:val="it-IT"/>
        </w:rPr>
        <w:lastRenderedPageBreak/>
        <w:t>Dopo 16 settimane, i pazienti con una risposta inadeguata a 40 mg di Yuflyma a settimane alterne possono beneficiare di un incremento del dosaggio a 40 mg ogni settimana o 80 mg a settimane alterne. Devono essere attentamente riconsiderati i benefici e i rischi della terapia settimanale continuativa con 40 mg o 80 mg a settimane alterne in pazienti con una risposta inadeguata dopo l’aumento del dosaggio (vedere paragrafo 5.1). Se si ottiene una risposta adeguata con 40 mg ogni settimana o 80 mg a settimane alterne, il dosaggio può essere successivamente ridotto a 40 mg a settimane alterne.</w:t>
      </w:r>
    </w:p>
    <w:p w14:paraId="3C50FB7A" w14:textId="77777777" w:rsidR="00953B2E" w:rsidRPr="00C35766" w:rsidRDefault="00953B2E">
      <w:pPr>
        <w:pStyle w:val="a3"/>
        <w:rPr>
          <w:lang w:val="it-IT"/>
        </w:rPr>
      </w:pPr>
    </w:p>
    <w:p w14:paraId="09CC5549" w14:textId="77777777" w:rsidR="00953B2E" w:rsidRPr="00C35766" w:rsidRDefault="005F0C19">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Idrosadenite suppurativa</w:t>
      </w:r>
    </w:p>
    <w:p w14:paraId="7EF07C73" w14:textId="77777777" w:rsidR="00953B2E" w:rsidRPr="00C35766" w:rsidRDefault="00953B2E">
      <w:pPr>
        <w:spacing w:line="240" w:lineRule="exact"/>
        <w:rPr>
          <w:rFonts w:ascii="Times New Roman" w:hAnsi="Times New Roman" w:cs="Times New Roman"/>
          <w:lang w:val="it-IT"/>
        </w:rPr>
      </w:pPr>
    </w:p>
    <w:p w14:paraId="6AE34B0D" w14:textId="1B45C61C" w:rsidR="00953B2E" w:rsidRPr="00C35766" w:rsidRDefault="005F0C19">
      <w:pPr>
        <w:pStyle w:val="a3"/>
        <w:rPr>
          <w:lang w:val="it-IT"/>
        </w:rPr>
      </w:pPr>
      <w:r w:rsidRPr="00C35766">
        <w:rPr>
          <w:rFonts w:eastAsia="Times New Roman"/>
          <w:lang w:val="it-IT"/>
        </w:rPr>
        <w:t xml:space="preserve">La dose raccomandata di Yuflyma per i pazienti adulti con idrosadenite suppurativa (HS) è inizialmente di 160 mg al giorno 1 (somministrata in quattro iniezioni da 40 mg in un giorno o in due iniezioni da 40 mg al giorno per due giorni consecutivi), seguita da 80 mg due settimane dopo </w:t>
      </w:r>
      <w:r w:rsidR="00F91711" w:rsidRPr="00C35766">
        <w:rPr>
          <w:rFonts w:eastAsia="Times New Roman"/>
          <w:lang w:val="it-IT"/>
        </w:rPr>
        <w:t>a</w:t>
      </w:r>
      <w:r w:rsidR="009D5226">
        <w:rPr>
          <w:rFonts w:eastAsia="Times New Roman"/>
          <w:lang w:val="it-IT"/>
        </w:rPr>
        <w:t>l</w:t>
      </w:r>
      <w:r w:rsidR="00F91711" w:rsidRPr="00C35766">
        <w:rPr>
          <w:rFonts w:eastAsia="Times New Roman"/>
          <w:lang w:val="it-IT"/>
        </w:rPr>
        <w:t xml:space="preserve"> </w:t>
      </w:r>
      <w:r w:rsidRPr="00C35766">
        <w:rPr>
          <w:rFonts w:eastAsia="Times New Roman"/>
          <w:lang w:val="it-IT"/>
        </w:rPr>
        <w:t>giorno 15</w:t>
      </w:r>
      <w:r w:rsidR="00F91711" w:rsidRPr="00C35766">
        <w:rPr>
          <w:rFonts w:eastAsia="Times New Roman"/>
          <w:lang w:val="it-IT"/>
        </w:rPr>
        <w:t xml:space="preserve"> (</w:t>
      </w:r>
      <w:r w:rsidRPr="00C35766">
        <w:rPr>
          <w:rFonts w:eastAsia="Times New Roman"/>
          <w:lang w:val="it-IT"/>
        </w:rPr>
        <w:t>somministrati in due iniezioni da 40 mg in un giorno</w:t>
      </w:r>
      <w:r w:rsidR="00F91711" w:rsidRPr="00C35766">
        <w:rPr>
          <w:rFonts w:eastAsia="Times New Roman"/>
          <w:lang w:val="it-IT"/>
        </w:rPr>
        <w:t>)</w:t>
      </w:r>
      <w:r w:rsidRPr="00C35766">
        <w:rPr>
          <w:rFonts w:eastAsia="Times New Roman"/>
          <w:lang w:val="it-IT"/>
        </w:rPr>
        <w:t>. Due settimane dopo (giorno 29) continuare con una dose di 40 mg a settimana o 80 mg a settimane alterne (somministrata in due iniezioni da 40 mg in un giorno). Se necessario, è possibile continuare la terapia antibiotica durante il trattamento con Yuflyma. Durante il trattamento con Yuflyma si raccomanda ai pazienti di usare tutti i giorni una soluzione di lavaggio antisettica topica sulle lesioni correlate all’idrosadenite suppurativa (HS).</w:t>
      </w:r>
    </w:p>
    <w:p w14:paraId="2CC3148E" w14:textId="77777777" w:rsidR="00953B2E" w:rsidRPr="00C35766" w:rsidRDefault="00953B2E">
      <w:pPr>
        <w:spacing w:line="240" w:lineRule="exact"/>
        <w:rPr>
          <w:rFonts w:ascii="Times New Roman" w:hAnsi="Times New Roman" w:cs="Times New Roman"/>
          <w:lang w:val="it-IT"/>
        </w:rPr>
      </w:pPr>
    </w:p>
    <w:p w14:paraId="52F8558A" w14:textId="77777777" w:rsidR="00953B2E" w:rsidRPr="00C35766" w:rsidRDefault="005F0C19">
      <w:pPr>
        <w:pStyle w:val="a3"/>
        <w:rPr>
          <w:lang w:val="it-IT"/>
        </w:rPr>
      </w:pPr>
      <w:r w:rsidRPr="00C35766">
        <w:rPr>
          <w:rFonts w:eastAsia="Times New Roman"/>
          <w:lang w:val="it-IT"/>
        </w:rPr>
        <w:t>La prosecuzione della terapia oltre 12 settimane di trattamento deve essere valutata attentamente se i pazienti non sono migliorati in tale periodo.</w:t>
      </w:r>
    </w:p>
    <w:p w14:paraId="1BF673B0" w14:textId="77777777" w:rsidR="00953B2E" w:rsidRPr="00C35766" w:rsidRDefault="00953B2E">
      <w:pPr>
        <w:spacing w:line="240" w:lineRule="exact"/>
        <w:rPr>
          <w:rFonts w:ascii="Times New Roman" w:hAnsi="Times New Roman" w:cs="Times New Roman"/>
          <w:lang w:val="it-IT"/>
        </w:rPr>
      </w:pPr>
    </w:p>
    <w:p w14:paraId="58C0F7A2" w14:textId="77777777" w:rsidR="00953B2E" w:rsidRPr="00C35766" w:rsidRDefault="005F0C19">
      <w:pPr>
        <w:pStyle w:val="a3"/>
        <w:rPr>
          <w:lang w:val="pt-BR"/>
        </w:rPr>
      </w:pPr>
      <w:r w:rsidRPr="00C35766">
        <w:rPr>
          <w:rFonts w:eastAsia="Times New Roman"/>
          <w:lang w:val="it-IT"/>
        </w:rPr>
        <w:t>Laddove fosse necessario interrompere il trattamento, è possibile riprendere la terapia con Yuflyma 40 mg ogni settimana o 80 mg a settimane alterne (vedere paragrafo 5.1).</w:t>
      </w:r>
    </w:p>
    <w:p w14:paraId="7DE8F3BD" w14:textId="77777777" w:rsidR="00953B2E" w:rsidRPr="00C35766" w:rsidRDefault="00953B2E">
      <w:pPr>
        <w:pStyle w:val="a3"/>
        <w:rPr>
          <w:lang w:val="pt-BR"/>
        </w:rPr>
      </w:pPr>
    </w:p>
    <w:p w14:paraId="6CDB9D75" w14:textId="77777777" w:rsidR="00953B2E" w:rsidRPr="00C35766" w:rsidRDefault="005F0C19">
      <w:pPr>
        <w:pStyle w:val="a3"/>
        <w:rPr>
          <w:lang w:val="pt-BR"/>
        </w:rPr>
      </w:pPr>
      <w:r w:rsidRPr="00C35766">
        <w:rPr>
          <w:rFonts w:eastAsia="Times New Roman"/>
          <w:lang w:val="it-IT"/>
        </w:rPr>
        <w:t xml:space="preserve">La valutazione dei benefici e dei rischi del trattamento continuato a lungo termine deve essere effettuata periodicamente (vedere paragrafo 5.1). </w:t>
      </w:r>
    </w:p>
    <w:p w14:paraId="40347ED3" w14:textId="77777777" w:rsidR="00953B2E" w:rsidRPr="00C35766" w:rsidRDefault="00953B2E">
      <w:pPr>
        <w:rPr>
          <w:rFonts w:ascii="Times New Roman" w:eastAsia="Times New Roman" w:hAnsi="Times New Roman" w:cs="Times New Roman"/>
          <w:i/>
          <w:spacing w:val="-1"/>
          <w:lang w:val="pt-BR"/>
        </w:rPr>
      </w:pPr>
    </w:p>
    <w:p w14:paraId="38F23F17" w14:textId="77777777" w:rsidR="00953B2E" w:rsidRPr="00C35766" w:rsidRDefault="005F0C19">
      <w:pPr>
        <w:rPr>
          <w:rFonts w:ascii="Times New Roman" w:eastAsia="Times New Roman" w:hAnsi="Times New Roman" w:cs="Times New Roman"/>
          <w:lang w:val="pt-BR"/>
        </w:rPr>
      </w:pPr>
      <w:r w:rsidRPr="00C35766">
        <w:rPr>
          <w:rFonts w:ascii="Times New Roman" w:eastAsia="Times New Roman" w:hAnsi="Times New Roman" w:cs="Times New Roman"/>
          <w:i/>
          <w:iCs/>
          <w:spacing w:val="-1"/>
          <w:lang w:val="it-IT"/>
        </w:rPr>
        <w:t>Malattia di Crohn</w:t>
      </w:r>
    </w:p>
    <w:p w14:paraId="406B3869" w14:textId="77777777" w:rsidR="00953B2E" w:rsidRPr="00C35766" w:rsidRDefault="00953B2E">
      <w:pPr>
        <w:spacing w:line="240" w:lineRule="exact"/>
        <w:rPr>
          <w:rFonts w:ascii="Times New Roman" w:hAnsi="Times New Roman" w:cs="Times New Roman"/>
          <w:lang w:val="pt-BR"/>
        </w:rPr>
      </w:pPr>
    </w:p>
    <w:p w14:paraId="6C5FF2ED" w14:textId="77777777" w:rsidR="00953B2E" w:rsidRPr="00C35766" w:rsidRDefault="005F0C19">
      <w:pPr>
        <w:pStyle w:val="a3"/>
        <w:rPr>
          <w:lang w:val="it-IT"/>
        </w:rPr>
      </w:pPr>
      <w:r w:rsidRPr="00C35766">
        <w:rPr>
          <w:rFonts w:eastAsia="Times New Roman"/>
          <w:lang w:val="it-IT"/>
        </w:rPr>
        <w:t>La dose di Yuflyma indicata in caso di terapia di induzione è pari a 80 mg alla settimana 0 per i pazienti adulti affetti da malattia di Crohn attiva di grado da moderato a severo, seguita da una dose di 40 mg alla settimana 2. Nel caso in cui sia necessario indurre una risposta più rapida alla terapia, può essere somministrata una dose pari a 160 mg alla settimana 0 (somministrata in quattro iniezioni da 40 mg in un giorno oppure due iniezioni da 40 mg al giorno per due giorni consecutivi), seguita da 80 mg alla settimana 2 (somministrata in due iniezioni da 40 mg in un giorno), tenendo presente che il rischio di eventi avversi risulta maggiore durante l’induzione.</w:t>
      </w:r>
    </w:p>
    <w:p w14:paraId="37F765AF" w14:textId="77777777" w:rsidR="00953B2E" w:rsidRPr="00C35766" w:rsidRDefault="00953B2E">
      <w:pPr>
        <w:spacing w:line="240" w:lineRule="exact"/>
        <w:rPr>
          <w:rFonts w:ascii="Times New Roman" w:hAnsi="Times New Roman" w:cs="Times New Roman"/>
          <w:lang w:val="it-IT"/>
        </w:rPr>
      </w:pPr>
    </w:p>
    <w:p w14:paraId="2904C085" w14:textId="2566BDA8" w:rsidR="00953B2E" w:rsidRPr="00C35766" w:rsidRDefault="005F0C19">
      <w:pPr>
        <w:pStyle w:val="a3"/>
        <w:rPr>
          <w:lang w:val="it-IT"/>
        </w:rPr>
      </w:pPr>
      <w:r w:rsidRPr="00C35766">
        <w:rPr>
          <w:rFonts w:eastAsia="Times New Roman"/>
          <w:lang w:val="it-IT"/>
        </w:rPr>
        <w:t>Dopo il trattamento di induzione, la dose raccomandata è di 40 mg a settimane alterne tramite iniezione</w:t>
      </w:r>
      <w:r w:rsidR="00912FB3" w:rsidRPr="00C35766">
        <w:rPr>
          <w:rFonts w:eastAsia="Times New Roman"/>
          <w:lang w:val="it-IT"/>
        </w:rPr>
        <w:t xml:space="preserve"> </w:t>
      </w:r>
      <w:r w:rsidRPr="00C35766">
        <w:rPr>
          <w:rFonts w:eastAsia="Times New Roman"/>
          <w:lang w:val="it-IT"/>
        </w:rPr>
        <w:t xml:space="preserve">sottocutanea. In alternativa, nel caso in cui un paziente abbia interrotto il trattamento con Yuflyma e qualora dovesse </w:t>
      </w:r>
      <w:r w:rsidR="004A6E13" w:rsidRPr="00C35766">
        <w:rPr>
          <w:rFonts w:eastAsia="Times New Roman"/>
          <w:lang w:val="it-IT"/>
        </w:rPr>
        <w:t xml:space="preserve">ripresentarsi </w:t>
      </w:r>
      <w:r w:rsidRPr="00C35766">
        <w:rPr>
          <w:rFonts w:eastAsia="Times New Roman"/>
          <w:lang w:val="it-IT"/>
        </w:rPr>
        <w:t>la sintomatologia tipica della malattia, la terapia con Yuflyma può essere somministrata nuovamente. Esistono pochi dati sulla risomministrazione di Yuflyma qualora sia trascorso un periodo superiore a 8 settimane dalla somministrazione della dose precedente.</w:t>
      </w:r>
    </w:p>
    <w:p w14:paraId="365A6EE8" w14:textId="77777777" w:rsidR="00953B2E" w:rsidRPr="00C35766" w:rsidRDefault="00953B2E">
      <w:pPr>
        <w:spacing w:line="240" w:lineRule="exact"/>
        <w:rPr>
          <w:rFonts w:ascii="Times New Roman" w:hAnsi="Times New Roman" w:cs="Times New Roman"/>
          <w:lang w:val="it-IT"/>
        </w:rPr>
      </w:pPr>
    </w:p>
    <w:p w14:paraId="465D83C9" w14:textId="77777777" w:rsidR="00953B2E" w:rsidRPr="00C35766" w:rsidRDefault="005F0C19">
      <w:pPr>
        <w:pStyle w:val="a3"/>
        <w:rPr>
          <w:lang w:val="it-IT"/>
        </w:rPr>
      </w:pPr>
      <w:r w:rsidRPr="00C35766">
        <w:rPr>
          <w:rFonts w:eastAsia="Times New Roman"/>
          <w:lang w:val="it-IT"/>
        </w:rPr>
        <w:t>Nel corso della terapia di mantenimento, il dosaggio di corticosteroidi può essere gradatamente ridotto in base alle linee guida elaborate per la gestione clinica della malattia.</w:t>
      </w:r>
    </w:p>
    <w:p w14:paraId="0C959721" w14:textId="77777777" w:rsidR="00953B2E" w:rsidRPr="00C35766" w:rsidRDefault="00953B2E">
      <w:pPr>
        <w:spacing w:line="240" w:lineRule="exact"/>
        <w:rPr>
          <w:rFonts w:ascii="Times New Roman" w:hAnsi="Times New Roman" w:cs="Times New Roman"/>
          <w:lang w:val="it-IT"/>
        </w:rPr>
      </w:pPr>
    </w:p>
    <w:p w14:paraId="61D3900C" w14:textId="77777777" w:rsidR="00953B2E" w:rsidRPr="00C35766" w:rsidRDefault="005F0C19">
      <w:pPr>
        <w:pStyle w:val="a3"/>
        <w:rPr>
          <w:lang w:val="it-IT"/>
        </w:rPr>
      </w:pPr>
      <w:r w:rsidRPr="00C35766">
        <w:rPr>
          <w:rFonts w:eastAsia="Times New Roman"/>
          <w:lang w:val="it-IT"/>
        </w:rPr>
        <w:t>Alcuni pazienti che mostrano una riduzione nella risposta a 40 mg di Yuflyma a settimane alterne possono trarre giovamento da un aumento del dosaggio a 40 mg di Yuflyma ogni settimana o 80 mg a settimane alterne.</w:t>
      </w:r>
    </w:p>
    <w:p w14:paraId="0C4A0C02" w14:textId="77777777" w:rsidR="00953B2E" w:rsidRPr="00C35766" w:rsidRDefault="00953B2E">
      <w:pPr>
        <w:spacing w:line="240" w:lineRule="exact"/>
        <w:rPr>
          <w:rFonts w:ascii="Times New Roman" w:hAnsi="Times New Roman" w:cs="Times New Roman"/>
          <w:lang w:val="it-IT"/>
        </w:rPr>
      </w:pPr>
    </w:p>
    <w:p w14:paraId="0FBB4E92" w14:textId="77777777" w:rsidR="00953B2E" w:rsidRPr="00C35766" w:rsidRDefault="005F0C19">
      <w:pPr>
        <w:pStyle w:val="a3"/>
        <w:rPr>
          <w:lang w:val="it-IT"/>
        </w:rPr>
      </w:pPr>
      <w:r w:rsidRPr="00C35766">
        <w:rPr>
          <w:rFonts w:eastAsia="Times New Roman"/>
          <w:lang w:val="it-IT"/>
        </w:rPr>
        <w:t>Alcuni pazienti che non hanno manifestato una risposta adeguata alla terapia entro la settimana 4 potrebbero trarre giovamento dall’istituzione di una terapia di mantenimento continuata fino alla settimana 12. Il proseguimento della terapia deve essere attentamente valutato qualora i pazienti non rispondano in modo soddisfacente entro tale periodo.</w:t>
      </w:r>
    </w:p>
    <w:p w14:paraId="1FC1E01A" w14:textId="77777777" w:rsidR="00953B2E" w:rsidRPr="00C35766" w:rsidRDefault="00953B2E">
      <w:pPr>
        <w:spacing w:line="240" w:lineRule="exact"/>
        <w:rPr>
          <w:rFonts w:ascii="Times New Roman" w:hAnsi="Times New Roman" w:cs="Times New Roman"/>
          <w:lang w:val="it-IT"/>
        </w:rPr>
      </w:pPr>
    </w:p>
    <w:p w14:paraId="6BBF0D99" w14:textId="77777777" w:rsidR="00953B2E" w:rsidRPr="00C35766" w:rsidRDefault="005F0C19">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Colite ulcerosa</w:t>
      </w:r>
    </w:p>
    <w:p w14:paraId="1B79A3B7" w14:textId="77777777" w:rsidR="00953B2E" w:rsidRPr="00C35766" w:rsidRDefault="00953B2E">
      <w:pPr>
        <w:spacing w:line="240" w:lineRule="exact"/>
        <w:rPr>
          <w:rFonts w:ascii="Times New Roman" w:hAnsi="Times New Roman" w:cs="Times New Roman"/>
          <w:lang w:val="it-IT"/>
        </w:rPr>
      </w:pPr>
    </w:p>
    <w:p w14:paraId="248A6425" w14:textId="7186AAD9" w:rsidR="00953B2E" w:rsidRPr="00C35766" w:rsidRDefault="005F0C19">
      <w:pPr>
        <w:pStyle w:val="a3"/>
        <w:rPr>
          <w:lang w:val="it-IT"/>
        </w:rPr>
      </w:pPr>
      <w:r w:rsidRPr="00C35766">
        <w:rPr>
          <w:rFonts w:eastAsia="Times New Roman"/>
          <w:lang w:val="it-IT"/>
        </w:rPr>
        <w:t>Il regime posologico di induzione raccomandato per Yuflyma per pazienti adulti affetti da colite ulcerosa di grado da moderato a severo è di 160 mg alla settimana 0 (somministrati in quattro iniezioni da 40 mg in un giorno o come due iniezioni da 40 mg al giorno, per due giorni consecutivi) e 80 mg alla settimana 2 (somministrati praticando due iniezioni da 40 mg in un giorno).  Dopo il trattamento di induzione, la dose raccomandata è di 40 mg a settimane alterne tramite iniezione</w:t>
      </w:r>
      <w:r w:rsidR="00370823" w:rsidRPr="00C35766">
        <w:rPr>
          <w:rFonts w:eastAsia="Times New Roman"/>
          <w:lang w:val="it-IT"/>
        </w:rPr>
        <w:t xml:space="preserve"> </w:t>
      </w:r>
      <w:r w:rsidRPr="00C35766">
        <w:rPr>
          <w:rFonts w:eastAsia="Times New Roman"/>
          <w:lang w:val="it-IT"/>
        </w:rPr>
        <w:t>sottocutanea.</w:t>
      </w:r>
    </w:p>
    <w:p w14:paraId="6C30AFE9" w14:textId="77777777" w:rsidR="00953B2E" w:rsidRPr="00C35766" w:rsidRDefault="00953B2E">
      <w:pPr>
        <w:spacing w:line="240" w:lineRule="exact"/>
        <w:rPr>
          <w:rFonts w:ascii="Times New Roman" w:hAnsi="Times New Roman" w:cs="Times New Roman"/>
          <w:lang w:val="it-IT"/>
        </w:rPr>
      </w:pPr>
    </w:p>
    <w:p w14:paraId="22D980FF" w14:textId="77777777" w:rsidR="00953B2E" w:rsidRPr="00C35766" w:rsidRDefault="005F0C19">
      <w:pPr>
        <w:pStyle w:val="a3"/>
        <w:rPr>
          <w:lang w:val="it-IT"/>
        </w:rPr>
      </w:pPr>
      <w:r w:rsidRPr="00C35766">
        <w:rPr>
          <w:rFonts w:eastAsia="Times New Roman"/>
          <w:lang w:val="it-IT"/>
        </w:rPr>
        <w:t>Nel corso della terapia di mantenimento, il dosaggio di corticosteroidi può essere gradatamente ridotto in base alle linee guida elaborate per la gestione clinica della malattia.</w:t>
      </w:r>
    </w:p>
    <w:p w14:paraId="0D367A27" w14:textId="77777777" w:rsidR="00953B2E" w:rsidRPr="00C35766" w:rsidRDefault="00953B2E">
      <w:pPr>
        <w:pStyle w:val="a3"/>
        <w:rPr>
          <w:lang w:val="it-IT"/>
        </w:rPr>
      </w:pPr>
    </w:p>
    <w:p w14:paraId="7DF8D087" w14:textId="77777777" w:rsidR="00953B2E" w:rsidRPr="00C35766" w:rsidRDefault="005F0C19">
      <w:pPr>
        <w:pStyle w:val="a3"/>
        <w:rPr>
          <w:lang w:val="it-IT"/>
        </w:rPr>
      </w:pPr>
      <w:r w:rsidRPr="00C35766">
        <w:rPr>
          <w:rFonts w:eastAsia="Times New Roman"/>
          <w:spacing w:val="-2"/>
          <w:lang w:val="it-IT"/>
        </w:rPr>
        <w:t>Alcuni pazienti che mostrano una riduzione nella risposta a 40 mg di Yuflyma a settimane alterne possono trarre giovamento da un aumento del dosaggio a 40 mg di Yuflyma ogni settimana o 80 mg a settimane alterne.</w:t>
      </w:r>
    </w:p>
    <w:p w14:paraId="4D64CB3F" w14:textId="77777777" w:rsidR="00953B2E" w:rsidRPr="00C35766" w:rsidRDefault="00953B2E">
      <w:pPr>
        <w:spacing w:line="240" w:lineRule="exact"/>
        <w:rPr>
          <w:rFonts w:ascii="Times New Roman" w:hAnsi="Times New Roman" w:cs="Times New Roman"/>
          <w:lang w:val="it-IT"/>
        </w:rPr>
      </w:pPr>
    </w:p>
    <w:p w14:paraId="2ED601A3" w14:textId="77777777" w:rsidR="00953B2E" w:rsidRPr="00C35766" w:rsidRDefault="005F0C19">
      <w:pPr>
        <w:pStyle w:val="a3"/>
        <w:rPr>
          <w:lang w:val="it-IT"/>
        </w:rPr>
      </w:pPr>
      <w:r w:rsidRPr="00C35766">
        <w:rPr>
          <w:rFonts w:eastAsia="Times New Roman"/>
          <w:lang w:val="it-IT"/>
        </w:rPr>
        <w:t>I dati disponibili suggeriscono che la risposta clinica si raggiunge di solito entro le 2-8 settimane di trattamento. La terapia con Yuflyma non deve essere continuata in pazienti che non hanno risposto durante questo periodo di tempo.</w:t>
      </w:r>
    </w:p>
    <w:p w14:paraId="63098435" w14:textId="77777777" w:rsidR="00953B2E" w:rsidRPr="00C35766" w:rsidRDefault="00953B2E">
      <w:pPr>
        <w:rPr>
          <w:rFonts w:ascii="Times New Roman" w:eastAsia="Times New Roman" w:hAnsi="Times New Roman" w:cs="Times New Roman"/>
          <w:i/>
          <w:lang w:val="it-IT"/>
        </w:rPr>
      </w:pPr>
    </w:p>
    <w:p w14:paraId="7F21D5B8" w14:textId="77777777" w:rsidR="00953B2E" w:rsidRPr="00C35766" w:rsidRDefault="005F0C19">
      <w:pPr>
        <w:rPr>
          <w:rFonts w:ascii="Times New Roman" w:eastAsia="Times New Roman" w:hAnsi="Times New Roman" w:cs="Times New Roman"/>
          <w:lang w:val="it-IT"/>
        </w:rPr>
      </w:pPr>
      <w:r w:rsidRPr="00C35766">
        <w:rPr>
          <w:rFonts w:ascii="Times New Roman" w:eastAsia="Times New Roman" w:hAnsi="Times New Roman" w:cs="Times New Roman"/>
          <w:i/>
          <w:iCs/>
          <w:lang w:val="it-IT"/>
        </w:rPr>
        <w:t>Uveite</w:t>
      </w:r>
    </w:p>
    <w:p w14:paraId="5010E655" w14:textId="77777777" w:rsidR="00953B2E" w:rsidRPr="00C35766" w:rsidRDefault="00953B2E">
      <w:pPr>
        <w:spacing w:line="240" w:lineRule="exact"/>
        <w:rPr>
          <w:rFonts w:ascii="Times New Roman" w:hAnsi="Times New Roman" w:cs="Times New Roman"/>
          <w:lang w:val="it-IT"/>
        </w:rPr>
      </w:pPr>
    </w:p>
    <w:p w14:paraId="336139B3" w14:textId="56553859" w:rsidR="00953B2E" w:rsidRPr="00C35766" w:rsidRDefault="005F0C19">
      <w:pPr>
        <w:pStyle w:val="a3"/>
        <w:rPr>
          <w:lang w:val="it-IT"/>
        </w:rPr>
      </w:pPr>
      <w:r w:rsidRPr="00C35766">
        <w:rPr>
          <w:rFonts w:eastAsia="Times New Roman"/>
          <w:lang w:val="it-IT"/>
        </w:rPr>
        <w:t xml:space="preserve">La dose raccomandata di Yuflyma per i pazienti adulti affetti da uveite è una dose iniziale di 80 mg, seguita da 40 mg somministrati a settimane alterne a partire da una settimana dopo la dose iniziale. Vi è un’esperienza limitata nell’inizio del trattamento con adalimumab in monoterapia.  Il trattamento con Yuflyma può essere iniziato in </w:t>
      </w:r>
      <w:r w:rsidR="00370823" w:rsidRPr="00C35766">
        <w:rPr>
          <w:rFonts w:eastAsia="Times New Roman"/>
          <w:lang w:val="it-IT"/>
        </w:rPr>
        <w:t xml:space="preserve">associazione </w:t>
      </w:r>
      <w:r w:rsidRPr="00C35766">
        <w:rPr>
          <w:rFonts w:eastAsia="Times New Roman"/>
          <w:lang w:val="it-IT"/>
        </w:rPr>
        <w:t>con corticosteroidi e/o con altri agenti immunomodulatori non biologici. I corticosteroidi concomitanti possono essere ridotti in accordo con la pratica clinica a partire da due settimane dopo l’inizio del trattamento con Yuflyma.</w:t>
      </w:r>
    </w:p>
    <w:p w14:paraId="33EF544E" w14:textId="77777777" w:rsidR="00953B2E" w:rsidRPr="00C35766" w:rsidRDefault="00953B2E">
      <w:pPr>
        <w:spacing w:line="240" w:lineRule="exact"/>
        <w:rPr>
          <w:rFonts w:ascii="Times New Roman" w:hAnsi="Times New Roman" w:cs="Times New Roman"/>
          <w:lang w:val="it-IT"/>
        </w:rPr>
      </w:pPr>
    </w:p>
    <w:p w14:paraId="7F820ABA" w14:textId="1E5F8F5E" w:rsidR="00953B2E" w:rsidRPr="00C35766" w:rsidRDefault="005F0C19">
      <w:pPr>
        <w:pStyle w:val="a3"/>
        <w:rPr>
          <w:lang w:val="pt-BR"/>
        </w:rPr>
      </w:pPr>
      <w:r w:rsidRPr="00C35766">
        <w:rPr>
          <w:rFonts w:eastAsia="Times New Roman"/>
          <w:spacing w:val="-4"/>
          <w:lang w:val="it-IT"/>
        </w:rPr>
        <w:t xml:space="preserve">Si raccomanda che i benefici e i rischi del trattamento continuato a lungo termine siano valutati </w:t>
      </w:r>
      <w:r w:rsidR="00370823" w:rsidRPr="00C35766">
        <w:rPr>
          <w:rFonts w:eastAsia="Times New Roman"/>
          <w:spacing w:val="-4"/>
          <w:lang w:val="it-IT"/>
        </w:rPr>
        <w:t>annualmente</w:t>
      </w:r>
      <w:r w:rsidRPr="00C35766">
        <w:rPr>
          <w:rFonts w:eastAsia="Times New Roman"/>
          <w:spacing w:val="-4"/>
          <w:lang w:val="it-IT"/>
        </w:rPr>
        <w:t xml:space="preserve"> (vedere paragrafo 5.1).</w:t>
      </w:r>
    </w:p>
    <w:p w14:paraId="3AE26BF8" w14:textId="77777777" w:rsidR="00953B2E" w:rsidRPr="00C35766" w:rsidRDefault="00953B2E">
      <w:pPr>
        <w:pStyle w:val="a3"/>
        <w:rPr>
          <w:lang w:val="pt-BR"/>
        </w:rPr>
      </w:pPr>
    </w:p>
    <w:p w14:paraId="1B54E03D" w14:textId="77777777" w:rsidR="00953B2E" w:rsidRPr="00C35766" w:rsidRDefault="005F0C19">
      <w:pPr>
        <w:pStyle w:val="a3"/>
        <w:rPr>
          <w:u w:val="single"/>
          <w:lang w:val="pt-BR"/>
        </w:rPr>
      </w:pPr>
      <w:r w:rsidRPr="00C35766">
        <w:rPr>
          <w:rFonts w:eastAsia="Times New Roman"/>
          <w:u w:val="single" w:color="000000"/>
          <w:lang w:val="it-IT"/>
        </w:rPr>
        <w:t>Popolazioni speciali</w:t>
      </w:r>
    </w:p>
    <w:p w14:paraId="222B4127" w14:textId="77777777" w:rsidR="00953B2E" w:rsidRPr="00C35766" w:rsidRDefault="00953B2E">
      <w:pPr>
        <w:spacing w:line="180" w:lineRule="exact"/>
        <w:rPr>
          <w:rFonts w:ascii="Times New Roman" w:hAnsi="Times New Roman" w:cs="Times New Roman"/>
          <w:lang w:val="pt-BR"/>
        </w:rPr>
      </w:pPr>
    </w:p>
    <w:p w14:paraId="706F4976" w14:textId="77777777" w:rsidR="00953B2E" w:rsidRPr="00C35766" w:rsidRDefault="005F0C19">
      <w:pPr>
        <w:pStyle w:val="a3"/>
        <w:rPr>
          <w:i/>
          <w:lang w:val="pt-BR"/>
        </w:rPr>
      </w:pPr>
      <w:r w:rsidRPr="00C35766">
        <w:rPr>
          <w:rFonts w:eastAsia="Times New Roman"/>
          <w:i/>
          <w:iCs/>
          <w:lang w:val="it-IT"/>
        </w:rPr>
        <w:t>Anziani</w:t>
      </w:r>
    </w:p>
    <w:p w14:paraId="78621AF7" w14:textId="77777777" w:rsidR="00953B2E" w:rsidRPr="00C35766" w:rsidRDefault="00953B2E">
      <w:pPr>
        <w:spacing w:line="240" w:lineRule="exact"/>
        <w:rPr>
          <w:rFonts w:ascii="Times New Roman" w:hAnsi="Times New Roman" w:cs="Times New Roman"/>
          <w:lang w:val="pt-BR"/>
        </w:rPr>
      </w:pPr>
    </w:p>
    <w:p w14:paraId="66B17388" w14:textId="77777777" w:rsidR="00953B2E" w:rsidRPr="00C35766" w:rsidRDefault="005F0C19">
      <w:pPr>
        <w:pStyle w:val="a3"/>
        <w:rPr>
          <w:lang w:val="pt-BR"/>
        </w:rPr>
      </w:pPr>
      <w:r w:rsidRPr="00C35766">
        <w:rPr>
          <w:rFonts w:eastAsia="Times New Roman"/>
          <w:lang w:val="it-IT"/>
        </w:rPr>
        <w:t xml:space="preserve">Non è necessario alcun aggiustamento della dose. </w:t>
      </w:r>
    </w:p>
    <w:p w14:paraId="40AA27B6" w14:textId="77777777" w:rsidR="00953B2E" w:rsidRPr="00C35766" w:rsidRDefault="00953B2E">
      <w:pPr>
        <w:pStyle w:val="a3"/>
        <w:rPr>
          <w:lang w:val="pt-BR"/>
        </w:rPr>
      </w:pPr>
    </w:p>
    <w:p w14:paraId="5AC23BE5" w14:textId="5ECDF00B" w:rsidR="00953B2E" w:rsidRPr="00C35766" w:rsidRDefault="004B6506">
      <w:pPr>
        <w:pStyle w:val="a3"/>
        <w:rPr>
          <w:i/>
          <w:lang w:val="pt-BR"/>
        </w:rPr>
      </w:pPr>
      <w:r w:rsidRPr="004F0B2E">
        <w:rPr>
          <w:i/>
          <w:color w:val="000000"/>
          <w:lang w:val="it-IT"/>
        </w:rPr>
        <w:t xml:space="preserve">Compromissione </w:t>
      </w:r>
      <w:r w:rsidR="005F0C19" w:rsidRPr="00C35766">
        <w:rPr>
          <w:rFonts w:eastAsia="Times New Roman"/>
          <w:i/>
          <w:iCs/>
          <w:lang w:val="it-IT"/>
        </w:rPr>
        <w:t>epatica e/o renale</w:t>
      </w:r>
    </w:p>
    <w:p w14:paraId="6880A4AB" w14:textId="77777777" w:rsidR="00953B2E" w:rsidRPr="00C35766" w:rsidRDefault="00953B2E">
      <w:pPr>
        <w:pStyle w:val="a3"/>
        <w:rPr>
          <w:lang w:val="pt-BR"/>
        </w:rPr>
      </w:pPr>
    </w:p>
    <w:p w14:paraId="2A3A2437" w14:textId="77777777" w:rsidR="00953B2E" w:rsidRPr="00C35766" w:rsidRDefault="005F0C19">
      <w:pPr>
        <w:pStyle w:val="a3"/>
        <w:rPr>
          <w:lang w:val="it-IT"/>
        </w:rPr>
      </w:pPr>
      <w:r w:rsidRPr="00C35766">
        <w:rPr>
          <w:rFonts w:eastAsia="Times New Roman"/>
          <w:lang w:val="it-IT"/>
        </w:rPr>
        <w:t xml:space="preserve">Adalimumab non è stato studiato in queste popolazioni di pazienti. Non è possibile effettuare alcuna raccomandazione sulla dose. </w:t>
      </w:r>
    </w:p>
    <w:p w14:paraId="138C21A2" w14:textId="77777777" w:rsidR="00953B2E" w:rsidRPr="00C35766" w:rsidRDefault="00953B2E">
      <w:pPr>
        <w:pStyle w:val="a3"/>
        <w:rPr>
          <w:lang w:val="it-IT"/>
        </w:rPr>
      </w:pPr>
    </w:p>
    <w:p w14:paraId="01F2FA8E" w14:textId="77777777" w:rsidR="00953B2E" w:rsidRPr="00146E60" w:rsidRDefault="005F0C19">
      <w:pPr>
        <w:pStyle w:val="a3"/>
        <w:rPr>
          <w:u w:val="single"/>
          <w:lang w:val="it-IT"/>
        </w:rPr>
      </w:pPr>
      <w:r w:rsidRPr="00146E60">
        <w:rPr>
          <w:rFonts w:eastAsia="Times New Roman"/>
          <w:iCs/>
          <w:u w:val="single"/>
          <w:lang w:val="it-IT"/>
        </w:rPr>
        <w:t>Popolazione pediatrica</w:t>
      </w:r>
    </w:p>
    <w:p w14:paraId="6182BDA0" w14:textId="77777777" w:rsidR="00953B2E" w:rsidRPr="00C35766" w:rsidRDefault="00953B2E">
      <w:pPr>
        <w:pStyle w:val="a3"/>
        <w:rPr>
          <w:i/>
          <w:lang w:val="it-IT"/>
        </w:rPr>
      </w:pPr>
    </w:p>
    <w:p w14:paraId="0E29AB98" w14:textId="77777777" w:rsidR="00953B2E" w:rsidRPr="00C35766" w:rsidRDefault="005F0C19">
      <w:pPr>
        <w:spacing w:line="480" w:lineRule="auto"/>
        <w:rPr>
          <w:rFonts w:ascii="Times New Roman" w:eastAsia="Times New Roman" w:hAnsi="Times New Roman" w:cs="Times New Roman"/>
          <w:i/>
          <w:spacing w:val="-1"/>
          <w:lang w:val="it-IT"/>
        </w:rPr>
      </w:pPr>
      <w:r w:rsidRPr="00C35766">
        <w:rPr>
          <w:rFonts w:ascii="Times New Roman" w:eastAsia="Times New Roman" w:hAnsi="Times New Roman" w:cs="Times New Roman"/>
          <w:i/>
          <w:iCs/>
          <w:spacing w:val="-1"/>
          <w:lang w:val="it-IT"/>
        </w:rPr>
        <w:t>Artrite idiopatica giovanile</w:t>
      </w:r>
    </w:p>
    <w:p w14:paraId="6FA896EB" w14:textId="77777777" w:rsidR="00953B2E" w:rsidRPr="00C35766" w:rsidRDefault="005F0C19">
      <w:pPr>
        <w:spacing w:line="480" w:lineRule="auto"/>
        <w:rPr>
          <w:rFonts w:ascii="Times New Roman" w:eastAsia="Times New Roman" w:hAnsi="Times New Roman" w:cs="Times New Roman"/>
          <w:lang w:val="pt-BR"/>
        </w:rPr>
      </w:pPr>
      <w:r w:rsidRPr="00C35766">
        <w:rPr>
          <w:rFonts w:ascii="Times New Roman" w:eastAsia="Times New Roman" w:hAnsi="Times New Roman" w:cs="Times New Roman"/>
          <w:i/>
          <w:iCs/>
          <w:spacing w:val="-1"/>
          <w:u w:val="single" w:color="000000"/>
          <w:lang w:val="it-IT"/>
        </w:rPr>
        <w:t>Artrite idiopatica giovanile poliarticolare da 2 anni di età</w:t>
      </w:r>
    </w:p>
    <w:p w14:paraId="31B2B81F" w14:textId="77777777" w:rsidR="00953B2E" w:rsidRPr="00C35766" w:rsidRDefault="005F0C19">
      <w:pPr>
        <w:pStyle w:val="a3"/>
        <w:rPr>
          <w:lang w:val="it-IT"/>
        </w:rPr>
      </w:pPr>
      <w:r w:rsidRPr="00C35766">
        <w:rPr>
          <w:rFonts w:eastAsia="Times New Roman"/>
          <w:lang w:val="it-IT"/>
        </w:rPr>
        <w:t>La dose raccomandata di Yuflyma per pazienti con artrite idiopatica giovanile poliarticolare da 2 anni di età è basata sul peso corporeo (Tabella 1). Yuflyma è somministrato a settimane alterne tramite iniezione sottocutanea.</w:t>
      </w:r>
    </w:p>
    <w:p w14:paraId="304E55C1" w14:textId="77777777" w:rsidR="00953B2E" w:rsidRPr="00C35766" w:rsidRDefault="00953B2E">
      <w:pPr>
        <w:pStyle w:val="a3"/>
        <w:rPr>
          <w:lang w:val="it-IT"/>
        </w:rPr>
      </w:pPr>
    </w:p>
    <w:p w14:paraId="483C9472" w14:textId="77777777" w:rsidR="00953B2E" w:rsidRPr="00C35766" w:rsidRDefault="005F0C19">
      <w:pPr>
        <w:pStyle w:val="a3"/>
        <w:keepNext/>
        <w:jc w:val="center"/>
        <w:rPr>
          <w:b/>
          <w:lang w:val="it-IT"/>
        </w:rPr>
      </w:pPr>
      <w:r w:rsidRPr="00C35766">
        <w:rPr>
          <w:rFonts w:eastAsia="Times New Roman"/>
          <w:b/>
          <w:bCs/>
          <w:lang w:val="it-IT"/>
        </w:rPr>
        <w:lastRenderedPageBreak/>
        <w:t>Tabella 1 Dose di Yuflyma per pazienti con artrite idiopatica giovanile poliarticolare</w:t>
      </w:r>
    </w:p>
    <w:p w14:paraId="5717B041" w14:textId="77777777" w:rsidR="00953B2E" w:rsidRPr="00C35766" w:rsidRDefault="00953B2E">
      <w:pPr>
        <w:pStyle w:val="a3"/>
        <w:keepNext/>
        <w:rPr>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953B2E" w:rsidRPr="00C35766" w14:paraId="5454FBC2" w14:textId="77777777">
        <w:trPr>
          <w:trHeight w:val="388"/>
          <w:jc w:val="center"/>
        </w:trPr>
        <w:tc>
          <w:tcPr>
            <w:tcW w:w="3271" w:type="dxa"/>
            <w:tcBorders>
              <w:top w:val="single" w:sz="4" w:space="0" w:color="auto"/>
              <w:bottom w:val="single" w:sz="4" w:space="0" w:color="auto"/>
            </w:tcBorders>
            <w:vAlign w:val="center"/>
          </w:tcPr>
          <w:p w14:paraId="42D19B75" w14:textId="77777777" w:rsidR="00953B2E" w:rsidRPr="00C35766" w:rsidRDefault="005F0C19">
            <w:pPr>
              <w:pStyle w:val="a3"/>
              <w:jc w:val="center"/>
              <w:rPr>
                <w:b/>
              </w:rPr>
            </w:pPr>
            <w:r w:rsidRPr="00C35766">
              <w:rPr>
                <w:rFonts w:eastAsia="Times New Roman"/>
                <w:b/>
                <w:bCs/>
                <w:lang w:val="it-IT"/>
              </w:rPr>
              <w:t>Peso del paziente</w:t>
            </w:r>
          </w:p>
        </w:tc>
        <w:tc>
          <w:tcPr>
            <w:tcW w:w="3271" w:type="dxa"/>
            <w:tcBorders>
              <w:top w:val="single" w:sz="4" w:space="0" w:color="auto"/>
              <w:bottom w:val="single" w:sz="4" w:space="0" w:color="auto"/>
            </w:tcBorders>
            <w:vAlign w:val="center"/>
          </w:tcPr>
          <w:p w14:paraId="7E45BC47" w14:textId="77777777" w:rsidR="00953B2E" w:rsidRPr="00C35766" w:rsidRDefault="005F0C19">
            <w:pPr>
              <w:pStyle w:val="a3"/>
              <w:jc w:val="center"/>
              <w:rPr>
                <w:b/>
              </w:rPr>
            </w:pPr>
            <w:r w:rsidRPr="00C35766">
              <w:rPr>
                <w:rFonts w:eastAsia="Times New Roman"/>
                <w:b/>
                <w:bCs/>
                <w:lang w:val="it-IT"/>
              </w:rPr>
              <w:t>Schema posologico</w:t>
            </w:r>
          </w:p>
        </w:tc>
      </w:tr>
      <w:tr w:rsidR="00F51B72" w:rsidRPr="00C35766" w14:paraId="204F536B" w14:textId="77777777">
        <w:trPr>
          <w:trHeight w:val="403"/>
          <w:jc w:val="center"/>
        </w:trPr>
        <w:tc>
          <w:tcPr>
            <w:tcW w:w="3271" w:type="dxa"/>
            <w:tcBorders>
              <w:top w:val="single" w:sz="4" w:space="0" w:color="auto"/>
              <w:bottom w:val="single" w:sz="4" w:space="0" w:color="auto"/>
            </w:tcBorders>
            <w:vAlign w:val="center"/>
          </w:tcPr>
          <w:p w14:paraId="5B4B2701" w14:textId="77777777" w:rsidR="00F51B72" w:rsidRPr="00C35766" w:rsidRDefault="00F51B72" w:rsidP="00F51B72">
            <w:pPr>
              <w:pStyle w:val="a3"/>
              <w:jc w:val="center"/>
            </w:pPr>
            <w:r w:rsidRPr="00C35766">
              <w:rPr>
                <w:rFonts w:eastAsia="Times New Roman"/>
                <w:lang w:val="it-IT"/>
              </w:rPr>
              <w:t>10 kg fino a &lt; 30 kg</w:t>
            </w:r>
          </w:p>
        </w:tc>
        <w:tc>
          <w:tcPr>
            <w:tcW w:w="3271" w:type="dxa"/>
            <w:tcBorders>
              <w:top w:val="single" w:sz="4" w:space="0" w:color="auto"/>
              <w:bottom w:val="single" w:sz="4" w:space="0" w:color="auto"/>
            </w:tcBorders>
            <w:vAlign w:val="center"/>
          </w:tcPr>
          <w:p w14:paraId="6D242FEC" w14:textId="50145ED8" w:rsidR="00F51B72" w:rsidRPr="00C35766" w:rsidRDefault="00F51B72" w:rsidP="00F51B72">
            <w:pPr>
              <w:pStyle w:val="a3"/>
              <w:jc w:val="center"/>
            </w:pPr>
            <w:r>
              <w:rPr>
                <w:rFonts w:eastAsia="Times New Roman"/>
                <w:lang w:val="it-IT"/>
              </w:rPr>
              <w:t>20</w:t>
            </w:r>
            <w:r w:rsidRPr="00C35766">
              <w:rPr>
                <w:rFonts w:eastAsia="Times New Roman"/>
                <w:lang w:val="it-IT"/>
              </w:rPr>
              <w:t xml:space="preserve"> mg a settimane alterne</w:t>
            </w:r>
          </w:p>
        </w:tc>
      </w:tr>
      <w:tr w:rsidR="00F51B72" w:rsidRPr="00C35766" w14:paraId="3898EA4A" w14:textId="77777777">
        <w:trPr>
          <w:trHeight w:val="388"/>
          <w:jc w:val="center"/>
        </w:trPr>
        <w:tc>
          <w:tcPr>
            <w:tcW w:w="3271" w:type="dxa"/>
            <w:tcBorders>
              <w:top w:val="single" w:sz="4" w:space="0" w:color="auto"/>
              <w:bottom w:val="single" w:sz="4" w:space="0" w:color="auto"/>
            </w:tcBorders>
            <w:vAlign w:val="center"/>
          </w:tcPr>
          <w:p w14:paraId="1E3FEBE4" w14:textId="77777777" w:rsidR="00F51B72" w:rsidRPr="00C35766" w:rsidRDefault="00F51B72" w:rsidP="00F51B72">
            <w:pPr>
              <w:pStyle w:val="a3"/>
              <w:jc w:val="center"/>
            </w:pPr>
            <w:r w:rsidRPr="00C35766">
              <w:rPr>
                <w:rFonts w:eastAsia="Times New Roman"/>
                <w:lang w:val="it-IT"/>
              </w:rPr>
              <w:t>≥ 30 kg</w:t>
            </w:r>
          </w:p>
        </w:tc>
        <w:tc>
          <w:tcPr>
            <w:tcW w:w="3271" w:type="dxa"/>
            <w:tcBorders>
              <w:top w:val="single" w:sz="4" w:space="0" w:color="auto"/>
              <w:bottom w:val="single" w:sz="4" w:space="0" w:color="auto"/>
            </w:tcBorders>
            <w:vAlign w:val="center"/>
          </w:tcPr>
          <w:p w14:paraId="15495043" w14:textId="77777777" w:rsidR="00F51B72" w:rsidRPr="00C35766" w:rsidRDefault="00F51B72" w:rsidP="00F51B72">
            <w:pPr>
              <w:pStyle w:val="a3"/>
              <w:jc w:val="center"/>
            </w:pPr>
            <w:r w:rsidRPr="00C35766">
              <w:rPr>
                <w:rFonts w:eastAsia="Times New Roman"/>
                <w:lang w:val="it-IT"/>
              </w:rPr>
              <w:t>40 mg a settimane alterne</w:t>
            </w:r>
          </w:p>
        </w:tc>
      </w:tr>
    </w:tbl>
    <w:p w14:paraId="6A35A16C" w14:textId="77777777" w:rsidR="00953B2E" w:rsidRPr="00C35766" w:rsidRDefault="00953B2E">
      <w:pPr>
        <w:pStyle w:val="a3"/>
        <w:rPr>
          <w:lang w:val="pt-BR"/>
        </w:rPr>
      </w:pPr>
    </w:p>
    <w:p w14:paraId="267E95BC" w14:textId="77777777" w:rsidR="00953B2E" w:rsidRPr="00C35766" w:rsidRDefault="005F0C19">
      <w:pPr>
        <w:pStyle w:val="a3"/>
        <w:rPr>
          <w:lang w:val="pt-BR"/>
        </w:rPr>
      </w:pPr>
      <w:r w:rsidRPr="00C35766">
        <w:rPr>
          <w:rFonts w:eastAsia="Times New Roman"/>
          <w:lang w:val="it-IT"/>
        </w:rPr>
        <w:t>I dati disponibili suggeriscono che la risposta clinica viene di solito ottenuta entro 12 settimane di trattamento. Il proseguimento della terapia deve essere attentamente valutato qualora i pazienti non rispondano in modo soddisfacente entro tale periodo.</w:t>
      </w:r>
    </w:p>
    <w:p w14:paraId="61431D8B" w14:textId="77777777" w:rsidR="00953B2E" w:rsidRPr="00C35766" w:rsidRDefault="00953B2E">
      <w:pPr>
        <w:pStyle w:val="a3"/>
        <w:rPr>
          <w:lang w:val="pt-BR"/>
        </w:rPr>
      </w:pPr>
    </w:p>
    <w:p w14:paraId="66D14BF0" w14:textId="77777777" w:rsidR="00953B2E" w:rsidRPr="00C35766" w:rsidRDefault="005F0C19">
      <w:pPr>
        <w:pStyle w:val="a3"/>
        <w:rPr>
          <w:lang w:val="pt-BR"/>
        </w:rPr>
      </w:pPr>
      <w:r w:rsidRPr="00C35766">
        <w:rPr>
          <w:rFonts w:eastAsia="Times New Roman"/>
          <w:lang w:val="it-IT"/>
        </w:rPr>
        <w:t>Non c’è un uso rilevante di adalimumab nei pazienti di età inferiore ai 2 anni per questa indicazione.</w:t>
      </w:r>
    </w:p>
    <w:p w14:paraId="065B2C5A" w14:textId="77777777" w:rsidR="00953B2E" w:rsidRPr="00C35766" w:rsidRDefault="00953B2E">
      <w:pPr>
        <w:pStyle w:val="a3"/>
        <w:ind w:right="203"/>
        <w:rPr>
          <w:lang w:val="pt-BR"/>
        </w:rPr>
      </w:pPr>
    </w:p>
    <w:p w14:paraId="72C13D54" w14:textId="77777777" w:rsidR="00953B2E" w:rsidRPr="00C35766" w:rsidRDefault="005F0C19">
      <w:pPr>
        <w:rPr>
          <w:rFonts w:ascii="Times New Roman" w:eastAsia="Times New Roman" w:hAnsi="Times New Roman" w:cs="Times New Roman"/>
          <w:lang w:val="pt-BR"/>
        </w:rPr>
      </w:pPr>
      <w:r w:rsidRPr="00C35766">
        <w:rPr>
          <w:rFonts w:ascii="Times New Roman" w:eastAsia="Times New Roman" w:hAnsi="Times New Roman" w:cs="Times New Roman"/>
          <w:i/>
          <w:iCs/>
          <w:u w:val="single" w:color="000000"/>
          <w:lang w:val="it-IT"/>
        </w:rPr>
        <w:t>Artrite associata ad entesite</w:t>
      </w:r>
    </w:p>
    <w:p w14:paraId="7A5AA80A" w14:textId="77777777" w:rsidR="00953B2E" w:rsidRPr="00C35766" w:rsidRDefault="00953B2E">
      <w:pPr>
        <w:spacing w:before="9" w:line="170" w:lineRule="exact"/>
        <w:rPr>
          <w:rFonts w:ascii="Times New Roman" w:hAnsi="Times New Roman" w:cs="Times New Roman"/>
          <w:sz w:val="17"/>
          <w:szCs w:val="17"/>
          <w:lang w:val="pt-BR"/>
        </w:rPr>
      </w:pPr>
    </w:p>
    <w:p w14:paraId="02ED7076" w14:textId="77777777" w:rsidR="00953B2E" w:rsidRPr="00C35766" w:rsidRDefault="005F0C19">
      <w:pPr>
        <w:pStyle w:val="a3"/>
        <w:rPr>
          <w:lang w:val="it-IT"/>
        </w:rPr>
      </w:pPr>
      <w:r w:rsidRPr="00C35766">
        <w:rPr>
          <w:rFonts w:eastAsia="Times New Roman"/>
          <w:lang w:val="it-IT"/>
        </w:rPr>
        <w:t>La dose raccomandata di Yuflyma nei pazienti con artrite associata ad entesite, dai 6 anni in poi, è basata sul peso corporeo (Tabella 2). Yuflyma è somministrato a settimane alterne tramite iniezione sottocutanea.</w:t>
      </w:r>
    </w:p>
    <w:p w14:paraId="6A0016D6" w14:textId="77777777" w:rsidR="00953B2E" w:rsidRPr="00C35766" w:rsidRDefault="00953B2E">
      <w:pPr>
        <w:pStyle w:val="a3"/>
        <w:rPr>
          <w:lang w:val="it-IT"/>
        </w:rPr>
      </w:pPr>
    </w:p>
    <w:p w14:paraId="207903E3" w14:textId="77777777" w:rsidR="00953B2E" w:rsidRPr="00C35766" w:rsidRDefault="005F0C19">
      <w:pPr>
        <w:pStyle w:val="a3"/>
        <w:jc w:val="center"/>
        <w:rPr>
          <w:b/>
          <w:lang w:val="it-IT"/>
        </w:rPr>
      </w:pPr>
      <w:r w:rsidRPr="00C35766">
        <w:rPr>
          <w:rFonts w:eastAsia="Times New Roman"/>
          <w:b/>
          <w:bCs/>
          <w:lang w:val="it-IT"/>
        </w:rPr>
        <w:t>Tabella 2 Dose di Yuflyma per pazienti con artrite associata ad entesite</w:t>
      </w:r>
    </w:p>
    <w:p w14:paraId="5D96D469" w14:textId="77777777" w:rsidR="00953B2E" w:rsidRPr="00C35766" w:rsidRDefault="00953B2E">
      <w:pPr>
        <w:spacing w:before="7" w:line="220" w:lineRule="exact"/>
        <w:rPr>
          <w:rFonts w:ascii="Times New Roman" w:hAnsi="Times New Roman" w:cs="Times New Roman"/>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953B2E" w:rsidRPr="00C35766" w14:paraId="49316D42" w14:textId="77777777">
        <w:trPr>
          <w:trHeight w:val="374"/>
          <w:jc w:val="center"/>
        </w:trPr>
        <w:tc>
          <w:tcPr>
            <w:tcW w:w="3572" w:type="dxa"/>
            <w:tcBorders>
              <w:top w:val="single" w:sz="4" w:space="0" w:color="auto"/>
              <w:bottom w:val="single" w:sz="4" w:space="0" w:color="auto"/>
            </w:tcBorders>
            <w:vAlign w:val="center"/>
          </w:tcPr>
          <w:p w14:paraId="7E5F9BC7" w14:textId="77777777" w:rsidR="00953B2E" w:rsidRPr="00C35766" w:rsidRDefault="005F0C19">
            <w:pPr>
              <w:pStyle w:val="a3"/>
              <w:jc w:val="center"/>
              <w:rPr>
                <w:b/>
              </w:rPr>
            </w:pPr>
            <w:r w:rsidRPr="00C35766">
              <w:rPr>
                <w:rFonts w:eastAsia="Times New Roman"/>
                <w:b/>
                <w:bCs/>
                <w:lang w:val="it-IT"/>
              </w:rPr>
              <w:t>Peso del paziente</w:t>
            </w:r>
          </w:p>
        </w:tc>
        <w:tc>
          <w:tcPr>
            <w:tcW w:w="3572" w:type="dxa"/>
            <w:tcBorders>
              <w:top w:val="single" w:sz="4" w:space="0" w:color="auto"/>
              <w:bottom w:val="single" w:sz="4" w:space="0" w:color="auto"/>
            </w:tcBorders>
            <w:vAlign w:val="center"/>
          </w:tcPr>
          <w:p w14:paraId="34E8271E" w14:textId="77777777" w:rsidR="00953B2E" w:rsidRPr="00C35766" w:rsidRDefault="005F0C19">
            <w:pPr>
              <w:pStyle w:val="a3"/>
              <w:jc w:val="center"/>
              <w:rPr>
                <w:b/>
              </w:rPr>
            </w:pPr>
            <w:r w:rsidRPr="00C35766">
              <w:rPr>
                <w:rFonts w:eastAsia="Times New Roman"/>
                <w:b/>
                <w:bCs/>
                <w:lang w:val="it-IT"/>
              </w:rPr>
              <w:t>Schema posologico</w:t>
            </w:r>
          </w:p>
        </w:tc>
      </w:tr>
      <w:tr w:rsidR="00F51B72" w:rsidRPr="00C35766" w14:paraId="06697977" w14:textId="77777777">
        <w:trPr>
          <w:trHeight w:val="388"/>
          <w:jc w:val="center"/>
        </w:trPr>
        <w:tc>
          <w:tcPr>
            <w:tcW w:w="3572" w:type="dxa"/>
            <w:tcBorders>
              <w:top w:val="single" w:sz="4" w:space="0" w:color="auto"/>
              <w:bottom w:val="single" w:sz="4" w:space="0" w:color="auto"/>
            </w:tcBorders>
            <w:vAlign w:val="center"/>
          </w:tcPr>
          <w:p w14:paraId="08396222" w14:textId="77777777" w:rsidR="00F51B72" w:rsidRPr="00C35766" w:rsidRDefault="00F51B72" w:rsidP="00F51B72">
            <w:pPr>
              <w:pStyle w:val="a3"/>
              <w:jc w:val="center"/>
            </w:pPr>
            <w:r w:rsidRPr="00C35766">
              <w:rPr>
                <w:rFonts w:eastAsia="Times New Roman"/>
                <w:lang w:val="it-IT"/>
              </w:rPr>
              <w:t>15 kg fino a &lt; 30 kg</w:t>
            </w:r>
          </w:p>
        </w:tc>
        <w:tc>
          <w:tcPr>
            <w:tcW w:w="3572" w:type="dxa"/>
            <w:tcBorders>
              <w:top w:val="single" w:sz="4" w:space="0" w:color="auto"/>
              <w:bottom w:val="single" w:sz="4" w:space="0" w:color="auto"/>
            </w:tcBorders>
            <w:vAlign w:val="center"/>
          </w:tcPr>
          <w:p w14:paraId="1C766E12" w14:textId="63440D30" w:rsidR="00F51B72" w:rsidRPr="00C35766" w:rsidRDefault="00F51B72" w:rsidP="00F51B72">
            <w:pPr>
              <w:pStyle w:val="a3"/>
              <w:jc w:val="center"/>
            </w:pPr>
            <w:r>
              <w:rPr>
                <w:rFonts w:eastAsia="Times New Roman"/>
                <w:lang w:val="it-IT"/>
              </w:rPr>
              <w:t>20</w:t>
            </w:r>
            <w:r w:rsidRPr="00C35766">
              <w:rPr>
                <w:rFonts w:eastAsia="Times New Roman"/>
                <w:lang w:val="it-IT"/>
              </w:rPr>
              <w:t xml:space="preserve"> mg a settimane alterne</w:t>
            </w:r>
          </w:p>
        </w:tc>
      </w:tr>
      <w:tr w:rsidR="00F51B72" w:rsidRPr="00C35766" w14:paraId="5D92475D" w14:textId="77777777">
        <w:trPr>
          <w:trHeight w:val="374"/>
          <w:jc w:val="center"/>
        </w:trPr>
        <w:tc>
          <w:tcPr>
            <w:tcW w:w="3572" w:type="dxa"/>
            <w:tcBorders>
              <w:top w:val="single" w:sz="4" w:space="0" w:color="auto"/>
              <w:bottom w:val="single" w:sz="4" w:space="0" w:color="auto"/>
            </w:tcBorders>
            <w:vAlign w:val="center"/>
          </w:tcPr>
          <w:p w14:paraId="1765844D" w14:textId="77777777" w:rsidR="00F51B72" w:rsidRPr="00C35766" w:rsidRDefault="00F51B72" w:rsidP="00F51B72">
            <w:pPr>
              <w:pStyle w:val="a3"/>
              <w:jc w:val="center"/>
            </w:pPr>
            <w:r w:rsidRPr="00C35766">
              <w:rPr>
                <w:rFonts w:eastAsia="Times New Roman"/>
                <w:lang w:val="it-IT"/>
              </w:rPr>
              <w:t>≥ 30 kg</w:t>
            </w:r>
          </w:p>
        </w:tc>
        <w:tc>
          <w:tcPr>
            <w:tcW w:w="3572" w:type="dxa"/>
            <w:tcBorders>
              <w:top w:val="single" w:sz="4" w:space="0" w:color="auto"/>
              <w:bottom w:val="single" w:sz="4" w:space="0" w:color="auto"/>
            </w:tcBorders>
            <w:vAlign w:val="center"/>
          </w:tcPr>
          <w:p w14:paraId="2C914F0C" w14:textId="77777777" w:rsidR="00F51B72" w:rsidRPr="00C35766" w:rsidRDefault="00F51B72" w:rsidP="00F51B72">
            <w:pPr>
              <w:pStyle w:val="a3"/>
              <w:jc w:val="center"/>
            </w:pPr>
            <w:r w:rsidRPr="00C35766">
              <w:rPr>
                <w:rFonts w:eastAsia="Times New Roman"/>
                <w:lang w:val="it-IT"/>
              </w:rPr>
              <w:t>40 mg a settimane alterne</w:t>
            </w:r>
          </w:p>
        </w:tc>
      </w:tr>
    </w:tbl>
    <w:p w14:paraId="602DCAF0" w14:textId="77777777" w:rsidR="00953B2E" w:rsidRPr="00C35766" w:rsidRDefault="00953B2E">
      <w:pPr>
        <w:pStyle w:val="a3"/>
        <w:rPr>
          <w:lang w:val="pt-BR"/>
        </w:rPr>
      </w:pPr>
    </w:p>
    <w:p w14:paraId="57CF4156" w14:textId="77777777" w:rsidR="00953B2E" w:rsidRPr="00C35766" w:rsidRDefault="005F0C19">
      <w:pPr>
        <w:pStyle w:val="a3"/>
        <w:rPr>
          <w:lang w:val="pt-BR"/>
        </w:rPr>
      </w:pPr>
      <w:r w:rsidRPr="00C35766">
        <w:rPr>
          <w:rFonts w:eastAsia="Times New Roman"/>
          <w:lang w:val="it-IT"/>
        </w:rPr>
        <w:t>Adalimumab non è stato studiato in pazienti di età inferiore ai 6 anni con artrite associata ad entesite.</w:t>
      </w:r>
    </w:p>
    <w:p w14:paraId="2D9E9E56" w14:textId="77777777" w:rsidR="003456B7" w:rsidRPr="00C35766" w:rsidRDefault="003456B7" w:rsidP="003456B7">
      <w:pPr>
        <w:rPr>
          <w:rFonts w:ascii="Times New Roman" w:eastAsia="Times New Roman" w:hAnsi="Times New Roman" w:cs="Times New Roman"/>
          <w:i/>
          <w:spacing w:val="-1"/>
          <w:u w:val="single"/>
          <w:lang w:val="it-IT"/>
        </w:rPr>
      </w:pPr>
    </w:p>
    <w:p w14:paraId="392D0243" w14:textId="77777777" w:rsidR="003456B7" w:rsidRPr="00146E60" w:rsidRDefault="003456B7" w:rsidP="003456B7">
      <w:pPr>
        <w:rPr>
          <w:rFonts w:ascii="Times New Roman" w:eastAsia="Times New Roman" w:hAnsi="Times New Roman" w:cs="Times New Roman"/>
          <w:lang w:val="it-IT"/>
        </w:rPr>
      </w:pPr>
      <w:r w:rsidRPr="00146E60">
        <w:rPr>
          <w:rFonts w:ascii="Times New Roman" w:eastAsia="Times New Roman" w:hAnsi="Times New Roman" w:cs="Times New Roman"/>
          <w:i/>
          <w:iCs/>
          <w:spacing w:val="-1"/>
          <w:lang w:val="it-IT"/>
        </w:rPr>
        <w:t>Artrite psoriasica e spondiloartrite assiale inclusa la spondilite anchilosante</w:t>
      </w:r>
    </w:p>
    <w:p w14:paraId="0EBCA6F3" w14:textId="77777777" w:rsidR="003456B7" w:rsidRPr="00C35766" w:rsidRDefault="003456B7" w:rsidP="003456B7">
      <w:pPr>
        <w:spacing w:line="170" w:lineRule="exact"/>
        <w:rPr>
          <w:rFonts w:ascii="Times New Roman" w:hAnsi="Times New Roman" w:cs="Times New Roman"/>
          <w:lang w:val="it-IT"/>
        </w:rPr>
      </w:pPr>
    </w:p>
    <w:p w14:paraId="765D6D40" w14:textId="77777777" w:rsidR="003456B7" w:rsidRPr="00C35766" w:rsidRDefault="003456B7" w:rsidP="003456B7">
      <w:pPr>
        <w:pStyle w:val="a3"/>
        <w:rPr>
          <w:lang w:val="it-IT"/>
        </w:rPr>
      </w:pPr>
      <w:r w:rsidRPr="00C35766">
        <w:rPr>
          <w:rFonts w:eastAsia="Times New Roman"/>
          <w:lang w:val="it-IT"/>
        </w:rPr>
        <w:t>Non c’è un uso rilevante di adalimumab nella popolazione pediatrica per le indicazioni di spondilite anchilosante e artrite psoriasica.</w:t>
      </w:r>
    </w:p>
    <w:p w14:paraId="450A6C83" w14:textId="77777777" w:rsidR="00953B2E" w:rsidRPr="00C35766" w:rsidRDefault="00953B2E">
      <w:pPr>
        <w:pStyle w:val="a3"/>
        <w:rPr>
          <w:lang w:val="it-IT"/>
        </w:rPr>
      </w:pPr>
    </w:p>
    <w:p w14:paraId="3BF1C97D" w14:textId="77777777" w:rsidR="00953B2E" w:rsidRPr="00146E60" w:rsidRDefault="005F0C19">
      <w:pPr>
        <w:rPr>
          <w:rFonts w:ascii="Times New Roman" w:eastAsia="Times New Roman" w:hAnsi="Times New Roman" w:cs="Times New Roman"/>
          <w:lang w:val="pt-BR"/>
        </w:rPr>
      </w:pPr>
      <w:r w:rsidRPr="00146E60">
        <w:rPr>
          <w:rFonts w:ascii="Times New Roman" w:eastAsia="Times New Roman" w:hAnsi="Times New Roman" w:cs="Times New Roman"/>
          <w:i/>
          <w:iCs/>
          <w:spacing w:val="-1"/>
          <w:lang w:val="it-IT"/>
        </w:rPr>
        <w:t>Psoriasi a placche pediatrica</w:t>
      </w:r>
    </w:p>
    <w:p w14:paraId="45CB8977" w14:textId="77777777" w:rsidR="00953B2E" w:rsidRPr="00C35766" w:rsidRDefault="00953B2E">
      <w:pPr>
        <w:spacing w:line="240" w:lineRule="exact"/>
        <w:rPr>
          <w:rFonts w:ascii="Times New Roman" w:hAnsi="Times New Roman" w:cs="Times New Roman"/>
          <w:sz w:val="24"/>
          <w:szCs w:val="24"/>
          <w:lang w:val="pt-BR"/>
        </w:rPr>
      </w:pPr>
    </w:p>
    <w:p w14:paraId="2C6577E4" w14:textId="77777777" w:rsidR="00953B2E" w:rsidRPr="00C35766" w:rsidRDefault="005F0C19">
      <w:pPr>
        <w:pStyle w:val="a3"/>
        <w:rPr>
          <w:lang w:val="it-IT"/>
        </w:rPr>
      </w:pPr>
      <w:r w:rsidRPr="00C35766">
        <w:rPr>
          <w:rFonts w:eastAsia="Times New Roman"/>
          <w:lang w:val="it-IT"/>
        </w:rPr>
        <w:t>La dose raccomandata di Yuflyma per pazienti con psoriasi a placche dai 4 ai 17 anni di età è basata sul peso corporeo (Tabella 3). Yuflyma è somministrato tramite iniezione sottocutanea.</w:t>
      </w:r>
    </w:p>
    <w:p w14:paraId="4BB5419D" w14:textId="77777777" w:rsidR="00953B2E" w:rsidRPr="00C35766" w:rsidRDefault="00953B2E">
      <w:pPr>
        <w:pStyle w:val="a3"/>
        <w:rPr>
          <w:lang w:val="it-IT"/>
        </w:rPr>
      </w:pPr>
    </w:p>
    <w:p w14:paraId="03A3116F" w14:textId="59088000" w:rsidR="00953B2E" w:rsidRPr="00C35766" w:rsidRDefault="005F0C19">
      <w:pPr>
        <w:pStyle w:val="a3"/>
        <w:jc w:val="center"/>
        <w:rPr>
          <w:b/>
          <w:lang w:val="it-IT"/>
        </w:rPr>
      </w:pPr>
      <w:r w:rsidRPr="00C35766">
        <w:rPr>
          <w:rFonts w:eastAsia="Times New Roman"/>
          <w:b/>
          <w:bCs/>
          <w:lang w:val="it-IT"/>
        </w:rPr>
        <w:t>Tabella 3</w:t>
      </w:r>
      <w:r w:rsidR="00FF66BD">
        <w:rPr>
          <w:rFonts w:eastAsia="Times New Roman"/>
          <w:b/>
          <w:bCs/>
          <w:lang w:val="it-IT"/>
        </w:rPr>
        <w:t xml:space="preserve">. </w:t>
      </w:r>
      <w:r w:rsidRPr="00C35766">
        <w:rPr>
          <w:rFonts w:eastAsia="Times New Roman"/>
          <w:b/>
          <w:bCs/>
          <w:lang w:val="it-IT"/>
        </w:rPr>
        <w:t xml:space="preserve"> Dose di Yuflyma per pazienti pediatrici con psoriasi a placche</w:t>
      </w:r>
    </w:p>
    <w:p w14:paraId="21E08A4C" w14:textId="77777777" w:rsidR="00953B2E" w:rsidRPr="00C35766" w:rsidRDefault="00953B2E">
      <w:pPr>
        <w:spacing w:before="7" w:line="220" w:lineRule="exact"/>
        <w:jc w:val="center"/>
        <w:rPr>
          <w:rFonts w:ascii="Times New Roman" w:hAnsi="Times New Roman" w:cs="Times New Roman"/>
          <w:b/>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4225"/>
      </w:tblGrid>
      <w:tr w:rsidR="00953B2E" w:rsidRPr="00C35766" w14:paraId="1A8645E2" w14:textId="77777777" w:rsidTr="00933A6C">
        <w:trPr>
          <w:trHeight w:val="374"/>
          <w:jc w:val="center"/>
        </w:trPr>
        <w:tc>
          <w:tcPr>
            <w:tcW w:w="3572" w:type="dxa"/>
            <w:tcBorders>
              <w:top w:val="single" w:sz="4" w:space="0" w:color="auto"/>
              <w:bottom w:val="single" w:sz="4" w:space="0" w:color="auto"/>
            </w:tcBorders>
            <w:vAlign w:val="center"/>
          </w:tcPr>
          <w:p w14:paraId="3E263736" w14:textId="77777777" w:rsidR="00953B2E" w:rsidRPr="00C35766" w:rsidRDefault="005F0C19">
            <w:pPr>
              <w:pStyle w:val="a3"/>
              <w:jc w:val="center"/>
              <w:rPr>
                <w:b/>
              </w:rPr>
            </w:pPr>
            <w:r w:rsidRPr="00C35766">
              <w:rPr>
                <w:rFonts w:eastAsia="Times New Roman"/>
                <w:b/>
                <w:bCs/>
                <w:lang w:val="it-IT"/>
              </w:rPr>
              <w:t>Peso del paziente</w:t>
            </w:r>
          </w:p>
        </w:tc>
        <w:tc>
          <w:tcPr>
            <w:tcW w:w="4225" w:type="dxa"/>
            <w:tcBorders>
              <w:top w:val="single" w:sz="4" w:space="0" w:color="auto"/>
              <w:bottom w:val="single" w:sz="4" w:space="0" w:color="auto"/>
            </w:tcBorders>
            <w:vAlign w:val="center"/>
          </w:tcPr>
          <w:p w14:paraId="5B20F5E5" w14:textId="77777777" w:rsidR="00953B2E" w:rsidRPr="00C35766" w:rsidRDefault="005F0C19">
            <w:pPr>
              <w:pStyle w:val="a3"/>
              <w:jc w:val="center"/>
              <w:rPr>
                <w:b/>
              </w:rPr>
            </w:pPr>
            <w:r w:rsidRPr="00C35766">
              <w:rPr>
                <w:rFonts w:eastAsia="Times New Roman"/>
                <w:b/>
                <w:bCs/>
                <w:lang w:val="it-IT"/>
              </w:rPr>
              <w:t>Schema posologico</w:t>
            </w:r>
          </w:p>
        </w:tc>
      </w:tr>
      <w:tr w:rsidR="00F51B72" w:rsidRPr="00494E69" w14:paraId="49A26DB6" w14:textId="77777777" w:rsidTr="00933A6C">
        <w:trPr>
          <w:trHeight w:val="388"/>
          <w:jc w:val="center"/>
        </w:trPr>
        <w:tc>
          <w:tcPr>
            <w:tcW w:w="3572" w:type="dxa"/>
            <w:tcBorders>
              <w:top w:val="single" w:sz="4" w:space="0" w:color="auto"/>
              <w:bottom w:val="single" w:sz="4" w:space="0" w:color="auto"/>
            </w:tcBorders>
            <w:vAlign w:val="center"/>
          </w:tcPr>
          <w:p w14:paraId="2C33B3F6" w14:textId="77777777" w:rsidR="00F51B72" w:rsidRPr="00C35766" w:rsidRDefault="00F51B72" w:rsidP="00F51B72">
            <w:pPr>
              <w:pStyle w:val="a3"/>
              <w:jc w:val="center"/>
            </w:pPr>
            <w:r w:rsidRPr="00C35766">
              <w:rPr>
                <w:rFonts w:eastAsia="Times New Roman"/>
                <w:lang w:val="it-IT"/>
              </w:rPr>
              <w:t>15 kg fino a &lt; 30 kg</w:t>
            </w:r>
          </w:p>
        </w:tc>
        <w:tc>
          <w:tcPr>
            <w:tcW w:w="4225" w:type="dxa"/>
            <w:tcBorders>
              <w:top w:val="single" w:sz="4" w:space="0" w:color="auto"/>
              <w:bottom w:val="single" w:sz="4" w:space="0" w:color="auto"/>
            </w:tcBorders>
            <w:vAlign w:val="center"/>
          </w:tcPr>
          <w:p w14:paraId="568BBB6F" w14:textId="4AFEEA84" w:rsidR="00F51B72" w:rsidRPr="004F0B2E" w:rsidRDefault="00F51B72" w:rsidP="00F51B72">
            <w:pPr>
              <w:pStyle w:val="a3"/>
              <w:jc w:val="center"/>
              <w:rPr>
                <w:lang w:val="it-IT"/>
              </w:rPr>
            </w:pPr>
            <w:r w:rsidRPr="00C35766">
              <w:rPr>
                <w:rFonts w:eastAsia="Times New Roman"/>
                <w:lang w:val="it-IT"/>
              </w:rPr>
              <w:t xml:space="preserve">Dose iniziale di </w:t>
            </w:r>
            <w:r>
              <w:rPr>
                <w:rFonts w:eastAsia="Times New Roman"/>
                <w:lang w:val="it-IT"/>
              </w:rPr>
              <w:t>20</w:t>
            </w:r>
            <w:r w:rsidRPr="00C35766">
              <w:rPr>
                <w:rFonts w:eastAsia="Times New Roman"/>
                <w:lang w:val="it-IT"/>
              </w:rPr>
              <w:t xml:space="preserve"> mg, seguita da </w:t>
            </w:r>
            <w:r>
              <w:rPr>
                <w:rFonts w:eastAsia="Times New Roman"/>
                <w:lang w:val="it-IT"/>
              </w:rPr>
              <w:t>20</w:t>
            </w:r>
            <w:r w:rsidRPr="00C35766">
              <w:rPr>
                <w:rFonts w:eastAsia="Times New Roman"/>
                <w:lang w:val="it-IT"/>
              </w:rPr>
              <w:t xml:space="preserve"> mg somministrati a settimane alterne iniziando una settimana dopo la dose iniziale</w:t>
            </w:r>
          </w:p>
        </w:tc>
      </w:tr>
      <w:tr w:rsidR="00F51B72" w:rsidRPr="00494E69" w14:paraId="65D2CA63" w14:textId="77777777" w:rsidTr="00933A6C">
        <w:trPr>
          <w:trHeight w:val="374"/>
          <w:jc w:val="center"/>
        </w:trPr>
        <w:tc>
          <w:tcPr>
            <w:tcW w:w="3572" w:type="dxa"/>
            <w:tcBorders>
              <w:top w:val="single" w:sz="4" w:space="0" w:color="auto"/>
              <w:bottom w:val="single" w:sz="4" w:space="0" w:color="auto"/>
            </w:tcBorders>
            <w:vAlign w:val="center"/>
          </w:tcPr>
          <w:p w14:paraId="7757B788" w14:textId="77777777" w:rsidR="00F51B72" w:rsidRPr="00C35766" w:rsidRDefault="00F51B72" w:rsidP="00F51B72">
            <w:pPr>
              <w:pStyle w:val="a3"/>
              <w:jc w:val="center"/>
            </w:pPr>
            <w:r w:rsidRPr="00C35766">
              <w:rPr>
                <w:rFonts w:eastAsia="Times New Roman"/>
                <w:lang w:val="it-IT"/>
              </w:rPr>
              <w:t>≥ 30 kg</w:t>
            </w:r>
          </w:p>
        </w:tc>
        <w:tc>
          <w:tcPr>
            <w:tcW w:w="4225" w:type="dxa"/>
            <w:tcBorders>
              <w:top w:val="single" w:sz="4" w:space="0" w:color="auto"/>
              <w:bottom w:val="single" w:sz="4" w:space="0" w:color="auto"/>
            </w:tcBorders>
            <w:vAlign w:val="center"/>
          </w:tcPr>
          <w:p w14:paraId="7B28C321" w14:textId="77777777" w:rsidR="00F51B72" w:rsidRPr="00C35766" w:rsidRDefault="00F51B72" w:rsidP="00F51B72">
            <w:pPr>
              <w:pStyle w:val="a3"/>
              <w:jc w:val="center"/>
              <w:rPr>
                <w:lang w:val="it-IT"/>
              </w:rPr>
            </w:pPr>
            <w:r w:rsidRPr="00C35766">
              <w:rPr>
                <w:rFonts w:eastAsia="Times New Roman"/>
                <w:lang w:val="it-IT"/>
              </w:rPr>
              <w:t>Dose iniziale di 40 mg, seguita da 40 mg somministrati a settimane alterne iniziando una settimana dopo la dose iniziale</w:t>
            </w:r>
          </w:p>
        </w:tc>
      </w:tr>
    </w:tbl>
    <w:p w14:paraId="5BD62F77" w14:textId="77777777" w:rsidR="00953B2E" w:rsidRPr="00C35766" w:rsidRDefault="00953B2E">
      <w:pPr>
        <w:pStyle w:val="a3"/>
        <w:rPr>
          <w:lang w:val="pt-BR"/>
        </w:rPr>
      </w:pPr>
    </w:p>
    <w:p w14:paraId="42E7DEB1" w14:textId="4569AC42" w:rsidR="00953B2E" w:rsidRPr="00C35766" w:rsidRDefault="005F0C19">
      <w:pPr>
        <w:pStyle w:val="a3"/>
        <w:rPr>
          <w:lang w:val="pt-BR"/>
        </w:rPr>
      </w:pPr>
      <w:r w:rsidRPr="00C35766">
        <w:rPr>
          <w:rFonts w:eastAsia="Times New Roman"/>
          <w:lang w:val="it-IT"/>
        </w:rPr>
        <w:t xml:space="preserve">Il proseguimento della terapia oltre le 16 settimane </w:t>
      </w:r>
      <w:r w:rsidR="0076212A" w:rsidRPr="00C35766">
        <w:rPr>
          <w:rFonts w:eastAsia="Times New Roman"/>
          <w:lang w:val="it-IT"/>
        </w:rPr>
        <w:t>d</w:t>
      </w:r>
      <w:r w:rsidR="0076212A">
        <w:rPr>
          <w:rFonts w:eastAsia="Times New Roman"/>
          <w:lang w:val="it-IT"/>
        </w:rPr>
        <w:t xml:space="preserve">eve </w:t>
      </w:r>
      <w:r w:rsidRPr="00C35766">
        <w:rPr>
          <w:rFonts w:eastAsia="Times New Roman"/>
          <w:lang w:val="it-IT"/>
        </w:rPr>
        <w:t>essere attentamente valutato in pazienti che non rispondono entro questo periodo di tempo.</w:t>
      </w:r>
    </w:p>
    <w:p w14:paraId="54570CCF" w14:textId="77777777" w:rsidR="00953B2E" w:rsidRPr="00C35766" w:rsidRDefault="00953B2E">
      <w:pPr>
        <w:spacing w:line="240" w:lineRule="exact"/>
        <w:rPr>
          <w:rFonts w:ascii="Times New Roman" w:hAnsi="Times New Roman" w:cs="Times New Roman"/>
          <w:sz w:val="24"/>
          <w:szCs w:val="24"/>
          <w:lang w:val="pt-BR"/>
        </w:rPr>
      </w:pPr>
    </w:p>
    <w:p w14:paraId="2A93393E" w14:textId="77777777" w:rsidR="00953B2E" w:rsidRPr="00C35766" w:rsidRDefault="005F0C19">
      <w:pPr>
        <w:pStyle w:val="a3"/>
        <w:rPr>
          <w:lang w:val="es-ES"/>
        </w:rPr>
      </w:pPr>
      <w:r w:rsidRPr="00C35766">
        <w:rPr>
          <w:rFonts w:eastAsia="Times New Roman"/>
          <w:lang w:val="it-IT"/>
        </w:rPr>
        <w:t>Laddove sia indicato il ri-trattamento con adalimumab, occorre seguire le indicazioni sopra riportate riguardo la dose e la durata del trattamento.</w:t>
      </w:r>
    </w:p>
    <w:p w14:paraId="6D07C368" w14:textId="77777777" w:rsidR="00953B2E" w:rsidRPr="00C35766" w:rsidRDefault="00953B2E">
      <w:pPr>
        <w:spacing w:line="240" w:lineRule="exact"/>
        <w:rPr>
          <w:rFonts w:ascii="Times New Roman" w:hAnsi="Times New Roman" w:cs="Times New Roman"/>
          <w:sz w:val="24"/>
          <w:szCs w:val="24"/>
          <w:lang w:val="es-ES"/>
        </w:rPr>
      </w:pPr>
    </w:p>
    <w:p w14:paraId="5DE05C59" w14:textId="77777777" w:rsidR="00953B2E" w:rsidRPr="00C35766" w:rsidRDefault="005F0C19">
      <w:pPr>
        <w:pStyle w:val="a3"/>
        <w:rPr>
          <w:lang w:val="es-ES"/>
        </w:rPr>
      </w:pPr>
      <w:r w:rsidRPr="00C35766">
        <w:rPr>
          <w:rFonts w:eastAsia="Times New Roman"/>
          <w:lang w:val="it-IT"/>
        </w:rPr>
        <w:t>La sicurezza di adalimumab nei pazienti pediatrici con psoriasi a placche è stata valutata per un periodo medio di 13 mesi.</w:t>
      </w:r>
    </w:p>
    <w:p w14:paraId="0343AE02" w14:textId="77777777" w:rsidR="00953B2E" w:rsidRPr="00C35766" w:rsidRDefault="00953B2E">
      <w:pPr>
        <w:spacing w:line="240" w:lineRule="exact"/>
        <w:rPr>
          <w:rFonts w:ascii="Times New Roman" w:hAnsi="Times New Roman" w:cs="Times New Roman"/>
          <w:sz w:val="24"/>
          <w:szCs w:val="24"/>
          <w:lang w:val="es-ES"/>
        </w:rPr>
      </w:pPr>
    </w:p>
    <w:p w14:paraId="567736E0" w14:textId="77777777" w:rsidR="00953B2E" w:rsidRPr="00C35766" w:rsidRDefault="005F0C19">
      <w:pPr>
        <w:pStyle w:val="a3"/>
        <w:rPr>
          <w:lang w:val="es-ES"/>
        </w:rPr>
      </w:pPr>
      <w:r w:rsidRPr="00C35766">
        <w:rPr>
          <w:rFonts w:eastAsia="Times New Roman"/>
          <w:lang w:val="it-IT"/>
        </w:rPr>
        <w:t>Non c’è un uso rilevante di adalimumab nei bambini di età inferiore ai 4 anni per questa indicazione.</w:t>
      </w:r>
    </w:p>
    <w:p w14:paraId="36811967" w14:textId="77777777" w:rsidR="00953B2E" w:rsidRPr="00C35766" w:rsidRDefault="00953B2E">
      <w:pPr>
        <w:pStyle w:val="a3"/>
        <w:rPr>
          <w:lang w:val="es-ES"/>
        </w:rPr>
      </w:pPr>
    </w:p>
    <w:p w14:paraId="11B84FB9" w14:textId="77777777" w:rsidR="00953B2E" w:rsidRPr="00146E60" w:rsidRDefault="005F0C19">
      <w:pPr>
        <w:jc w:val="both"/>
        <w:rPr>
          <w:rFonts w:ascii="Times New Roman" w:eastAsia="Times New Roman" w:hAnsi="Times New Roman" w:cs="Times New Roman"/>
          <w:lang w:val="es-ES"/>
        </w:rPr>
      </w:pPr>
      <w:r w:rsidRPr="00146E60">
        <w:rPr>
          <w:rFonts w:ascii="Times New Roman" w:eastAsia="Times New Roman" w:hAnsi="Times New Roman" w:cs="Times New Roman"/>
          <w:i/>
          <w:iCs/>
          <w:spacing w:val="-1"/>
          <w:lang w:val="it-IT"/>
        </w:rPr>
        <w:t>Idrosadenite suppurativa negli adolescenti (dai 12 anni d’età, di almeno 30 kg di peso)</w:t>
      </w:r>
    </w:p>
    <w:p w14:paraId="66D734BC" w14:textId="77777777" w:rsidR="00953B2E" w:rsidRPr="00C35766" w:rsidRDefault="00953B2E">
      <w:pPr>
        <w:spacing w:line="240" w:lineRule="exact"/>
        <w:rPr>
          <w:rFonts w:ascii="Times New Roman" w:hAnsi="Times New Roman" w:cs="Times New Roman"/>
          <w:sz w:val="24"/>
          <w:szCs w:val="24"/>
          <w:lang w:val="es-ES"/>
        </w:rPr>
      </w:pPr>
    </w:p>
    <w:p w14:paraId="690F09E7" w14:textId="2D184F6E" w:rsidR="00953B2E" w:rsidRPr="00C35766" w:rsidRDefault="005F0C19">
      <w:pPr>
        <w:pStyle w:val="a3"/>
        <w:rPr>
          <w:lang w:val="es-ES"/>
        </w:rPr>
      </w:pPr>
      <w:r w:rsidRPr="00C35766">
        <w:rPr>
          <w:rFonts w:eastAsia="Times New Roman"/>
          <w:lang w:val="it-IT"/>
        </w:rPr>
        <w:t>Non ci sono studi clinici con adalimumab in pazienti adolescenti con HS. La posologia di adalimumab in questi pazienti è stata determinata sulla base di modelli e simulazione farmacocinetic</w:t>
      </w:r>
      <w:r w:rsidR="00447EBB" w:rsidRPr="00C35766">
        <w:rPr>
          <w:rFonts w:eastAsia="Times New Roman"/>
          <w:lang w:val="it-IT"/>
        </w:rPr>
        <w:t>i</w:t>
      </w:r>
      <w:r w:rsidRPr="00C35766">
        <w:rPr>
          <w:rFonts w:eastAsia="Times New Roman"/>
          <w:lang w:val="it-IT"/>
        </w:rPr>
        <w:t xml:space="preserve"> (vedere paragrafo 5.2).</w:t>
      </w:r>
    </w:p>
    <w:p w14:paraId="00FBDB8F" w14:textId="77777777" w:rsidR="00953B2E" w:rsidRPr="00C35766" w:rsidRDefault="00953B2E">
      <w:pPr>
        <w:spacing w:line="240" w:lineRule="exact"/>
        <w:rPr>
          <w:rFonts w:ascii="Times New Roman" w:hAnsi="Times New Roman" w:cs="Times New Roman"/>
          <w:sz w:val="24"/>
          <w:szCs w:val="24"/>
          <w:lang w:val="es-ES"/>
        </w:rPr>
      </w:pPr>
    </w:p>
    <w:p w14:paraId="59229AFF" w14:textId="77777777" w:rsidR="00953B2E" w:rsidRPr="00C35766" w:rsidRDefault="005F0C19">
      <w:pPr>
        <w:pStyle w:val="a3"/>
        <w:rPr>
          <w:lang w:val="es-ES"/>
        </w:rPr>
      </w:pPr>
      <w:r w:rsidRPr="00C35766">
        <w:rPr>
          <w:rFonts w:eastAsia="Times New Roman"/>
          <w:spacing w:val="1"/>
          <w:lang w:val="it-IT"/>
        </w:rPr>
        <w:t>La dose raccomandata di Yuflyma è di 80 mg alla settimana 0 seguiti da 40 mg a settimane alterne a partire dalla settimana 1 tramite iniezione sottocutanea.</w:t>
      </w:r>
    </w:p>
    <w:p w14:paraId="1FA0FC43" w14:textId="77777777" w:rsidR="00953B2E" w:rsidRPr="00C35766" w:rsidRDefault="00953B2E">
      <w:pPr>
        <w:spacing w:line="240" w:lineRule="exact"/>
        <w:rPr>
          <w:rFonts w:ascii="Times New Roman" w:hAnsi="Times New Roman" w:cs="Times New Roman"/>
          <w:sz w:val="24"/>
          <w:szCs w:val="24"/>
          <w:lang w:val="es-ES"/>
        </w:rPr>
      </w:pPr>
    </w:p>
    <w:p w14:paraId="7DFA4A30" w14:textId="77777777" w:rsidR="00953B2E" w:rsidRPr="00C35766" w:rsidRDefault="005F0C19">
      <w:pPr>
        <w:pStyle w:val="a3"/>
        <w:rPr>
          <w:lang w:val="es-ES"/>
        </w:rPr>
      </w:pPr>
      <w:r w:rsidRPr="00C35766">
        <w:rPr>
          <w:rFonts w:eastAsia="Times New Roman"/>
          <w:lang w:val="it-IT"/>
        </w:rPr>
        <w:t>In pazienti adolescenti con una risposta inadeguata a 40 mg di Yuflyma a settimane alterne, può essere preso in considerazione un incremento del dosaggio a 40 mg ogni settimana o 80 mg a settimane alterne.</w:t>
      </w:r>
    </w:p>
    <w:p w14:paraId="05FD07F4" w14:textId="77777777" w:rsidR="00953B2E" w:rsidRPr="00C35766" w:rsidRDefault="00953B2E">
      <w:pPr>
        <w:spacing w:line="240" w:lineRule="exact"/>
        <w:rPr>
          <w:rFonts w:ascii="Times New Roman" w:hAnsi="Times New Roman" w:cs="Times New Roman"/>
          <w:sz w:val="24"/>
          <w:szCs w:val="24"/>
          <w:lang w:val="es-ES"/>
        </w:rPr>
      </w:pPr>
    </w:p>
    <w:p w14:paraId="5726E080" w14:textId="77777777" w:rsidR="00953B2E" w:rsidRPr="00C35766" w:rsidRDefault="005F0C19">
      <w:pPr>
        <w:pStyle w:val="a3"/>
        <w:rPr>
          <w:lang w:val="es-ES"/>
        </w:rPr>
      </w:pPr>
      <w:r w:rsidRPr="00C35766">
        <w:rPr>
          <w:rFonts w:eastAsia="Times New Roman"/>
          <w:lang w:val="it-IT"/>
        </w:rPr>
        <w:t>Se necessario, è possibile continuare la terapia antibiotica durante il trattamento con Yuflyma. Durante il trattamento con Yuflyma si raccomanda ai pazienti di usare tutti i giorni una soluzione di lavaggio antisettica topica sulle lesioni correlate all’idrosadenite suppurativa (HS).</w:t>
      </w:r>
    </w:p>
    <w:p w14:paraId="097F6592" w14:textId="77777777" w:rsidR="00953B2E" w:rsidRPr="00C35766" w:rsidRDefault="00953B2E">
      <w:pPr>
        <w:spacing w:line="240" w:lineRule="exact"/>
        <w:rPr>
          <w:rFonts w:ascii="Times New Roman" w:hAnsi="Times New Roman" w:cs="Times New Roman"/>
          <w:sz w:val="24"/>
          <w:szCs w:val="24"/>
          <w:lang w:val="es-ES"/>
        </w:rPr>
      </w:pPr>
    </w:p>
    <w:p w14:paraId="7768480F" w14:textId="77777777" w:rsidR="00953B2E" w:rsidRPr="00C35766" w:rsidRDefault="005F0C19">
      <w:pPr>
        <w:pStyle w:val="a3"/>
        <w:rPr>
          <w:lang w:val="es-ES"/>
        </w:rPr>
      </w:pPr>
      <w:r w:rsidRPr="00C35766">
        <w:rPr>
          <w:rFonts w:eastAsia="Times New Roman"/>
          <w:lang w:val="it-IT"/>
        </w:rPr>
        <w:t>La prosecuzione della terapia oltre 12 settimane di trattamento deve essere valutata attentamente se i pazienti non sono migliorati in tale periodo.</w:t>
      </w:r>
    </w:p>
    <w:p w14:paraId="76A1663A" w14:textId="77777777" w:rsidR="00953B2E" w:rsidRPr="00C35766" w:rsidRDefault="00953B2E">
      <w:pPr>
        <w:spacing w:line="240" w:lineRule="exact"/>
        <w:rPr>
          <w:rFonts w:ascii="Times New Roman" w:hAnsi="Times New Roman" w:cs="Times New Roman"/>
          <w:sz w:val="24"/>
          <w:szCs w:val="24"/>
          <w:lang w:val="es-ES"/>
        </w:rPr>
      </w:pPr>
    </w:p>
    <w:p w14:paraId="28DBA5CC" w14:textId="77777777" w:rsidR="00953B2E" w:rsidRPr="00C35766" w:rsidRDefault="005F0C19">
      <w:pPr>
        <w:pStyle w:val="a3"/>
        <w:rPr>
          <w:lang w:val="pt-BR"/>
        </w:rPr>
      </w:pPr>
      <w:r w:rsidRPr="00C35766">
        <w:rPr>
          <w:rFonts w:eastAsia="Times New Roman"/>
          <w:lang w:val="it-IT"/>
        </w:rPr>
        <w:t>Laddove fosse necessario interrompere il trattamento, è possibile riprendere la terapia con Yuflyma.</w:t>
      </w:r>
    </w:p>
    <w:p w14:paraId="0D745E27" w14:textId="77777777" w:rsidR="00953B2E" w:rsidRPr="00C35766" w:rsidRDefault="00953B2E">
      <w:pPr>
        <w:spacing w:line="240" w:lineRule="exact"/>
        <w:rPr>
          <w:rFonts w:ascii="Times New Roman" w:hAnsi="Times New Roman" w:cs="Times New Roman"/>
          <w:sz w:val="24"/>
          <w:szCs w:val="24"/>
          <w:lang w:val="pt-BR"/>
        </w:rPr>
      </w:pPr>
    </w:p>
    <w:p w14:paraId="444CA5E1" w14:textId="77777777" w:rsidR="00953B2E" w:rsidRPr="00C35766" w:rsidRDefault="005F0C19">
      <w:pPr>
        <w:pStyle w:val="a3"/>
        <w:rPr>
          <w:lang w:val="pt-BR"/>
        </w:rPr>
      </w:pPr>
      <w:r w:rsidRPr="00C35766">
        <w:rPr>
          <w:rFonts w:eastAsia="Times New Roman"/>
          <w:lang w:val="it-IT"/>
        </w:rPr>
        <w:t>La valutazione dei benefici e dei rischi del trattamento continuato a lungo termine deve essere effettuata periodicamente (vedere i dati relativi agli adulti nel paragrafo 5.1).</w:t>
      </w:r>
    </w:p>
    <w:p w14:paraId="4B848CEB" w14:textId="77777777" w:rsidR="00953B2E" w:rsidRPr="00C35766" w:rsidRDefault="00953B2E">
      <w:pPr>
        <w:spacing w:line="240" w:lineRule="exact"/>
        <w:rPr>
          <w:rFonts w:ascii="Times New Roman" w:hAnsi="Times New Roman" w:cs="Times New Roman"/>
          <w:sz w:val="24"/>
          <w:szCs w:val="24"/>
          <w:lang w:val="pt-BR"/>
        </w:rPr>
      </w:pPr>
    </w:p>
    <w:p w14:paraId="371EE797" w14:textId="18ABEA15" w:rsidR="00953B2E" w:rsidRPr="00C35766" w:rsidRDefault="005F0C19">
      <w:pPr>
        <w:pStyle w:val="a3"/>
        <w:rPr>
          <w:lang w:val="pt-BR"/>
        </w:rPr>
      </w:pPr>
      <w:r w:rsidRPr="00C35766">
        <w:rPr>
          <w:rFonts w:eastAsia="Times New Roman"/>
          <w:lang w:val="it-IT"/>
        </w:rPr>
        <w:t xml:space="preserve">Non c’è un uso rilevante di adalimumab nei bambini di età inferiore ai 12 anni </w:t>
      </w:r>
      <w:r w:rsidR="00A7278B" w:rsidRPr="00C35766">
        <w:rPr>
          <w:rFonts w:eastAsia="Times New Roman"/>
          <w:lang w:val="it-IT"/>
        </w:rPr>
        <w:t xml:space="preserve">per </w:t>
      </w:r>
      <w:r w:rsidRPr="00C35766">
        <w:rPr>
          <w:rFonts w:eastAsia="Times New Roman"/>
          <w:lang w:val="it-IT"/>
        </w:rPr>
        <w:t>questa indicazione.</w:t>
      </w:r>
    </w:p>
    <w:p w14:paraId="37A76BFD" w14:textId="77777777" w:rsidR="00953B2E" w:rsidRPr="00C35766" w:rsidRDefault="00953B2E">
      <w:pPr>
        <w:spacing w:line="240" w:lineRule="exact"/>
        <w:rPr>
          <w:rFonts w:ascii="Times New Roman" w:hAnsi="Times New Roman" w:cs="Times New Roman"/>
          <w:sz w:val="24"/>
          <w:szCs w:val="24"/>
          <w:lang w:val="pt-BR"/>
        </w:rPr>
      </w:pPr>
    </w:p>
    <w:p w14:paraId="2CE6A479" w14:textId="77777777" w:rsidR="00953B2E" w:rsidRPr="00146E60" w:rsidRDefault="005F0C19">
      <w:pPr>
        <w:jc w:val="both"/>
        <w:rPr>
          <w:rFonts w:ascii="Times New Roman" w:eastAsia="Times New Roman" w:hAnsi="Times New Roman" w:cs="Times New Roman"/>
          <w:lang w:val="pt-BR"/>
        </w:rPr>
      </w:pPr>
      <w:r w:rsidRPr="00146E60">
        <w:rPr>
          <w:rFonts w:ascii="Times New Roman" w:eastAsia="Times New Roman" w:hAnsi="Times New Roman" w:cs="Times New Roman"/>
          <w:i/>
          <w:iCs/>
          <w:spacing w:val="-1"/>
          <w:lang w:val="it-IT"/>
        </w:rPr>
        <w:t>Malattia di Crohn in pazienti pediatrici</w:t>
      </w:r>
    </w:p>
    <w:p w14:paraId="27408E73" w14:textId="77777777" w:rsidR="00953B2E" w:rsidRPr="00C35766" w:rsidRDefault="00953B2E">
      <w:pPr>
        <w:spacing w:line="240" w:lineRule="exact"/>
        <w:rPr>
          <w:rFonts w:ascii="Times New Roman" w:hAnsi="Times New Roman" w:cs="Times New Roman"/>
          <w:sz w:val="24"/>
          <w:szCs w:val="24"/>
          <w:lang w:val="pt-BR"/>
        </w:rPr>
      </w:pPr>
    </w:p>
    <w:p w14:paraId="72A5991B" w14:textId="77777777" w:rsidR="00953B2E" w:rsidRPr="00C35766" w:rsidRDefault="005F0C19">
      <w:pPr>
        <w:pStyle w:val="a3"/>
        <w:rPr>
          <w:lang w:val="it-IT"/>
        </w:rPr>
      </w:pPr>
      <w:r w:rsidRPr="00C35766">
        <w:rPr>
          <w:rFonts w:eastAsia="Times New Roman"/>
          <w:lang w:val="it-IT"/>
        </w:rPr>
        <w:t>La dose raccomandata di Yuflyma per pazienti con malattia di Crohn di età compresa tra 6 e 17 anni è basata sul peso corporeo (Tabella 4). Yuflyma è somministrato tramite iniezione sottocutanea.</w:t>
      </w:r>
    </w:p>
    <w:p w14:paraId="55EF9E03" w14:textId="77777777" w:rsidR="00953B2E" w:rsidRPr="00C35766" w:rsidRDefault="00953B2E">
      <w:pPr>
        <w:pStyle w:val="a3"/>
        <w:rPr>
          <w:lang w:val="it-IT"/>
        </w:rPr>
      </w:pPr>
    </w:p>
    <w:p w14:paraId="2E18837A" w14:textId="5199842F" w:rsidR="00953B2E" w:rsidRDefault="005F0C19" w:rsidP="007272F4">
      <w:pPr>
        <w:pStyle w:val="a3"/>
        <w:jc w:val="center"/>
        <w:rPr>
          <w:rFonts w:eastAsia="Times New Roman"/>
          <w:b/>
          <w:bCs/>
          <w:lang w:val="it-IT"/>
        </w:rPr>
      </w:pPr>
      <w:r w:rsidRPr="00C35766">
        <w:rPr>
          <w:rFonts w:eastAsia="Times New Roman"/>
          <w:b/>
          <w:bCs/>
          <w:lang w:val="it-IT"/>
        </w:rPr>
        <w:t>Tabella 4 Dose di adalimumab per pazienti pediatrici con malattia di Crohn</w:t>
      </w:r>
    </w:p>
    <w:p w14:paraId="6C61A12C" w14:textId="77777777" w:rsidR="00A842FF" w:rsidRPr="00C35766" w:rsidRDefault="00A842FF" w:rsidP="007272F4">
      <w:pPr>
        <w:pStyle w:val="a3"/>
        <w:jc w:val="center"/>
        <w:rPr>
          <w:sz w:val="24"/>
          <w:szCs w:val="24"/>
          <w:lang w:val="it-IT"/>
        </w:rPr>
      </w:pPr>
    </w:p>
    <w:tbl>
      <w:tblPr>
        <w:tblStyle w:val="TableNormal1"/>
        <w:tblpPr w:leftFromText="180" w:rightFromText="180" w:vertAnchor="text" w:tblpX="110" w:tblpY="1"/>
        <w:tblOverlap w:val="never"/>
        <w:tblW w:w="9403" w:type="dxa"/>
        <w:tblLayout w:type="fixed"/>
        <w:tblLook w:val="01E0" w:firstRow="1" w:lastRow="1" w:firstColumn="1" w:lastColumn="1" w:noHBand="0" w:noVBand="0"/>
      </w:tblPr>
      <w:tblGrid>
        <w:gridCol w:w="1555"/>
        <w:gridCol w:w="5670"/>
        <w:gridCol w:w="2178"/>
      </w:tblGrid>
      <w:tr w:rsidR="00953B2E" w:rsidRPr="00494E69" w14:paraId="5AC36E44" w14:textId="77777777" w:rsidTr="00A842FF">
        <w:tc>
          <w:tcPr>
            <w:tcW w:w="1555" w:type="dxa"/>
            <w:tcBorders>
              <w:top w:val="single" w:sz="4" w:space="0" w:color="auto"/>
              <w:left w:val="single" w:sz="4" w:space="0" w:color="auto"/>
              <w:bottom w:val="single" w:sz="4" w:space="0" w:color="auto"/>
              <w:right w:val="single" w:sz="4" w:space="0" w:color="auto"/>
            </w:tcBorders>
            <w:vAlign w:val="center"/>
          </w:tcPr>
          <w:p w14:paraId="7D789A6F" w14:textId="77777777" w:rsidR="00953B2E" w:rsidRPr="00C35766" w:rsidRDefault="005F0C19">
            <w:pPr>
              <w:pStyle w:val="TableParagraph"/>
              <w:spacing w:line="252" w:lineRule="exact"/>
              <w:ind w:firstLine="4"/>
              <w:jc w:val="center"/>
              <w:rPr>
                <w:rFonts w:ascii="Times New Roman" w:eastAsia="Times New Roman" w:hAnsi="Times New Roman" w:cs="Times New Roman"/>
              </w:rPr>
            </w:pPr>
            <w:r w:rsidRPr="00C35766">
              <w:rPr>
                <w:rFonts w:ascii="Times New Roman" w:eastAsia="Times New Roman" w:hAnsi="Times New Roman" w:cs="Times New Roman"/>
                <w:b/>
                <w:bCs/>
                <w:lang w:val="it-IT"/>
              </w:rPr>
              <w:t>Peso del paziente</w:t>
            </w:r>
          </w:p>
        </w:tc>
        <w:tc>
          <w:tcPr>
            <w:tcW w:w="5670" w:type="dxa"/>
            <w:tcBorders>
              <w:top w:val="single" w:sz="4" w:space="0" w:color="auto"/>
              <w:left w:val="single" w:sz="4" w:space="0" w:color="auto"/>
              <w:bottom w:val="single" w:sz="4" w:space="0" w:color="auto"/>
              <w:right w:val="single" w:sz="4" w:space="0" w:color="auto"/>
            </w:tcBorders>
            <w:vAlign w:val="center"/>
          </w:tcPr>
          <w:p w14:paraId="16C9A098" w14:textId="77777777" w:rsidR="00953B2E" w:rsidRPr="00C35766" w:rsidRDefault="005F0C19">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Dose di induzione</w:t>
            </w:r>
          </w:p>
        </w:tc>
        <w:tc>
          <w:tcPr>
            <w:tcW w:w="2178" w:type="dxa"/>
            <w:tcBorders>
              <w:top w:val="single" w:sz="4" w:space="0" w:color="auto"/>
              <w:left w:val="single" w:sz="4" w:space="0" w:color="auto"/>
              <w:bottom w:val="single" w:sz="4" w:space="0" w:color="auto"/>
              <w:right w:val="single" w:sz="4" w:space="0" w:color="auto"/>
            </w:tcBorders>
            <w:vAlign w:val="center"/>
          </w:tcPr>
          <w:p w14:paraId="50229BE5" w14:textId="77777777" w:rsidR="00953B2E" w:rsidRPr="00C35766" w:rsidRDefault="005F0C19">
            <w:pPr>
              <w:pStyle w:val="TableParagraph"/>
              <w:spacing w:line="239" w:lineRule="auto"/>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di mantenimento a partire dalla settimana 4</w:t>
            </w:r>
          </w:p>
        </w:tc>
      </w:tr>
      <w:tr w:rsidR="00F51B72" w:rsidRPr="00C35766" w14:paraId="6550EB56" w14:textId="77777777" w:rsidTr="00A842FF">
        <w:tc>
          <w:tcPr>
            <w:tcW w:w="1555" w:type="dxa"/>
            <w:tcBorders>
              <w:top w:val="single" w:sz="4" w:space="0" w:color="auto"/>
              <w:left w:val="single" w:sz="7" w:space="0" w:color="000000"/>
              <w:bottom w:val="single" w:sz="7" w:space="0" w:color="000000"/>
              <w:right w:val="single" w:sz="7" w:space="0" w:color="000000"/>
            </w:tcBorders>
          </w:tcPr>
          <w:p w14:paraId="166A0AE3" w14:textId="77777777" w:rsidR="00F51B72" w:rsidRPr="00C35766" w:rsidRDefault="00F51B72" w:rsidP="00F51B72">
            <w:pPr>
              <w:pStyle w:val="TableParagraph"/>
              <w:spacing w:before="9"/>
              <w:ind w:left="140"/>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5670" w:type="dxa"/>
            <w:tcBorders>
              <w:top w:val="single" w:sz="4" w:space="0" w:color="auto"/>
              <w:left w:val="single" w:sz="7" w:space="0" w:color="000000"/>
              <w:bottom w:val="single" w:sz="7" w:space="0" w:color="000000"/>
              <w:right w:val="single" w:sz="7" w:space="0" w:color="000000"/>
            </w:tcBorders>
          </w:tcPr>
          <w:p w14:paraId="7D305451" w14:textId="02022870" w:rsidR="00F51B72" w:rsidRPr="00C35766" w:rsidRDefault="00F51B72" w:rsidP="00F51B72">
            <w:pPr>
              <w:pStyle w:val="a4"/>
              <w:numPr>
                <w:ilvl w:val="0"/>
                <w:numId w:val="12"/>
              </w:numPr>
              <w:tabs>
                <w:tab w:val="left" w:pos="315"/>
              </w:tabs>
              <w:spacing w:before="10"/>
              <w:ind w:left="315"/>
              <w:rPr>
                <w:rFonts w:ascii="Times New Roman" w:hAnsi="Times New Roman" w:cs="Times New Roman"/>
                <w:lang w:val="it-IT"/>
              </w:rPr>
            </w:pPr>
            <w:r w:rsidRPr="00C35766">
              <w:rPr>
                <w:rFonts w:ascii="Times New Roman" w:eastAsia="Times New Roman" w:hAnsi="Times New Roman" w:cs="Times New Roman"/>
                <w:spacing w:val="-1"/>
                <w:lang w:val="it-IT"/>
              </w:rPr>
              <w:t>40 mg alla settimana 0 e 20 mg alla settimana 2</w:t>
            </w:r>
          </w:p>
          <w:p w14:paraId="421FADEC" w14:textId="77777777" w:rsidR="00F51B72" w:rsidRPr="00C35766" w:rsidRDefault="00F51B72" w:rsidP="00F51B72">
            <w:pPr>
              <w:pStyle w:val="TableParagraph"/>
              <w:spacing w:before="10" w:line="240" w:lineRule="exact"/>
              <w:rPr>
                <w:rFonts w:ascii="Times New Roman" w:hAnsi="Times New Roman" w:cs="Times New Roman"/>
                <w:sz w:val="24"/>
                <w:lang w:val="it-IT"/>
              </w:rPr>
            </w:pPr>
          </w:p>
          <w:p w14:paraId="5460125F" w14:textId="77777777" w:rsidR="00F51B72" w:rsidRPr="00C35766" w:rsidRDefault="00F51B72" w:rsidP="00F51B72">
            <w:pPr>
              <w:pStyle w:val="TableParagraph"/>
              <w:ind w:left="159"/>
              <w:rPr>
                <w:rFonts w:ascii="Times New Roman" w:hAnsi="Times New Roman" w:cs="Times New Roman"/>
                <w:lang w:val="it-IT"/>
              </w:rPr>
            </w:pPr>
            <w:r w:rsidRPr="00C35766">
              <w:rPr>
                <w:rFonts w:ascii="Times New Roman" w:eastAsia="Times New Roman" w:hAnsi="Times New Roman" w:cs="Times New Roman"/>
                <w:spacing w:val="-1"/>
                <w:lang w:val="it-IT"/>
              </w:rPr>
              <w:t>Nel caso sia necessaria una risposta più rapida alla terapia, con la consapevolezza che il rischio di eventi avversi potrebbe aumentare con l’utilizzo della dose di induzione più alta, può essere somministrata la seguente dose:</w:t>
            </w:r>
          </w:p>
          <w:p w14:paraId="04ADA5F9" w14:textId="77777777" w:rsidR="00F51B72" w:rsidRPr="00C35766" w:rsidRDefault="00F51B72" w:rsidP="00F51B72">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tc>
        <w:tc>
          <w:tcPr>
            <w:tcW w:w="2178" w:type="dxa"/>
            <w:tcBorders>
              <w:top w:val="single" w:sz="4" w:space="0" w:color="auto"/>
              <w:left w:val="single" w:sz="7" w:space="0" w:color="000000"/>
              <w:bottom w:val="single" w:sz="7" w:space="0" w:color="000000"/>
              <w:right w:val="single" w:sz="7" w:space="0" w:color="000000"/>
            </w:tcBorders>
            <w:vAlign w:val="center"/>
          </w:tcPr>
          <w:p w14:paraId="14C504AC" w14:textId="27D5F69A" w:rsidR="00F51B72" w:rsidRPr="00C35766" w:rsidRDefault="00F51B72" w:rsidP="00F51B72">
            <w:pPr>
              <w:pStyle w:val="TableParagraph"/>
              <w:spacing w:before="100" w:beforeAutospacing="1" w:line="252" w:lineRule="exact"/>
              <w:ind w:left="63" w:hanging="63"/>
              <w:jc w:val="center"/>
              <w:rPr>
                <w:rFonts w:ascii="Times New Roman" w:eastAsia="Times New Roman" w:hAnsi="Times New Roman" w:cs="Times New Roman"/>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r>
      <w:tr w:rsidR="00F51B72" w:rsidRPr="00C35766" w14:paraId="4E1FA704" w14:textId="77777777" w:rsidTr="00A842FF">
        <w:tc>
          <w:tcPr>
            <w:tcW w:w="1555" w:type="dxa"/>
            <w:tcBorders>
              <w:top w:val="single" w:sz="7" w:space="0" w:color="000000"/>
              <w:left w:val="single" w:sz="7" w:space="0" w:color="000000"/>
              <w:bottom w:val="single" w:sz="7" w:space="0" w:color="000000"/>
              <w:right w:val="single" w:sz="7" w:space="0" w:color="000000"/>
            </w:tcBorders>
          </w:tcPr>
          <w:p w14:paraId="6C612C90" w14:textId="77777777" w:rsidR="00F51B72" w:rsidRPr="00C35766" w:rsidRDefault="00F51B72" w:rsidP="00F51B72">
            <w:pPr>
              <w:pStyle w:val="TableParagraph"/>
              <w:spacing w:before="7"/>
              <w:ind w:left="143"/>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5670" w:type="dxa"/>
            <w:tcBorders>
              <w:top w:val="single" w:sz="7" w:space="0" w:color="000000"/>
              <w:left w:val="single" w:sz="7" w:space="0" w:color="000000"/>
              <w:bottom w:val="single" w:sz="7" w:space="0" w:color="000000"/>
              <w:right w:val="single" w:sz="7" w:space="0" w:color="000000"/>
            </w:tcBorders>
          </w:tcPr>
          <w:p w14:paraId="66F786D9" w14:textId="77777777" w:rsidR="00F51B72" w:rsidRPr="00C35766" w:rsidRDefault="00F51B72" w:rsidP="00F51B72">
            <w:pPr>
              <w:pStyle w:val="a4"/>
              <w:numPr>
                <w:ilvl w:val="0"/>
                <w:numId w:val="11"/>
              </w:numPr>
              <w:tabs>
                <w:tab w:val="left" w:pos="315"/>
              </w:tabs>
              <w:spacing w:before="8"/>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p w14:paraId="40FD1A75" w14:textId="77777777" w:rsidR="00F51B72" w:rsidRPr="00C35766" w:rsidRDefault="00F51B72" w:rsidP="00F51B72">
            <w:pPr>
              <w:tabs>
                <w:tab w:val="left" w:pos="315"/>
              </w:tabs>
              <w:spacing w:before="8"/>
              <w:rPr>
                <w:rFonts w:ascii="Times New Roman" w:hAnsi="Times New Roman" w:cs="Times New Roman"/>
                <w:lang w:val="it-IT"/>
              </w:rPr>
            </w:pPr>
          </w:p>
          <w:p w14:paraId="48ECDC5C" w14:textId="77777777" w:rsidR="00F51B72" w:rsidRPr="00C35766" w:rsidRDefault="00F51B72" w:rsidP="00F51B72">
            <w:pPr>
              <w:pStyle w:val="TableParagraph"/>
              <w:spacing w:before="7"/>
              <w:ind w:left="159" w:right="353"/>
              <w:rPr>
                <w:rFonts w:ascii="Times New Roman" w:hAnsi="Times New Roman" w:cs="Times New Roman"/>
                <w:lang w:val="it-IT"/>
              </w:rPr>
            </w:pPr>
            <w:r w:rsidRPr="00C35766">
              <w:rPr>
                <w:rFonts w:ascii="Times New Roman" w:eastAsia="Times New Roman" w:hAnsi="Times New Roman" w:cs="Times New Roman"/>
                <w:spacing w:val="-1"/>
                <w:lang w:val="it-IT"/>
              </w:rPr>
              <w:t xml:space="preserve">Nel caso sia necessaria una risposta più rapida alla terapia, con la consapevolezza che il rischio di eventi avversi potrebbe aumentare con l’utilizzo della dose di induzione </w:t>
            </w:r>
            <w:r w:rsidRPr="00C35766">
              <w:rPr>
                <w:rFonts w:ascii="Times New Roman" w:eastAsia="Times New Roman" w:hAnsi="Times New Roman" w:cs="Times New Roman"/>
                <w:spacing w:val="-1"/>
                <w:lang w:val="it-IT"/>
              </w:rPr>
              <w:lastRenderedPageBreak/>
              <w:t>più alta, può essere somministrata la seguente dose:</w:t>
            </w:r>
          </w:p>
          <w:p w14:paraId="41CE97CE" w14:textId="77777777" w:rsidR="00F51B72" w:rsidRPr="00C35766" w:rsidRDefault="00F51B72" w:rsidP="00F51B72">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160 mg alla settimana 0 e 80 mg alla settimana 2</w:t>
            </w:r>
          </w:p>
        </w:tc>
        <w:tc>
          <w:tcPr>
            <w:tcW w:w="2178" w:type="dxa"/>
            <w:tcBorders>
              <w:top w:val="single" w:sz="7" w:space="0" w:color="000000"/>
              <w:left w:val="single" w:sz="7" w:space="0" w:color="000000"/>
              <w:bottom w:val="single" w:sz="7" w:space="0" w:color="000000"/>
              <w:right w:val="single" w:sz="7" w:space="0" w:color="000000"/>
            </w:tcBorders>
          </w:tcPr>
          <w:p w14:paraId="2DA28045" w14:textId="77777777" w:rsidR="00F51B72" w:rsidRPr="00C35766" w:rsidRDefault="00F51B72" w:rsidP="00A842FF">
            <w:pPr>
              <w:pStyle w:val="TableParagraph"/>
              <w:spacing w:before="7" w:line="241" w:lineRule="auto"/>
              <w:rPr>
                <w:rFonts w:ascii="Times New Roman" w:eastAsia="Times New Roman" w:hAnsi="Times New Roman" w:cs="Times New Roman"/>
              </w:rPr>
            </w:pPr>
            <w:r w:rsidRPr="00C35766">
              <w:rPr>
                <w:rFonts w:ascii="Times New Roman" w:eastAsia="Times New Roman" w:hAnsi="Times New Roman" w:cs="Times New Roman"/>
                <w:spacing w:val="-1"/>
                <w:lang w:val="it-IT"/>
              </w:rPr>
              <w:lastRenderedPageBreak/>
              <w:t>40 mg a settimane alterne</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953B2E" w:rsidRPr="00C35766" w14:paraId="3B1B2177" w14:textId="77777777">
        <w:trPr>
          <w:trHeight w:val="147"/>
        </w:trPr>
        <w:tc>
          <w:tcPr>
            <w:tcW w:w="9635" w:type="dxa"/>
          </w:tcPr>
          <w:p w14:paraId="2F571707" w14:textId="0223FAAD" w:rsidR="00953B2E" w:rsidRPr="00C35766" w:rsidRDefault="00953B2E">
            <w:pPr>
              <w:pStyle w:val="a3"/>
              <w:rPr>
                <w:color w:val="000000"/>
                <w:lang w:val="pt-BR"/>
              </w:rPr>
            </w:pPr>
          </w:p>
        </w:tc>
      </w:tr>
    </w:tbl>
    <w:p w14:paraId="47929C23" w14:textId="3956EFA3" w:rsidR="00953B2E" w:rsidRPr="00C35766" w:rsidRDefault="00A7278B" w:rsidP="00146E60">
      <w:pPr>
        <w:pStyle w:val="a3"/>
        <w:rPr>
          <w:lang w:val="it-IT"/>
        </w:rPr>
      </w:pPr>
      <w:r w:rsidRPr="00F51B72">
        <w:rPr>
          <w:rFonts w:eastAsia="Times New Roman"/>
          <w:lang w:val="it-IT"/>
        </w:rPr>
        <w:t>I p</w:t>
      </w:r>
      <w:r w:rsidR="005F0C19" w:rsidRPr="00F51B72">
        <w:rPr>
          <w:rFonts w:eastAsia="Times New Roman"/>
          <w:lang w:val="it-IT"/>
        </w:rPr>
        <w:t>azienti</w:t>
      </w:r>
      <w:r w:rsidR="005F0C19" w:rsidRPr="00C35766">
        <w:rPr>
          <w:rFonts w:eastAsia="Times New Roman"/>
          <w:lang w:val="it-IT"/>
        </w:rPr>
        <w:t xml:space="preserve"> che manifestano una risposta insufficiente possono beneficiare di un incremento del dosaggio:</w:t>
      </w:r>
    </w:p>
    <w:p w14:paraId="45AA8606" w14:textId="5DF6EE1C" w:rsidR="00F51B72" w:rsidRPr="00F51B72" w:rsidRDefault="00F51B72" w:rsidP="00146E60">
      <w:pPr>
        <w:pStyle w:val="a3"/>
        <w:numPr>
          <w:ilvl w:val="0"/>
          <w:numId w:val="11"/>
        </w:numPr>
        <w:ind w:left="660" w:hanging="660"/>
        <w:rPr>
          <w:rFonts w:eastAsia="Calibri"/>
          <w:spacing w:val="-1"/>
          <w:lang w:val="it-IT"/>
        </w:rPr>
      </w:pPr>
      <w:r w:rsidRPr="00146E60">
        <w:rPr>
          <w:rFonts w:eastAsia="Calibri"/>
          <w:spacing w:val="-1"/>
          <w:lang w:val="it-IT"/>
        </w:rPr>
        <w:t>&lt; 40 kg: 20 mg ogni settimana</w:t>
      </w:r>
    </w:p>
    <w:p w14:paraId="5E7CBA83" w14:textId="10E53EE5" w:rsidR="00953B2E" w:rsidRPr="00C35766" w:rsidRDefault="005F0C19" w:rsidP="00146E60">
      <w:pPr>
        <w:pStyle w:val="a3"/>
        <w:numPr>
          <w:ilvl w:val="0"/>
          <w:numId w:val="11"/>
        </w:numPr>
        <w:ind w:left="660" w:hanging="660"/>
        <w:rPr>
          <w:rFonts w:eastAsia="Times New Roman"/>
          <w:spacing w:val="-1"/>
          <w:lang w:val="pt-BR"/>
        </w:rPr>
      </w:pPr>
      <w:r w:rsidRPr="00C35766">
        <w:rPr>
          <w:rFonts w:eastAsia="Calibri"/>
          <w:spacing w:val="-1"/>
          <w:lang w:val="it-IT"/>
        </w:rPr>
        <w:t xml:space="preserve">≥ </w:t>
      </w:r>
      <w:r w:rsidRPr="004F0B2E">
        <w:rPr>
          <w:lang w:val="it-IT"/>
        </w:rPr>
        <w:t>40</w:t>
      </w:r>
      <w:r w:rsidRPr="00C35766">
        <w:rPr>
          <w:rFonts w:eastAsia="Calibri"/>
          <w:spacing w:val="-1"/>
          <w:lang w:val="it-IT"/>
        </w:rPr>
        <w:t xml:space="preserve"> kg: </w:t>
      </w:r>
      <w:r w:rsidRPr="00C35766">
        <w:rPr>
          <w:rFonts w:eastAsia="Times New Roman"/>
          <w:spacing w:val="-1"/>
          <w:lang w:val="it-IT"/>
        </w:rPr>
        <w:t>40 mg ogni settimana o 80 mg a settimane alterne</w:t>
      </w:r>
    </w:p>
    <w:p w14:paraId="720C1E96" w14:textId="77777777" w:rsidR="00953B2E" w:rsidRPr="00C35766" w:rsidRDefault="00953B2E">
      <w:pPr>
        <w:spacing w:line="240" w:lineRule="exact"/>
        <w:rPr>
          <w:rFonts w:ascii="Times New Roman" w:hAnsi="Times New Roman" w:cs="Times New Roman"/>
          <w:sz w:val="24"/>
          <w:szCs w:val="24"/>
          <w:lang w:val="pt-BR"/>
        </w:rPr>
      </w:pPr>
    </w:p>
    <w:p w14:paraId="55FE4904" w14:textId="77777777" w:rsidR="00953B2E" w:rsidRPr="00C35766" w:rsidRDefault="005F0C19">
      <w:pPr>
        <w:pStyle w:val="a3"/>
        <w:rPr>
          <w:lang w:val="pt-BR"/>
        </w:rPr>
      </w:pPr>
      <w:r w:rsidRPr="00C35766">
        <w:rPr>
          <w:rFonts w:eastAsia="Times New Roman"/>
          <w:lang w:val="it-IT"/>
        </w:rPr>
        <w:t>La continuazione della terapia deve essere attentamente considerata in un soggetto che non risponde alla settimana 12.</w:t>
      </w:r>
    </w:p>
    <w:p w14:paraId="17440748" w14:textId="77777777" w:rsidR="00953B2E" w:rsidRPr="00C35766" w:rsidRDefault="00953B2E">
      <w:pPr>
        <w:pStyle w:val="a3"/>
        <w:rPr>
          <w:lang w:val="pt-BR"/>
        </w:rPr>
      </w:pPr>
    </w:p>
    <w:p w14:paraId="27D80D0E" w14:textId="77777777" w:rsidR="00953B2E" w:rsidRPr="00C35766" w:rsidRDefault="005F0C19">
      <w:pPr>
        <w:pStyle w:val="a3"/>
        <w:rPr>
          <w:lang w:val="pt-BR"/>
        </w:rPr>
      </w:pPr>
      <w:r w:rsidRPr="00C35766">
        <w:rPr>
          <w:rFonts w:eastAsia="Times New Roman"/>
          <w:lang w:val="it-IT"/>
        </w:rPr>
        <w:t>Non c’è un uso rilevante di adalimumab nei bambini di età inferiore ai 6 anni per questa indicazione.</w:t>
      </w:r>
    </w:p>
    <w:p w14:paraId="267998E5" w14:textId="502F1340" w:rsidR="00953B2E" w:rsidRPr="00C35766" w:rsidRDefault="00953B2E">
      <w:pPr>
        <w:rPr>
          <w:rFonts w:ascii="Times New Roman" w:eastAsia="Times New Roman" w:hAnsi="Times New Roman" w:cs="Times New Roman"/>
          <w:i/>
          <w:spacing w:val="-1"/>
          <w:u w:val="single" w:color="000000"/>
          <w:lang w:val="pt-BR"/>
        </w:rPr>
      </w:pPr>
    </w:p>
    <w:p w14:paraId="1667FEE4" w14:textId="77777777" w:rsidR="003456B7" w:rsidRPr="004F0B2E" w:rsidRDefault="003456B7" w:rsidP="003456B7">
      <w:pPr>
        <w:rPr>
          <w:rFonts w:ascii="Times New Roman" w:hAnsi="Times New Roman" w:cs="Times New Roman"/>
          <w:b/>
          <w:bCs/>
          <w:iCs/>
          <w:lang w:val="it-IT"/>
        </w:rPr>
      </w:pPr>
      <w:r w:rsidRPr="004F0B2E">
        <w:rPr>
          <w:rFonts w:ascii="Times New Roman" w:hAnsi="Times New Roman" w:cs="Times New Roman"/>
          <w:i/>
          <w:lang w:val="it-IT"/>
        </w:rPr>
        <w:t>Colite ulcerosa pediatrica</w:t>
      </w:r>
      <w:r w:rsidRPr="004F0B2E">
        <w:rPr>
          <w:rFonts w:ascii="Times New Roman" w:hAnsi="Times New Roman" w:cs="Times New Roman"/>
          <w:b/>
          <w:lang w:val="it-IT"/>
        </w:rPr>
        <w:t xml:space="preserve"> </w:t>
      </w:r>
    </w:p>
    <w:p w14:paraId="2EAA3F48" w14:textId="77777777" w:rsidR="003456B7" w:rsidRPr="004F0B2E" w:rsidRDefault="003456B7" w:rsidP="003456B7">
      <w:pPr>
        <w:rPr>
          <w:rFonts w:ascii="Times New Roman" w:hAnsi="Times New Roman" w:cs="Times New Roman"/>
          <w:lang w:val="it-IT"/>
        </w:rPr>
      </w:pPr>
    </w:p>
    <w:p w14:paraId="544A6773" w14:textId="2DEDE483" w:rsidR="003456B7" w:rsidRPr="004F0B2E" w:rsidRDefault="003456B7" w:rsidP="003456B7">
      <w:pPr>
        <w:rPr>
          <w:rFonts w:ascii="Times New Roman" w:hAnsi="Times New Roman" w:cs="Times New Roman"/>
          <w:lang w:val="it-IT"/>
        </w:rPr>
      </w:pPr>
      <w:r w:rsidRPr="004F0B2E">
        <w:rPr>
          <w:rFonts w:ascii="Times New Roman" w:hAnsi="Times New Roman" w:cs="Times New Roman"/>
          <w:lang w:val="it-IT"/>
        </w:rPr>
        <w:t xml:space="preserve">La dose raccomandata di Yuflyma per i pazienti di età compresa tra 6 e 17 anni con colite ulcerosa è basata sul peso corporeo (Tabella 5). Yuflyma </w:t>
      </w:r>
      <w:r w:rsidR="0032663B" w:rsidRPr="004F0B2E">
        <w:rPr>
          <w:rFonts w:ascii="Times New Roman" w:hAnsi="Times New Roman" w:cs="Times New Roman"/>
          <w:lang w:val="it-IT" w:eastAsia="ko-KR"/>
        </w:rPr>
        <w:t xml:space="preserve">deve essere </w:t>
      </w:r>
      <w:r w:rsidRPr="004F0B2E">
        <w:rPr>
          <w:rFonts w:ascii="Times New Roman" w:hAnsi="Times New Roman" w:cs="Times New Roman"/>
          <w:lang w:val="it-IT"/>
        </w:rPr>
        <w:t>somministrato mediante iniezione sottocutanea. </w:t>
      </w:r>
    </w:p>
    <w:p w14:paraId="456F8CC1" w14:textId="77777777" w:rsidR="003456B7" w:rsidRPr="004F0B2E" w:rsidRDefault="003456B7" w:rsidP="003456B7">
      <w:pPr>
        <w:rPr>
          <w:rFonts w:ascii="Times New Roman" w:hAnsi="Times New Roman" w:cs="Times New Roman"/>
          <w:lang w:val="it-IT"/>
        </w:rPr>
      </w:pPr>
    </w:p>
    <w:p w14:paraId="6377AA1E" w14:textId="22C8CBBC" w:rsidR="003456B7" w:rsidRDefault="003456B7" w:rsidP="003456B7">
      <w:pPr>
        <w:keepNext/>
        <w:jc w:val="center"/>
        <w:rPr>
          <w:rFonts w:ascii="Times New Roman" w:hAnsi="Times New Roman" w:cs="Times New Roman"/>
          <w:b/>
          <w:lang w:val="it-IT"/>
        </w:rPr>
      </w:pPr>
      <w:r w:rsidRPr="004F0B2E">
        <w:rPr>
          <w:rFonts w:ascii="Times New Roman" w:hAnsi="Times New Roman" w:cs="Times New Roman"/>
          <w:b/>
          <w:lang w:val="it-IT"/>
        </w:rPr>
        <w:t xml:space="preserve">Tabella 5. Dose di Yuflyma per Pazienti Pediatrici con Colite Ulcerosa </w:t>
      </w:r>
    </w:p>
    <w:p w14:paraId="3D72017A" w14:textId="77777777" w:rsidR="00A842FF" w:rsidRPr="004F0B2E" w:rsidRDefault="00A842FF" w:rsidP="003456B7">
      <w:pPr>
        <w:keepNext/>
        <w:jc w:val="center"/>
        <w:rPr>
          <w:rFonts w:ascii="Times New Roman" w:hAnsi="Times New Roman" w:cs="Times New Roman"/>
          <w:lang w:val="it-IT"/>
        </w:rPr>
      </w:pPr>
    </w:p>
    <w:tbl>
      <w:tblPr>
        <w:tblW w:w="4629"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88"/>
        <w:gridCol w:w="4341"/>
        <w:gridCol w:w="2551"/>
      </w:tblGrid>
      <w:tr w:rsidR="003456B7" w:rsidRPr="00494E69" w14:paraId="62247195" w14:textId="77777777" w:rsidTr="00F45088">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00C63138" w14:textId="77777777" w:rsidR="003456B7" w:rsidRPr="00C35766" w:rsidRDefault="003456B7" w:rsidP="003456B7">
            <w:pPr>
              <w:jc w:val="center"/>
              <w:rPr>
                <w:rFonts w:ascii="Times New Roman" w:hAnsi="Times New Roman" w:cs="Times New Roman"/>
                <w:b/>
              </w:rPr>
            </w:pPr>
            <w:r w:rsidRPr="00C35766">
              <w:rPr>
                <w:rFonts w:ascii="Times New Roman" w:hAnsi="Times New Roman" w:cs="Times New Roman"/>
                <w:b/>
              </w:rPr>
              <w:t>Peso del paziente</w:t>
            </w:r>
          </w:p>
        </w:tc>
        <w:tc>
          <w:tcPr>
            <w:tcW w:w="2472" w:type="pct"/>
            <w:tcBorders>
              <w:top w:val="single" w:sz="6" w:space="0" w:color="000000"/>
              <w:left w:val="single" w:sz="6" w:space="0" w:color="000000"/>
              <w:bottom w:val="single" w:sz="6" w:space="0" w:color="000000"/>
              <w:right w:val="single" w:sz="6" w:space="0" w:color="000000"/>
            </w:tcBorders>
            <w:vAlign w:val="center"/>
            <w:hideMark/>
          </w:tcPr>
          <w:p w14:paraId="4E5AEF89" w14:textId="77777777" w:rsidR="003456B7" w:rsidRPr="00C35766" w:rsidRDefault="003456B7" w:rsidP="003456B7">
            <w:pPr>
              <w:jc w:val="center"/>
              <w:rPr>
                <w:rFonts w:ascii="Times New Roman" w:hAnsi="Times New Roman" w:cs="Times New Roman"/>
                <w:b/>
              </w:rPr>
            </w:pPr>
            <w:r w:rsidRPr="00C35766">
              <w:rPr>
                <w:rFonts w:ascii="Times New Roman" w:hAnsi="Times New Roman" w:cs="Times New Roman"/>
                <w:b/>
              </w:rPr>
              <w:t>Dose di Induzione</w:t>
            </w:r>
          </w:p>
        </w:tc>
        <w:tc>
          <w:tcPr>
            <w:tcW w:w="1453" w:type="pct"/>
            <w:tcBorders>
              <w:top w:val="single" w:sz="6" w:space="0" w:color="000000"/>
              <w:left w:val="single" w:sz="6" w:space="0" w:color="000000"/>
              <w:bottom w:val="single" w:sz="6" w:space="0" w:color="000000"/>
              <w:right w:val="single" w:sz="6" w:space="0" w:color="000000"/>
            </w:tcBorders>
            <w:hideMark/>
          </w:tcPr>
          <w:p w14:paraId="11A42B79" w14:textId="77777777" w:rsidR="003456B7" w:rsidRPr="004F0B2E" w:rsidRDefault="003456B7" w:rsidP="003456B7">
            <w:pPr>
              <w:jc w:val="center"/>
              <w:rPr>
                <w:rFonts w:ascii="Times New Roman" w:hAnsi="Times New Roman" w:cs="Times New Roman"/>
                <w:b/>
                <w:lang w:val="it-IT"/>
              </w:rPr>
            </w:pPr>
            <w:r w:rsidRPr="004F0B2E">
              <w:rPr>
                <w:rFonts w:ascii="Times New Roman" w:hAnsi="Times New Roman" w:cs="Times New Roman"/>
                <w:b/>
                <w:lang w:val="it-IT"/>
              </w:rPr>
              <w:t>Dose di Mantenimento</w:t>
            </w:r>
            <w:r w:rsidRPr="004F0B2E">
              <w:rPr>
                <w:rFonts w:ascii="Times New Roman" w:hAnsi="Times New Roman" w:cs="Times New Roman"/>
                <w:b/>
                <w:lang w:val="it-IT"/>
              </w:rPr>
              <w:br/>
              <w:t>a partire dalla Settimana 4*</w:t>
            </w:r>
          </w:p>
        </w:tc>
      </w:tr>
      <w:tr w:rsidR="003456B7" w:rsidRPr="00C35766" w14:paraId="11E71511" w14:textId="77777777" w:rsidTr="00F45088">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2B265CE9" w14:textId="7A20497C" w:rsidR="003456B7" w:rsidRPr="00C35766" w:rsidRDefault="003456B7" w:rsidP="003456B7">
            <w:pPr>
              <w:jc w:val="center"/>
              <w:rPr>
                <w:rFonts w:ascii="Times New Roman" w:hAnsi="Times New Roman" w:cs="Times New Roman"/>
              </w:rPr>
            </w:pPr>
            <w:r w:rsidRPr="00C35766">
              <w:rPr>
                <w:rFonts w:ascii="Times New Roman" w:hAnsi="Times New Roman" w:cs="Times New Roman"/>
              </w:rPr>
              <w:t>&lt;</w:t>
            </w:r>
            <w:r w:rsidR="000F35BA" w:rsidRPr="00C35766">
              <w:rPr>
                <w:rFonts w:ascii="Times New Roman" w:hAnsi="Times New Roman" w:cs="Times New Roman"/>
              </w:rPr>
              <w:t xml:space="preserve"> </w:t>
            </w:r>
            <w:r w:rsidRPr="00C35766">
              <w:rPr>
                <w:rFonts w:ascii="Times New Roman" w:hAnsi="Times New Roman" w:cs="Times New Roman"/>
              </w:rPr>
              <w:t>40 kg</w:t>
            </w:r>
          </w:p>
        </w:tc>
        <w:tc>
          <w:tcPr>
            <w:tcW w:w="2472" w:type="pct"/>
            <w:tcBorders>
              <w:top w:val="single" w:sz="6" w:space="0" w:color="000000"/>
              <w:left w:val="single" w:sz="6" w:space="0" w:color="000000"/>
              <w:bottom w:val="single" w:sz="6" w:space="0" w:color="000000"/>
              <w:right w:val="single" w:sz="6" w:space="0" w:color="000000"/>
            </w:tcBorders>
            <w:hideMark/>
          </w:tcPr>
          <w:p w14:paraId="79C7332E" w14:textId="77777777" w:rsidR="003456B7" w:rsidRPr="00C35766" w:rsidRDefault="003456B7" w:rsidP="00787805">
            <w:pPr>
              <w:widowControl/>
              <w:numPr>
                <w:ilvl w:val="0"/>
                <w:numId w:val="42"/>
              </w:numPr>
              <w:ind w:left="360" w:hanging="210"/>
              <w:rPr>
                <w:rFonts w:ascii="Times New Roman" w:hAnsi="Times New Roman" w:cs="Times New Roman"/>
                <w:lang w:val="de-CH"/>
              </w:rPr>
            </w:pPr>
            <w:r w:rsidRPr="00C35766">
              <w:rPr>
                <w:rFonts w:ascii="Times New Roman" w:hAnsi="Times New Roman" w:cs="Times New Roman"/>
                <w:lang w:val="de-CH"/>
              </w:rPr>
              <w:t>80 mg alla Settimana 0 (somministrati in due iniezioni da 40 mg nello stesso giorno) e</w:t>
            </w:r>
          </w:p>
          <w:p w14:paraId="6A035210" w14:textId="77777777" w:rsidR="003456B7" w:rsidRPr="004F0B2E" w:rsidRDefault="003456B7" w:rsidP="00787805">
            <w:pPr>
              <w:widowControl/>
              <w:numPr>
                <w:ilvl w:val="0"/>
                <w:numId w:val="42"/>
              </w:numPr>
              <w:ind w:left="360" w:hanging="210"/>
              <w:rPr>
                <w:rFonts w:ascii="Times New Roman" w:hAnsi="Times New Roman" w:cs="Times New Roman"/>
                <w:lang w:val="it-IT"/>
              </w:rPr>
            </w:pPr>
            <w:r w:rsidRPr="004F0B2E">
              <w:rPr>
                <w:rFonts w:ascii="Times New Roman" w:hAnsi="Times New Roman" w:cs="Times New Roman"/>
                <w:lang w:val="it-IT"/>
              </w:rPr>
              <w:t>40 mg alla Settimana 2 (somministrati con una sola iniezione da 40 mg)</w:t>
            </w:r>
          </w:p>
        </w:tc>
        <w:tc>
          <w:tcPr>
            <w:tcW w:w="1453" w:type="pct"/>
            <w:tcBorders>
              <w:top w:val="single" w:sz="6" w:space="0" w:color="000000"/>
              <w:left w:val="single" w:sz="6" w:space="0" w:color="000000"/>
              <w:bottom w:val="single" w:sz="6" w:space="0" w:color="000000"/>
              <w:right w:val="single" w:sz="6" w:space="0" w:color="000000"/>
            </w:tcBorders>
            <w:hideMark/>
          </w:tcPr>
          <w:p w14:paraId="1C700E73" w14:textId="77777777" w:rsidR="003456B7" w:rsidRPr="00C35766" w:rsidRDefault="003456B7" w:rsidP="00787805">
            <w:pPr>
              <w:widowControl/>
              <w:numPr>
                <w:ilvl w:val="0"/>
                <w:numId w:val="42"/>
              </w:numPr>
              <w:ind w:left="360" w:hanging="210"/>
              <w:rPr>
                <w:rFonts w:ascii="Times New Roman" w:hAnsi="Times New Roman" w:cs="Times New Roman"/>
              </w:rPr>
            </w:pPr>
            <w:r w:rsidRPr="00C35766">
              <w:rPr>
                <w:rFonts w:ascii="Times New Roman" w:hAnsi="Times New Roman" w:cs="Times New Roman"/>
              </w:rPr>
              <w:t>40 mg a settimane alterne</w:t>
            </w:r>
          </w:p>
        </w:tc>
      </w:tr>
      <w:tr w:rsidR="003456B7" w:rsidRPr="00C35766" w14:paraId="578EB370" w14:textId="77777777" w:rsidTr="00F45088">
        <w:trPr>
          <w:jc w:val="center"/>
        </w:trPr>
        <w:tc>
          <w:tcPr>
            <w:tcW w:w="0" w:type="auto"/>
            <w:tcBorders>
              <w:top w:val="single" w:sz="6" w:space="0" w:color="000000"/>
              <w:left w:val="single" w:sz="6" w:space="0" w:color="000000"/>
              <w:bottom w:val="single" w:sz="4" w:space="0" w:color="auto"/>
              <w:right w:val="single" w:sz="6" w:space="0" w:color="000000"/>
            </w:tcBorders>
            <w:hideMark/>
          </w:tcPr>
          <w:p w14:paraId="691FE4FF" w14:textId="5B121FED" w:rsidR="003456B7" w:rsidRPr="00C35766" w:rsidRDefault="003456B7" w:rsidP="003456B7">
            <w:pPr>
              <w:jc w:val="center"/>
              <w:rPr>
                <w:rFonts w:ascii="Times New Roman" w:hAnsi="Times New Roman" w:cs="Times New Roman"/>
              </w:rPr>
            </w:pPr>
            <w:r w:rsidRPr="00C35766">
              <w:rPr>
                <w:rFonts w:ascii="Times New Roman" w:hAnsi="Times New Roman" w:cs="Times New Roman"/>
              </w:rPr>
              <w:t>≥</w:t>
            </w:r>
            <w:r w:rsidR="000F35BA" w:rsidRPr="00C35766">
              <w:rPr>
                <w:rFonts w:ascii="Times New Roman" w:hAnsi="Times New Roman" w:cs="Times New Roman"/>
                <w:lang w:eastAsia="ko-KR"/>
              </w:rPr>
              <w:t xml:space="preserve"> </w:t>
            </w:r>
            <w:r w:rsidRPr="00C35766">
              <w:rPr>
                <w:rFonts w:ascii="Times New Roman" w:hAnsi="Times New Roman" w:cs="Times New Roman"/>
              </w:rPr>
              <w:t>40 kg</w:t>
            </w:r>
          </w:p>
        </w:tc>
        <w:tc>
          <w:tcPr>
            <w:tcW w:w="2472" w:type="pct"/>
            <w:tcBorders>
              <w:top w:val="single" w:sz="6" w:space="0" w:color="000000"/>
              <w:left w:val="single" w:sz="6" w:space="0" w:color="000000"/>
              <w:bottom w:val="single" w:sz="4" w:space="0" w:color="auto"/>
              <w:right w:val="single" w:sz="6" w:space="0" w:color="000000"/>
            </w:tcBorders>
            <w:hideMark/>
          </w:tcPr>
          <w:p w14:paraId="07A0F0D8" w14:textId="77777777" w:rsidR="003456B7" w:rsidRPr="004F0B2E" w:rsidRDefault="003456B7" w:rsidP="00787805">
            <w:pPr>
              <w:widowControl/>
              <w:numPr>
                <w:ilvl w:val="0"/>
                <w:numId w:val="43"/>
              </w:numPr>
              <w:ind w:left="360" w:hanging="210"/>
              <w:rPr>
                <w:rFonts w:ascii="Times New Roman" w:hAnsi="Times New Roman" w:cs="Times New Roman"/>
                <w:lang w:val="it-IT"/>
              </w:rPr>
            </w:pPr>
            <w:r w:rsidRPr="004F0B2E">
              <w:rPr>
                <w:rFonts w:ascii="Times New Roman" w:hAnsi="Times New Roman" w:cs="Times New Roman"/>
                <w:lang w:val="it-IT"/>
              </w:rPr>
              <w:t>160 mg alla Settimana 0 (somministrati con quattro iniezioni da 40 mg in un giorno o due iniezioni da 40 mg al giorno per due giorni consecutivi) e</w:t>
            </w:r>
          </w:p>
          <w:p w14:paraId="444438A7" w14:textId="77777777" w:rsidR="003456B7" w:rsidRPr="004F0B2E" w:rsidRDefault="003456B7" w:rsidP="00787805">
            <w:pPr>
              <w:widowControl/>
              <w:numPr>
                <w:ilvl w:val="0"/>
                <w:numId w:val="43"/>
              </w:numPr>
              <w:ind w:left="360" w:hanging="210"/>
              <w:rPr>
                <w:rFonts w:ascii="Times New Roman" w:hAnsi="Times New Roman" w:cs="Times New Roman"/>
                <w:lang w:val="it-IT"/>
              </w:rPr>
            </w:pPr>
            <w:r w:rsidRPr="004F0B2E">
              <w:rPr>
                <w:rFonts w:ascii="Times New Roman" w:hAnsi="Times New Roman" w:cs="Times New Roman"/>
                <w:lang w:val="it-IT"/>
              </w:rPr>
              <w:t>80 mg alla Settimana 2 (somministrati con due iniezioni da 40 mg in un giorno)</w:t>
            </w:r>
          </w:p>
        </w:tc>
        <w:tc>
          <w:tcPr>
            <w:tcW w:w="1453" w:type="pct"/>
            <w:tcBorders>
              <w:top w:val="single" w:sz="6" w:space="0" w:color="000000"/>
              <w:left w:val="single" w:sz="6" w:space="0" w:color="000000"/>
              <w:bottom w:val="single" w:sz="4" w:space="0" w:color="auto"/>
              <w:right w:val="single" w:sz="6" w:space="0" w:color="000000"/>
            </w:tcBorders>
            <w:hideMark/>
          </w:tcPr>
          <w:p w14:paraId="083E42A0" w14:textId="77777777" w:rsidR="003456B7" w:rsidRPr="00C35766" w:rsidRDefault="003456B7" w:rsidP="00787805">
            <w:pPr>
              <w:widowControl/>
              <w:numPr>
                <w:ilvl w:val="0"/>
                <w:numId w:val="42"/>
              </w:numPr>
              <w:ind w:left="360" w:hanging="210"/>
              <w:rPr>
                <w:rFonts w:ascii="Times New Roman" w:hAnsi="Times New Roman" w:cs="Times New Roman"/>
              </w:rPr>
            </w:pPr>
            <w:r w:rsidRPr="00C35766">
              <w:rPr>
                <w:rFonts w:ascii="Times New Roman" w:hAnsi="Times New Roman" w:cs="Times New Roman"/>
              </w:rPr>
              <w:t>80 mg a settimane alterne</w:t>
            </w:r>
          </w:p>
        </w:tc>
      </w:tr>
      <w:tr w:rsidR="003456B7" w:rsidRPr="002A37A2" w14:paraId="03EE3184" w14:textId="77777777" w:rsidTr="007272F4">
        <w:trPr>
          <w:jc w:val="center"/>
        </w:trPr>
        <w:tc>
          <w:tcPr>
            <w:tcW w:w="5000" w:type="pct"/>
            <w:gridSpan w:val="3"/>
            <w:tcBorders>
              <w:top w:val="single" w:sz="4" w:space="0" w:color="auto"/>
              <w:left w:val="nil"/>
              <w:bottom w:val="nil"/>
              <w:right w:val="nil"/>
            </w:tcBorders>
          </w:tcPr>
          <w:p w14:paraId="1886BC30" w14:textId="0D111EB1" w:rsidR="003456B7" w:rsidRPr="004F0B2E" w:rsidRDefault="003456B7" w:rsidP="003456B7">
            <w:pPr>
              <w:rPr>
                <w:rFonts w:ascii="Times New Roman" w:hAnsi="Times New Roman" w:cs="Times New Roman"/>
                <w:lang w:val="it-IT"/>
              </w:rPr>
            </w:pPr>
            <w:r w:rsidRPr="004F0B2E">
              <w:rPr>
                <w:rFonts w:ascii="Times New Roman" w:hAnsi="Times New Roman" w:cs="Times New Roman"/>
                <w:vertAlign w:val="superscript"/>
                <w:lang w:val="it-IT"/>
              </w:rPr>
              <w:t xml:space="preserve">* </w:t>
            </w:r>
            <w:r w:rsidRPr="004F0B2E">
              <w:rPr>
                <w:rFonts w:ascii="Times New Roman" w:hAnsi="Times New Roman" w:cs="Times New Roman"/>
                <w:lang w:val="it-IT"/>
              </w:rPr>
              <w:t>I pazienti pediatrici che compiono 18 anni di età durante il trattamento con Yuflyma devono continuare la dose di mantenimento prescritta.</w:t>
            </w:r>
          </w:p>
        </w:tc>
      </w:tr>
    </w:tbl>
    <w:p w14:paraId="63EE51A5" w14:textId="77777777" w:rsidR="003456B7" w:rsidRPr="00C35766" w:rsidRDefault="003456B7" w:rsidP="00787805">
      <w:pPr>
        <w:pStyle w:val="gtctablespaceafter"/>
        <w:numPr>
          <w:ilvl w:val="0"/>
          <w:numId w:val="44"/>
        </w:numPr>
        <w:spacing w:after="0"/>
        <w:rPr>
          <w:sz w:val="22"/>
          <w:szCs w:val="22"/>
          <w:lang w:val="it-IT"/>
        </w:rPr>
      </w:pPr>
    </w:p>
    <w:p w14:paraId="48BF05BA" w14:textId="77777777" w:rsidR="003456B7" w:rsidRPr="004F0B2E" w:rsidRDefault="003456B7" w:rsidP="003456B7">
      <w:pPr>
        <w:rPr>
          <w:rFonts w:ascii="Times New Roman" w:hAnsi="Times New Roman" w:cs="Times New Roman"/>
          <w:lang w:val="it-IT"/>
        </w:rPr>
      </w:pPr>
      <w:r w:rsidRPr="004F0B2E">
        <w:rPr>
          <w:rFonts w:ascii="Times New Roman" w:hAnsi="Times New Roman" w:cs="Times New Roman"/>
          <w:lang w:val="it-IT"/>
        </w:rPr>
        <w:t>La continuazione della terapia oltre le 8 settimane deve essere attentamente considerata nei pazienti che non mostrano segni di risposta entro questo periodo di tempo.</w:t>
      </w:r>
    </w:p>
    <w:p w14:paraId="634B81CA" w14:textId="77777777" w:rsidR="003456B7" w:rsidRPr="004F0B2E" w:rsidRDefault="003456B7" w:rsidP="003456B7">
      <w:pPr>
        <w:rPr>
          <w:rFonts w:ascii="Times New Roman" w:hAnsi="Times New Roman" w:cs="Times New Roman"/>
          <w:lang w:val="it-IT"/>
        </w:rPr>
      </w:pPr>
    </w:p>
    <w:p w14:paraId="62BF1EB0" w14:textId="3DE2B1E1" w:rsidR="003456B7" w:rsidRPr="004F0B2E" w:rsidRDefault="003456B7" w:rsidP="003456B7">
      <w:pPr>
        <w:tabs>
          <w:tab w:val="left" w:pos="567"/>
          <w:tab w:val="right" w:pos="9070"/>
        </w:tabs>
        <w:jc w:val="both"/>
        <w:rPr>
          <w:rFonts w:ascii="Times New Roman" w:hAnsi="Times New Roman" w:cs="Times New Roman"/>
          <w:lang w:val="it-IT"/>
        </w:rPr>
      </w:pPr>
      <w:r w:rsidRPr="004F0B2E">
        <w:rPr>
          <w:rFonts w:ascii="Times New Roman" w:hAnsi="Times New Roman" w:cs="Times New Roman"/>
          <w:lang w:val="it-IT"/>
        </w:rPr>
        <w:t>Non c’è un uso rilevante di adalimumab nei bambini di età inferiore a 6 anni per questa indicazione.</w:t>
      </w:r>
    </w:p>
    <w:p w14:paraId="39026CC5" w14:textId="77777777" w:rsidR="003456B7" w:rsidRPr="00C35766" w:rsidRDefault="003456B7">
      <w:pPr>
        <w:rPr>
          <w:rFonts w:ascii="Times New Roman" w:eastAsia="Times New Roman" w:hAnsi="Times New Roman" w:cs="Times New Roman"/>
          <w:i/>
          <w:spacing w:val="-1"/>
          <w:u w:val="single" w:color="000000"/>
          <w:lang w:val="pt-BR"/>
        </w:rPr>
      </w:pPr>
    </w:p>
    <w:p w14:paraId="21EB559F" w14:textId="77777777" w:rsidR="00953B2E" w:rsidRPr="00146E60" w:rsidRDefault="005F0C19">
      <w:pPr>
        <w:rPr>
          <w:rFonts w:ascii="Times New Roman" w:eastAsia="Times New Roman" w:hAnsi="Times New Roman" w:cs="Times New Roman"/>
          <w:i/>
          <w:spacing w:val="-1"/>
          <w:lang w:val="pt-BR"/>
        </w:rPr>
      </w:pPr>
      <w:r w:rsidRPr="00146E60">
        <w:rPr>
          <w:rFonts w:ascii="Times New Roman" w:eastAsia="Times New Roman" w:hAnsi="Times New Roman" w:cs="Times New Roman"/>
          <w:i/>
          <w:iCs/>
          <w:spacing w:val="-1"/>
          <w:lang w:val="it-IT"/>
        </w:rPr>
        <w:t>Uveite pediatrica</w:t>
      </w:r>
    </w:p>
    <w:p w14:paraId="5C4072BA" w14:textId="77777777" w:rsidR="00953B2E" w:rsidRPr="00C35766" w:rsidRDefault="00953B2E">
      <w:pPr>
        <w:rPr>
          <w:rFonts w:ascii="Times New Roman" w:eastAsia="Times New Roman" w:hAnsi="Times New Roman" w:cs="Times New Roman"/>
          <w:lang w:val="pt-BR"/>
        </w:rPr>
      </w:pPr>
    </w:p>
    <w:p w14:paraId="2F7E2BBA" w14:textId="54402206" w:rsidR="00953B2E" w:rsidRPr="00C35766" w:rsidRDefault="005F0C19">
      <w:pPr>
        <w:pStyle w:val="a3"/>
        <w:rPr>
          <w:lang w:val="it-IT"/>
        </w:rPr>
      </w:pPr>
      <w:r w:rsidRPr="00C35766">
        <w:rPr>
          <w:rFonts w:eastAsia="Times New Roman"/>
          <w:lang w:val="it-IT"/>
        </w:rPr>
        <w:t xml:space="preserve">La dose raccomandata di Yuflyma nei pazienti pediatrici con uveite dai 2 anni di età è basata sul peso corporeo (Tabella </w:t>
      </w:r>
      <w:r w:rsidR="003456B7" w:rsidRPr="00C35766">
        <w:rPr>
          <w:rFonts w:eastAsia="Times New Roman"/>
          <w:lang w:val="it-IT"/>
        </w:rPr>
        <w:t>6</w:t>
      </w:r>
      <w:r w:rsidRPr="00C35766">
        <w:rPr>
          <w:rFonts w:eastAsia="Times New Roman"/>
          <w:lang w:val="it-IT"/>
        </w:rPr>
        <w:t>). Yuflyma è somministrato tramite iniezione sottocutanea.</w:t>
      </w:r>
    </w:p>
    <w:p w14:paraId="16605677" w14:textId="77777777" w:rsidR="00953B2E" w:rsidRPr="00C35766" w:rsidRDefault="00953B2E">
      <w:pPr>
        <w:rPr>
          <w:rFonts w:ascii="Times New Roman" w:hAnsi="Times New Roman" w:cs="Times New Roman"/>
          <w:sz w:val="24"/>
          <w:szCs w:val="24"/>
          <w:lang w:val="it-IT"/>
        </w:rPr>
      </w:pPr>
    </w:p>
    <w:p w14:paraId="08E1C92F" w14:textId="77777777" w:rsidR="00953B2E" w:rsidRPr="00C35766" w:rsidRDefault="005F0C19">
      <w:pPr>
        <w:pStyle w:val="a3"/>
        <w:rPr>
          <w:lang w:val="it-IT"/>
        </w:rPr>
      </w:pPr>
      <w:r w:rsidRPr="00C35766">
        <w:rPr>
          <w:rFonts w:eastAsia="Times New Roman"/>
          <w:lang w:val="it-IT"/>
        </w:rPr>
        <w:t>Nell’uveite pediatrica, non c’è esperienza nel trattamento con adalimumab senza terapia concomitante con metotressato.</w:t>
      </w:r>
    </w:p>
    <w:p w14:paraId="58EFBB28" w14:textId="77777777" w:rsidR="00953B2E" w:rsidRDefault="00953B2E">
      <w:pPr>
        <w:pStyle w:val="a3"/>
        <w:rPr>
          <w:lang w:val="it-IT"/>
        </w:rPr>
      </w:pPr>
    </w:p>
    <w:p w14:paraId="782CB5D6" w14:textId="77777777" w:rsidR="00A842FF" w:rsidRDefault="00A842FF">
      <w:pPr>
        <w:pStyle w:val="a3"/>
        <w:rPr>
          <w:lang w:val="it-IT"/>
        </w:rPr>
      </w:pPr>
    </w:p>
    <w:p w14:paraId="25655CFE" w14:textId="77777777" w:rsidR="00A842FF" w:rsidRDefault="00A842FF">
      <w:pPr>
        <w:pStyle w:val="a3"/>
        <w:rPr>
          <w:lang w:val="it-IT"/>
        </w:rPr>
      </w:pPr>
    </w:p>
    <w:p w14:paraId="4D142BAA" w14:textId="77777777" w:rsidR="00A842FF" w:rsidRDefault="00A842FF">
      <w:pPr>
        <w:pStyle w:val="a3"/>
        <w:rPr>
          <w:lang w:val="it-IT"/>
        </w:rPr>
      </w:pPr>
    </w:p>
    <w:p w14:paraId="08562BC8" w14:textId="77777777" w:rsidR="00A842FF" w:rsidRPr="00C35766" w:rsidRDefault="00A842FF">
      <w:pPr>
        <w:pStyle w:val="a3"/>
        <w:rPr>
          <w:lang w:val="it-IT"/>
        </w:rPr>
      </w:pPr>
    </w:p>
    <w:p w14:paraId="7FEBD860" w14:textId="7B9A186A" w:rsidR="00953B2E" w:rsidRPr="00C35766" w:rsidRDefault="005F0C19">
      <w:pPr>
        <w:pStyle w:val="a3"/>
        <w:jc w:val="center"/>
        <w:rPr>
          <w:b/>
          <w:lang w:val="es-ES"/>
        </w:rPr>
      </w:pPr>
      <w:r w:rsidRPr="00C35766">
        <w:rPr>
          <w:rFonts w:eastAsia="Times New Roman"/>
          <w:b/>
          <w:bCs/>
          <w:lang w:val="it-IT"/>
        </w:rPr>
        <w:lastRenderedPageBreak/>
        <w:t xml:space="preserve">Tabella </w:t>
      </w:r>
      <w:r w:rsidR="003456B7" w:rsidRPr="00C35766">
        <w:rPr>
          <w:rFonts w:eastAsia="Times New Roman"/>
          <w:b/>
          <w:bCs/>
          <w:lang w:val="it-IT"/>
        </w:rPr>
        <w:t>6</w:t>
      </w:r>
      <w:r w:rsidR="004F41C7">
        <w:rPr>
          <w:rFonts w:eastAsia="Times New Roman"/>
          <w:b/>
          <w:bCs/>
          <w:lang w:val="it-IT"/>
        </w:rPr>
        <w:t>.</w:t>
      </w:r>
      <w:r w:rsidR="003456B7" w:rsidRPr="00C35766">
        <w:rPr>
          <w:rFonts w:eastAsia="Times New Roman"/>
          <w:b/>
          <w:bCs/>
          <w:lang w:val="it-IT"/>
        </w:rPr>
        <w:t xml:space="preserve"> </w:t>
      </w:r>
      <w:r w:rsidRPr="00C35766">
        <w:rPr>
          <w:rFonts w:eastAsia="Times New Roman"/>
          <w:b/>
          <w:bCs/>
          <w:lang w:val="it-IT"/>
        </w:rPr>
        <w:t>Dose di Yuflyma per pazienti pediatrici con uveite</w:t>
      </w:r>
    </w:p>
    <w:p w14:paraId="15D8DBD4" w14:textId="77777777" w:rsidR="00953B2E" w:rsidRPr="00C35766" w:rsidRDefault="00953B2E">
      <w:pPr>
        <w:spacing w:before="4" w:line="220" w:lineRule="exact"/>
        <w:rPr>
          <w:rFonts w:ascii="Times New Roman" w:hAnsi="Times New Roman" w:cs="Times New Roman"/>
          <w:lang w:val="es-ES"/>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953B2E" w:rsidRPr="00C35766" w14:paraId="3F4EAEE9" w14:textId="77777777">
        <w:trPr>
          <w:trHeight w:val="374"/>
          <w:jc w:val="center"/>
        </w:trPr>
        <w:tc>
          <w:tcPr>
            <w:tcW w:w="3572" w:type="dxa"/>
            <w:tcBorders>
              <w:top w:val="single" w:sz="4" w:space="0" w:color="auto"/>
              <w:bottom w:val="single" w:sz="4" w:space="0" w:color="auto"/>
            </w:tcBorders>
            <w:vAlign w:val="center"/>
          </w:tcPr>
          <w:p w14:paraId="3B761EB8" w14:textId="77777777" w:rsidR="00953B2E" w:rsidRPr="00C35766" w:rsidRDefault="005F0C19">
            <w:pPr>
              <w:pStyle w:val="a3"/>
              <w:jc w:val="center"/>
              <w:rPr>
                <w:b/>
              </w:rPr>
            </w:pPr>
            <w:r w:rsidRPr="00C35766">
              <w:rPr>
                <w:rFonts w:eastAsia="Times New Roman"/>
                <w:b/>
                <w:bCs/>
                <w:lang w:val="it-IT"/>
              </w:rPr>
              <w:t>Peso del paziente</w:t>
            </w:r>
          </w:p>
        </w:tc>
        <w:tc>
          <w:tcPr>
            <w:tcW w:w="3572" w:type="dxa"/>
            <w:tcBorders>
              <w:top w:val="single" w:sz="4" w:space="0" w:color="auto"/>
              <w:bottom w:val="single" w:sz="4" w:space="0" w:color="auto"/>
            </w:tcBorders>
            <w:vAlign w:val="center"/>
          </w:tcPr>
          <w:p w14:paraId="3D85565B" w14:textId="77777777" w:rsidR="00953B2E" w:rsidRPr="00C35766" w:rsidRDefault="005F0C19">
            <w:pPr>
              <w:pStyle w:val="a3"/>
              <w:jc w:val="center"/>
              <w:rPr>
                <w:b/>
              </w:rPr>
            </w:pPr>
            <w:r w:rsidRPr="00C35766">
              <w:rPr>
                <w:rFonts w:eastAsia="Times New Roman"/>
                <w:b/>
                <w:bCs/>
                <w:lang w:val="it-IT"/>
              </w:rPr>
              <w:t>Schema posologico</w:t>
            </w:r>
          </w:p>
        </w:tc>
      </w:tr>
      <w:tr w:rsidR="00F51B72" w:rsidRPr="00494E69" w14:paraId="589A71A6" w14:textId="77777777">
        <w:trPr>
          <w:trHeight w:val="388"/>
          <w:jc w:val="center"/>
        </w:trPr>
        <w:tc>
          <w:tcPr>
            <w:tcW w:w="3572" w:type="dxa"/>
            <w:tcBorders>
              <w:top w:val="single" w:sz="4" w:space="0" w:color="auto"/>
              <w:bottom w:val="single" w:sz="4" w:space="0" w:color="auto"/>
            </w:tcBorders>
            <w:vAlign w:val="center"/>
          </w:tcPr>
          <w:p w14:paraId="4898EFEB" w14:textId="77777777" w:rsidR="00F51B72" w:rsidRPr="00C35766" w:rsidRDefault="00F51B72" w:rsidP="00F51B72">
            <w:pPr>
              <w:pStyle w:val="a3"/>
              <w:jc w:val="center"/>
            </w:pPr>
            <w:r w:rsidRPr="00C35766">
              <w:rPr>
                <w:rFonts w:eastAsia="Times New Roman"/>
                <w:lang w:val="it-IT"/>
              </w:rPr>
              <w:t>&lt; 30 kg</w:t>
            </w:r>
          </w:p>
        </w:tc>
        <w:tc>
          <w:tcPr>
            <w:tcW w:w="3572" w:type="dxa"/>
            <w:tcBorders>
              <w:top w:val="single" w:sz="4" w:space="0" w:color="auto"/>
              <w:bottom w:val="single" w:sz="4" w:space="0" w:color="auto"/>
            </w:tcBorders>
            <w:vAlign w:val="center"/>
          </w:tcPr>
          <w:p w14:paraId="2E38EAF4" w14:textId="3954740C" w:rsidR="00F51B72" w:rsidRPr="004F0B2E" w:rsidRDefault="00F51B72" w:rsidP="00F51B72">
            <w:pPr>
              <w:pStyle w:val="a3"/>
              <w:jc w:val="center"/>
              <w:rPr>
                <w:lang w:val="it-IT"/>
              </w:rPr>
            </w:pPr>
            <w:r>
              <w:rPr>
                <w:rFonts w:eastAsia="Times New Roman"/>
                <w:lang w:val="it-IT"/>
              </w:rPr>
              <w:t>20</w:t>
            </w:r>
            <w:r w:rsidRPr="00C35766">
              <w:rPr>
                <w:rFonts w:eastAsia="Times New Roman"/>
                <w:lang w:val="it-IT"/>
              </w:rPr>
              <w:t xml:space="preserve"> mg a settimane alterne in associazione con metotressato</w:t>
            </w:r>
          </w:p>
        </w:tc>
      </w:tr>
      <w:tr w:rsidR="00F51B72" w:rsidRPr="00494E69" w14:paraId="46E40FFE" w14:textId="77777777">
        <w:trPr>
          <w:trHeight w:val="374"/>
          <w:jc w:val="center"/>
        </w:trPr>
        <w:tc>
          <w:tcPr>
            <w:tcW w:w="3572" w:type="dxa"/>
            <w:tcBorders>
              <w:top w:val="single" w:sz="4" w:space="0" w:color="auto"/>
              <w:bottom w:val="single" w:sz="4" w:space="0" w:color="auto"/>
            </w:tcBorders>
            <w:vAlign w:val="center"/>
          </w:tcPr>
          <w:p w14:paraId="3806D36F" w14:textId="77777777" w:rsidR="00F51B72" w:rsidRPr="00C35766" w:rsidRDefault="00F51B72" w:rsidP="00F51B72">
            <w:pPr>
              <w:pStyle w:val="a3"/>
              <w:jc w:val="center"/>
            </w:pPr>
            <w:r w:rsidRPr="00C35766">
              <w:rPr>
                <w:rFonts w:eastAsia="Times New Roman"/>
                <w:lang w:val="it-IT"/>
              </w:rPr>
              <w:t>≥ 30 kg</w:t>
            </w:r>
          </w:p>
        </w:tc>
        <w:tc>
          <w:tcPr>
            <w:tcW w:w="3572" w:type="dxa"/>
            <w:tcBorders>
              <w:top w:val="single" w:sz="4" w:space="0" w:color="auto"/>
              <w:bottom w:val="single" w:sz="4" w:space="0" w:color="auto"/>
            </w:tcBorders>
            <w:vAlign w:val="center"/>
          </w:tcPr>
          <w:p w14:paraId="78EA12E7" w14:textId="1FA57F27" w:rsidR="00F51B72" w:rsidRPr="00C35766" w:rsidRDefault="00F51B72" w:rsidP="00F51B72">
            <w:pPr>
              <w:pStyle w:val="a3"/>
              <w:jc w:val="center"/>
              <w:rPr>
                <w:lang w:val="it-IT"/>
              </w:rPr>
            </w:pPr>
            <w:r w:rsidRPr="00C35766">
              <w:rPr>
                <w:rFonts w:eastAsia="Times New Roman"/>
                <w:lang w:val="it-IT"/>
              </w:rPr>
              <w:t>40 mg a settimane alterne in associazione con metotressato</w:t>
            </w:r>
          </w:p>
        </w:tc>
      </w:tr>
    </w:tbl>
    <w:p w14:paraId="46299F4A" w14:textId="77777777" w:rsidR="00953B2E" w:rsidRPr="00C35766" w:rsidRDefault="00953B2E">
      <w:pPr>
        <w:pStyle w:val="a3"/>
        <w:rPr>
          <w:lang w:val="pt-BR"/>
        </w:rPr>
      </w:pPr>
    </w:p>
    <w:p w14:paraId="751AF464" w14:textId="77263C3D" w:rsidR="00953B2E" w:rsidRPr="00C35766" w:rsidRDefault="005F0C19">
      <w:pPr>
        <w:pStyle w:val="a3"/>
        <w:rPr>
          <w:lang w:val="it-IT"/>
        </w:rPr>
      </w:pPr>
      <w:r w:rsidRPr="00C35766">
        <w:rPr>
          <w:rFonts w:eastAsia="Times New Roman"/>
          <w:lang w:val="it-IT"/>
        </w:rPr>
        <w:t>Quando si inizia la terapia con Yuflyma, è possibile somministrare una dose di carico da 40 mg per i pazienti con peso &lt; 30 kg o 80 mg per i pazienti</w:t>
      </w:r>
      <w:r w:rsidR="00FB2C91" w:rsidRPr="00C35766">
        <w:rPr>
          <w:rFonts w:eastAsia="Times New Roman"/>
          <w:lang w:val="it-IT"/>
        </w:rPr>
        <w:t xml:space="preserve"> </w:t>
      </w:r>
      <w:r w:rsidR="001B368E" w:rsidRPr="00C35766">
        <w:rPr>
          <w:rFonts w:eastAsia="Times New Roman"/>
          <w:lang w:val="it-IT"/>
        </w:rPr>
        <w:tab/>
      </w:r>
      <w:r w:rsidRPr="00C35766">
        <w:rPr>
          <w:rFonts w:eastAsia="Times New Roman"/>
          <w:lang w:val="it-IT"/>
        </w:rPr>
        <w:t>con peso ≥ 30 kg una settimana prima dell’inizio della terapia di mantenimento. Non sono disponibili dati clinici sull’uso della dose di carico di adalimumab nei bambini di età inferiore ai 6 anni (vedere paragrafo 5.2).</w:t>
      </w:r>
    </w:p>
    <w:p w14:paraId="261E8D33" w14:textId="77777777" w:rsidR="00953B2E" w:rsidRPr="00C35766" w:rsidRDefault="00953B2E">
      <w:pPr>
        <w:spacing w:before="10" w:line="240" w:lineRule="exact"/>
        <w:rPr>
          <w:rFonts w:ascii="Times New Roman" w:hAnsi="Times New Roman" w:cs="Times New Roman"/>
          <w:sz w:val="24"/>
          <w:szCs w:val="24"/>
          <w:lang w:val="it-IT"/>
        </w:rPr>
      </w:pPr>
    </w:p>
    <w:p w14:paraId="7D1BB484" w14:textId="79990629" w:rsidR="00953B2E" w:rsidRPr="00C35766" w:rsidRDefault="005F0C19">
      <w:pPr>
        <w:pStyle w:val="a3"/>
        <w:rPr>
          <w:lang w:val="it-IT"/>
        </w:rPr>
      </w:pPr>
      <w:r w:rsidRPr="00C35766">
        <w:rPr>
          <w:rFonts w:eastAsia="Times New Roman"/>
          <w:lang w:val="it-IT"/>
        </w:rPr>
        <w:t xml:space="preserve">Non c’è un uso rilevante di </w:t>
      </w:r>
      <w:r w:rsidR="00FF66BD">
        <w:rPr>
          <w:rFonts w:eastAsia="Times New Roman"/>
          <w:lang w:val="it-IT"/>
        </w:rPr>
        <w:t>adalimumab</w:t>
      </w:r>
      <w:r w:rsidR="009A5AEC" w:rsidRPr="00C35766">
        <w:rPr>
          <w:rFonts w:eastAsia="Times New Roman"/>
          <w:lang w:val="it-IT"/>
        </w:rPr>
        <w:t xml:space="preserve"> </w:t>
      </w:r>
      <w:r w:rsidRPr="00C35766">
        <w:rPr>
          <w:rFonts w:eastAsia="Times New Roman"/>
          <w:lang w:val="it-IT"/>
        </w:rPr>
        <w:t>nei bambini di età inferiore ai 2 anni per questa indicazione.</w:t>
      </w:r>
    </w:p>
    <w:p w14:paraId="2AE927BC" w14:textId="77777777" w:rsidR="00953B2E" w:rsidRPr="00C35766" w:rsidRDefault="00953B2E">
      <w:pPr>
        <w:spacing w:before="11" w:line="240" w:lineRule="exact"/>
        <w:rPr>
          <w:rFonts w:ascii="Times New Roman" w:hAnsi="Times New Roman" w:cs="Times New Roman"/>
          <w:sz w:val="24"/>
          <w:szCs w:val="24"/>
          <w:lang w:val="it-IT"/>
        </w:rPr>
      </w:pPr>
    </w:p>
    <w:p w14:paraId="4DA633D5" w14:textId="10E1DDEF" w:rsidR="00953B2E" w:rsidRPr="00C35766" w:rsidRDefault="005F0C19">
      <w:pPr>
        <w:pStyle w:val="a3"/>
        <w:rPr>
          <w:lang w:val="it-IT"/>
        </w:rPr>
      </w:pPr>
      <w:r w:rsidRPr="00C35766">
        <w:rPr>
          <w:rFonts w:eastAsia="Times New Roman"/>
          <w:spacing w:val="-4"/>
          <w:lang w:val="it-IT"/>
        </w:rPr>
        <w:t xml:space="preserve">Si raccomanda che i benefici e i rischi del trattamento continuato a lungo termine siano valutati </w:t>
      </w:r>
      <w:r w:rsidR="00FB2C91" w:rsidRPr="00C35766">
        <w:rPr>
          <w:rFonts w:eastAsia="Times New Roman"/>
          <w:spacing w:val="-4"/>
          <w:lang w:val="it-IT"/>
        </w:rPr>
        <w:t>annualmente</w:t>
      </w:r>
      <w:r w:rsidRPr="00C35766">
        <w:rPr>
          <w:rFonts w:eastAsia="Times New Roman"/>
          <w:spacing w:val="-4"/>
          <w:lang w:val="it-IT"/>
        </w:rPr>
        <w:t xml:space="preserve"> (vedere paragrafo 5.1).</w:t>
      </w:r>
    </w:p>
    <w:p w14:paraId="7C1F58BA" w14:textId="77777777" w:rsidR="00953B2E" w:rsidRPr="00C35766" w:rsidRDefault="00953B2E">
      <w:pPr>
        <w:spacing w:before="16" w:line="240" w:lineRule="exact"/>
        <w:rPr>
          <w:rFonts w:ascii="Times New Roman" w:hAnsi="Times New Roman" w:cs="Times New Roman"/>
          <w:sz w:val="24"/>
          <w:szCs w:val="24"/>
          <w:lang w:val="it-IT"/>
        </w:rPr>
      </w:pPr>
    </w:p>
    <w:p w14:paraId="553B17FA" w14:textId="77777777" w:rsidR="00953B2E" w:rsidRPr="00C35766" w:rsidRDefault="005F0C19">
      <w:pPr>
        <w:pStyle w:val="a3"/>
        <w:rPr>
          <w:u w:val="single"/>
          <w:lang w:val="it-IT"/>
        </w:rPr>
      </w:pPr>
      <w:r w:rsidRPr="00C35766">
        <w:rPr>
          <w:rFonts w:eastAsia="Times New Roman"/>
          <w:u w:val="single" w:color="000000"/>
          <w:lang w:val="it-IT"/>
        </w:rPr>
        <w:t>Modo di somministrazione</w:t>
      </w:r>
    </w:p>
    <w:p w14:paraId="5713BF97" w14:textId="77777777" w:rsidR="00953B2E" w:rsidRPr="00C35766" w:rsidRDefault="00953B2E">
      <w:pPr>
        <w:spacing w:before="9" w:line="170" w:lineRule="exact"/>
        <w:rPr>
          <w:rFonts w:ascii="Times New Roman" w:hAnsi="Times New Roman" w:cs="Times New Roman"/>
          <w:lang w:val="it-IT"/>
        </w:rPr>
      </w:pPr>
    </w:p>
    <w:p w14:paraId="2BA9E1AB" w14:textId="77777777" w:rsidR="00953B2E" w:rsidRPr="00C35766" w:rsidRDefault="005F0C19">
      <w:pPr>
        <w:pStyle w:val="a3"/>
        <w:rPr>
          <w:lang w:val="it-IT"/>
        </w:rPr>
      </w:pPr>
      <w:r w:rsidRPr="00C35766">
        <w:rPr>
          <w:rFonts w:eastAsia="Times New Roman"/>
          <w:lang w:val="it-IT"/>
        </w:rPr>
        <w:t>Yuflyma è somministrato tramite iniezione sottocutanea.</w:t>
      </w:r>
    </w:p>
    <w:p w14:paraId="2F43207C" w14:textId="77777777" w:rsidR="00953B2E" w:rsidRPr="00C35766" w:rsidRDefault="00953B2E">
      <w:pPr>
        <w:pStyle w:val="a3"/>
        <w:rPr>
          <w:lang w:val="it-IT"/>
        </w:rPr>
      </w:pPr>
    </w:p>
    <w:p w14:paraId="3D41F3D6" w14:textId="77777777" w:rsidR="00953B2E" w:rsidRPr="00C35766" w:rsidRDefault="005F0C19">
      <w:pPr>
        <w:pStyle w:val="a3"/>
        <w:rPr>
          <w:lang w:val="it-IT"/>
        </w:rPr>
      </w:pPr>
      <w:r w:rsidRPr="00C35766">
        <w:rPr>
          <w:rFonts w:eastAsia="Times New Roman"/>
          <w:lang w:val="it-IT"/>
        </w:rPr>
        <w:t>Istruzioni complete per l’uso sono fornite nel foglio illustrativo.</w:t>
      </w:r>
    </w:p>
    <w:p w14:paraId="26343AD3" w14:textId="77777777" w:rsidR="00953B2E" w:rsidRPr="00C35766" w:rsidRDefault="00953B2E">
      <w:pPr>
        <w:spacing w:before="12" w:line="240" w:lineRule="exact"/>
        <w:rPr>
          <w:rFonts w:ascii="Times New Roman" w:hAnsi="Times New Roman" w:cs="Times New Roman"/>
          <w:lang w:val="it-IT"/>
        </w:rPr>
      </w:pPr>
    </w:p>
    <w:p w14:paraId="3CC18193" w14:textId="4DC80F3F" w:rsidR="00953B2E" w:rsidRPr="00C35766" w:rsidRDefault="00F51B72">
      <w:pPr>
        <w:pStyle w:val="a3"/>
        <w:rPr>
          <w:lang w:val="it-IT"/>
        </w:rPr>
      </w:pPr>
      <w:r w:rsidRPr="004F0B2E">
        <w:rPr>
          <w:lang w:val="it-IT"/>
        </w:rPr>
        <w:t>Yuflyma è disponibile in altr</w:t>
      </w:r>
      <w:r w:rsidR="004F0B2E">
        <w:rPr>
          <w:lang w:val="it-IT"/>
        </w:rPr>
        <w:t>i</w:t>
      </w:r>
      <w:r w:rsidRPr="004F0B2E">
        <w:rPr>
          <w:lang w:val="it-IT"/>
        </w:rPr>
        <w:t xml:space="preserve"> </w:t>
      </w:r>
      <w:r w:rsidR="004F0B2E">
        <w:rPr>
          <w:lang w:val="it-IT"/>
        </w:rPr>
        <w:t>dosaggi</w:t>
      </w:r>
      <w:r w:rsidRPr="004F0B2E">
        <w:rPr>
          <w:lang w:val="it-IT"/>
        </w:rPr>
        <w:t xml:space="preserve"> e presentazioni.</w:t>
      </w:r>
    </w:p>
    <w:p w14:paraId="6694C4D5" w14:textId="77777777" w:rsidR="00953B2E" w:rsidRPr="00C35766" w:rsidRDefault="00953B2E">
      <w:pPr>
        <w:spacing w:before="16" w:line="240" w:lineRule="exact"/>
        <w:rPr>
          <w:rFonts w:ascii="Times New Roman" w:hAnsi="Times New Roman" w:cs="Times New Roman"/>
          <w:lang w:val="it-IT"/>
        </w:rPr>
      </w:pPr>
    </w:p>
    <w:p w14:paraId="745016D0"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Controindicazioni</w:t>
      </w:r>
    </w:p>
    <w:p w14:paraId="3F8817EF" w14:textId="77777777" w:rsidR="00953B2E" w:rsidRPr="00C35766" w:rsidRDefault="00953B2E">
      <w:pPr>
        <w:spacing w:before="9" w:line="240" w:lineRule="exact"/>
        <w:rPr>
          <w:rFonts w:ascii="Times New Roman" w:hAnsi="Times New Roman" w:cs="Times New Roman"/>
        </w:rPr>
      </w:pPr>
    </w:p>
    <w:p w14:paraId="630AF4BA" w14:textId="77777777" w:rsidR="00953B2E" w:rsidRPr="00C35766" w:rsidRDefault="005F0C19">
      <w:pPr>
        <w:pStyle w:val="a3"/>
        <w:rPr>
          <w:lang w:val="es-ES"/>
        </w:rPr>
      </w:pPr>
      <w:r w:rsidRPr="00C35766">
        <w:rPr>
          <w:rFonts w:eastAsia="Times New Roman"/>
          <w:lang w:val="it-IT"/>
        </w:rPr>
        <w:t>Ipersensibilità al principio attivo o ad uno qualsiasi degli eccipienti elencati al paragrafo 6.1.</w:t>
      </w:r>
    </w:p>
    <w:p w14:paraId="365B79A9" w14:textId="77777777" w:rsidR="00953B2E" w:rsidRPr="00C35766" w:rsidRDefault="00953B2E">
      <w:pPr>
        <w:spacing w:before="13" w:line="240" w:lineRule="exact"/>
        <w:rPr>
          <w:rFonts w:ascii="Times New Roman" w:hAnsi="Times New Roman" w:cs="Times New Roman"/>
          <w:lang w:val="es-ES"/>
        </w:rPr>
      </w:pPr>
    </w:p>
    <w:p w14:paraId="6E57060F" w14:textId="69F7ED6D" w:rsidR="00953B2E" w:rsidRPr="00C35766" w:rsidRDefault="005F0C19">
      <w:pPr>
        <w:pStyle w:val="a3"/>
        <w:rPr>
          <w:lang w:val="pt-BR"/>
        </w:rPr>
      </w:pPr>
      <w:r w:rsidRPr="00C35766">
        <w:rPr>
          <w:rFonts w:eastAsia="Times New Roman"/>
          <w:lang w:val="it-IT"/>
        </w:rPr>
        <w:t xml:space="preserve">Tubercolosi attiva o altre infezioni </w:t>
      </w:r>
      <w:r w:rsidR="00FB2C91" w:rsidRPr="00C35766">
        <w:rPr>
          <w:rFonts w:eastAsia="Times New Roman"/>
          <w:lang w:val="it-IT"/>
        </w:rPr>
        <w:t xml:space="preserve">severe </w:t>
      </w:r>
      <w:r w:rsidRPr="00C35766">
        <w:rPr>
          <w:rFonts w:eastAsia="Times New Roman"/>
          <w:lang w:val="it-IT"/>
        </w:rPr>
        <w:t xml:space="preserve">come sepsi e infezioni opportunistiche (vedere paragrafo 4.4). </w:t>
      </w:r>
    </w:p>
    <w:p w14:paraId="1B905A19" w14:textId="77777777" w:rsidR="00953B2E" w:rsidRPr="00C35766" w:rsidRDefault="00953B2E">
      <w:pPr>
        <w:pStyle w:val="a3"/>
        <w:rPr>
          <w:lang w:val="pt-BR"/>
        </w:rPr>
      </w:pPr>
    </w:p>
    <w:p w14:paraId="0BDD333F" w14:textId="675C510D" w:rsidR="00953B2E" w:rsidRPr="00C35766" w:rsidRDefault="005F0C19">
      <w:pPr>
        <w:pStyle w:val="a3"/>
        <w:rPr>
          <w:lang w:val="pt-BR"/>
        </w:rPr>
      </w:pPr>
      <w:r w:rsidRPr="00C35766">
        <w:rPr>
          <w:rFonts w:eastAsia="Times New Roman"/>
          <w:lang w:val="it-IT"/>
        </w:rPr>
        <w:t xml:space="preserve">Insufficienza cardiaca da moderata a </w:t>
      </w:r>
      <w:r w:rsidR="00FB2C91" w:rsidRPr="00C35766">
        <w:rPr>
          <w:rFonts w:eastAsia="Times New Roman"/>
          <w:lang w:val="it-IT"/>
        </w:rPr>
        <w:t xml:space="preserve">severa </w:t>
      </w:r>
      <w:r w:rsidRPr="00C35766">
        <w:rPr>
          <w:rFonts w:eastAsia="Times New Roman"/>
          <w:lang w:val="it-IT"/>
        </w:rPr>
        <w:t>(classe III/IV NYHA) (vedere paragrafo 4.4).</w:t>
      </w:r>
    </w:p>
    <w:p w14:paraId="4003BA46" w14:textId="77777777" w:rsidR="00953B2E" w:rsidRPr="00C35766" w:rsidRDefault="00953B2E">
      <w:pPr>
        <w:pStyle w:val="a3"/>
        <w:rPr>
          <w:lang w:val="pt-BR"/>
        </w:rPr>
      </w:pPr>
    </w:p>
    <w:p w14:paraId="6A0DE6B8"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Avvertenze speciali e precauzioni d’impiego</w:t>
      </w:r>
    </w:p>
    <w:p w14:paraId="32591223" w14:textId="77777777" w:rsidR="00953B2E" w:rsidRPr="00C35766" w:rsidRDefault="00953B2E">
      <w:pPr>
        <w:spacing w:before="9" w:line="240" w:lineRule="exact"/>
        <w:rPr>
          <w:rFonts w:ascii="Times New Roman" w:hAnsi="Times New Roman" w:cs="Times New Roman"/>
        </w:rPr>
      </w:pPr>
    </w:p>
    <w:p w14:paraId="1E1994C5" w14:textId="77777777" w:rsidR="00953B2E" w:rsidRPr="00C35766" w:rsidRDefault="005F0C19">
      <w:pPr>
        <w:pStyle w:val="a3"/>
        <w:rPr>
          <w:u w:val="single"/>
        </w:rPr>
      </w:pPr>
      <w:r w:rsidRPr="00C35766">
        <w:rPr>
          <w:rFonts w:eastAsia="Times New Roman"/>
          <w:spacing w:val="1"/>
          <w:u w:val="single" w:color="000000"/>
          <w:lang w:val="it-IT"/>
        </w:rPr>
        <w:t>Tracciabilità</w:t>
      </w:r>
    </w:p>
    <w:p w14:paraId="566D0B0D" w14:textId="77777777" w:rsidR="00953B2E" w:rsidRPr="00C35766" w:rsidRDefault="00953B2E">
      <w:pPr>
        <w:spacing w:before="1" w:line="180" w:lineRule="exact"/>
        <w:rPr>
          <w:rFonts w:ascii="Times New Roman" w:hAnsi="Times New Roman" w:cs="Times New Roman"/>
        </w:rPr>
      </w:pPr>
    </w:p>
    <w:p w14:paraId="304DE87C" w14:textId="77777777" w:rsidR="00953B2E" w:rsidRPr="00C35766" w:rsidRDefault="005F0C19">
      <w:pPr>
        <w:pStyle w:val="a3"/>
        <w:rPr>
          <w:lang w:val="pt-BR"/>
        </w:rPr>
      </w:pPr>
      <w:r w:rsidRPr="00C35766">
        <w:rPr>
          <w:rFonts w:eastAsia="Times New Roman"/>
          <w:lang w:val="it-IT"/>
        </w:rPr>
        <w:t>Al fine di migliorare la tracciabilità dei medicinali biologici, il nome e il numero di lotto del prodotto somministrato devono essere chiaramente registrati.</w:t>
      </w:r>
    </w:p>
    <w:p w14:paraId="37DCB311" w14:textId="77777777" w:rsidR="00953B2E" w:rsidRPr="00C35766" w:rsidRDefault="00953B2E">
      <w:pPr>
        <w:spacing w:before="11" w:line="240" w:lineRule="exact"/>
        <w:rPr>
          <w:rFonts w:ascii="Times New Roman" w:hAnsi="Times New Roman" w:cs="Times New Roman"/>
          <w:lang w:val="pt-BR"/>
        </w:rPr>
      </w:pPr>
    </w:p>
    <w:p w14:paraId="28CE5ABC" w14:textId="77777777" w:rsidR="00953B2E" w:rsidRPr="00C35766" w:rsidRDefault="005F0C19">
      <w:pPr>
        <w:pStyle w:val="a3"/>
        <w:rPr>
          <w:u w:val="single"/>
          <w:lang w:val="pt-BR"/>
        </w:rPr>
      </w:pPr>
      <w:r w:rsidRPr="00C35766">
        <w:rPr>
          <w:rFonts w:eastAsia="Times New Roman"/>
          <w:u w:val="single" w:color="000000"/>
          <w:lang w:val="it-IT"/>
        </w:rPr>
        <w:t>Infezioni</w:t>
      </w:r>
    </w:p>
    <w:p w14:paraId="0F7BA3AF" w14:textId="77777777" w:rsidR="00953B2E" w:rsidRPr="00C35766" w:rsidRDefault="00953B2E">
      <w:pPr>
        <w:spacing w:before="1" w:line="180" w:lineRule="exact"/>
        <w:rPr>
          <w:rFonts w:ascii="Times New Roman" w:hAnsi="Times New Roman" w:cs="Times New Roman"/>
          <w:lang w:val="pt-BR"/>
        </w:rPr>
      </w:pPr>
    </w:p>
    <w:p w14:paraId="15432BB2" w14:textId="77777777" w:rsidR="00953B2E" w:rsidRPr="00C35766" w:rsidRDefault="005F0C19">
      <w:pPr>
        <w:pStyle w:val="a3"/>
        <w:rPr>
          <w:lang w:val="it-IT"/>
        </w:rPr>
      </w:pPr>
      <w:r w:rsidRPr="00C35766">
        <w:rPr>
          <w:rFonts w:eastAsia="Times New Roman"/>
          <w:lang w:val="it-IT"/>
        </w:rPr>
        <w:t>I pazienti in trattamento con antagonisti del TNF sono più suscettibili alle infezioni gravi. Una funzione polmonare compromessa può aumentare il rischio di sviluppare infezioni. I pazienti devono pertanto essere attentamente esaminati per la valutazione di infezioni, compresa la tubercolosi, prima, durante e dopo il trattamento con Yuflyma.  Poichè l’eliminazione di adalimumab può richiedere fino a quattro mesi, il controllo deve essere continuato durante tale periodo.</w:t>
      </w:r>
    </w:p>
    <w:p w14:paraId="4CF00B34" w14:textId="77777777" w:rsidR="00953B2E" w:rsidRPr="00C35766" w:rsidRDefault="00953B2E">
      <w:pPr>
        <w:spacing w:before="14" w:line="240" w:lineRule="exact"/>
        <w:rPr>
          <w:rFonts w:ascii="Times New Roman" w:hAnsi="Times New Roman" w:cs="Times New Roman"/>
          <w:lang w:val="it-IT"/>
        </w:rPr>
      </w:pPr>
    </w:p>
    <w:p w14:paraId="2FEAA4EE" w14:textId="77777777" w:rsidR="00953B2E" w:rsidRPr="00C35766" w:rsidRDefault="005F0C19">
      <w:pPr>
        <w:pStyle w:val="a3"/>
        <w:rPr>
          <w:lang w:val="it-IT"/>
        </w:rPr>
      </w:pPr>
      <w:r w:rsidRPr="00C35766">
        <w:rPr>
          <w:rFonts w:eastAsia="Times New Roman"/>
          <w:lang w:val="it-IT"/>
        </w:rPr>
        <w:t xml:space="preserve">La terapia con Yuflyma non va iniziata in pazienti con infezioni attive, incluse le infezioni croniche o localizzate, fino a che queste non siano sotto controllo. In pazienti che sono stati esposti alla tubercolosi ed in pazienti che hanno viaggiato in aree ad alto rischio di tubercolosi o di micosi endemiche, quali istoplasmosi, coccidioidomicosi o blastomicosi, il rischio ed i benefici del trattamento con Yuflyma devono essere considerati prima di iniziare la terapia (vedere </w:t>
      </w:r>
      <w:r w:rsidRPr="00C35766">
        <w:rPr>
          <w:rFonts w:eastAsia="Times New Roman"/>
          <w:i/>
          <w:iCs/>
          <w:lang w:val="it-IT"/>
        </w:rPr>
        <w:t>Altre infezioni opportunistiche</w:t>
      </w:r>
      <w:r w:rsidRPr="00C35766">
        <w:rPr>
          <w:rFonts w:eastAsia="Times New Roman"/>
          <w:lang w:val="it-IT"/>
        </w:rPr>
        <w:t>).</w:t>
      </w:r>
    </w:p>
    <w:p w14:paraId="57C60C89" w14:textId="77777777" w:rsidR="00953B2E" w:rsidRPr="00C35766" w:rsidRDefault="00953B2E">
      <w:pPr>
        <w:spacing w:before="13" w:line="240" w:lineRule="exact"/>
        <w:rPr>
          <w:rFonts w:ascii="Times New Roman" w:hAnsi="Times New Roman" w:cs="Times New Roman"/>
          <w:lang w:val="it-IT"/>
        </w:rPr>
      </w:pPr>
    </w:p>
    <w:p w14:paraId="63DBC7F2" w14:textId="5B9E537C" w:rsidR="00953B2E" w:rsidRPr="00C35766" w:rsidRDefault="005F0C19">
      <w:pPr>
        <w:pStyle w:val="a3"/>
        <w:rPr>
          <w:lang w:val="it-IT"/>
        </w:rPr>
      </w:pPr>
      <w:r w:rsidRPr="00C35766">
        <w:rPr>
          <w:rFonts w:eastAsia="Times New Roman"/>
          <w:lang w:val="it-IT"/>
        </w:rPr>
        <w:t>I pazienti che sviluppano una nuova infezione durante la terapia con Yuflyma devono essere attentamente seguiti ed essere sottoposti ad una valutazione diagnostica</w:t>
      </w:r>
      <w:r w:rsidR="001924DA" w:rsidRPr="00C35766">
        <w:rPr>
          <w:rFonts w:eastAsia="Times New Roman"/>
          <w:lang w:val="it-IT"/>
        </w:rPr>
        <w:t xml:space="preserve"> completa</w:t>
      </w:r>
      <w:r w:rsidRPr="00C35766">
        <w:rPr>
          <w:rFonts w:eastAsia="Times New Roman"/>
          <w:lang w:val="it-IT"/>
        </w:rPr>
        <w:t>.  In caso di insorgenza di una nuova infezione grave o di sepsi, la somministrazione di Yuflyma deve essere interrotta e deve essere istituita una idonea terapia antimicrobica o antifungina fino a quando l’infezione non sia sotto controllo. I medici devono porre cautela nell’usare Yuflyma in pazienti con storia di infezioni recidivanti o con patologie concomitanti che possano predisporre i pazienti alle infezioni, incluso l’uso concomitante di farmaci immunosoppressivi.</w:t>
      </w:r>
    </w:p>
    <w:p w14:paraId="01928980" w14:textId="77777777" w:rsidR="00953B2E" w:rsidRPr="00C35766" w:rsidRDefault="00953B2E">
      <w:pPr>
        <w:pStyle w:val="a3"/>
        <w:rPr>
          <w:lang w:val="it-IT"/>
        </w:rPr>
      </w:pPr>
    </w:p>
    <w:p w14:paraId="4EF24B76" w14:textId="77777777" w:rsidR="0099795B" w:rsidRPr="00C35766" w:rsidRDefault="0099795B" w:rsidP="0099795B">
      <w:pPr>
        <w:keepNext/>
        <w:widowControl/>
        <w:tabs>
          <w:tab w:val="left" w:pos="567"/>
        </w:tabs>
        <w:autoSpaceDE w:val="0"/>
        <w:autoSpaceDN w:val="0"/>
        <w:adjustRightInd w:val="0"/>
        <w:jc w:val="both"/>
        <w:rPr>
          <w:rFonts w:ascii="Times New Roman" w:eastAsia="바탕" w:hAnsi="Times New Roman" w:cs="Times New Roman"/>
          <w:color w:val="000000"/>
          <w:lang w:val="it-IT" w:eastAsia="it-IT"/>
        </w:rPr>
      </w:pPr>
      <w:r w:rsidRPr="00C35766">
        <w:rPr>
          <w:rFonts w:ascii="Times New Roman" w:eastAsia="바탕" w:hAnsi="Times New Roman" w:cs="Times New Roman"/>
          <w:i/>
          <w:iCs/>
          <w:color w:val="000000"/>
          <w:lang w:val="it-IT" w:eastAsia="it-IT"/>
        </w:rPr>
        <w:t>Gravi infezioni</w:t>
      </w:r>
    </w:p>
    <w:p w14:paraId="54510BA1" w14:textId="77777777" w:rsidR="00953B2E" w:rsidRPr="00C35766" w:rsidRDefault="00953B2E">
      <w:pPr>
        <w:spacing w:line="240" w:lineRule="exact"/>
        <w:rPr>
          <w:rFonts w:ascii="Times New Roman" w:hAnsi="Times New Roman" w:cs="Times New Roman"/>
          <w:lang w:val="it-IT"/>
        </w:rPr>
      </w:pPr>
    </w:p>
    <w:p w14:paraId="44380385" w14:textId="77777777" w:rsidR="00953B2E" w:rsidRPr="00C35766" w:rsidRDefault="005F0C19">
      <w:pPr>
        <w:pStyle w:val="a3"/>
        <w:rPr>
          <w:lang w:val="it-IT"/>
        </w:rPr>
      </w:pPr>
      <w:r w:rsidRPr="00C35766">
        <w:rPr>
          <w:rFonts w:eastAsia="Times New Roman"/>
          <w:lang w:val="it-IT"/>
        </w:rPr>
        <w:t>Sono stati riportati casi di infezioni gravi, inclusa sepsi, causate da batteri, micobatteri, funghi invasivi, parassiti, virus o altre infezioni opportunistiche, quali listeriosi, legionellosi e pneumocistosi in pazienti trattati con adalimumab.</w:t>
      </w:r>
    </w:p>
    <w:p w14:paraId="33EBCB9A" w14:textId="77777777" w:rsidR="00953B2E" w:rsidRPr="00C35766" w:rsidRDefault="00953B2E">
      <w:pPr>
        <w:spacing w:line="240" w:lineRule="exact"/>
        <w:rPr>
          <w:rFonts w:ascii="Times New Roman" w:hAnsi="Times New Roman" w:cs="Times New Roman"/>
          <w:lang w:val="it-IT"/>
        </w:rPr>
      </w:pPr>
    </w:p>
    <w:p w14:paraId="77EE94F4" w14:textId="77777777" w:rsidR="00953B2E" w:rsidRPr="00C35766" w:rsidRDefault="005F0C19">
      <w:pPr>
        <w:pStyle w:val="a3"/>
        <w:rPr>
          <w:lang w:val="pt-BR"/>
        </w:rPr>
      </w:pPr>
      <w:r w:rsidRPr="00C35766">
        <w:rPr>
          <w:rFonts w:eastAsia="Times New Roman"/>
          <w:lang w:val="it-IT"/>
        </w:rPr>
        <w:t>Altre infezioni gravi osservate nel corso di studi clinici includono polmonite, pielonefrite, artrite settica e setticemia. Sono stati riportati casi di ospedalizzazione o di eventi fatali associati alle infezioni.</w:t>
      </w:r>
    </w:p>
    <w:p w14:paraId="16D555D2" w14:textId="77777777" w:rsidR="00953B2E" w:rsidRPr="00C35766" w:rsidRDefault="00953B2E">
      <w:pPr>
        <w:spacing w:line="240" w:lineRule="exact"/>
        <w:rPr>
          <w:rFonts w:ascii="Times New Roman" w:hAnsi="Times New Roman" w:cs="Times New Roman"/>
          <w:lang w:val="pt-BR"/>
        </w:rPr>
      </w:pPr>
    </w:p>
    <w:p w14:paraId="114A1276" w14:textId="77777777" w:rsidR="00953B2E" w:rsidRPr="00C35766" w:rsidRDefault="005F0C19">
      <w:pPr>
        <w:rPr>
          <w:rFonts w:ascii="Times New Roman" w:eastAsia="Times New Roman" w:hAnsi="Times New Roman" w:cs="Times New Roman"/>
          <w:lang w:val="pt-BR"/>
        </w:rPr>
      </w:pPr>
      <w:r w:rsidRPr="00C35766">
        <w:rPr>
          <w:rFonts w:ascii="Times New Roman" w:eastAsia="Times New Roman" w:hAnsi="Times New Roman" w:cs="Times New Roman"/>
          <w:i/>
          <w:iCs/>
          <w:spacing w:val="-1"/>
          <w:lang w:val="it-IT"/>
        </w:rPr>
        <w:t>Tubercolosi</w:t>
      </w:r>
    </w:p>
    <w:p w14:paraId="61B3030B" w14:textId="77777777" w:rsidR="00953B2E" w:rsidRPr="00C35766" w:rsidRDefault="00953B2E">
      <w:pPr>
        <w:spacing w:line="240" w:lineRule="exact"/>
        <w:rPr>
          <w:rFonts w:ascii="Times New Roman" w:hAnsi="Times New Roman" w:cs="Times New Roman"/>
          <w:lang w:val="pt-BR"/>
        </w:rPr>
      </w:pPr>
    </w:p>
    <w:p w14:paraId="2B88B675" w14:textId="77777777" w:rsidR="00953B2E" w:rsidRPr="00C35766" w:rsidRDefault="005F0C19">
      <w:pPr>
        <w:pStyle w:val="a3"/>
        <w:rPr>
          <w:lang w:val="it-IT"/>
        </w:rPr>
      </w:pPr>
      <w:r w:rsidRPr="00C35766">
        <w:rPr>
          <w:rFonts w:eastAsia="Times New Roman"/>
          <w:lang w:val="it-IT"/>
        </w:rPr>
        <w:t>È stata riportata tubercolosi, inclusa riattivazione e nuova manifestazione di tubercolosi, in pazienti che utilizzano adalimumab. Sono stati riportati casi di tubercolosi polmonare ed extra-polmonare (ovvero disseminata).</w:t>
      </w:r>
    </w:p>
    <w:p w14:paraId="36CC6AD7" w14:textId="77777777" w:rsidR="00953B2E" w:rsidRPr="00C35766" w:rsidRDefault="00953B2E">
      <w:pPr>
        <w:spacing w:line="240" w:lineRule="exact"/>
        <w:rPr>
          <w:rFonts w:ascii="Times New Roman" w:hAnsi="Times New Roman" w:cs="Times New Roman"/>
          <w:lang w:val="it-IT"/>
        </w:rPr>
      </w:pPr>
    </w:p>
    <w:p w14:paraId="5B2B86C1" w14:textId="632A2D1B" w:rsidR="00953B2E" w:rsidRPr="00C35766" w:rsidRDefault="005F0C19">
      <w:pPr>
        <w:pStyle w:val="a3"/>
        <w:rPr>
          <w:lang w:val="it-IT"/>
        </w:rPr>
      </w:pPr>
      <w:r w:rsidRPr="00C35766">
        <w:rPr>
          <w:rFonts w:eastAsia="Times New Roman"/>
          <w:lang w:val="it-IT"/>
        </w:rPr>
        <w:t>Prima di iniziare la terapia con Yuflyma, tutti i pazienti devono essere esaminati per valutare la presenza di tubercolosi attiva o inattiva (“latente”). Tale valutazione deve includere un’anamnesi clinica dettagliata dei pazienti con una storia pregressa di tubercolosi o eventuali contatti con persone affette da tubercolosi attiva, e con terapie immunosoppressive</w:t>
      </w:r>
      <w:r w:rsidR="00EF769A" w:rsidRPr="00C35766">
        <w:rPr>
          <w:rFonts w:eastAsia="Times New Roman"/>
          <w:lang w:val="it-IT"/>
        </w:rPr>
        <w:t xml:space="preserve"> precedenti e/o concomitanti</w:t>
      </w:r>
      <w:r w:rsidRPr="00C35766">
        <w:rPr>
          <w:rFonts w:eastAsia="Times New Roman"/>
          <w:lang w:val="it-IT"/>
        </w:rPr>
        <w:t>. Devono essere eseguiti appropriati esami di screening (ovvero il test cutaneo alla tubercolina e la radiografia toracica) in tutti i pazienti (possono essere seguite le linee guida locali). Si raccomanda che l’esecuzione e i risultati di tali test vengano registrati nella Scheda Promemoria per il Paziente. I medici devono porre attenzione al rischio di falsi negativi al test cutaneo alla tubercolina, soprattutto in pazienti gravemente ammalati o immunocompromessi.</w:t>
      </w:r>
    </w:p>
    <w:p w14:paraId="2FDD9359" w14:textId="77777777" w:rsidR="00953B2E" w:rsidRPr="00C35766" w:rsidRDefault="00953B2E">
      <w:pPr>
        <w:spacing w:before="13" w:line="240" w:lineRule="exact"/>
        <w:rPr>
          <w:rFonts w:ascii="Times New Roman" w:hAnsi="Times New Roman" w:cs="Times New Roman"/>
          <w:lang w:val="it-IT"/>
        </w:rPr>
      </w:pPr>
    </w:p>
    <w:p w14:paraId="626A9320" w14:textId="77777777" w:rsidR="00953B2E" w:rsidRPr="00C35766" w:rsidRDefault="005F0C19">
      <w:pPr>
        <w:pStyle w:val="a3"/>
        <w:rPr>
          <w:lang w:val="es-ES"/>
        </w:rPr>
      </w:pPr>
      <w:r w:rsidRPr="00C35766">
        <w:rPr>
          <w:rFonts w:eastAsia="Times New Roman"/>
          <w:lang w:val="it-IT"/>
        </w:rPr>
        <w:t>Se si diagnostica una tubercolosi attiva, la terapia con Yuflyma non deve essere iniziata (vedere paragrafo 4.3).</w:t>
      </w:r>
    </w:p>
    <w:p w14:paraId="2D9B0BA4" w14:textId="77777777" w:rsidR="00953B2E" w:rsidRPr="00C35766" w:rsidRDefault="00953B2E">
      <w:pPr>
        <w:pStyle w:val="a3"/>
        <w:rPr>
          <w:lang w:val="es-ES"/>
        </w:rPr>
      </w:pPr>
    </w:p>
    <w:p w14:paraId="301A6454" w14:textId="77777777" w:rsidR="00953B2E" w:rsidRPr="00C35766" w:rsidRDefault="005F0C19">
      <w:pPr>
        <w:pStyle w:val="a3"/>
        <w:rPr>
          <w:lang w:val="es-ES"/>
        </w:rPr>
      </w:pPr>
      <w:r w:rsidRPr="00C35766">
        <w:rPr>
          <w:rFonts w:eastAsia="Times New Roman"/>
          <w:lang w:val="it-IT"/>
        </w:rPr>
        <w:t xml:space="preserve">In tutte le situazioni di seguito descritte è opportuno effettuare un’attenta valutazione del rapporto beneficio/rischio della terapia. </w:t>
      </w:r>
    </w:p>
    <w:p w14:paraId="7F87A482" w14:textId="77777777" w:rsidR="00953B2E" w:rsidRPr="00C35766" w:rsidRDefault="00953B2E">
      <w:pPr>
        <w:pStyle w:val="a3"/>
        <w:rPr>
          <w:lang w:val="es-ES"/>
        </w:rPr>
      </w:pPr>
    </w:p>
    <w:p w14:paraId="11BEFFB2" w14:textId="77777777" w:rsidR="00953B2E" w:rsidRPr="00C35766" w:rsidRDefault="005F0C19">
      <w:pPr>
        <w:pStyle w:val="a3"/>
        <w:rPr>
          <w:lang w:val="es-ES"/>
        </w:rPr>
      </w:pPr>
      <w:r w:rsidRPr="00C35766">
        <w:rPr>
          <w:rFonts w:eastAsia="Times New Roman"/>
          <w:lang w:val="it-IT"/>
        </w:rPr>
        <w:t>Se si sospetta una tubercolosi latente, è consigliabile consultare un medico specializzato nel trattamento della tubercolosi.</w:t>
      </w:r>
    </w:p>
    <w:p w14:paraId="67641BDD" w14:textId="77777777" w:rsidR="00953B2E" w:rsidRPr="00C35766" w:rsidRDefault="00953B2E">
      <w:pPr>
        <w:spacing w:before="11" w:line="240" w:lineRule="exact"/>
        <w:rPr>
          <w:rFonts w:ascii="Times New Roman" w:hAnsi="Times New Roman" w:cs="Times New Roman"/>
          <w:lang w:val="es-ES"/>
        </w:rPr>
      </w:pPr>
    </w:p>
    <w:p w14:paraId="068DE314" w14:textId="77777777" w:rsidR="00953B2E" w:rsidRPr="00C35766" w:rsidRDefault="005F0C19">
      <w:pPr>
        <w:pStyle w:val="a3"/>
        <w:rPr>
          <w:lang w:val="es-ES"/>
        </w:rPr>
      </w:pPr>
      <w:r w:rsidRPr="00C35766">
        <w:rPr>
          <w:rFonts w:eastAsia="Times New Roman"/>
          <w:lang w:val="it-IT"/>
        </w:rPr>
        <w:t>In caso di diagnosi positiva di tubercolosi latente, prima di iniziare la terapia con Yuflyma deve essere istituito il trattamento di profilassi anti-tubercolare in accordo alle raccomandazioni locali.</w:t>
      </w:r>
    </w:p>
    <w:p w14:paraId="0C4D1810" w14:textId="77777777" w:rsidR="00953B2E" w:rsidRPr="00C35766" w:rsidRDefault="00953B2E">
      <w:pPr>
        <w:spacing w:before="12" w:line="240" w:lineRule="exact"/>
        <w:rPr>
          <w:rFonts w:ascii="Times New Roman" w:hAnsi="Times New Roman" w:cs="Times New Roman"/>
          <w:lang w:val="es-ES"/>
        </w:rPr>
      </w:pPr>
    </w:p>
    <w:p w14:paraId="04A0CE38" w14:textId="77777777" w:rsidR="00953B2E" w:rsidRPr="00C35766" w:rsidRDefault="005F0C19">
      <w:pPr>
        <w:pStyle w:val="a3"/>
        <w:rPr>
          <w:lang w:val="es-ES"/>
        </w:rPr>
      </w:pPr>
      <w:r w:rsidRPr="00C35766">
        <w:rPr>
          <w:rFonts w:eastAsia="Times New Roman"/>
          <w:lang w:val="it-IT"/>
        </w:rPr>
        <w:t>L’istituzione di un trattamento di profilassi anti-tubercolare deve essere presa in considerazione anche prima di iniziare il trattamento a base di Yuflyma in pazienti con diversi o significativi fattori di rischio per la tubercolosi nonostante un test negativo per la tubercolosi e in quei pazienti che all’anamnesi presentano una storia personale di tubercolosi latente o attiva nei quali non sia possibile confermare se il ciclo di trattamento cui sono stati sottoposti sia risultato adeguato.</w:t>
      </w:r>
    </w:p>
    <w:p w14:paraId="2813FADC" w14:textId="77777777" w:rsidR="00953B2E" w:rsidRPr="00C35766" w:rsidRDefault="00953B2E">
      <w:pPr>
        <w:spacing w:before="17" w:line="240" w:lineRule="exact"/>
        <w:rPr>
          <w:rFonts w:ascii="Times New Roman" w:hAnsi="Times New Roman" w:cs="Times New Roman"/>
          <w:lang w:val="es-ES"/>
        </w:rPr>
      </w:pPr>
    </w:p>
    <w:p w14:paraId="218B8C76" w14:textId="77777777" w:rsidR="00953B2E" w:rsidRPr="00C35766" w:rsidRDefault="005F0C19">
      <w:pPr>
        <w:pStyle w:val="a3"/>
        <w:rPr>
          <w:lang w:val="es-ES"/>
        </w:rPr>
      </w:pPr>
      <w:r w:rsidRPr="00C35766">
        <w:rPr>
          <w:rFonts w:eastAsia="Times New Roman"/>
          <w:lang w:val="it-IT"/>
        </w:rPr>
        <w:t>Nonostante il trattamento di profilassi per la tubercolosi, si sono verificati casi di riattivazione di tubercolosi in pazienti trattati con adalimumab. Nel corso del trattamento con adalimumab, alcuni pazienti trattati con successo per la tubercolosi attiva hanno manifestato nuovamente la comparsa di tubercolosi.</w:t>
      </w:r>
    </w:p>
    <w:p w14:paraId="019849BC" w14:textId="77777777" w:rsidR="00953B2E" w:rsidRPr="00C35766" w:rsidRDefault="00953B2E">
      <w:pPr>
        <w:spacing w:before="11" w:line="240" w:lineRule="exact"/>
        <w:rPr>
          <w:rFonts w:ascii="Times New Roman" w:hAnsi="Times New Roman" w:cs="Times New Roman"/>
          <w:lang w:val="es-ES"/>
        </w:rPr>
      </w:pPr>
    </w:p>
    <w:p w14:paraId="4A5173FC" w14:textId="7E8E3FE9" w:rsidR="00953B2E" w:rsidRPr="00C35766" w:rsidRDefault="005F0C19">
      <w:pPr>
        <w:pStyle w:val="a3"/>
        <w:rPr>
          <w:lang w:val="es-ES"/>
        </w:rPr>
      </w:pPr>
      <w:r w:rsidRPr="00C35766">
        <w:rPr>
          <w:rFonts w:eastAsia="Times New Roman"/>
          <w:lang w:val="it-IT"/>
        </w:rPr>
        <w:t>I pazienti devono essere avvisati di rivolgersi al medico se, durante o dopo la terapia con Yuflyma, si manifestano segni/sintomi indicativi di possibile infezione tubercolare (per es. tosse persistente, deperimento</w:t>
      </w:r>
      <w:r w:rsidR="00865ACF">
        <w:rPr>
          <w:rFonts w:eastAsia="Times New Roman"/>
          <w:lang w:val="it-IT"/>
        </w:rPr>
        <w:t>/</w:t>
      </w:r>
      <w:r w:rsidRPr="00C35766">
        <w:rPr>
          <w:rFonts w:eastAsia="Times New Roman"/>
          <w:lang w:val="it-IT"/>
        </w:rPr>
        <w:t>perdita di peso, febbre moderata, svogliatezza).</w:t>
      </w:r>
    </w:p>
    <w:p w14:paraId="31DB575A" w14:textId="77777777" w:rsidR="00953B2E" w:rsidRPr="00C35766" w:rsidRDefault="00953B2E">
      <w:pPr>
        <w:ind w:left="111"/>
        <w:rPr>
          <w:rFonts w:ascii="Times New Roman" w:hAnsi="Times New Roman" w:cs="Times New Roman"/>
          <w:lang w:val="es-ES"/>
        </w:rPr>
      </w:pPr>
    </w:p>
    <w:p w14:paraId="46B2DD9A" w14:textId="77777777" w:rsidR="00953B2E" w:rsidRPr="00C35766" w:rsidRDefault="005F0C19">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Altre infezioni opportunistiche</w:t>
      </w:r>
    </w:p>
    <w:p w14:paraId="56EC48D7" w14:textId="77777777" w:rsidR="00953B2E" w:rsidRPr="00C35766" w:rsidRDefault="00953B2E">
      <w:pPr>
        <w:spacing w:before="13" w:line="240" w:lineRule="exact"/>
        <w:rPr>
          <w:rFonts w:ascii="Times New Roman" w:hAnsi="Times New Roman" w:cs="Times New Roman"/>
          <w:lang w:val="es-ES"/>
        </w:rPr>
      </w:pPr>
    </w:p>
    <w:p w14:paraId="41B34F86" w14:textId="77777777" w:rsidR="00953B2E" w:rsidRPr="00C35766" w:rsidRDefault="005F0C19">
      <w:pPr>
        <w:pStyle w:val="a3"/>
        <w:rPr>
          <w:lang w:val="it-IT"/>
        </w:rPr>
      </w:pPr>
      <w:r w:rsidRPr="00C35766">
        <w:rPr>
          <w:rFonts w:eastAsia="Times New Roman"/>
          <w:lang w:val="it-IT"/>
        </w:rPr>
        <w:t>In pazienti che hanno assunto adalimumab sono stati osservati casi di infezioni opportunistiche, incluse infezioni fungine invasive. Queste infezioni non sono state correttamente diagnosticate in pazienti che assumevano antagonisti del TNF e ciò ha comportato un ritardo nel trattamento appropriato, talvolta con esito fatale.</w:t>
      </w:r>
    </w:p>
    <w:p w14:paraId="16FEA558" w14:textId="77777777" w:rsidR="00953B2E" w:rsidRPr="00C35766" w:rsidRDefault="00953B2E">
      <w:pPr>
        <w:pStyle w:val="a3"/>
        <w:rPr>
          <w:lang w:val="it-IT"/>
        </w:rPr>
      </w:pPr>
    </w:p>
    <w:p w14:paraId="4219D665" w14:textId="0EFDBF4D" w:rsidR="00953B2E" w:rsidRPr="00C35766" w:rsidRDefault="005F0C19">
      <w:pPr>
        <w:pStyle w:val="a3"/>
        <w:rPr>
          <w:lang w:val="it-IT"/>
        </w:rPr>
      </w:pPr>
      <w:r w:rsidRPr="00C35766">
        <w:rPr>
          <w:rFonts w:eastAsia="Times New Roman"/>
          <w:lang w:val="it-IT"/>
        </w:rPr>
        <w:t xml:space="preserve">In pazienti che sviluppano segni e sintomi quali febbre, malessere, perdita di peso, sudorazione, tosse, dispnea e/o infiltrato polmonare o altre malattie sistemiche gravi con o senza shock concomitante si deve sospettare un’infezione fungina invasiva e deve essere prontamente interrotta la somministrazione di Yuflyma. La diagnosi e la somministrazione di terapia antifungina empirica in questi pazienti </w:t>
      </w:r>
      <w:r w:rsidR="001A10F9">
        <w:rPr>
          <w:rFonts w:eastAsia="Times New Roman"/>
          <w:lang w:val="it-IT"/>
        </w:rPr>
        <w:t>devono</w:t>
      </w:r>
      <w:r w:rsidR="001A10F9" w:rsidRPr="00C35766">
        <w:rPr>
          <w:rFonts w:eastAsia="Times New Roman"/>
          <w:lang w:val="it-IT"/>
        </w:rPr>
        <w:t xml:space="preserve"> </w:t>
      </w:r>
      <w:r w:rsidRPr="00C35766">
        <w:rPr>
          <w:rFonts w:eastAsia="Times New Roman"/>
          <w:lang w:val="it-IT"/>
        </w:rPr>
        <w:t>essere effettuate consultando un medico specializzato nella cura di pazienti con infezioni fungine invasive.</w:t>
      </w:r>
    </w:p>
    <w:p w14:paraId="7442A7B8" w14:textId="77777777" w:rsidR="00953B2E" w:rsidRPr="00C35766" w:rsidRDefault="00953B2E">
      <w:pPr>
        <w:spacing w:before="13" w:line="240" w:lineRule="exact"/>
        <w:rPr>
          <w:rFonts w:ascii="Times New Roman" w:hAnsi="Times New Roman" w:cs="Times New Roman"/>
          <w:lang w:val="it-IT"/>
        </w:rPr>
      </w:pPr>
    </w:p>
    <w:p w14:paraId="3C29458A" w14:textId="77777777" w:rsidR="00953B2E" w:rsidRPr="00C35766" w:rsidRDefault="005F0C19">
      <w:pPr>
        <w:pStyle w:val="a3"/>
        <w:rPr>
          <w:u w:val="single"/>
          <w:lang w:val="it-IT"/>
        </w:rPr>
      </w:pPr>
      <w:r w:rsidRPr="00C35766">
        <w:rPr>
          <w:rFonts w:eastAsia="Times New Roman"/>
          <w:u w:val="single" w:color="000000"/>
          <w:lang w:val="it-IT"/>
        </w:rPr>
        <w:t>Riattivazione dell’epatite B</w:t>
      </w:r>
    </w:p>
    <w:p w14:paraId="165D972D" w14:textId="77777777" w:rsidR="00953B2E" w:rsidRPr="00C35766" w:rsidRDefault="00953B2E">
      <w:pPr>
        <w:spacing w:before="9" w:line="170" w:lineRule="exact"/>
        <w:rPr>
          <w:rFonts w:ascii="Times New Roman" w:hAnsi="Times New Roman" w:cs="Times New Roman"/>
          <w:lang w:val="it-IT"/>
        </w:rPr>
      </w:pPr>
    </w:p>
    <w:p w14:paraId="1F7D5D3C" w14:textId="050D52F0" w:rsidR="00953B2E" w:rsidRPr="00C35766" w:rsidRDefault="005F0C19">
      <w:pPr>
        <w:pStyle w:val="a3"/>
        <w:rPr>
          <w:lang w:val="it-IT"/>
        </w:rPr>
      </w:pPr>
      <w:r w:rsidRPr="00C35766">
        <w:rPr>
          <w:rFonts w:eastAsia="Times New Roman"/>
          <w:lang w:val="it-IT"/>
        </w:rPr>
        <w:t xml:space="preserve">In pazienti portatori cronici del virus dell’epatite B </w:t>
      </w:r>
      <w:r w:rsidR="00A618F0" w:rsidRPr="00C35766">
        <w:rPr>
          <w:rFonts w:eastAsia="Times New Roman"/>
          <w:lang w:val="it-IT"/>
        </w:rPr>
        <w:t xml:space="preserve">(ad es. antigene di superficie positivo) </w:t>
      </w:r>
      <w:r w:rsidRPr="00C35766">
        <w:rPr>
          <w:rFonts w:eastAsia="Times New Roman"/>
          <w:lang w:val="it-IT"/>
        </w:rPr>
        <w:t>sottoposti a trattamento con antagonisti del TNF incluso adalimumab, si è verificata una riattivazione dell’epatite B. Alcuni casi hanno avuto un esito fatale. Prima di iniziare il trattamento con Yuflyma, i pazienti devono essere testati per l’infezione da virus dell’epatite B. Si raccomanda la consultazione di un medico con esperienza nel trattamento dell’epatite B per quei pazienti che risultano positivi al test per l’epatite B.</w:t>
      </w:r>
    </w:p>
    <w:p w14:paraId="276E9001" w14:textId="77777777" w:rsidR="00953B2E" w:rsidRPr="00C35766" w:rsidRDefault="00953B2E">
      <w:pPr>
        <w:spacing w:before="13" w:line="240" w:lineRule="exact"/>
        <w:rPr>
          <w:rFonts w:ascii="Times New Roman" w:hAnsi="Times New Roman" w:cs="Times New Roman"/>
          <w:lang w:val="it-IT"/>
        </w:rPr>
      </w:pPr>
    </w:p>
    <w:p w14:paraId="57973B99" w14:textId="77777777" w:rsidR="00953B2E" w:rsidRPr="00C35766" w:rsidRDefault="005F0C19">
      <w:pPr>
        <w:pStyle w:val="a3"/>
        <w:rPr>
          <w:lang w:val="it-IT"/>
        </w:rPr>
      </w:pPr>
      <w:r w:rsidRPr="00C35766">
        <w:rPr>
          <w:rFonts w:eastAsia="Times New Roman"/>
          <w:lang w:val="it-IT"/>
        </w:rPr>
        <w:t>I portatori del virus dell’epatite B che necessitano di un trattamento con Yuflyma devono essere attentamente monitorati allo scopo di rilevare la comparsa dei segni e sintomi dell’infezione attiva da virus dell’epatite B non solo nel corso di tutta la terapia, ma anche durante i mesi successivi alla sospensione della terapia. Non sono disponibili dati adeguati derivanti dal trattamento di pazienti portatori del virus dell’epatite B, sottoposti a terapia anti-virale al fine di evitare la riattivazione del virus dell’epatite B, in concomitanza con la terapia con antagonisti del TNF. Nei pazienti che sviluppano una riattivazione del virus dell’epatite B, la somministrazione di Yuflyma deve essere interrotta e deve essere istituita un’efficace terapia anti-virale accompagnata da un adeguato trattamento di supporto.</w:t>
      </w:r>
    </w:p>
    <w:p w14:paraId="5FD63020" w14:textId="77777777" w:rsidR="00953B2E" w:rsidRPr="00C35766" w:rsidRDefault="00953B2E">
      <w:pPr>
        <w:spacing w:before="13" w:line="240" w:lineRule="exact"/>
        <w:rPr>
          <w:rFonts w:ascii="Times New Roman" w:hAnsi="Times New Roman" w:cs="Times New Roman"/>
          <w:lang w:val="it-IT"/>
        </w:rPr>
      </w:pPr>
    </w:p>
    <w:p w14:paraId="370129C5" w14:textId="77777777" w:rsidR="00953B2E" w:rsidRPr="00C35766" w:rsidRDefault="005F0C19">
      <w:pPr>
        <w:pStyle w:val="a3"/>
        <w:rPr>
          <w:u w:val="single"/>
          <w:lang w:val="it-IT"/>
        </w:rPr>
      </w:pPr>
      <w:r w:rsidRPr="00C35766">
        <w:rPr>
          <w:rFonts w:eastAsia="Times New Roman"/>
          <w:u w:val="single" w:color="000000"/>
          <w:lang w:val="it-IT"/>
        </w:rPr>
        <w:t>Eventi neurologici</w:t>
      </w:r>
    </w:p>
    <w:p w14:paraId="42AC44DB" w14:textId="77777777" w:rsidR="00953B2E" w:rsidRPr="00C35766" w:rsidRDefault="00953B2E">
      <w:pPr>
        <w:spacing w:before="1" w:line="180" w:lineRule="exact"/>
        <w:rPr>
          <w:rFonts w:ascii="Times New Roman" w:hAnsi="Times New Roman" w:cs="Times New Roman"/>
          <w:lang w:val="it-IT"/>
        </w:rPr>
      </w:pPr>
    </w:p>
    <w:p w14:paraId="65DA5AAD" w14:textId="6B336CF1" w:rsidR="00953B2E" w:rsidRPr="00C35766" w:rsidRDefault="005F0C19">
      <w:pPr>
        <w:pStyle w:val="a3"/>
        <w:rPr>
          <w:lang w:val="it-IT"/>
        </w:rPr>
      </w:pPr>
      <w:r w:rsidRPr="00C35766">
        <w:rPr>
          <w:rFonts w:eastAsia="Times New Roman"/>
          <w:lang w:val="it-IT"/>
        </w:rPr>
        <w:t xml:space="preserve">I farmaci anti-TNF, compreso adalimumab, sono stati correlati, in rari casi, con la nuova insorgenza o con l’esacerbazione di sintomi clinici e/o evidenze radiografiche di malattie demielinizzanti del sistema nervoso centrale, inclusa la sclerosi multipla, la neurite ottica e le malattie demielinizzanti periferiche, compresa la sindrome di Guillain-Barrè. Deve essere usata cautela nell’uso di Yuflyma in quei pazienti con patologie demielinizzanti del sistema nervoso centrale o periferico pregresse o di recente insorgenza; </w:t>
      </w:r>
      <w:r w:rsidR="00A618F0" w:rsidRPr="00C35766">
        <w:rPr>
          <w:rFonts w:eastAsia="Times New Roman"/>
          <w:lang w:val="it-IT"/>
        </w:rPr>
        <w:t xml:space="preserve">deve essere presa in considerazione </w:t>
      </w:r>
      <w:r w:rsidRPr="00C35766">
        <w:rPr>
          <w:rFonts w:eastAsia="Times New Roman"/>
          <w:lang w:val="it-IT"/>
        </w:rPr>
        <w:t>l’interruzione di Yuflyma nel caso in cui si sviluppi una qualsiasi di queste patologie. Sussiste una nota associazione tra l’uveite intermedia e le patologie demielinizzanti del sistema nervoso centrale. La valutazione neurologica deve essere effettuata sui pazienti con uveite intermedia non infettiva prima di iniziare la terapia con Yuflyma e a intervalli regolari durante il trattamento al fine di valutare le patologie demielinizzanti del sistema nervoso centrale pregresse o in fase di sviluppo.</w:t>
      </w:r>
    </w:p>
    <w:p w14:paraId="04D585E1" w14:textId="77777777" w:rsidR="00953B2E" w:rsidRPr="00C35766" w:rsidRDefault="00953B2E">
      <w:pPr>
        <w:spacing w:before="13" w:line="240" w:lineRule="exact"/>
        <w:rPr>
          <w:rFonts w:ascii="Times New Roman" w:hAnsi="Times New Roman" w:cs="Times New Roman"/>
          <w:lang w:val="it-IT"/>
        </w:rPr>
      </w:pPr>
    </w:p>
    <w:p w14:paraId="0E7DB2DA" w14:textId="77777777" w:rsidR="00953B2E" w:rsidRPr="00C35766" w:rsidRDefault="005F0C19">
      <w:pPr>
        <w:pStyle w:val="a3"/>
        <w:rPr>
          <w:u w:val="single"/>
          <w:lang w:val="it-IT"/>
        </w:rPr>
      </w:pPr>
      <w:r w:rsidRPr="00C35766">
        <w:rPr>
          <w:rFonts w:eastAsia="Times New Roman"/>
          <w:u w:val="single" w:color="000000"/>
          <w:lang w:val="it-IT"/>
        </w:rPr>
        <w:t>Reazioni allergiche</w:t>
      </w:r>
    </w:p>
    <w:p w14:paraId="07430BD2" w14:textId="77777777" w:rsidR="00953B2E" w:rsidRPr="00C35766" w:rsidRDefault="00953B2E">
      <w:pPr>
        <w:spacing w:before="9" w:line="170" w:lineRule="exact"/>
        <w:rPr>
          <w:rFonts w:ascii="Times New Roman" w:hAnsi="Times New Roman" w:cs="Times New Roman"/>
          <w:lang w:val="it-IT"/>
        </w:rPr>
      </w:pPr>
    </w:p>
    <w:p w14:paraId="32293ABA" w14:textId="77777777" w:rsidR="00953B2E" w:rsidRPr="00C35766" w:rsidRDefault="005F0C19">
      <w:pPr>
        <w:pStyle w:val="a3"/>
        <w:rPr>
          <w:lang w:val="it-IT"/>
        </w:rPr>
      </w:pPr>
      <w:r w:rsidRPr="00C35766">
        <w:rPr>
          <w:rFonts w:eastAsia="Times New Roman"/>
          <w:lang w:val="it-IT"/>
        </w:rPr>
        <w:t xml:space="preserve">Nel corso degli studi clinici, reazioni allergiche gravi associate con adalimumab sono state rare. Le reazioni allergiche non gravi associate con adalimumab durante gli studi clinici sono state non comuni. Sono state ricevute segnalazioni di reazioni allergiche gravi inclusa l’anafilassi a seguito della somministrazione di adalimumab. Se si verificano reazioni anafilattiche o altre gravi manifestazioni allergiche, la </w:t>
      </w:r>
      <w:r w:rsidRPr="00C35766">
        <w:rPr>
          <w:rFonts w:eastAsia="Times New Roman"/>
          <w:lang w:val="it-IT"/>
        </w:rPr>
        <w:lastRenderedPageBreak/>
        <w:t>somministrazione di Yuflyma deve essere immediatamente interrotta e deve essere iniziata una terapia appropriata.</w:t>
      </w:r>
    </w:p>
    <w:p w14:paraId="72BEB753" w14:textId="77777777" w:rsidR="00953B2E" w:rsidRPr="00C35766" w:rsidRDefault="00953B2E">
      <w:pPr>
        <w:spacing w:before="13" w:line="240" w:lineRule="exact"/>
        <w:rPr>
          <w:rFonts w:ascii="Times New Roman" w:hAnsi="Times New Roman" w:cs="Times New Roman"/>
          <w:lang w:val="it-IT"/>
        </w:rPr>
      </w:pPr>
    </w:p>
    <w:p w14:paraId="198BEF7A" w14:textId="77777777" w:rsidR="00953B2E" w:rsidRPr="00C35766" w:rsidRDefault="005F0C19">
      <w:pPr>
        <w:pStyle w:val="a3"/>
        <w:rPr>
          <w:u w:val="single"/>
          <w:lang w:val="it-IT"/>
        </w:rPr>
      </w:pPr>
      <w:r w:rsidRPr="00C35766">
        <w:rPr>
          <w:rFonts w:eastAsia="Times New Roman"/>
          <w:u w:val="single" w:color="000000"/>
          <w:lang w:val="it-IT"/>
        </w:rPr>
        <w:t>Immunosoppressione</w:t>
      </w:r>
    </w:p>
    <w:p w14:paraId="286EECC5" w14:textId="77777777" w:rsidR="00953B2E" w:rsidRPr="00C35766" w:rsidRDefault="00953B2E">
      <w:pPr>
        <w:spacing w:before="1" w:line="180" w:lineRule="exact"/>
        <w:rPr>
          <w:rFonts w:ascii="Times New Roman" w:hAnsi="Times New Roman" w:cs="Times New Roman"/>
          <w:lang w:val="it-IT"/>
        </w:rPr>
      </w:pPr>
    </w:p>
    <w:p w14:paraId="427E060D" w14:textId="77777777" w:rsidR="00953B2E" w:rsidRPr="00C35766" w:rsidRDefault="005F0C19">
      <w:pPr>
        <w:pStyle w:val="a3"/>
        <w:rPr>
          <w:lang w:val="it-IT"/>
        </w:rPr>
      </w:pPr>
      <w:r w:rsidRPr="00C35766">
        <w:rPr>
          <w:rFonts w:eastAsia="Times New Roman"/>
          <w:lang w:val="it-IT"/>
        </w:rPr>
        <w:t>In uno studio su 64 pazienti con artrite reumatoide, sottoposti a trattamento con adalimumab, non è stata evidenziata alcuna inibizione dell’ipersensibilità ritardata, né riduzione dei livelli delle immunoglobuline o cambiamenti nel numero dei linfociti T, B, delle cellule NK, dei monociti/macrofagi e dei neutrofili.</w:t>
      </w:r>
    </w:p>
    <w:p w14:paraId="77BAFB4F" w14:textId="77777777" w:rsidR="00953B2E" w:rsidRPr="00C35766" w:rsidRDefault="00953B2E">
      <w:pPr>
        <w:spacing w:before="11" w:line="240" w:lineRule="exact"/>
        <w:rPr>
          <w:rFonts w:ascii="Times New Roman" w:hAnsi="Times New Roman" w:cs="Times New Roman"/>
          <w:lang w:val="it-IT"/>
        </w:rPr>
      </w:pPr>
    </w:p>
    <w:p w14:paraId="5B47F6B1" w14:textId="77777777" w:rsidR="00953B2E" w:rsidRPr="00C35766" w:rsidRDefault="005F0C19">
      <w:pPr>
        <w:pStyle w:val="a3"/>
        <w:keepNext/>
        <w:rPr>
          <w:u w:val="single"/>
          <w:lang w:val="it-IT"/>
        </w:rPr>
      </w:pPr>
      <w:r w:rsidRPr="00C35766">
        <w:rPr>
          <w:rFonts w:eastAsia="Times New Roman"/>
          <w:u w:val="single" w:color="000000"/>
          <w:lang w:val="it-IT"/>
        </w:rPr>
        <w:t>Neoplasie e malattie linfoproliferative</w:t>
      </w:r>
    </w:p>
    <w:p w14:paraId="72CFBAD7" w14:textId="77777777" w:rsidR="00953B2E" w:rsidRPr="00C35766" w:rsidRDefault="00953B2E">
      <w:pPr>
        <w:spacing w:before="1" w:line="180" w:lineRule="exact"/>
        <w:rPr>
          <w:rFonts w:ascii="Times New Roman" w:hAnsi="Times New Roman" w:cs="Times New Roman"/>
          <w:lang w:val="it-IT"/>
        </w:rPr>
      </w:pPr>
    </w:p>
    <w:p w14:paraId="263FC271" w14:textId="6DBFEDE7" w:rsidR="00953B2E" w:rsidRPr="00C35766" w:rsidRDefault="005F0C19">
      <w:pPr>
        <w:pStyle w:val="a3"/>
        <w:rPr>
          <w:lang w:val="it-IT"/>
        </w:rPr>
      </w:pPr>
      <w:r w:rsidRPr="00C35766">
        <w:rPr>
          <w:rFonts w:eastAsia="Times New Roman"/>
          <w:lang w:val="it-IT"/>
        </w:rPr>
        <w:t xml:space="preserve">Nelle sezioni controllate degli studi clinici con farmaci anti-TNF, sono stati osservati più casi di neoplasie, incluso linfoma, nei pazienti che ricevevano un anti-TNF rispetto al gruppo di controllo. Tuttavia, i casi sono stati rari. In studi postmarketing, sono stati riportati casi di leucemia in pazienti trattati con un antagonista-TNF. C’è un maggiore rischio di sviluppare linfomi e leucemia per i pazienti con artrite reumatoide </w:t>
      </w:r>
      <w:r w:rsidR="002E7FAC" w:rsidRPr="00C35766">
        <w:rPr>
          <w:rFonts w:eastAsia="Times New Roman"/>
          <w:lang w:val="it-IT"/>
        </w:rPr>
        <w:t xml:space="preserve">con malattia infiammatoria, </w:t>
      </w:r>
      <w:r w:rsidRPr="00C35766">
        <w:rPr>
          <w:rFonts w:eastAsia="Times New Roman"/>
          <w:lang w:val="it-IT"/>
        </w:rPr>
        <w:t xml:space="preserve">gravemente attiva e di lunga durata, che complica la valutazione del rischio. Con le attuali conoscenze, non è possibile escludere </w:t>
      </w:r>
      <w:r w:rsidR="002E7FAC" w:rsidRPr="00C35766">
        <w:rPr>
          <w:rFonts w:eastAsia="Times New Roman"/>
          <w:lang w:val="it-IT"/>
        </w:rPr>
        <w:t>il possibile rischio di</w:t>
      </w:r>
      <w:r w:rsidRPr="00C35766">
        <w:rPr>
          <w:rFonts w:eastAsia="Times New Roman"/>
          <w:lang w:val="it-IT"/>
        </w:rPr>
        <w:t xml:space="preserve"> sviluppo di linfomi, leucemia e altre neoplasie in pazienti trattati con farmaci anti-TNF.</w:t>
      </w:r>
    </w:p>
    <w:p w14:paraId="77133819" w14:textId="77777777" w:rsidR="00953B2E" w:rsidRPr="00C35766" w:rsidRDefault="00953B2E">
      <w:pPr>
        <w:spacing w:before="13" w:line="240" w:lineRule="exact"/>
        <w:rPr>
          <w:rFonts w:ascii="Times New Roman" w:hAnsi="Times New Roman" w:cs="Times New Roman"/>
          <w:lang w:val="it-IT"/>
        </w:rPr>
      </w:pPr>
    </w:p>
    <w:p w14:paraId="375C0920" w14:textId="77777777" w:rsidR="00953B2E" w:rsidRPr="00C35766" w:rsidRDefault="005F0C19">
      <w:pPr>
        <w:pStyle w:val="a3"/>
        <w:rPr>
          <w:lang w:val="es-ES"/>
        </w:rPr>
      </w:pPr>
      <w:r w:rsidRPr="00C35766">
        <w:rPr>
          <w:rFonts w:eastAsia="Times New Roman"/>
          <w:lang w:val="it-IT"/>
        </w:rPr>
        <w:t>Casi di tumori, alcuni fatali, sono stati riportati in bambini, adolescenti e adulti di giovane età (fino all’età di 22 anni) trattati con agenti antagonisti del TNF (inizio della terapia ≤ 18 anni), compreso adalimumab, negli studi postmarketing. Circa metà dei casi sono stati linfomi. Gli altri casi hanno rappresentato una molteplicità di differenti tumori e hanno incluso rari tumori solitamente associati con immunosoppressione. Non può essere escluso un rischio per lo sviluppo di tumori in bambini ed adolescenti trattati con antagonisti del TNF.</w:t>
      </w:r>
    </w:p>
    <w:p w14:paraId="60D6D5C8" w14:textId="77777777" w:rsidR="00953B2E" w:rsidRPr="00C35766" w:rsidRDefault="00953B2E">
      <w:pPr>
        <w:spacing w:before="11" w:line="240" w:lineRule="exact"/>
        <w:rPr>
          <w:rFonts w:ascii="Times New Roman" w:hAnsi="Times New Roman" w:cs="Times New Roman"/>
          <w:lang w:val="es-ES"/>
        </w:rPr>
      </w:pPr>
    </w:p>
    <w:p w14:paraId="2CD44C99" w14:textId="7716B685" w:rsidR="00953B2E" w:rsidRPr="00C35766" w:rsidRDefault="005F0C19">
      <w:pPr>
        <w:pStyle w:val="a3"/>
        <w:rPr>
          <w:lang w:val="it-IT"/>
        </w:rPr>
      </w:pPr>
      <w:r w:rsidRPr="00C35766">
        <w:rPr>
          <w:rFonts w:eastAsia="Times New Roman"/>
          <w:lang w:val="it-IT"/>
        </w:rPr>
        <w:t>Nei pazienti trattati con adalimumab sono stati osservati rari casi postmarketing di linfoma epatosplenico a cellule T. Questo raro tipo di linfoma a cellule T ha un decorso clinico molto aggressivo ed è spesso fatale. Alcuni di questi casi di linfoma epatosplenico a cellule T si sono manifestati in giovani pazienti adulti trattati con adalimumab e sottoposti a terapia concomitante con azatioprina o 6-mercaptopurina, farmaci utilizzati per il trattamento delle malattie infiammatorie intestinali. Deve essere attentamente considerato il rischio potenziale derivante dall</w:t>
      </w:r>
      <w:r w:rsidR="002E7FAC" w:rsidRPr="00C35766">
        <w:rPr>
          <w:rFonts w:eastAsia="Times New Roman"/>
          <w:lang w:val="it-IT"/>
        </w:rPr>
        <w:t>’associazione</w:t>
      </w:r>
      <w:r w:rsidRPr="00C35766">
        <w:rPr>
          <w:rFonts w:eastAsia="Times New Roman"/>
          <w:lang w:val="it-IT"/>
        </w:rPr>
        <w:t xml:space="preserve"> di azatioprina o 6-mercaptopurina e Yuflyma. Nei pazienti trattati con Yuflyma non può essere escluso il rischio di sviluppo del linfoma epatosplenico a cellule T (vedere paragrafo 4.8).</w:t>
      </w:r>
    </w:p>
    <w:p w14:paraId="678B557B" w14:textId="77777777" w:rsidR="00953B2E" w:rsidRPr="00C35766" w:rsidRDefault="00953B2E">
      <w:pPr>
        <w:spacing w:before="11" w:line="240" w:lineRule="exact"/>
        <w:rPr>
          <w:rFonts w:ascii="Times New Roman" w:hAnsi="Times New Roman" w:cs="Times New Roman"/>
          <w:lang w:val="it-IT"/>
        </w:rPr>
      </w:pPr>
    </w:p>
    <w:p w14:paraId="675B4FF5" w14:textId="77777777" w:rsidR="00953B2E" w:rsidRPr="00C35766" w:rsidRDefault="005F0C19">
      <w:pPr>
        <w:pStyle w:val="a3"/>
        <w:rPr>
          <w:lang w:val="it-IT"/>
        </w:rPr>
      </w:pPr>
      <w:r w:rsidRPr="00C35766">
        <w:rPr>
          <w:rFonts w:eastAsia="Times New Roman"/>
          <w:lang w:val="it-IT"/>
        </w:rPr>
        <w:t>Non sono stati condotti studi clinici su pazienti con anamnesi positiva per neoplasie o su pazienti nei quali il trattamento con adalimumab è continuato dopo lo sviluppo di neoplasia. Pertanto, il trattamento con Yuflyma in questa tipologia di pazienti deve essere considerato con ulteriore cautela (vedere paragrafo 4.8).</w:t>
      </w:r>
    </w:p>
    <w:p w14:paraId="35176902" w14:textId="77777777" w:rsidR="00953B2E" w:rsidRPr="00C35766" w:rsidRDefault="00953B2E">
      <w:pPr>
        <w:spacing w:before="13" w:line="240" w:lineRule="exact"/>
        <w:rPr>
          <w:rFonts w:ascii="Times New Roman" w:hAnsi="Times New Roman" w:cs="Times New Roman"/>
          <w:lang w:val="it-IT"/>
        </w:rPr>
      </w:pPr>
    </w:p>
    <w:p w14:paraId="5E2446FE" w14:textId="77777777" w:rsidR="00953B2E" w:rsidRPr="00C35766" w:rsidRDefault="005F0C19">
      <w:pPr>
        <w:pStyle w:val="a3"/>
        <w:rPr>
          <w:lang w:val="it-IT"/>
        </w:rPr>
      </w:pPr>
      <w:r w:rsidRPr="00C35766">
        <w:rPr>
          <w:rFonts w:eastAsia="Times New Roman"/>
          <w:lang w:val="it-IT"/>
        </w:rPr>
        <w:t>Prima e durante il trattamento con Yuflyma, tutti i pazienti, in particolare i soggetti che presentano una storia clinica da cui risultino massicce terapie immunosoppressive o soggetti affetti da psoriasi che presentano storia clinica di trattamento con PUVA, devono essere esaminati per valutare la presenza di un eventuale tumore della pelle non melanotico. Nei pazienti trattati con antagonisti del TNF, incluso adalimumab, sono stati anche riportati melanoma e carcinoma a cellule di Merkel (vedere paragrafo 4.8).</w:t>
      </w:r>
    </w:p>
    <w:p w14:paraId="30C4733D" w14:textId="77777777" w:rsidR="00953B2E" w:rsidRPr="00C35766" w:rsidRDefault="00953B2E">
      <w:pPr>
        <w:spacing w:before="13" w:line="240" w:lineRule="exact"/>
        <w:rPr>
          <w:rFonts w:ascii="Times New Roman" w:hAnsi="Times New Roman" w:cs="Times New Roman"/>
          <w:lang w:val="it-IT"/>
        </w:rPr>
      </w:pPr>
    </w:p>
    <w:p w14:paraId="7B85B363" w14:textId="3D64F30B" w:rsidR="00953B2E" w:rsidRPr="00C35766" w:rsidRDefault="005F0C19">
      <w:pPr>
        <w:pStyle w:val="a3"/>
        <w:rPr>
          <w:lang w:val="it-IT"/>
        </w:rPr>
      </w:pPr>
      <w:r w:rsidRPr="00C35766">
        <w:rPr>
          <w:rFonts w:eastAsia="Times New Roman"/>
          <w:lang w:val="it-IT"/>
        </w:rPr>
        <w:t xml:space="preserve">In uno studio clinico esplorativo sulla valutazione dell’uso di un altro agente antagonista del TNF, infliximab, in pazienti con malattia polmonare cronica ostruttiva (COPD) da moderata a </w:t>
      </w:r>
      <w:r w:rsidR="002E7FAC" w:rsidRPr="00C35766">
        <w:rPr>
          <w:rFonts w:eastAsia="Times New Roman"/>
          <w:lang w:val="it-IT"/>
        </w:rPr>
        <w:t>severa</w:t>
      </w:r>
      <w:r w:rsidRPr="00C35766">
        <w:rPr>
          <w:rFonts w:eastAsia="Times New Roman"/>
          <w:lang w:val="it-IT"/>
        </w:rPr>
        <w:t>, furono riportate, nei pazienti trattati con infliximab rispetto ai pazienti controllo, più neoplasie, soprattutto al polmone o alla testa ed al collo. Tutti i pazienti avevano una storia di grandi fumatori. Pertanto, deve essere usata cautela quando si utilizza qualsiasi antagonista-TNF in pazienti affetti da COPD, così come in pazienti con aumentato rischio di neoplasia dovuto al fumo eccessivo.</w:t>
      </w:r>
    </w:p>
    <w:p w14:paraId="533FE110" w14:textId="77777777" w:rsidR="00953B2E" w:rsidRPr="00C35766" w:rsidRDefault="00953B2E">
      <w:pPr>
        <w:spacing w:before="11" w:line="240" w:lineRule="exact"/>
        <w:rPr>
          <w:rFonts w:ascii="Times New Roman" w:hAnsi="Times New Roman" w:cs="Times New Roman"/>
          <w:lang w:val="it-IT"/>
        </w:rPr>
      </w:pPr>
    </w:p>
    <w:p w14:paraId="54AA05A4" w14:textId="77777777" w:rsidR="00953B2E" w:rsidRPr="00C35766" w:rsidRDefault="005F0C19">
      <w:pPr>
        <w:pStyle w:val="a3"/>
        <w:rPr>
          <w:lang w:val="it-IT"/>
        </w:rPr>
      </w:pPr>
      <w:r w:rsidRPr="00C35766">
        <w:rPr>
          <w:rFonts w:eastAsia="Times New Roman"/>
          <w:lang w:val="it-IT"/>
        </w:rPr>
        <w:t xml:space="preserve">In base ai dati attuali non è noto se il trattamento con adalimumab influenzi il rischio di sviluppare displasia o cancro del colon. Tutti i pazienti affetti da colite ulcerosa che sono ad aumentato rischio di displasia o </w:t>
      </w:r>
      <w:r w:rsidRPr="00C35766">
        <w:rPr>
          <w:rFonts w:eastAsia="Times New Roman"/>
          <w:lang w:val="it-IT"/>
        </w:rPr>
        <w:lastRenderedPageBreak/>
        <w:t>carcinoma del colon</w:t>
      </w:r>
      <w:r w:rsidR="002E7FAC" w:rsidRPr="00C35766">
        <w:rPr>
          <w:rFonts w:eastAsia="Times New Roman"/>
          <w:lang w:val="it-IT"/>
        </w:rPr>
        <w:t xml:space="preserve"> </w:t>
      </w:r>
      <w:r w:rsidRPr="00C35766">
        <w:rPr>
          <w:rFonts w:eastAsia="Times New Roman"/>
          <w:lang w:val="it-IT"/>
        </w:rPr>
        <w:t>(per esempio, pazienti affetti da colite ulcerosa da lunga data o da colangite sclerosante primaria), o che hanno avuto una precedente anamnesi di displasia o di carcinoma al colon devono essere sottoposti a screening regolari per displasia prima della terapia e durante tutto il corso della malattia. Questa valutazione deve includere colonscopie e biopsie in base alle raccomandazioni locali.</w:t>
      </w:r>
    </w:p>
    <w:p w14:paraId="19A754D3" w14:textId="77777777" w:rsidR="00953B2E" w:rsidRPr="00C35766" w:rsidRDefault="00953B2E">
      <w:pPr>
        <w:spacing w:before="13" w:line="240" w:lineRule="exact"/>
        <w:rPr>
          <w:rFonts w:ascii="Times New Roman" w:hAnsi="Times New Roman" w:cs="Times New Roman"/>
          <w:lang w:val="it-IT"/>
        </w:rPr>
      </w:pPr>
    </w:p>
    <w:p w14:paraId="436DD9E0" w14:textId="77777777" w:rsidR="00953B2E" w:rsidRPr="00C35766" w:rsidRDefault="005F0C19">
      <w:pPr>
        <w:pStyle w:val="a3"/>
        <w:rPr>
          <w:u w:val="single"/>
          <w:lang w:val="it-IT"/>
        </w:rPr>
      </w:pPr>
      <w:r w:rsidRPr="00C35766">
        <w:rPr>
          <w:rFonts w:eastAsia="Times New Roman"/>
          <w:u w:val="single" w:color="000000"/>
          <w:lang w:val="it-IT"/>
        </w:rPr>
        <w:t>Reazioni a carico del sistema emopoietico</w:t>
      </w:r>
    </w:p>
    <w:p w14:paraId="684C3B31" w14:textId="77777777" w:rsidR="00953B2E" w:rsidRPr="00C35766" w:rsidRDefault="00953B2E">
      <w:pPr>
        <w:spacing w:before="1" w:line="180" w:lineRule="exact"/>
        <w:rPr>
          <w:rFonts w:ascii="Times New Roman" w:hAnsi="Times New Roman" w:cs="Times New Roman"/>
          <w:lang w:val="it-IT"/>
        </w:rPr>
      </w:pPr>
    </w:p>
    <w:p w14:paraId="4F87B851" w14:textId="68AB5106" w:rsidR="00953B2E" w:rsidRPr="00C35766" w:rsidRDefault="005F0C19">
      <w:pPr>
        <w:pStyle w:val="a3"/>
        <w:rPr>
          <w:lang w:val="it-IT"/>
        </w:rPr>
      </w:pPr>
      <w:r w:rsidRPr="00C35766">
        <w:rPr>
          <w:rFonts w:eastAsia="Times New Roman"/>
          <w:lang w:val="it-IT"/>
        </w:rPr>
        <w:t xml:space="preserve">In seguito all’uso di farmaci anti-TNF, sono stati segnalati rari casi di pancitopenia, tra cui la comparsa di anemia aplastica. Nei pazienti sottoposti a trattamento con adalimumab, sono stati segnalati eventi avversi a carico del sistema emopoietico, tra cui citopenie significative dal punto di vista medico (per esempio, trombocitopenia, leucopenia). Durante il trattamento con Yuflyma tutti i pazienti devono essere avvisati della necessità di consultare immediatamente un medico per ottenere adeguata assistenza nel caso in cui si manifestino segni e sintomi che suggeriscano la presenza di discrasia ematica (per esempio, febbre persistente, </w:t>
      </w:r>
      <w:r w:rsidR="00A51BD0" w:rsidRPr="00C35766">
        <w:rPr>
          <w:rFonts w:eastAsia="Times New Roman"/>
          <w:lang w:val="it-IT"/>
        </w:rPr>
        <w:t>lividi</w:t>
      </w:r>
      <w:r w:rsidRPr="00C35766">
        <w:rPr>
          <w:rFonts w:eastAsia="Times New Roman"/>
          <w:lang w:val="it-IT"/>
        </w:rPr>
        <w:t xml:space="preserve">, </w:t>
      </w:r>
      <w:r w:rsidR="00A51BD0" w:rsidRPr="00C35766">
        <w:rPr>
          <w:rFonts w:eastAsia="Times New Roman"/>
          <w:lang w:val="it-IT"/>
        </w:rPr>
        <w:t>sanguinamento</w:t>
      </w:r>
      <w:r w:rsidRPr="00C35766">
        <w:rPr>
          <w:rFonts w:eastAsia="Times New Roman"/>
          <w:lang w:val="it-IT"/>
        </w:rPr>
        <w:t>, pallore). Nel caso di pazienti che presentino significative alterazioni a carico del sistema emopoietico</w:t>
      </w:r>
      <w:r w:rsidR="00A51BD0" w:rsidRPr="00C35766">
        <w:rPr>
          <w:rFonts w:eastAsia="Times New Roman"/>
          <w:lang w:val="it-IT"/>
        </w:rPr>
        <w:t xml:space="preserve"> confermate</w:t>
      </w:r>
      <w:r w:rsidRPr="00C35766">
        <w:rPr>
          <w:rFonts w:eastAsia="Times New Roman"/>
          <w:lang w:val="it-IT"/>
        </w:rPr>
        <w:t>, si deve prendere in considerazione la necessità di interrompere la terapia a base di Yuflyma.</w:t>
      </w:r>
    </w:p>
    <w:p w14:paraId="24B6DC63" w14:textId="77777777" w:rsidR="00953B2E" w:rsidRPr="00C35766" w:rsidRDefault="00953B2E">
      <w:pPr>
        <w:pStyle w:val="a3"/>
        <w:rPr>
          <w:lang w:val="it-IT"/>
        </w:rPr>
      </w:pPr>
    </w:p>
    <w:p w14:paraId="16317718" w14:textId="77777777" w:rsidR="00953B2E" w:rsidRPr="00C35766" w:rsidRDefault="005F0C19">
      <w:pPr>
        <w:pStyle w:val="a3"/>
        <w:rPr>
          <w:u w:val="single"/>
          <w:lang w:val="it-IT"/>
        </w:rPr>
      </w:pPr>
      <w:r w:rsidRPr="00C35766">
        <w:rPr>
          <w:rFonts w:eastAsia="Times New Roman"/>
          <w:u w:val="single" w:color="000000"/>
          <w:lang w:val="it-IT"/>
        </w:rPr>
        <w:t>Vaccinazioni</w:t>
      </w:r>
    </w:p>
    <w:p w14:paraId="02B27EE2" w14:textId="77777777" w:rsidR="00953B2E" w:rsidRPr="00C35766" w:rsidRDefault="00953B2E">
      <w:pPr>
        <w:spacing w:before="1" w:line="180" w:lineRule="exact"/>
        <w:rPr>
          <w:rFonts w:ascii="Times New Roman" w:hAnsi="Times New Roman" w:cs="Times New Roman"/>
          <w:lang w:val="it-IT"/>
        </w:rPr>
      </w:pPr>
    </w:p>
    <w:p w14:paraId="14BA4932" w14:textId="12CD5FA1" w:rsidR="00953B2E" w:rsidRPr="00C35766" w:rsidRDefault="00A51BD0">
      <w:pPr>
        <w:pStyle w:val="a3"/>
        <w:rPr>
          <w:lang w:val="it-IT"/>
        </w:rPr>
      </w:pPr>
      <w:r w:rsidRPr="00C35766">
        <w:rPr>
          <w:rFonts w:eastAsia="Times New Roman"/>
          <w:lang w:val="it-IT"/>
        </w:rPr>
        <w:t>Sono state osservate r</w:t>
      </w:r>
      <w:r w:rsidR="005F0C19" w:rsidRPr="00C35766">
        <w:rPr>
          <w:rFonts w:eastAsia="Times New Roman"/>
          <w:lang w:val="it-IT"/>
        </w:rPr>
        <w:t>isposte anticorpali simili al vaccino standard 23-valente pneumococcico ed al vaccino trivalente per il virus dell’influenza in uno studio condotto su 226 soggetti adulti affetti da artrite reumatoide che sono stati trattati con adalimumab o con placebo. Non ci sono dati disponibili sulla trasmissione secondaria di infezione da vaccini vivi in pazienti che stanno assumendo adalimumab.</w:t>
      </w:r>
    </w:p>
    <w:p w14:paraId="4996B345" w14:textId="77777777" w:rsidR="00953B2E" w:rsidRPr="00C35766" w:rsidRDefault="00953B2E">
      <w:pPr>
        <w:spacing w:before="17" w:line="240" w:lineRule="exact"/>
        <w:rPr>
          <w:rFonts w:ascii="Times New Roman" w:hAnsi="Times New Roman" w:cs="Times New Roman"/>
          <w:lang w:val="it-IT"/>
        </w:rPr>
      </w:pPr>
    </w:p>
    <w:p w14:paraId="35684013" w14:textId="77777777" w:rsidR="00953B2E" w:rsidRPr="00C35766" w:rsidRDefault="005F0C19">
      <w:pPr>
        <w:pStyle w:val="a3"/>
        <w:rPr>
          <w:lang w:val="it-IT"/>
        </w:rPr>
      </w:pPr>
      <w:r w:rsidRPr="00C35766">
        <w:rPr>
          <w:rFonts w:eastAsia="Times New Roman"/>
          <w:spacing w:val="-4"/>
          <w:lang w:val="it-IT"/>
        </w:rPr>
        <w:t>Nei pazienti pediatrici, prima di iniziare la terapia a base di Yuflyma si raccomanda, se possibile, di attuare il programma di vaccinazioni previsto, in ottemperanza alle linee guida in vigore sulle vaccinazioni.</w:t>
      </w:r>
    </w:p>
    <w:p w14:paraId="7B6EE2DA" w14:textId="77777777" w:rsidR="00953B2E" w:rsidRPr="00C35766" w:rsidRDefault="00953B2E">
      <w:pPr>
        <w:spacing w:before="11" w:line="240" w:lineRule="exact"/>
        <w:rPr>
          <w:rFonts w:ascii="Times New Roman" w:hAnsi="Times New Roman" w:cs="Times New Roman"/>
          <w:lang w:val="it-IT"/>
        </w:rPr>
      </w:pPr>
    </w:p>
    <w:p w14:paraId="6801D01C" w14:textId="77777777" w:rsidR="00953B2E" w:rsidRPr="00C35766" w:rsidRDefault="005F0C19">
      <w:pPr>
        <w:pStyle w:val="a3"/>
        <w:rPr>
          <w:lang w:val="it-IT"/>
        </w:rPr>
      </w:pPr>
      <w:r w:rsidRPr="00C35766">
        <w:rPr>
          <w:rFonts w:eastAsia="Times New Roman"/>
          <w:lang w:val="it-IT"/>
        </w:rPr>
        <w:t>Pazienti trattati con Yuflyma possono ricevere vaccinazioni simultanee, ad eccezione dei vaccini vivi. La somministrazione di vaccini vivi (ad es. vaccino BCG) a bambini esposti ad adalimumab nell’utero non è raccomandata fino a 5 mesi dall’ultima iniezione di adalimumab alla madre durante la gravidanza.</w:t>
      </w:r>
    </w:p>
    <w:p w14:paraId="2899B962" w14:textId="77777777" w:rsidR="00953B2E" w:rsidRPr="00C35766" w:rsidRDefault="00953B2E">
      <w:pPr>
        <w:spacing w:before="13" w:line="240" w:lineRule="exact"/>
        <w:rPr>
          <w:rFonts w:ascii="Times New Roman" w:hAnsi="Times New Roman" w:cs="Times New Roman"/>
          <w:lang w:val="it-IT"/>
        </w:rPr>
      </w:pPr>
    </w:p>
    <w:p w14:paraId="2C69BE11" w14:textId="77777777" w:rsidR="00953B2E" w:rsidRPr="00C35766" w:rsidRDefault="005F0C19">
      <w:pPr>
        <w:pStyle w:val="a3"/>
        <w:rPr>
          <w:u w:val="single"/>
          <w:lang w:val="it-IT"/>
        </w:rPr>
      </w:pPr>
      <w:r w:rsidRPr="00C35766">
        <w:rPr>
          <w:rFonts w:eastAsia="Times New Roman"/>
          <w:u w:val="single" w:color="000000"/>
          <w:lang w:val="it-IT"/>
        </w:rPr>
        <w:t>Insufficienza cardiaca congestizia</w:t>
      </w:r>
    </w:p>
    <w:p w14:paraId="6FAD675E" w14:textId="77777777" w:rsidR="00953B2E" w:rsidRPr="00C35766" w:rsidRDefault="00953B2E">
      <w:pPr>
        <w:spacing w:before="1" w:line="180" w:lineRule="exact"/>
        <w:rPr>
          <w:rFonts w:ascii="Times New Roman" w:hAnsi="Times New Roman" w:cs="Times New Roman"/>
          <w:lang w:val="it-IT"/>
        </w:rPr>
      </w:pPr>
    </w:p>
    <w:p w14:paraId="6A636F24" w14:textId="77777777" w:rsidR="00953B2E" w:rsidRPr="00C35766" w:rsidRDefault="005F0C19">
      <w:pPr>
        <w:pStyle w:val="a3"/>
        <w:rPr>
          <w:lang w:val="pt-BR"/>
        </w:rPr>
      </w:pPr>
      <w:r w:rsidRPr="00C35766">
        <w:rPr>
          <w:rFonts w:eastAsia="Times New Roman"/>
          <w:lang w:val="it-IT"/>
        </w:rPr>
        <w:t>In uno studio clinico con un altro farmaco anti-TNF sono stati osservati il peggioramento dell’insufficienza cardiaca congestizia e l’aumento di mortalità ad essa correlata. Anche in pazienti trattati con adalimumab sono stati osservati casi di peggioramento di insufficienza cardiaca congestizia. Yuflyma deve essere usato con cautela in pazienti con lieve insufficienza cardiaca (classe I/II NYHA). Yuflyma è controindicato nell’insufficienza cardiaca moderata o severa (vedere paragrafo 4.3). Il trattamento con Yuflyma deve essere interrotto nei pazienti che presentino peggioramento o insorgenza di nuovi sintomi dell’insufficienza cardiaca congestizia.</w:t>
      </w:r>
    </w:p>
    <w:p w14:paraId="03ABAACC" w14:textId="77777777" w:rsidR="00953B2E" w:rsidRPr="00C35766" w:rsidRDefault="00953B2E">
      <w:pPr>
        <w:spacing w:before="13" w:line="240" w:lineRule="exact"/>
        <w:rPr>
          <w:rFonts w:ascii="Times New Roman" w:hAnsi="Times New Roman" w:cs="Times New Roman"/>
          <w:lang w:val="pt-BR"/>
        </w:rPr>
      </w:pPr>
    </w:p>
    <w:p w14:paraId="6BC40B1B" w14:textId="77777777" w:rsidR="00953B2E" w:rsidRPr="00C35766" w:rsidRDefault="005F0C19">
      <w:pPr>
        <w:pStyle w:val="a3"/>
        <w:rPr>
          <w:u w:val="single"/>
          <w:lang w:val="fr-FR"/>
        </w:rPr>
      </w:pPr>
      <w:r w:rsidRPr="00C35766">
        <w:rPr>
          <w:rFonts w:eastAsia="Times New Roman"/>
          <w:u w:val="single" w:color="000000"/>
          <w:lang w:val="it-IT"/>
        </w:rPr>
        <w:t>Processi autoimmuni</w:t>
      </w:r>
    </w:p>
    <w:p w14:paraId="5AEAF116" w14:textId="77777777" w:rsidR="00953B2E" w:rsidRPr="00C35766" w:rsidRDefault="00953B2E">
      <w:pPr>
        <w:spacing w:before="9" w:line="170" w:lineRule="exact"/>
        <w:rPr>
          <w:rFonts w:ascii="Times New Roman" w:hAnsi="Times New Roman" w:cs="Times New Roman"/>
          <w:lang w:val="fr-FR"/>
        </w:rPr>
      </w:pPr>
    </w:p>
    <w:p w14:paraId="022FB096" w14:textId="77777777" w:rsidR="00953B2E" w:rsidRPr="00C35766" w:rsidRDefault="005F0C19">
      <w:pPr>
        <w:pStyle w:val="a3"/>
        <w:rPr>
          <w:lang w:val="it-IT"/>
        </w:rPr>
      </w:pPr>
      <w:r w:rsidRPr="00C35766">
        <w:rPr>
          <w:rFonts w:eastAsia="Times New Roman"/>
          <w:lang w:val="it-IT"/>
        </w:rPr>
        <w:t>Il trattamento con Yuflyma può indurre la formazione di anticorpi autoimmuni. Non è noto l’impatto del trattamento a lungo termine con adalimumab sullo sviluppo di malattie autoimmuni. Se un paziente sviluppa sintomi indicativi di sindrome simile al lupus a seguito di trattamento con Yuflyma e risulta positivo per gli anticorpi contro il DNA a doppia catena, non deve essere somministrato un ulteriore trattamento con Yuflyma (vedere paragrafo 4.8).</w:t>
      </w:r>
    </w:p>
    <w:p w14:paraId="7A962AED" w14:textId="77777777" w:rsidR="00953B2E" w:rsidRPr="00C35766" w:rsidRDefault="00953B2E">
      <w:pPr>
        <w:spacing w:before="13" w:line="240" w:lineRule="exact"/>
        <w:rPr>
          <w:rFonts w:ascii="Times New Roman" w:hAnsi="Times New Roman" w:cs="Times New Roman"/>
          <w:u w:val="single"/>
          <w:lang w:val="it-IT"/>
        </w:rPr>
      </w:pPr>
    </w:p>
    <w:p w14:paraId="6DF9CE64" w14:textId="77777777" w:rsidR="00953B2E" w:rsidRPr="00C35766" w:rsidRDefault="005F0C19">
      <w:pPr>
        <w:pStyle w:val="a3"/>
        <w:rPr>
          <w:u w:val="single"/>
          <w:lang w:val="it-IT"/>
        </w:rPr>
      </w:pPr>
      <w:r w:rsidRPr="00C35766">
        <w:rPr>
          <w:rFonts w:eastAsia="Times New Roman"/>
          <w:u w:val="single" w:color="000000"/>
          <w:lang w:val="it-IT"/>
        </w:rPr>
        <w:t>Somministrazione concomitante di DMARD biologici o antagonisti del TNF</w:t>
      </w:r>
    </w:p>
    <w:p w14:paraId="236FD2AF" w14:textId="77777777" w:rsidR="00953B2E" w:rsidRPr="00C35766" w:rsidRDefault="00953B2E">
      <w:pPr>
        <w:spacing w:before="1" w:line="180" w:lineRule="exact"/>
        <w:rPr>
          <w:rFonts w:ascii="Times New Roman" w:hAnsi="Times New Roman" w:cs="Times New Roman"/>
          <w:lang w:val="it-IT"/>
        </w:rPr>
      </w:pPr>
    </w:p>
    <w:p w14:paraId="13F23CE6" w14:textId="6BDA559D" w:rsidR="00953B2E" w:rsidRPr="00C35766" w:rsidRDefault="005F0C19">
      <w:pPr>
        <w:pStyle w:val="a3"/>
        <w:rPr>
          <w:lang w:val="it-IT"/>
        </w:rPr>
      </w:pPr>
      <w:r w:rsidRPr="00C35766">
        <w:rPr>
          <w:rFonts w:eastAsia="Times New Roman"/>
          <w:lang w:val="it-IT"/>
        </w:rPr>
        <w:t xml:space="preserve">Nel corso di studi clinici condotti sulla terapia </w:t>
      </w:r>
      <w:r w:rsidR="00A51BD0" w:rsidRPr="00C35766">
        <w:rPr>
          <w:rFonts w:eastAsia="Times New Roman"/>
          <w:lang w:val="it-IT"/>
        </w:rPr>
        <w:t>di associazione</w:t>
      </w:r>
      <w:r w:rsidRPr="00C35766">
        <w:rPr>
          <w:rFonts w:eastAsia="Times New Roman"/>
          <w:lang w:val="it-IT"/>
        </w:rPr>
        <w:t xml:space="preserve"> con anakinra ed un altro</w:t>
      </w:r>
    </w:p>
    <w:p w14:paraId="4F16F54E" w14:textId="0B9942C7" w:rsidR="00953B2E" w:rsidRPr="00C35766" w:rsidRDefault="005F0C19">
      <w:pPr>
        <w:pStyle w:val="a3"/>
        <w:rPr>
          <w:lang w:val="es-ES"/>
        </w:rPr>
      </w:pPr>
      <w:r w:rsidRPr="00C35766">
        <w:rPr>
          <w:rFonts w:eastAsia="Times New Roman"/>
          <w:lang w:val="it-IT"/>
        </w:rPr>
        <w:t>farmaco anti-TNF, etanercept, sono state osservate infezioni gravi senza alcun beneficio clinico rispetto ad etanercept in monoterapia. Considerata la tipologia degli eventi avversi osservati con l</w:t>
      </w:r>
      <w:r w:rsidR="00A51BD0" w:rsidRPr="00C35766">
        <w:rPr>
          <w:rFonts w:eastAsia="Times New Roman"/>
          <w:lang w:val="it-IT"/>
        </w:rPr>
        <w:t>’associazione</w:t>
      </w:r>
      <w:r w:rsidRPr="00C35766">
        <w:rPr>
          <w:rFonts w:eastAsia="Times New Roman"/>
          <w:lang w:val="it-IT"/>
        </w:rPr>
        <w:t xml:space="preserve"> di anakinra ed etanercept, potrebbero manifestarsi effetti indesiderati simili in seguito all</w:t>
      </w:r>
      <w:r w:rsidR="00A51BD0" w:rsidRPr="00C35766">
        <w:rPr>
          <w:rFonts w:eastAsia="Times New Roman"/>
          <w:lang w:val="it-IT"/>
        </w:rPr>
        <w:t>’associazione</w:t>
      </w:r>
      <w:r w:rsidRPr="00C35766">
        <w:rPr>
          <w:rFonts w:eastAsia="Times New Roman"/>
          <w:lang w:val="it-IT"/>
        </w:rPr>
        <w:t xml:space="preserve"> di </w:t>
      </w:r>
      <w:r w:rsidRPr="00C35766">
        <w:rPr>
          <w:rFonts w:eastAsia="Times New Roman"/>
          <w:lang w:val="it-IT"/>
        </w:rPr>
        <w:lastRenderedPageBreak/>
        <w:t xml:space="preserve">anakinra ed un altro farmaco anti-TNF. Pertanto, </w:t>
      </w:r>
      <w:r w:rsidR="00A51BD0" w:rsidRPr="00C35766">
        <w:rPr>
          <w:rFonts w:eastAsia="Times New Roman"/>
          <w:lang w:val="it-IT"/>
        </w:rPr>
        <w:t>l’associazione</w:t>
      </w:r>
      <w:r w:rsidRPr="00C35766">
        <w:rPr>
          <w:rFonts w:eastAsia="Times New Roman"/>
          <w:lang w:val="it-IT"/>
        </w:rPr>
        <w:t xml:space="preserve"> di adalimumab con anakinra non è raccomandata (vedere paragrafo 4.5).</w:t>
      </w:r>
    </w:p>
    <w:p w14:paraId="3ECDA28E" w14:textId="77777777" w:rsidR="00953B2E" w:rsidRPr="00C35766" w:rsidRDefault="00953B2E">
      <w:pPr>
        <w:spacing w:before="14" w:line="240" w:lineRule="exact"/>
        <w:rPr>
          <w:rFonts w:ascii="Times New Roman" w:hAnsi="Times New Roman" w:cs="Times New Roman"/>
          <w:lang w:val="es-ES"/>
        </w:rPr>
      </w:pPr>
    </w:p>
    <w:p w14:paraId="71E1E6AB" w14:textId="77777777" w:rsidR="00953B2E" w:rsidRPr="00C35766" w:rsidRDefault="005F0C19">
      <w:pPr>
        <w:pStyle w:val="a3"/>
        <w:rPr>
          <w:lang w:val="es-ES"/>
        </w:rPr>
      </w:pPr>
      <w:r w:rsidRPr="00C35766">
        <w:rPr>
          <w:rFonts w:eastAsia="Times New Roman"/>
          <w:lang w:val="it-IT"/>
        </w:rPr>
        <w:t>La somministrazione concomitante di adalimumab con altri DMARD biologici (per es. anakinra e abatacept) o altri antagonisti del TNF non è raccomandata sulla base di un possibile aumento del rischio di infezioni, incluse infezioni gravi e altre potenziali interazioni farmacologiche (vedere paragrafo 4.5).</w:t>
      </w:r>
    </w:p>
    <w:p w14:paraId="025B1A19" w14:textId="77777777" w:rsidR="00953B2E" w:rsidRPr="00C35766" w:rsidRDefault="00953B2E">
      <w:pPr>
        <w:spacing w:before="13" w:line="240" w:lineRule="exact"/>
        <w:rPr>
          <w:rFonts w:ascii="Times New Roman" w:hAnsi="Times New Roman" w:cs="Times New Roman"/>
          <w:lang w:val="es-ES"/>
        </w:rPr>
      </w:pPr>
    </w:p>
    <w:p w14:paraId="7C04DAD0" w14:textId="77777777" w:rsidR="00953B2E" w:rsidRPr="00C35766" w:rsidRDefault="005F0C19">
      <w:pPr>
        <w:pStyle w:val="a3"/>
        <w:keepNext/>
        <w:rPr>
          <w:u w:val="single"/>
          <w:lang w:val="es-ES"/>
        </w:rPr>
      </w:pPr>
      <w:r w:rsidRPr="00C35766">
        <w:rPr>
          <w:rFonts w:eastAsia="Times New Roman"/>
          <w:u w:val="single" w:color="000000"/>
          <w:lang w:val="it-IT"/>
        </w:rPr>
        <w:t>Intervento chirurgico</w:t>
      </w:r>
    </w:p>
    <w:p w14:paraId="614B646F" w14:textId="77777777" w:rsidR="00953B2E" w:rsidRPr="00C35766" w:rsidRDefault="00953B2E">
      <w:pPr>
        <w:keepNext/>
        <w:rPr>
          <w:rFonts w:ascii="Times New Roman" w:hAnsi="Times New Roman" w:cs="Times New Roman"/>
          <w:lang w:val="es-ES"/>
        </w:rPr>
      </w:pPr>
    </w:p>
    <w:p w14:paraId="2458E572" w14:textId="77777777" w:rsidR="00953B2E" w:rsidRPr="00C35766" w:rsidRDefault="005F0C19">
      <w:pPr>
        <w:pStyle w:val="a3"/>
        <w:rPr>
          <w:lang w:val="es-ES"/>
        </w:rPr>
      </w:pPr>
      <w:r w:rsidRPr="00C35766">
        <w:rPr>
          <w:rFonts w:eastAsia="Times New Roman"/>
          <w:lang w:val="it-IT"/>
        </w:rPr>
        <w:t>Nei pazienti trattati con adalimumab c’è un’esperienza limitata, relativa alla sicurezza di procedure chirurgiche. Nel caso in cui si pianifichi un intervento chirurgico si deve considerare la lunga emivita di adalimumab. Un paziente che dovesse essere sottoposto ad intervento chirurgico, durante il trattamento con Yuflyma, deve essere attentamente seguito per lo sviluppo di infezioni, nel qual caso andrebbero intraprese opportune azioni. C’è un’esperienza limitata per quanto riguarda la sicurezza in pazienti sottoposti ad interventi di artroplastica in corso di trattamento con adalimumab.</w:t>
      </w:r>
    </w:p>
    <w:p w14:paraId="01670835" w14:textId="77777777" w:rsidR="00953B2E" w:rsidRPr="00C35766" w:rsidRDefault="00953B2E">
      <w:pPr>
        <w:pStyle w:val="a3"/>
        <w:rPr>
          <w:u w:color="000000"/>
          <w:lang w:val="es-ES"/>
        </w:rPr>
      </w:pPr>
    </w:p>
    <w:p w14:paraId="68B278CC" w14:textId="77777777" w:rsidR="00953B2E" w:rsidRPr="00C35766" w:rsidRDefault="005F0C19">
      <w:pPr>
        <w:pStyle w:val="a3"/>
        <w:rPr>
          <w:u w:val="single"/>
          <w:lang w:val="es-ES"/>
        </w:rPr>
      </w:pPr>
      <w:r w:rsidRPr="00C35766">
        <w:rPr>
          <w:rFonts w:eastAsia="Times New Roman"/>
          <w:u w:val="single" w:color="000000"/>
          <w:lang w:val="it-IT"/>
        </w:rPr>
        <w:t>Ostruzione dell'intestino tenue</w:t>
      </w:r>
    </w:p>
    <w:p w14:paraId="21D11602" w14:textId="77777777" w:rsidR="00953B2E" w:rsidRPr="00C35766" w:rsidRDefault="00953B2E">
      <w:pPr>
        <w:pStyle w:val="a3"/>
        <w:rPr>
          <w:lang w:val="es-ES"/>
        </w:rPr>
      </w:pPr>
    </w:p>
    <w:p w14:paraId="6D461F3E" w14:textId="77777777" w:rsidR="00953B2E" w:rsidRPr="00C35766" w:rsidRDefault="005F0C19">
      <w:pPr>
        <w:pStyle w:val="a3"/>
        <w:rPr>
          <w:lang w:val="pt-BR"/>
        </w:rPr>
      </w:pPr>
      <w:r w:rsidRPr="00C35766">
        <w:rPr>
          <w:rFonts w:eastAsia="Times New Roman"/>
          <w:lang w:val="it-IT"/>
        </w:rPr>
        <w:t>La mancata risposta al trattamento per la malattia di Crohn può indicare la presenza di stenosi rigida fibrotica che può richiedere un intervento chirurgico. I dati disponibili suggeriscono che adalimumab non peggiora o causa stenosi.</w:t>
      </w:r>
    </w:p>
    <w:p w14:paraId="36298988" w14:textId="77777777" w:rsidR="00953B2E" w:rsidRPr="00C35766" w:rsidRDefault="00953B2E">
      <w:pPr>
        <w:spacing w:before="13" w:line="240" w:lineRule="exact"/>
        <w:rPr>
          <w:rFonts w:ascii="Times New Roman" w:hAnsi="Times New Roman" w:cs="Times New Roman"/>
          <w:lang w:val="pt-BR"/>
        </w:rPr>
      </w:pPr>
    </w:p>
    <w:p w14:paraId="728DF18E" w14:textId="77777777" w:rsidR="00953B2E" w:rsidRPr="00C35766" w:rsidRDefault="005F0C19">
      <w:pPr>
        <w:pStyle w:val="a3"/>
        <w:rPr>
          <w:u w:val="single"/>
          <w:lang w:val="pt-BR"/>
        </w:rPr>
      </w:pPr>
      <w:r w:rsidRPr="00C35766">
        <w:rPr>
          <w:rFonts w:eastAsia="Times New Roman"/>
          <w:u w:val="single" w:color="000000"/>
          <w:lang w:val="it-IT"/>
        </w:rPr>
        <w:t>Anziani</w:t>
      </w:r>
    </w:p>
    <w:p w14:paraId="4A78DBE8" w14:textId="77777777" w:rsidR="00953B2E" w:rsidRPr="00C35766" w:rsidRDefault="00953B2E">
      <w:pPr>
        <w:spacing w:before="9" w:line="170" w:lineRule="exact"/>
        <w:rPr>
          <w:rFonts w:ascii="Times New Roman" w:hAnsi="Times New Roman" w:cs="Times New Roman"/>
          <w:lang w:val="pt-BR"/>
        </w:rPr>
      </w:pPr>
    </w:p>
    <w:p w14:paraId="19992EEC" w14:textId="75ABB395" w:rsidR="00953B2E" w:rsidRPr="00C35766" w:rsidRDefault="005F0C19">
      <w:pPr>
        <w:pStyle w:val="a3"/>
        <w:rPr>
          <w:lang w:val="pt-BR"/>
        </w:rPr>
      </w:pPr>
      <w:r w:rsidRPr="00C35766">
        <w:rPr>
          <w:rFonts w:eastAsia="Times New Roman"/>
          <w:lang w:val="it-IT"/>
        </w:rPr>
        <w:t xml:space="preserve">La frequenza di infezioni gravi tra i pazienti di età superiore ai 65 anni (3,7%) trattati con adalimumab è stata superiore rispetto a quelli di età inferiore ai 65 anni (1,5%). Alcuni di questi hanno avuto un esito fatale. </w:t>
      </w:r>
      <w:r w:rsidR="00E32383" w:rsidRPr="00C35766">
        <w:rPr>
          <w:rFonts w:eastAsia="Times New Roman"/>
          <w:lang w:val="it-IT"/>
        </w:rPr>
        <w:t>D</w:t>
      </w:r>
      <w:r w:rsidRPr="00C35766">
        <w:rPr>
          <w:rFonts w:eastAsia="Times New Roman"/>
          <w:lang w:val="it-IT"/>
        </w:rPr>
        <w:t xml:space="preserve">eve essere prestata </w:t>
      </w:r>
      <w:r w:rsidR="00E32383" w:rsidRPr="00C35766">
        <w:rPr>
          <w:rFonts w:eastAsia="Times New Roman"/>
          <w:lang w:val="it-IT"/>
        </w:rPr>
        <w:t xml:space="preserve">particolare attenzione </w:t>
      </w:r>
      <w:r w:rsidRPr="00C35766">
        <w:rPr>
          <w:rFonts w:eastAsia="Times New Roman"/>
          <w:lang w:val="it-IT"/>
        </w:rPr>
        <w:t>nel trattamento dei pazienti anziani</w:t>
      </w:r>
      <w:r w:rsidR="00E32383" w:rsidRPr="00C35766">
        <w:rPr>
          <w:rFonts w:eastAsia="Times New Roman"/>
          <w:lang w:val="it-IT"/>
        </w:rPr>
        <w:t xml:space="preserve"> per il rischio di infezione</w:t>
      </w:r>
      <w:r w:rsidRPr="00C35766">
        <w:rPr>
          <w:rFonts w:eastAsia="Times New Roman"/>
          <w:lang w:val="it-IT"/>
        </w:rPr>
        <w:t>.</w:t>
      </w:r>
    </w:p>
    <w:p w14:paraId="24A9CCD5" w14:textId="77777777" w:rsidR="00953B2E" w:rsidRPr="00C35766" w:rsidRDefault="00953B2E">
      <w:pPr>
        <w:spacing w:before="11" w:line="240" w:lineRule="exact"/>
        <w:rPr>
          <w:rFonts w:ascii="Times New Roman" w:hAnsi="Times New Roman" w:cs="Times New Roman"/>
          <w:lang w:val="pt-BR"/>
        </w:rPr>
      </w:pPr>
    </w:p>
    <w:p w14:paraId="2123CA97" w14:textId="77777777" w:rsidR="00953B2E" w:rsidRPr="00C35766" w:rsidRDefault="005F0C19">
      <w:pPr>
        <w:pStyle w:val="a3"/>
        <w:rPr>
          <w:u w:val="single"/>
          <w:lang w:val="pt-BR"/>
        </w:rPr>
      </w:pPr>
      <w:r w:rsidRPr="00C35766">
        <w:rPr>
          <w:rFonts w:eastAsia="Times New Roman"/>
          <w:u w:val="single" w:color="000000"/>
          <w:lang w:val="it-IT"/>
        </w:rPr>
        <w:t>Popolazione pediatrica</w:t>
      </w:r>
    </w:p>
    <w:p w14:paraId="751FDA12" w14:textId="77777777" w:rsidR="00953B2E" w:rsidRPr="00C35766" w:rsidRDefault="00953B2E">
      <w:pPr>
        <w:spacing w:before="1" w:line="180" w:lineRule="exact"/>
        <w:rPr>
          <w:rFonts w:ascii="Times New Roman" w:hAnsi="Times New Roman" w:cs="Times New Roman"/>
          <w:lang w:val="pt-BR"/>
        </w:rPr>
      </w:pPr>
    </w:p>
    <w:p w14:paraId="61FDCEDC" w14:textId="77777777" w:rsidR="00953B2E" w:rsidRPr="00C35766" w:rsidRDefault="005F0C19">
      <w:pPr>
        <w:pStyle w:val="a3"/>
        <w:rPr>
          <w:lang w:val="pt-BR"/>
        </w:rPr>
      </w:pPr>
      <w:r w:rsidRPr="00C35766">
        <w:rPr>
          <w:rFonts w:eastAsia="Times New Roman"/>
          <w:lang w:val="it-IT"/>
        </w:rPr>
        <w:t>Vedere Vaccinazioni sopra.</w:t>
      </w:r>
    </w:p>
    <w:p w14:paraId="60F5C488" w14:textId="77777777" w:rsidR="00953B2E" w:rsidRPr="00C35766" w:rsidRDefault="00953B2E">
      <w:pPr>
        <w:pStyle w:val="a3"/>
        <w:rPr>
          <w:lang w:val="pt-BR"/>
        </w:rPr>
      </w:pPr>
    </w:p>
    <w:p w14:paraId="4F8183DA" w14:textId="77777777" w:rsidR="00953B2E" w:rsidRPr="00C35766" w:rsidRDefault="005F0C19">
      <w:pPr>
        <w:pStyle w:val="a3"/>
        <w:rPr>
          <w:u w:val="single"/>
          <w:lang w:val="pt-BR"/>
        </w:rPr>
      </w:pPr>
      <w:r w:rsidRPr="00C35766">
        <w:rPr>
          <w:rFonts w:eastAsia="Times New Roman"/>
          <w:u w:val="single" w:color="000000"/>
          <w:lang w:val="it-IT"/>
        </w:rPr>
        <w:t>Contenuto di sodio</w:t>
      </w:r>
    </w:p>
    <w:p w14:paraId="36AC11FF" w14:textId="77777777" w:rsidR="00953B2E" w:rsidRPr="00C35766" w:rsidRDefault="00953B2E">
      <w:pPr>
        <w:pStyle w:val="a3"/>
        <w:rPr>
          <w:lang w:val="pt-BR"/>
        </w:rPr>
      </w:pPr>
    </w:p>
    <w:p w14:paraId="023B2846" w14:textId="5715600D" w:rsidR="00953B2E" w:rsidRPr="00C35766" w:rsidRDefault="005F0C19">
      <w:pPr>
        <w:pStyle w:val="a3"/>
        <w:rPr>
          <w:lang w:val="pt-BR"/>
        </w:rPr>
      </w:pPr>
      <w:r w:rsidRPr="00C35766">
        <w:rPr>
          <w:rFonts w:eastAsia="Times New Roman"/>
          <w:lang w:val="it-IT"/>
        </w:rPr>
        <w:t xml:space="preserve">Questo medicinale contiene meno di 1 mmol (23 mg) di sodio per dose di 0,4 </w:t>
      </w:r>
      <w:r w:rsidR="00331973" w:rsidRPr="00C35766">
        <w:rPr>
          <w:rFonts w:eastAsia="Times New Roman"/>
          <w:lang w:val="it-IT"/>
        </w:rPr>
        <w:t>mL</w:t>
      </w:r>
      <w:r w:rsidRPr="00C35766">
        <w:rPr>
          <w:rFonts w:eastAsia="Times New Roman"/>
          <w:lang w:val="it-IT"/>
        </w:rPr>
        <w:t>, cioè essenzialmente "senza sodio".</w:t>
      </w:r>
    </w:p>
    <w:p w14:paraId="3284C798" w14:textId="77777777" w:rsidR="00953B2E" w:rsidRPr="00C35766" w:rsidRDefault="00953B2E">
      <w:pPr>
        <w:spacing w:before="18" w:line="240" w:lineRule="exact"/>
        <w:rPr>
          <w:rFonts w:ascii="Times New Roman" w:hAnsi="Times New Roman" w:cs="Times New Roman"/>
          <w:sz w:val="24"/>
          <w:szCs w:val="24"/>
          <w:lang w:val="pt-BR"/>
        </w:rPr>
      </w:pPr>
    </w:p>
    <w:p w14:paraId="2AE9D49C" w14:textId="77777777" w:rsidR="00953B2E" w:rsidRPr="00C35766" w:rsidRDefault="005F0C19" w:rsidP="00787805">
      <w:pPr>
        <w:widowControl/>
        <w:numPr>
          <w:ilvl w:val="1"/>
          <w:numId w:val="1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Interazioni con altri medicinali ed altre forme d’interazione</w:t>
      </w:r>
    </w:p>
    <w:p w14:paraId="678E2C9A" w14:textId="77777777" w:rsidR="00953B2E" w:rsidRPr="00C35766" w:rsidRDefault="00953B2E">
      <w:pPr>
        <w:spacing w:before="9" w:line="240" w:lineRule="exact"/>
        <w:rPr>
          <w:rFonts w:ascii="Times New Roman" w:hAnsi="Times New Roman" w:cs="Times New Roman"/>
          <w:sz w:val="24"/>
          <w:lang w:val="it-IT"/>
        </w:rPr>
      </w:pPr>
    </w:p>
    <w:p w14:paraId="5451F82B" w14:textId="2855FCD1" w:rsidR="00953B2E" w:rsidRPr="00C35766" w:rsidRDefault="005F0C19">
      <w:pPr>
        <w:pStyle w:val="a3"/>
        <w:rPr>
          <w:lang w:val="it-IT"/>
        </w:rPr>
      </w:pPr>
      <w:r w:rsidRPr="00C35766">
        <w:rPr>
          <w:rFonts w:eastAsia="Times New Roman"/>
          <w:lang w:val="it-IT"/>
        </w:rPr>
        <w:t xml:space="preserve">Adalimumab è stato studiato in monoterapia e in </w:t>
      </w:r>
      <w:r w:rsidR="00E32383" w:rsidRPr="00C35766">
        <w:rPr>
          <w:rFonts w:eastAsia="Times New Roman"/>
          <w:lang w:val="it-IT"/>
        </w:rPr>
        <w:t xml:space="preserve">associazione </w:t>
      </w:r>
      <w:r w:rsidRPr="00C35766">
        <w:rPr>
          <w:rFonts w:eastAsia="Times New Roman"/>
          <w:lang w:val="it-IT"/>
        </w:rPr>
        <w:t xml:space="preserve">con metotressato in pazienti affetti da artrite reumatoide, artrite idiopatica giovanile poliarticolare e artrite psoriasica. Quando adalimumab è stato somministrato in </w:t>
      </w:r>
      <w:r w:rsidR="00E32383" w:rsidRPr="00C35766">
        <w:rPr>
          <w:rFonts w:eastAsia="Times New Roman"/>
          <w:lang w:val="it-IT"/>
        </w:rPr>
        <w:t>associazione</w:t>
      </w:r>
      <w:r w:rsidRPr="00C35766">
        <w:rPr>
          <w:rFonts w:eastAsia="Times New Roman"/>
          <w:lang w:val="it-IT"/>
        </w:rPr>
        <w:t xml:space="preserve"> con metotressato, la formazione di anticorpi è stata inferiore rispetto alla monoterapia. La somministrazione di adalimumab senza metotressato ha determinato un aumento della formazione di anticorpi, un aumento della clearance ed una riduzione dell’efficacia di adalimumab (vedere paragrafo 5.1).</w:t>
      </w:r>
    </w:p>
    <w:p w14:paraId="67AA7CDC" w14:textId="77777777" w:rsidR="00953B2E" w:rsidRPr="00C35766" w:rsidRDefault="00953B2E">
      <w:pPr>
        <w:spacing w:before="17" w:line="240" w:lineRule="exact"/>
        <w:rPr>
          <w:rFonts w:ascii="Times New Roman" w:hAnsi="Times New Roman" w:cs="Times New Roman"/>
          <w:sz w:val="24"/>
          <w:szCs w:val="24"/>
          <w:lang w:val="it-IT"/>
        </w:rPr>
      </w:pPr>
    </w:p>
    <w:p w14:paraId="1284EBB3" w14:textId="05D0B2D3" w:rsidR="00953B2E" w:rsidRPr="00C35766" w:rsidRDefault="005F0C19">
      <w:pPr>
        <w:pStyle w:val="a3"/>
        <w:rPr>
          <w:lang w:val="it-IT"/>
        </w:rPr>
      </w:pPr>
      <w:r w:rsidRPr="00C35766">
        <w:rPr>
          <w:rFonts w:eastAsia="Times New Roman"/>
          <w:lang w:val="it-IT"/>
        </w:rPr>
        <w:t>L</w:t>
      </w:r>
      <w:r w:rsidR="00E32383" w:rsidRPr="00C35766">
        <w:rPr>
          <w:rFonts w:eastAsia="Times New Roman"/>
          <w:lang w:val="it-IT"/>
        </w:rPr>
        <w:t xml:space="preserve">‘associazione </w:t>
      </w:r>
      <w:r w:rsidRPr="00C35766">
        <w:rPr>
          <w:rFonts w:eastAsia="Times New Roman"/>
          <w:lang w:val="it-IT"/>
        </w:rPr>
        <w:t>di adalimumab e anakinra non è raccomandata (vedere paragrafo 4.4 “Somministrazione concomitante di DMARD biologici o antagonisti del TNF”).</w:t>
      </w:r>
    </w:p>
    <w:p w14:paraId="1052FB76" w14:textId="77777777" w:rsidR="00953B2E" w:rsidRPr="00C35766" w:rsidRDefault="00953B2E">
      <w:pPr>
        <w:spacing w:before="11" w:line="240" w:lineRule="exact"/>
        <w:rPr>
          <w:rFonts w:ascii="Times New Roman" w:hAnsi="Times New Roman" w:cs="Times New Roman"/>
          <w:sz w:val="24"/>
          <w:szCs w:val="24"/>
          <w:lang w:val="it-IT"/>
        </w:rPr>
      </w:pPr>
    </w:p>
    <w:p w14:paraId="5A8591A4" w14:textId="3268F469" w:rsidR="00953B2E" w:rsidRPr="00C35766" w:rsidRDefault="005F0C19">
      <w:pPr>
        <w:pStyle w:val="a3"/>
        <w:rPr>
          <w:lang w:val="it-IT"/>
        </w:rPr>
      </w:pPr>
      <w:r w:rsidRPr="00C35766">
        <w:rPr>
          <w:rFonts w:eastAsia="Times New Roman"/>
          <w:lang w:val="it-IT"/>
        </w:rPr>
        <w:t>L</w:t>
      </w:r>
      <w:r w:rsidR="00E32383" w:rsidRPr="00C35766">
        <w:rPr>
          <w:rFonts w:eastAsia="Times New Roman"/>
          <w:lang w:val="it-IT"/>
        </w:rPr>
        <w:t>’associazione</w:t>
      </w:r>
      <w:r w:rsidRPr="00C35766">
        <w:rPr>
          <w:rFonts w:eastAsia="Times New Roman"/>
          <w:lang w:val="it-IT"/>
        </w:rPr>
        <w:t xml:space="preserve"> di adalimumab e abatacept non è raccomandata (vedere paragrafo 4.4 “Somministrazione concomitante di DMARD biologici o antagonisti del TNF”).</w:t>
      </w:r>
    </w:p>
    <w:p w14:paraId="51312E1F" w14:textId="77777777" w:rsidR="00953B2E" w:rsidRPr="00C35766" w:rsidRDefault="00953B2E">
      <w:pPr>
        <w:spacing w:before="14" w:line="240" w:lineRule="exact"/>
        <w:rPr>
          <w:rFonts w:ascii="Times New Roman" w:hAnsi="Times New Roman" w:cs="Times New Roman"/>
          <w:sz w:val="24"/>
          <w:szCs w:val="24"/>
          <w:lang w:val="it-IT"/>
        </w:rPr>
      </w:pPr>
    </w:p>
    <w:p w14:paraId="66C34A87"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Fertilità, gravidanza e allattamento</w:t>
      </w:r>
    </w:p>
    <w:p w14:paraId="6D0F1321" w14:textId="77777777" w:rsidR="00953B2E" w:rsidRPr="00C35766" w:rsidRDefault="00953B2E">
      <w:pPr>
        <w:spacing w:before="9" w:line="240" w:lineRule="exact"/>
        <w:rPr>
          <w:rFonts w:ascii="Times New Roman" w:hAnsi="Times New Roman" w:cs="Times New Roman"/>
        </w:rPr>
      </w:pPr>
    </w:p>
    <w:p w14:paraId="765DBD04" w14:textId="77777777" w:rsidR="00953B2E" w:rsidRPr="00C35766" w:rsidRDefault="005F0C19">
      <w:pPr>
        <w:pStyle w:val="a3"/>
        <w:rPr>
          <w:u w:val="single"/>
        </w:rPr>
      </w:pPr>
      <w:r w:rsidRPr="00C35766">
        <w:rPr>
          <w:rFonts w:eastAsia="Times New Roman"/>
          <w:u w:val="single" w:color="000000"/>
          <w:lang w:val="it-IT"/>
        </w:rPr>
        <w:t>Donne in età fertile</w:t>
      </w:r>
    </w:p>
    <w:p w14:paraId="05292F2E" w14:textId="77777777" w:rsidR="00953B2E" w:rsidRPr="00C35766" w:rsidRDefault="00953B2E">
      <w:pPr>
        <w:spacing w:before="1" w:line="180" w:lineRule="exact"/>
        <w:rPr>
          <w:rFonts w:ascii="Times New Roman" w:hAnsi="Times New Roman" w:cs="Times New Roman"/>
        </w:rPr>
      </w:pPr>
    </w:p>
    <w:p w14:paraId="18039A68" w14:textId="77777777" w:rsidR="00953B2E" w:rsidRPr="00C35766" w:rsidRDefault="005F0C19">
      <w:pPr>
        <w:pStyle w:val="a3"/>
        <w:rPr>
          <w:lang w:val="it-IT"/>
        </w:rPr>
      </w:pPr>
      <w:r w:rsidRPr="00C35766">
        <w:rPr>
          <w:rFonts w:eastAsia="Times New Roman"/>
          <w:lang w:val="it-IT"/>
        </w:rPr>
        <w:t>Le donne in età fertile devono considerare l’utilizzo di un adeguato metodo contraccettivo per prevenire una gravidanza e l’uso di tale metodo deve proseguire per almeno cinque mesi dopo l’ultimo trattamento con Yuflyma.</w:t>
      </w:r>
    </w:p>
    <w:p w14:paraId="5D473F14" w14:textId="77777777" w:rsidR="00953B2E" w:rsidRPr="00C35766" w:rsidRDefault="00953B2E">
      <w:pPr>
        <w:spacing w:before="11" w:line="240" w:lineRule="exact"/>
        <w:rPr>
          <w:rFonts w:ascii="Times New Roman" w:hAnsi="Times New Roman" w:cs="Times New Roman"/>
          <w:lang w:val="it-IT"/>
        </w:rPr>
      </w:pPr>
    </w:p>
    <w:p w14:paraId="114BBE0E" w14:textId="77777777" w:rsidR="00953B2E" w:rsidRPr="00C35766" w:rsidRDefault="005F0C19">
      <w:pPr>
        <w:pStyle w:val="a3"/>
        <w:rPr>
          <w:u w:val="single"/>
          <w:lang w:val="it-IT"/>
        </w:rPr>
      </w:pPr>
      <w:r w:rsidRPr="00C35766">
        <w:rPr>
          <w:rFonts w:eastAsia="Times New Roman"/>
          <w:u w:val="single" w:color="000000"/>
          <w:lang w:val="it-IT"/>
        </w:rPr>
        <w:t>Gravidanza</w:t>
      </w:r>
    </w:p>
    <w:p w14:paraId="21C6E61F" w14:textId="77777777" w:rsidR="00953B2E" w:rsidRPr="00C35766" w:rsidRDefault="00953B2E">
      <w:pPr>
        <w:spacing w:before="1" w:line="180" w:lineRule="exact"/>
        <w:rPr>
          <w:rFonts w:ascii="Times New Roman" w:hAnsi="Times New Roman" w:cs="Times New Roman"/>
          <w:lang w:val="it-IT"/>
        </w:rPr>
      </w:pPr>
    </w:p>
    <w:p w14:paraId="6676EE3A" w14:textId="77777777" w:rsidR="00953B2E" w:rsidRPr="00C35766" w:rsidRDefault="005F0C19">
      <w:pPr>
        <w:pStyle w:val="a3"/>
        <w:rPr>
          <w:lang w:val="it-IT"/>
        </w:rPr>
      </w:pPr>
      <w:r w:rsidRPr="00C35766">
        <w:rPr>
          <w:rFonts w:eastAsia="Times New Roman"/>
          <w:lang w:val="it-IT"/>
        </w:rPr>
        <w:t>Un numero elevato (circa 2100) di gravidanze esposte ad adalimumab, raccolte in modo prospettico, che hanno portato a nati vivi con esiti noti e che includevano più di 1500 gravidanze esposte durante il primo trimestre, non ha indicato un aumento del tasso di malformazione nel neonato.</w:t>
      </w:r>
    </w:p>
    <w:p w14:paraId="7B9E2565" w14:textId="77777777" w:rsidR="00953B2E" w:rsidRPr="00C35766" w:rsidRDefault="00953B2E">
      <w:pPr>
        <w:spacing w:before="13" w:line="240" w:lineRule="exact"/>
        <w:rPr>
          <w:rFonts w:ascii="Times New Roman" w:hAnsi="Times New Roman" w:cs="Times New Roman"/>
          <w:lang w:val="it-IT"/>
        </w:rPr>
      </w:pPr>
    </w:p>
    <w:p w14:paraId="7D0D9D55" w14:textId="77777777" w:rsidR="00953B2E" w:rsidRPr="00C35766" w:rsidRDefault="005F0C19">
      <w:pPr>
        <w:pStyle w:val="a3"/>
        <w:rPr>
          <w:lang w:val="it-IT"/>
        </w:rPr>
      </w:pPr>
      <w:r w:rsidRPr="00C35766">
        <w:rPr>
          <w:rFonts w:eastAsia="Times New Roman"/>
          <w:lang w:val="it-IT"/>
        </w:rPr>
        <w:t>In un registro di coorte prospettico, sono state arruolate 257 donne con artrite reumatoide (AR) o malattia di Crohn (MC) trattate con adalimumab almeno durante il primo trimestre di gravidanza e 120 donne con AR o MC non trattate con adalimumab. L’endpoint primario è stato la prevalenza di gravi difetti alla nascita. Il tasso delle gravidanze che si sono concluse con la nascita di almeno un neonato vivo con un grave difetto alla nascita è stato 6/69 (8,7%) nelle donne con AR trattate con adalimumab e 5/74 (6,8%) nelle donne con AR non trattate (OR non aggiustato 1,31; 95% IC 0,38-4,52) e 16/152 (10,5%) nelle donne con MC trattate con adalimumab e 3/32 (9,4%) nelle donne con MC non trattate (OR non aggiustato 1,14, 95% IC 0,31-4,16). L’OR aggiustato (che considera le differenze rispetto al basale) era 1,10 (95% IC 0,45-2,73) per AR e MC combinate. Tra le donne trattate con adalimumab e quelle non trattate non ci sono state evidenti differenze negli endpoint secondari come aborti spontanei, difetti minori alla nascita, parto pretermine, dimensione del neonato e infezioni gravi o opportunistiche e non sono stati riportati casi di nati morti o tumori maligni.  L’interpretazione dei dati può essere influenzata dalle limitazioni metodologiche dello studio, compresi la piccola dimensione del campione e il disegno non randomizzato.</w:t>
      </w:r>
    </w:p>
    <w:p w14:paraId="0E59B9A5" w14:textId="77777777" w:rsidR="00953B2E" w:rsidRPr="00C35766" w:rsidRDefault="00953B2E">
      <w:pPr>
        <w:spacing w:before="10" w:line="240" w:lineRule="exact"/>
        <w:rPr>
          <w:rFonts w:ascii="Times New Roman" w:hAnsi="Times New Roman" w:cs="Times New Roman"/>
          <w:lang w:val="it-IT"/>
        </w:rPr>
      </w:pPr>
    </w:p>
    <w:p w14:paraId="2333BAD9" w14:textId="7F753CFA" w:rsidR="00953B2E" w:rsidRPr="00C35766" w:rsidRDefault="005F0C19">
      <w:pPr>
        <w:pStyle w:val="a3"/>
        <w:rPr>
          <w:lang w:val="it-IT"/>
        </w:rPr>
      </w:pPr>
      <w:r w:rsidRPr="00C35766">
        <w:rPr>
          <w:rFonts w:eastAsia="Times New Roman"/>
          <w:spacing w:val="-2"/>
          <w:lang w:val="it-IT"/>
        </w:rPr>
        <w:t xml:space="preserve">In uno studio di tossicologia dello sviluppo condotto su scimmie, non è stata riscontrata tossicità nella madre, </w:t>
      </w:r>
      <w:r w:rsidR="00A2214E" w:rsidRPr="00C35766">
        <w:rPr>
          <w:rFonts w:eastAsia="Times New Roman"/>
          <w:spacing w:val="-2"/>
          <w:lang w:val="it-IT"/>
        </w:rPr>
        <w:t xml:space="preserve">né </w:t>
      </w:r>
      <w:r w:rsidRPr="00C35766">
        <w:rPr>
          <w:rFonts w:eastAsia="Times New Roman"/>
          <w:spacing w:val="-2"/>
          <w:lang w:val="it-IT"/>
        </w:rPr>
        <w:t>embriotossicità o teratogenicità. Non sono disponibili dati preclinici sulla tossicità postnatale di adalimumab (vedere paragrafo 5.3).</w:t>
      </w:r>
    </w:p>
    <w:p w14:paraId="1293CA63" w14:textId="77777777" w:rsidR="00953B2E" w:rsidRPr="00C35766" w:rsidRDefault="00953B2E">
      <w:pPr>
        <w:spacing w:before="14" w:line="260" w:lineRule="exact"/>
        <w:rPr>
          <w:rFonts w:ascii="Times New Roman" w:hAnsi="Times New Roman" w:cs="Times New Roman"/>
          <w:lang w:val="it-IT"/>
        </w:rPr>
      </w:pPr>
    </w:p>
    <w:p w14:paraId="4AC7EA3E" w14:textId="77777777" w:rsidR="00953B2E" w:rsidRPr="00C35766" w:rsidRDefault="005F0C19">
      <w:pPr>
        <w:pStyle w:val="a3"/>
        <w:rPr>
          <w:lang w:val="pt-BR"/>
        </w:rPr>
      </w:pPr>
      <w:r w:rsidRPr="00C35766">
        <w:rPr>
          <w:rFonts w:eastAsia="Times New Roman"/>
          <w:lang w:val="it-IT"/>
        </w:rPr>
        <w:t>A causa dell’inibizione del TNF</w:t>
      </w:r>
      <w:r w:rsidRPr="00C35766">
        <w:rPr>
          <w:rFonts w:eastAsia="Symbol"/>
          <w:lang w:val="it-IT"/>
        </w:rPr>
        <w:sym w:font="Symbol" w:char="F061"/>
      </w:r>
      <w:r w:rsidRPr="00C35766">
        <w:rPr>
          <w:rFonts w:eastAsia="Times New Roman"/>
          <w:lang w:val="it-IT"/>
        </w:rPr>
        <w:t>, la somministrazione di adalimumab durante la gravidanza potrebbe interferire con la normale risposta immunitaria del neonato. Adalimumab deve essere utilizzato in gravidanza soltanto se strettamente necessario.</w:t>
      </w:r>
    </w:p>
    <w:p w14:paraId="727221CA" w14:textId="77777777" w:rsidR="00953B2E" w:rsidRPr="00C35766" w:rsidRDefault="00953B2E">
      <w:pPr>
        <w:spacing w:before="11" w:line="240" w:lineRule="exact"/>
        <w:rPr>
          <w:rFonts w:ascii="Times New Roman" w:hAnsi="Times New Roman" w:cs="Times New Roman"/>
          <w:lang w:val="pt-BR"/>
        </w:rPr>
      </w:pPr>
    </w:p>
    <w:p w14:paraId="1F873759" w14:textId="77777777" w:rsidR="00953B2E" w:rsidRPr="00C35766" w:rsidRDefault="005F0C19">
      <w:pPr>
        <w:pStyle w:val="a3"/>
        <w:rPr>
          <w:lang w:val="it-IT"/>
        </w:rPr>
      </w:pPr>
      <w:r w:rsidRPr="00C35766">
        <w:rPr>
          <w:rFonts w:eastAsia="Times New Roman"/>
          <w:lang w:val="it-IT"/>
        </w:rPr>
        <w:t>Adalimumab può attraversare la placenta e raggiungere il siero dei bambini nati da madri trattate con adalimumab durante la gravidanza. Di conseguenza, questi bambini sono soggetti ad un maggior rischio di infezione. La somministrazione di vaccini vivi (ad es. vaccino BCG) a bambini esposti ad adalimumab nell’utero non è raccomandata fino a 5 mesi dall’ultima iniezione di adalimumab alla madre durante la gravidanza.</w:t>
      </w:r>
    </w:p>
    <w:p w14:paraId="216319A4" w14:textId="77777777" w:rsidR="00953B2E" w:rsidRPr="00C35766" w:rsidRDefault="00953B2E">
      <w:pPr>
        <w:spacing w:before="13" w:line="240" w:lineRule="exact"/>
        <w:rPr>
          <w:rFonts w:ascii="Times New Roman" w:hAnsi="Times New Roman" w:cs="Times New Roman"/>
          <w:lang w:val="it-IT"/>
        </w:rPr>
      </w:pPr>
    </w:p>
    <w:p w14:paraId="71DB66EA" w14:textId="77777777" w:rsidR="00953B2E" w:rsidRPr="00C35766" w:rsidRDefault="005F0C19">
      <w:pPr>
        <w:pStyle w:val="a3"/>
        <w:rPr>
          <w:u w:val="single"/>
          <w:lang w:val="it-IT"/>
        </w:rPr>
      </w:pPr>
      <w:r w:rsidRPr="00C35766">
        <w:rPr>
          <w:rFonts w:eastAsia="Times New Roman"/>
          <w:spacing w:val="-1"/>
          <w:u w:val="single" w:color="000000"/>
          <w:lang w:val="it-IT"/>
        </w:rPr>
        <w:t>Allattamento</w:t>
      </w:r>
    </w:p>
    <w:p w14:paraId="09082402" w14:textId="77777777" w:rsidR="00953B2E" w:rsidRPr="00C35766" w:rsidRDefault="00953B2E">
      <w:pPr>
        <w:spacing w:before="1" w:line="180" w:lineRule="exact"/>
        <w:rPr>
          <w:rFonts w:ascii="Times New Roman" w:hAnsi="Times New Roman" w:cs="Times New Roman"/>
          <w:lang w:val="it-IT"/>
        </w:rPr>
      </w:pPr>
    </w:p>
    <w:p w14:paraId="185A2417" w14:textId="77777777" w:rsidR="00953B2E" w:rsidRPr="00C35766" w:rsidRDefault="005F0C19">
      <w:pPr>
        <w:pStyle w:val="a3"/>
        <w:rPr>
          <w:lang w:val="it-IT"/>
        </w:rPr>
      </w:pPr>
      <w:r w:rsidRPr="00C35766">
        <w:rPr>
          <w:rFonts w:eastAsia="Times New Roman"/>
          <w:lang w:val="it-IT"/>
        </w:rPr>
        <w:t>Le limitate informazioni dalla letteratura pubblicata indicano che adalimumab è escreto nel latte materno in concentrazioni molto basse e che la concentrazione di adalimumab nel latte umano è pari allo 0,1% - 1% del livello sierico della madre. Somministrate per via orale, le immunoglobuline G sono sottoposte a proteolisi intestinale ed hanno una scarsa biodisponibilità. Non si ritiene che possa avere effetti su neonati/lattanti. Conseguentemente, Yuflyma può essere utilizzato durante l’allattamento.</w:t>
      </w:r>
    </w:p>
    <w:p w14:paraId="55274525" w14:textId="77777777" w:rsidR="00953B2E" w:rsidRPr="00C35766" w:rsidRDefault="00953B2E">
      <w:pPr>
        <w:spacing w:before="11" w:line="240" w:lineRule="exact"/>
        <w:rPr>
          <w:rFonts w:ascii="Times New Roman" w:hAnsi="Times New Roman" w:cs="Times New Roman"/>
          <w:lang w:val="it-IT"/>
        </w:rPr>
      </w:pPr>
    </w:p>
    <w:p w14:paraId="5E947E85" w14:textId="77777777" w:rsidR="00953B2E" w:rsidRPr="00C35766" w:rsidRDefault="005F0C19">
      <w:pPr>
        <w:pStyle w:val="a3"/>
        <w:rPr>
          <w:u w:val="single"/>
          <w:lang w:val="it-IT"/>
        </w:rPr>
      </w:pPr>
      <w:r w:rsidRPr="00C35766">
        <w:rPr>
          <w:rFonts w:eastAsia="Times New Roman"/>
          <w:u w:val="single" w:color="000000"/>
          <w:lang w:val="it-IT"/>
        </w:rPr>
        <w:t>Fertilità</w:t>
      </w:r>
    </w:p>
    <w:p w14:paraId="01C6AB9B" w14:textId="77777777" w:rsidR="00953B2E" w:rsidRPr="00C35766" w:rsidRDefault="00953B2E">
      <w:pPr>
        <w:spacing w:before="1" w:line="180" w:lineRule="exact"/>
        <w:rPr>
          <w:rFonts w:ascii="Times New Roman" w:hAnsi="Times New Roman" w:cs="Times New Roman"/>
          <w:lang w:val="it-IT"/>
        </w:rPr>
      </w:pPr>
    </w:p>
    <w:p w14:paraId="3DB21361" w14:textId="77777777" w:rsidR="00953B2E" w:rsidRPr="00C35766" w:rsidRDefault="005F0C19">
      <w:pPr>
        <w:pStyle w:val="a3"/>
        <w:rPr>
          <w:lang w:val="it-IT"/>
        </w:rPr>
      </w:pPr>
      <w:r w:rsidRPr="00C35766">
        <w:rPr>
          <w:rFonts w:eastAsia="Times New Roman"/>
          <w:lang w:val="it-IT"/>
        </w:rPr>
        <w:t>Non sono disponibili dati preclinici sugli effetti di adalimumab sulla fertilità.</w:t>
      </w:r>
    </w:p>
    <w:p w14:paraId="739E414F" w14:textId="77777777" w:rsidR="00953B2E" w:rsidRPr="00C35766" w:rsidRDefault="00953B2E">
      <w:pPr>
        <w:spacing w:before="18" w:line="240" w:lineRule="exact"/>
        <w:rPr>
          <w:rFonts w:ascii="Times New Roman" w:hAnsi="Times New Roman" w:cs="Times New Roman"/>
          <w:sz w:val="24"/>
          <w:szCs w:val="24"/>
          <w:lang w:val="it-IT"/>
        </w:rPr>
      </w:pPr>
    </w:p>
    <w:p w14:paraId="193C7913" w14:textId="77777777" w:rsidR="00953B2E" w:rsidRPr="00C35766" w:rsidRDefault="005F0C19" w:rsidP="00787805">
      <w:pPr>
        <w:widowControl/>
        <w:numPr>
          <w:ilvl w:val="1"/>
          <w:numId w:val="1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Effetti sulla capacità di guidare veicoli e sull’uso di macchinari</w:t>
      </w:r>
    </w:p>
    <w:p w14:paraId="3FFD8DAB" w14:textId="77777777" w:rsidR="00953B2E" w:rsidRPr="00C35766" w:rsidRDefault="00953B2E">
      <w:pPr>
        <w:spacing w:before="12" w:line="240" w:lineRule="exact"/>
        <w:rPr>
          <w:rFonts w:ascii="Times New Roman" w:hAnsi="Times New Roman" w:cs="Times New Roman"/>
          <w:sz w:val="24"/>
          <w:lang w:val="it-IT"/>
        </w:rPr>
      </w:pPr>
    </w:p>
    <w:p w14:paraId="7D30A2B3" w14:textId="3236D8F0" w:rsidR="00953B2E" w:rsidRPr="00C35766" w:rsidRDefault="005F0C19">
      <w:pPr>
        <w:pStyle w:val="a3"/>
        <w:rPr>
          <w:lang w:val="it-IT"/>
        </w:rPr>
      </w:pPr>
      <w:r w:rsidRPr="00C35766">
        <w:rPr>
          <w:rFonts w:eastAsia="Times New Roman"/>
          <w:lang w:val="it-IT"/>
        </w:rPr>
        <w:lastRenderedPageBreak/>
        <w:t xml:space="preserve">Yuflyma può alterare lievemente la capacità di guidare veicoli e di usare macchinari. Dopo la somministrazione di Yuflyma si possono verificare vertigini e </w:t>
      </w:r>
      <w:r w:rsidR="003F78AB" w:rsidRPr="003F78AB">
        <w:rPr>
          <w:rFonts w:eastAsia="Times New Roman"/>
          <w:lang w:val="it-IT"/>
        </w:rPr>
        <w:t>compromissione</w:t>
      </w:r>
      <w:r w:rsidRPr="00C35766">
        <w:rPr>
          <w:rFonts w:eastAsia="Times New Roman"/>
          <w:lang w:val="it-IT"/>
        </w:rPr>
        <w:t xml:space="preserve"> della vista (vedere paragrafo 4.8).</w:t>
      </w:r>
    </w:p>
    <w:p w14:paraId="4DDE951A" w14:textId="77777777" w:rsidR="00953B2E" w:rsidRPr="00C35766" w:rsidRDefault="00953B2E">
      <w:pPr>
        <w:spacing w:before="15" w:line="240" w:lineRule="exact"/>
        <w:rPr>
          <w:rFonts w:ascii="Times New Roman" w:hAnsi="Times New Roman" w:cs="Times New Roman"/>
          <w:sz w:val="24"/>
          <w:lang w:val="it-IT"/>
        </w:rPr>
      </w:pPr>
    </w:p>
    <w:p w14:paraId="6F0AEBD2" w14:textId="77777777" w:rsidR="00953B2E" w:rsidRPr="00C35766" w:rsidRDefault="005F0C19" w:rsidP="00787805">
      <w:pPr>
        <w:keepNext/>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Effetti indesiderati</w:t>
      </w:r>
    </w:p>
    <w:p w14:paraId="1105CE47" w14:textId="77777777" w:rsidR="00953B2E" w:rsidRPr="00C35766" w:rsidRDefault="00953B2E">
      <w:pPr>
        <w:keepNext/>
        <w:spacing w:before="9" w:line="240" w:lineRule="exact"/>
        <w:rPr>
          <w:rFonts w:ascii="Times New Roman" w:hAnsi="Times New Roman" w:cs="Times New Roman"/>
          <w:sz w:val="24"/>
          <w:szCs w:val="24"/>
        </w:rPr>
      </w:pPr>
    </w:p>
    <w:p w14:paraId="26C73E5B" w14:textId="77777777" w:rsidR="00953B2E" w:rsidRPr="00C35766" w:rsidRDefault="005F0C19">
      <w:pPr>
        <w:pStyle w:val="a3"/>
        <w:keepNext/>
        <w:rPr>
          <w:u w:val="single"/>
        </w:rPr>
      </w:pPr>
      <w:r w:rsidRPr="00C35766">
        <w:rPr>
          <w:rFonts w:eastAsia="Times New Roman"/>
          <w:u w:val="single" w:color="000000"/>
          <w:lang w:val="it-IT"/>
        </w:rPr>
        <w:t>Riassunto del profilo di sicurezza</w:t>
      </w:r>
    </w:p>
    <w:p w14:paraId="44AFE441" w14:textId="77777777" w:rsidR="00953B2E" w:rsidRPr="00C35766" w:rsidRDefault="00953B2E">
      <w:pPr>
        <w:keepNext/>
        <w:spacing w:before="1" w:line="180" w:lineRule="exact"/>
        <w:rPr>
          <w:rFonts w:ascii="Times New Roman" w:hAnsi="Times New Roman" w:cs="Times New Roman"/>
          <w:sz w:val="18"/>
          <w:szCs w:val="18"/>
        </w:rPr>
      </w:pPr>
    </w:p>
    <w:p w14:paraId="2AD4581F" w14:textId="77777777" w:rsidR="00953B2E" w:rsidRPr="00C35766" w:rsidRDefault="005F0C19">
      <w:pPr>
        <w:pStyle w:val="a3"/>
        <w:rPr>
          <w:lang w:val="it-IT"/>
        </w:rPr>
      </w:pPr>
      <w:r w:rsidRPr="00C35766">
        <w:rPr>
          <w:rFonts w:eastAsia="Times New Roman"/>
          <w:lang w:val="it-IT"/>
        </w:rPr>
        <w:t>Adalimumab è stato studiato in 9.506 pazienti nel corso di studi clinici registrativi controllati e in aperto per un periodo fino a 60 mesi o superiore. Tali studi sono stati effettuati su pazienti affetti da artrite reumatoide ad insorgenza precoce e di lunga durata, artrite idiopatica giovanile (artrite idiopatica giovanile poliarticolare e artrite associata ad entesite), così come su pazienti affetti da spondiloartrite assiale (spondilite anchilosante e spondiloartrite assiale senza evidenza radiografica di SA), artrite psoriasica, malattia di Crohn, colite ulcerosa, psoriasi, idrosadenite suppurativa e uveite.  Gli studi registrativi controllati sono stati condotti su 6.089 pazienti sottoposti a trattamento con adalimumab e su 3.801 pazienti cui è stato somministrato placebo o un comparatore attivo durante il periodo di controllo.</w:t>
      </w:r>
    </w:p>
    <w:p w14:paraId="2F45742E" w14:textId="77777777" w:rsidR="00953B2E" w:rsidRPr="00C35766" w:rsidRDefault="00953B2E">
      <w:pPr>
        <w:spacing w:before="13" w:line="240" w:lineRule="exact"/>
        <w:rPr>
          <w:rFonts w:ascii="Times New Roman" w:hAnsi="Times New Roman" w:cs="Times New Roman"/>
          <w:sz w:val="24"/>
          <w:szCs w:val="24"/>
          <w:lang w:val="it-IT"/>
        </w:rPr>
      </w:pPr>
    </w:p>
    <w:p w14:paraId="1686D72A" w14:textId="77777777" w:rsidR="00953B2E" w:rsidRPr="00C35766" w:rsidRDefault="005F0C19">
      <w:pPr>
        <w:pStyle w:val="a3"/>
        <w:rPr>
          <w:lang w:val="it-IT"/>
        </w:rPr>
      </w:pPr>
      <w:r w:rsidRPr="00C35766">
        <w:rPr>
          <w:rFonts w:eastAsia="Times New Roman"/>
          <w:lang w:val="it-IT"/>
        </w:rPr>
        <w:t>La percentuale di pazienti che hanno interrotto il trattamento a causa di eventi avversi durante la fase in doppio cieco, controllata, degli studi registrativi è stata del 5,9% per i pazienti che hanno assunto adalimumab e del 5,4% per i pazienti trattati con il controllo.</w:t>
      </w:r>
    </w:p>
    <w:p w14:paraId="4DF9208D" w14:textId="77777777" w:rsidR="00953B2E" w:rsidRPr="00C35766" w:rsidRDefault="00953B2E">
      <w:pPr>
        <w:spacing w:before="17" w:line="240" w:lineRule="exact"/>
        <w:rPr>
          <w:rFonts w:ascii="Times New Roman" w:hAnsi="Times New Roman" w:cs="Times New Roman"/>
          <w:sz w:val="24"/>
          <w:szCs w:val="24"/>
          <w:lang w:val="it-IT"/>
        </w:rPr>
      </w:pPr>
    </w:p>
    <w:p w14:paraId="6962A733" w14:textId="77777777" w:rsidR="00953B2E" w:rsidRPr="00C35766" w:rsidRDefault="005F0C19">
      <w:pPr>
        <w:pStyle w:val="a3"/>
        <w:rPr>
          <w:lang w:val="it-IT"/>
        </w:rPr>
      </w:pPr>
      <w:r w:rsidRPr="00C35766">
        <w:rPr>
          <w:rFonts w:eastAsia="Times New Roman"/>
          <w:lang w:val="it-IT"/>
        </w:rPr>
        <w:t>Le reazioni avverse più comunemente riportate sono infezioni (quali rinofaringiti, infezione delle alte vie respiratorie e sinusite), reazioni al sito di somministrazione (eritema, prurito, emorragia, dolore o tumefazione), cefalea e dolore muscoloscheletrico.</w:t>
      </w:r>
    </w:p>
    <w:p w14:paraId="08B5318A" w14:textId="77777777" w:rsidR="00953B2E" w:rsidRPr="00C35766" w:rsidRDefault="00953B2E">
      <w:pPr>
        <w:pStyle w:val="a3"/>
        <w:rPr>
          <w:lang w:val="it-IT"/>
        </w:rPr>
      </w:pPr>
    </w:p>
    <w:p w14:paraId="2A3A1EBA" w14:textId="7D2D3C6F" w:rsidR="00953B2E" w:rsidRPr="00C35766" w:rsidRDefault="005F0C19">
      <w:pPr>
        <w:pStyle w:val="a3"/>
        <w:rPr>
          <w:lang w:val="it-IT"/>
        </w:rPr>
      </w:pPr>
      <w:r w:rsidRPr="00C35766">
        <w:rPr>
          <w:rFonts w:eastAsia="Times New Roman"/>
          <w:lang w:val="it-IT"/>
        </w:rPr>
        <w:t>Sono state riportate reazioni avverse gravi per adalimumab. I farmaci anti-TNF, come adalimumab, influenzano il sistema immunitario e il loro uso può influenzare le difese dell’organismo contro infezioni e cancro.</w:t>
      </w:r>
    </w:p>
    <w:p w14:paraId="12B983C4" w14:textId="77777777" w:rsidR="00953B2E" w:rsidRPr="00C35766" w:rsidRDefault="005F0C19">
      <w:pPr>
        <w:pStyle w:val="a3"/>
        <w:rPr>
          <w:lang w:val="it-IT"/>
        </w:rPr>
      </w:pPr>
      <w:r w:rsidRPr="00C35766">
        <w:rPr>
          <w:rFonts w:eastAsia="Times New Roman"/>
          <w:lang w:val="it-IT"/>
        </w:rPr>
        <w:t>A seguito della somministrazione di adalimumab, sono stati riportati anche casi di infezioni fatali e potenzialmente fatali (inclusi casi di sepsi, infezioni opportunistiche e TBC), riattivazione dell’infezione da HBV e vari tipi di tumori maligni (inclusi casi di leucemia, linfomi e linfoma epato-splenico a cellule T-HSTCL).</w:t>
      </w:r>
    </w:p>
    <w:p w14:paraId="7200A089" w14:textId="77777777" w:rsidR="00953B2E" w:rsidRPr="00C35766" w:rsidRDefault="00953B2E">
      <w:pPr>
        <w:spacing w:before="17" w:line="240" w:lineRule="exact"/>
        <w:rPr>
          <w:rFonts w:ascii="Times New Roman" w:hAnsi="Times New Roman" w:cs="Times New Roman"/>
          <w:sz w:val="24"/>
          <w:szCs w:val="24"/>
          <w:lang w:val="it-IT"/>
        </w:rPr>
      </w:pPr>
    </w:p>
    <w:p w14:paraId="1D1B99AA" w14:textId="77777777" w:rsidR="00953B2E" w:rsidRPr="00C35766" w:rsidRDefault="005F0C19">
      <w:pPr>
        <w:pStyle w:val="a3"/>
        <w:rPr>
          <w:lang w:val="it-IT"/>
        </w:rPr>
      </w:pPr>
      <w:r w:rsidRPr="00C35766">
        <w:rPr>
          <w:rFonts w:eastAsia="Times New Roman"/>
          <w:lang w:val="it-IT"/>
        </w:rPr>
        <w:t>Sono state inoltre riportate gravi reazioni ematologiche, neurologiche e autoimmuni. Queste ultime includono rari casi di pancitopenia, anemia aplastica, eventi di demielinizzazione centrale e periferica e casi di lupus, condizioni lupus-correlate e sindrome di Stevens-Johnson.</w:t>
      </w:r>
    </w:p>
    <w:p w14:paraId="46E2C5D4" w14:textId="77777777" w:rsidR="00953B2E" w:rsidRPr="00C35766" w:rsidRDefault="00953B2E">
      <w:pPr>
        <w:spacing w:before="11" w:line="240" w:lineRule="exact"/>
        <w:rPr>
          <w:rFonts w:ascii="Times New Roman" w:hAnsi="Times New Roman" w:cs="Times New Roman"/>
          <w:sz w:val="24"/>
          <w:szCs w:val="24"/>
          <w:lang w:val="it-IT"/>
        </w:rPr>
      </w:pPr>
    </w:p>
    <w:p w14:paraId="04CC4344" w14:textId="77777777" w:rsidR="00953B2E" w:rsidRPr="00C35766" w:rsidRDefault="005F0C19">
      <w:pPr>
        <w:pStyle w:val="a3"/>
        <w:rPr>
          <w:u w:val="single"/>
          <w:lang w:val="it-IT"/>
        </w:rPr>
      </w:pPr>
      <w:r w:rsidRPr="00C35766">
        <w:rPr>
          <w:rFonts w:eastAsia="Times New Roman"/>
          <w:u w:val="single" w:color="000000"/>
          <w:lang w:val="it-IT"/>
        </w:rPr>
        <w:t>Popolazione pediatrica</w:t>
      </w:r>
    </w:p>
    <w:p w14:paraId="2B3D34BD" w14:textId="77777777" w:rsidR="00953B2E" w:rsidRPr="00C35766" w:rsidRDefault="00953B2E">
      <w:pPr>
        <w:spacing w:before="1" w:line="180" w:lineRule="exact"/>
        <w:rPr>
          <w:rFonts w:ascii="Times New Roman" w:hAnsi="Times New Roman" w:cs="Times New Roman"/>
          <w:sz w:val="18"/>
          <w:szCs w:val="18"/>
          <w:lang w:val="it-IT"/>
        </w:rPr>
      </w:pPr>
    </w:p>
    <w:p w14:paraId="661CF081" w14:textId="77777777" w:rsidR="00953B2E" w:rsidRPr="00C35766" w:rsidRDefault="005F0C19">
      <w:pPr>
        <w:pStyle w:val="a3"/>
        <w:rPr>
          <w:lang w:val="it-IT"/>
        </w:rPr>
      </w:pPr>
      <w:r w:rsidRPr="00C35766">
        <w:rPr>
          <w:rFonts w:eastAsia="Times New Roman"/>
          <w:lang w:val="it-IT"/>
        </w:rPr>
        <w:t>In generale, gli eventi avversi nei pazienti pediatrici sono risultati simili a quelli riscontrati nei pazienti adulti sia in termini di frequenza che di tipologia.</w:t>
      </w:r>
    </w:p>
    <w:p w14:paraId="7F436764" w14:textId="77777777" w:rsidR="00953B2E" w:rsidRPr="00C35766" w:rsidRDefault="00953B2E">
      <w:pPr>
        <w:spacing w:before="11" w:line="240" w:lineRule="exact"/>
        <w:rPr>
          <w:rFonts w:ascii="Times New Roman" w:hAnsi="Times New Roman" w:cs="Times New Roman"/>
          <w:sz w:val="24"/>
          <w:szCs w:val="24"/>
          <w:lang w:val="it-IT"/>
        </w:rPr>
      </w:pPr>
    </w:p>
    <w:p w14:paraId="57E2620F" w14:textId="77777777" w:rsidR="00953B2E" w:rsidRPr="00C35766" w:rsidRDefault="005F0C19">
      <w:pPr>
        <w:pStyle w:val="a3"/>
        <w:rPr>
          <w:u w:val="single"/>
          <w:lang w:val="es-ES"/>
        </w:rPr>
      </w:pPr>
      <w:r w:rsidRPr="00C35766">
        <w:rPr>
          <w:rFonts w:eastAsia="Times New Roman"/>
          <w:u w:val="single" w:color="000000"/>
          <w:lang w:val="it-IT"/>
        </w:rPr>
        <w:t>Tabella delle reazioni avverse</w:t>
      </w:r>
    </w:p>
    <w:p w14:paraId="22D8C7AC" w14:textId="77777777" w:rsidR="00953B2E" w:rsidRPr="00C35766" w:rsidRDefault="00953B2E">
      <w:pPr>
        <w:spacing w:before="1" w:line="180" w:lineRule="exact"/>
        <w:rPr>
          <w:rFonts w:ascii="Times New Roman" w:hAnsi="Times New Roman" w:cs="Times New Roman"/>
          <w:sz w:val="18"/>
          <w:szCs w:val="18"/>
          <w:lang w:val="es-ES"/>
        </w:rPr>
      </w:pPr>
    </w:p>
    <w:p w14:paraId="0F5D763D" w14:textId="61046EF3" w:rsidR="00953B2E" w:rsidRPr="00C35766" w:rsidRDefault="005F0C19">
      <w:pPr>
        <w:pStyle w:val="a3"/>
        <w:rPr>
          <w:lang w:val="it-IT"/>
        </w:rPr>
      </w:pPr>
      <w:r w:rsidRPr="00C35766">
        <w:rPr>
          <w:rFonts w:eastAsia="Times New Roman"/>
          <w:lang w:val="it-IT"/>
        </w:rPr>
        <w:t xml:space="preserve">La seguente lista di reazioni avverse è basata su esperienza proveniente da studi clinici ed esperienze post marketing ed è riportata nella Tabella </w:t>
      </w:r>
      <w:r w:rsidR="003456B7" w:rsidRPr="00C35766">
        <w:rPr>
          <w:rFonts w:eastAsia="Times New Roman"/>
          <w:lang w:val="it-IT"/>
        </w:rPr>
        <w:t xml:space="preserve">7 </w:t>
      </w:r>
      <w:r w:rsidRPr="00C35766">
        <w:rPr>
          <w:rFonts w:eastAsia="Times New Roman"/>
          <w:lang w:val="it-IT"/>
        </w:rPr>
        <w:t>classificata in base al sistema/organo coinvolto e alla frequenza: molto comune</w:t>
      </w:r>
      <w:r w:rsidR="00150EAF" w:rsidRPr="00C35766">
        <w:rPr>
          <w:rFonts w:eastAsia="Times New Roman"/>
          <w:lang w:val="it-IT"/>
        </w:rPr>
        <w:t xml:space="preserve"> </w:t>
      </w:r>
      <w:r w:rsidRPr="00C35766">
        <w:rPr>
          <w:rFonts w:eastAsia="Times New Roman"/>
          <w:lang w:val="it-IT"/>
        </w:rPr>
        <w:t>(</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 &lt;</w:t>
      </w:r>
      <w:r w:rsidR="000F35BA" w:rsidRPr="00C35766">
        <w:rPr>
          <w:rFonts w:eastAsia="Times New Roman"/>
          <w:lang w:val="it-IT"/>
        </w:rPr>
        <w:t xml:space="preserve"> </w:t>
      </w:r>
      <w:r w:rsidRPr="00C35766">
        <w:rPr>
          <w:rFonts w:eastAsia="Times New Roman"/>
          <w:lang w:val="it-IT"/>
        </w:rPr>
        <w:t>1/10); non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 &lt;</w:t>
      </w:r>
      <w:r w:rsidR="000F35BA" w:rsidRPr="00C35766">
        <w:rPr>
          <w:rFonts w:eastAsia="Times New Roman"/>
          <w:lang w:val="it-IT"/>
        </w:rPr>
        <w:t xml:space="preserve"> </w:t>
      </w:r>
      <w:r w:rsidRPr="00C35766">
        <w:rPr>
          <w:rFonts w:eastAsia="Times New Roman"/>
          <w:lang w:val="it-IT"/>
        </w:rPr>
        <w:t>1/100), raro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1/10.000, &lt;</w:t>
      </w:r>
      <w:r w:rsidR="000F35BA" w:rsidRPr="00C35766">
        <w:rPr>
          <w:rFonts w:eastAsia="Times New Roman"/>
          <w:lang w:val="it-IT"/>
        </w:rPr>
        <w:t xml:space="preserve"> </w:t>
      </w:r>
      <w:r w:rsidRPr="00C35766">
        <w:rPr>
          <w:rFonts w:eastAsia="Times New Roman"/>
          <w:lang w:val="it-IT"/>
        </w:rPr>
        <w:t>1/1.000)</w:t>
      </w:r>
      <w:r w:rsidR="006D5C7F" w:rsidRPr="00C35766">
        <w:rPr>
          <w:rFonts w:eastAsia="Times New Roman"/>
          <w:lang w:val="it-IT"/>
        </w:rPr>
        <w:t xml:space="preserve"> </w:t>
      </w:r>
      <w:r w:rsidRPr="00C35766">
        <w:rPr>
          <w:rFonts w:eastAsia="Times New Roman"/>
          <w:lang w:val="it-IT"/>
        </w:rPr>
        <w:t>e non nota</w:t>
      </w:r>
      <w:r w:rsidR="006D5C7F" w:rsidRPr="00C35766">
        <w:rPr>
          <w:rFonts w:eastAsia="Times New Roman"/>
          <w:lang w:val="it-IT"/>
        </w:rPr>
        <w:t xml:space="preserve"> </w:t>
      </w:r>
      <w:r w:rsidRPr="00C35766">
        <w:rPr>
          <w:rFonts w:eastAsia="Times New Roman"/>
          <w:lang w:val="it-IT"/>
        </w:rPr>
        <w:t>(la frequenza non può essere definita sulla base dei dati disponibili). All’interno di ciascun raggruppamento per frequenza, gli effetti indesiderati sono presentati in ordine di gravità decrescente. È stata inclusa la frequenza più elevata osservata tra le varie indicazioni. Nella colonna Classificazione per sistemi ed organi compare un asterisco (*) nel caso in cui siano presenti ulteriori informazioni contenute nei paragrafi 4.3, 4.4 e 4.8.</w:t>
      </w:r>
    </w:p>
    <w:p w14:paraId="0F8DC347" w14:textId="77777777" w:rsidR="00953B2E" w:rsidRPr="00C35766" w:rsidRDefault="00953B2E" w:rsidP="00C0539A">
      <w:pPr>
        <w:spacing w:before="15" w:line="240" w:lineRule="exact"/>
        <w:rPr>
          <w:rFonts w:ascii="Times New Roman" w:hAnsi="Times New Roman" w:cs="Times New Roman"/>
          <w:lang w:val="it-IT"/>
        </w:rPr>
      </w:pPr>
    </w:p>
    <w:p w14:paraId="22076553" w14:textId="77777777" w:rsidR="005A5DEF" w:rsidRDefault="005A5DEF" w:rsidP="00CF12C1">
      <w:pPr>
        <w:pStyle w:val="a3"/>
        <w:jc w:val="center"/>
        <w:rPr>
          <w:rFonts w:eastAsia="Times New Roman"/>
          <w:b/>
          <w:bCs/>
          <w:lang w:val="it-IT"/>
        </w:rPr>
      </w:pPr>
    </w:p>
    <w:p w14:paraId="44DDC8F4" w14:textId="736F1837" w:rsidR="00953B2E" w:rsidRPr="00C35766" w:rsidRDefault="005F0C19" w:rsidP="00CF12C1">
      <w:pPr>
        <w:pStyle w:val="a3"/>
        <w:jc w:val="center"/>
        <w:rPr>
          <w:b/>
        </w:rPr>
      </w:pPr>
      <w:r w:rsidRPr="00C35766">
        <w:rPr>
          <w:rFonts w:eastAsia="Times New Roman"/>
          <w:b/>
          <w:bCs/>
          <w:lang w:val="it-IT"/>
        </w:rPr>
        <w:lastRenderedPageBreak/>
        <w:t xml:space="preserve">Tabella </w:t>
      </w:r>
      <w:r w:rsidR="003456B7" w:rsidRPr="00C35766">
        <w:rPr>
          <w:rFonts w:eastAsia="Times New Roman"/>
          <w:b/>
          <w:bCs/>
          <w:lang w:val="it-IT"/>
        </w:rPr>
        <w:t>7</w:t>
      </w:r>
      <w:r w:rsidR="00557598">
        <w:rPr>
          <w:rFonts w:eastAsia="Times New Roman"/>
          <w:b/>
          <w:bCs/>
          <w:lang w:val="it-IT"/>
        </w:rPr>
        <w:t>.</w:t>
      </w:r>
      <w:r w:rsidR="003456B7" w:rsidRPr="00C35766">
        <w:rPr>
          <w:rFonts w:eastAsia="Times New Roman"/>
          <w:b/>
          <w:bCs/>
          <w:lang w:val="it-IT"/>
        </w:rPr>
        <w:t xml:space="preserve"> </w:t>
      </w:r>
      <w:r w:rsidRPr="00C35766">
        <w:rPr>
          <w:rFonts w:eastAsia="Times New Roman"/>
          <w:b/>
          <w:bCs/>
          <w:lang w:val="it-IT"/>
        </w:rPr>
        <w:t>Effetti indesiderati</w:t>
      </w:r>
    </w:p>
    <w:p w14:paraId="0B7324B1" w14:textId="77777777" w:rsidR="00953B2E" w:rsidRPr="00C35766" w:rsidRDefault="00953B2E">
      <w:pPr>
        <w:spacing w:before="10" w:line="240" w:lineRule="exact"/>
        <w:rPr>
          <w:rFonts w:ascii="Times New Roman" w:hAnsi="Times New Roman" w:cs="Times New Roman"/>
          <w:sz w:val="24"/>
          <w:szCs w:val="24"/>
        </w:rPr>
      </w:pPr>
    </w:p>
    <w:tbl>
      <w:tblPr>
        <w:tblStyle w:val="TableNormal1"/>
        <w:tblW w:w="5000" w:type="pct"/>
        <w:tblLayout w:type="fixed"/>
        <w:tblLook w:val="01E0" w:firstRow="1" w:lastRow="1" w:firstColumn="1" w:lastColumn="1" w:noHBand="0" w:noVBand="0"/>
      </w:tblPr>
      <w:tblGrid>
        <w:gridCol w:w="2666"/>
        <w:gridCol w:w="2129"/>
        <w:gridCol w:w="4693"/>
      </w:tblGrid>
      <w:tr w:rsidR="00953B2E" w:rsidRPr="00C35766" w14:paraId="7D75CACE" w14:textId="77777777" w:rsidTr="005A5DEF">
        <w:trPr>
          <w:tblHeader/>
        </w:trPr>
        <w:tc>
          <w:tcPr>
            <w:tcW w:w="1405"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56E61E2" w14:textId="77777777" w:rsidR="00953B2E" w:rsidRPr="00C35766" w:rsidRDefault="005F0C19" w:rsidP="00083924">
            <w:pPr>
              <w:pStyle w:val="TableParagraph"/>
              <w:ind w:left="347"/>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Classificazione per sistemi e organi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54250C9" w14:textId="77777777" w:rsidR="00953B2E" w:rsidRPr="00C35766" w:rsidRDefault="005F0C19" w:rsidP="00083924">
            <w:pPr>
              <w:pStyle w:val="TableParagraph"/>
              <w:ind w:left="529"/>
              <w:rPr>
                <w:rFonts w:ascii="Times New Roman" w:eastAsia="Times New Roman" w:hAnsi="Times New Roman" w:cs="Times New Roman"/>
              </w:rPr>
            </w:pPr>
            <w:r w:rsidRPr="00C35766">
              <w:rPr>
                <w:rFonts w:ascii="Times New Roman" w:eastAsia="Times New Roman" w:hAnsi="Times New Roman" w:cs="Times New Roman"/>
                <w:b/>
                <w:bCs/>
                <w:lang w:val="it-IT"/>
              </w:rPr>
              <w:t>Frequenza</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BAD2BCA" w14:textId="77777777" w:rsidR="00953B2E" w:rsidRPr="00C35766" w:rsidRDefault="005F0C19" w:rsidP="00083924">
            <w:pPr>
              <w:pStyle w:val="TableParagraph"/>
              <w:ind w:left="1451" w:right="15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Reazione avversa</w:t>
            </w:r>
          </w:p>
        </w:tc>
      </w:tr>
      <w:tr w:rsidR="00953B2E" w:rsidRPr="002A37A2" w14:paraId="5EB7B401"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2AF24CA7" w14:textId="77777777" w:rsidR="00953B2E" w:rsidRPr="00C35766" w:rsidRDefault="005F0C19" w:rsidP="00083924">
            <w:pPr>
              <w:pStyle w:val="TableParagraph"/>
              <w:spacing w:before="53"/>
              <w:ind w:left="102" w:right="155"/>
              <w:rPr>
                <w:rFonts w:ascii="Times New Roman" w:eastAsia="Times New Roman" w:hAnsi="Times New Roman" w:cs="Times New Roman"/>
              </w:rPr>
            </w:pPr>
            <w:r w:rsidRPr="00C35766">
              <w:rPr>
                <w:rFonts w:ascii="Times New Roman" w:eastAsia="Times New Roman" w:hAnsi="Times New Roman" w:cs="Times New Roman"/>
                <w:spacing w:val="-1"/>
                <w:lang w:val="it-IT"/>
              </w:rPr>
              <w:t>Infezioni ed infestazioni*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C737A69"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52BDC85" w14:textId="77777777" w:rsidR="005F0C19"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Infezioni delle vie respiratorie (tra cui infezioni delle vie respiratorie superiori ed inferiori, polmonite, sinusite, faringite, rinofaringite e polmonite da herpes virus)</w:t>
            </w:r>
          </w:p>
        </w:tc>
      </w:tr>
      <w:tr w:rsidR="00953B2E" w:rsidRPr="00C35766" w14:paraId="4A755981" w14:textId="77777777" w:rsidTr="005A5DEF">
        <w:tc>
          <w:tcPr>
            <w:tcW w:w="1405" w:type="pct"/>
            <w:vMerge/>
            <w:tcBorders>
              <w:left w:val="single" w:sz="5" w:space="0" w:color="000000"/>
              <w:right w:val="single" w:sz="5" w:space="0" w:color="000000"/>
            </w:tcBorders>
            <w:tcMar>
              <w:top w:w="57" w:type="dxa"/>
              <w:bottom w:w="57" w:type="dxa"/>
            </w:tcMar>
          </w:tcPr>
          <w:p w14:paraId="48817476"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95DB480"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AE25FFB"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sistemiche (incluse sepsi, candidiasi e influenza),</w:t>
            </w:r>
          </w:p>
          <w:p w14:paraId="2988CC9E" w14:textId="5EB2AB82" w:rsidR="00953B2E" w:rsidRPr="00C35766" w:rsidRDefault="005F0C19" w:rsidP="00083924">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intestinali (</w:t>
            </w:r>
            <w:r w:rsidR="006D5C7F" w:rsidRPr="00C35766">
              <w:rPr>
                <w:rFonts w:ascii="Times New Roman" w:eastAsia="Times New Roman" w:hAnsi="Times New Roman" w:cs="Times New Roman"/>
                <w:spacing w:val="-1"/>
                <w:lang w:val="it-IT"/>
              </w:rPr>
              <w:t xml:space="preserve">compresa </w:t>
            </w:r>
            <w:r w:rsidRPr="00C35766">
              <w:rPr>
                <w:rFonts w:ascii="Times New Roman" w:eastAsia="Times New Roman" w:hAnsi="Times New Roman" w:cs="Times New Roman"/>
                <w:spacing w:val="-1"/>
                <w:lang w:val="it-IT"/>
              </w:rPr>
              <w:t>gastroenterite virale),</w:t>
            </w:r>
          </w:p>
          <w:p w14:paraId="001E983A" w14:textId="076A8561"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della pelle e dei tessuti molli (tra cui paronichia, cellulite, impetigine, fascite</w:t>
            </w:r>
            <w:r w:rsidR="006D5C7F"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necrotizzante ed herpes zoster),</w:t>
            </w:r>
          </w:p>
          <w:p w14:paraId="30C29FD8"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dell’orecchio,</w:t>
            </w:r>
          </w:p>
          <w:p w14:paraId="357AF2D8" w14:textId="37A0B787" w:rsidR="00953B2E" w:rsidRPr="00C35766" w:rsidRDefault="005F0C19" w:rsidP="00083924">
            <w:pPr>
              <w:pStyle w:val="TableParagraph"/>
              <w:spacing w:before="5"/>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 xml:space="preserve">infezioni del cavo orale (tra cui herpes </w:t>
            </w:r>
            <w:r w:rsidR="00842603" w:rsidRPr="00824699">
              <w:rPr>
                <w:rFonts w:ascii="Times New Roman" w:eastAsia="Times New Roman" w:hAnsi="Times New Roman" w:cs="Times New Roman"/>
                <w:lang w:val="it-IT"/>
              </w:rPr>
              <w:t>labiali</w:t>
            </w:r>
            <w:r w:rsidRPr="00C35766">
              <w:rPr>
                <w:rFonts w:ascii="Times New Roman" w:eastAsia="Times New Roman" w:hAnsi="Times New Roman" w:cs="Times New Roman"/>
                <w:spacing w:val="-1"/>
                <w:lang w:val="it-IT"/>
              </w:rPr>
              <w:t>,</w:t>
            </w:r>
            <w:r w:rsidR="006D5C7F"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herpes orale ed infezioni dentali),</w:t>
            </w:r>
          </w:p>
          <w:p w14:paraId="48C3145F" w14:textId="77777777" w:rsidR="006D5C7F"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dell’apparato riproduttivo (tra cui infezione vulvovaginale micotica), </w:t>
            </w:r>
          </w:p>
          <w:p w14:paraId="7EF15A6C" w14:textId="77777777" w:rsidR="006D5C7F" w:rsidRPr="00C35766" w:rsidRDefault="005F0C19" w:rsidP="00083924">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infezioni delle vie urinarie (tra cui pielonefrite), </w:t>
            </w:r>
            <w:r w:rsidRPr="00C35766">
              <w:rPr>
                <w:rFonts w:ascii="Times New Roman" w:eastAsia="Times New Roman" w:hAnsi="Times New Roman" w:cs="Times New Roman"/>
                <w:lang w:val="it-IT"/>
              </w:rPr>
              <w:t xml:space="preserve">infezioni fungine, </w:t>
            </w:r>
          </w:p>
          <w:p w14:paraId="0C26E03E"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infezioni articolari</w:t>
            </w:r>
          </w:p>
        </w:tc>
      </w:tr>
      <w:tr w:rsidR="00953B2E" w:rsidRPr="00494E69" w14:paraId="4165068E"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12F77F6F"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BE0896F"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005456F" w14:textId="77777777" w:rsidR="00953B2E" w:rsidRPr="00C35766" w:rsidRDefault="005F0C19" w:rsidP="00083924">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Infezioni neurologiche (tra cui meningite </w:t>
            </w:r>
            <w:r w:rsidRPr="00C35766">
              <w:rPr>
                <w:rFonts w:ascii="Times New Roman" w:eastAsia="Times New Roman" w:hAnsi="Times New Roman" w:cs="Times New Roman"/>
                <w:lang w:val="it-IT"/>
              </w:rPr>
              <w:t>virale),</w:t>
            </w:r>
          </w:p>
          <w:p w14:paraId="5545928F" w14:textId="77777777" w:rsidR="006D5C7F"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opportunistiche e tubercolosi (tra cui coccidioidomicosi, istoplasmosi e infezioni da mycobacterium avium complex), </w:t>
            </w:r>
          </w:p>
          <w:p w14:paraId="69144C9E" w14:textId="77777777" w:rsidR="006D5C7F"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batteriche, </w:t>
            </w:r>
          </w:p>
          <w:p w14:paraId="4ACC2CFA" w14:textId="77777777" w:rsidR="006D5C7F"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oculari, </w:t>
            </w:r>
          </w:p>
          <w:p w14:paraId="15E65C06" w14:textId="77777777" w:rsidR="00953B2E" w:rsidRPr="00C35766" w:rsidRDefault="005F0C19" w:rsidP="00083924">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diverticolite</w:t>
            </w:r>
            <w:r w:rsidRPr="00C35766">
              <w:rPr>
                <w:rFonts w:ascii="Times New Roman" w:eastAsia="Times New Roman" w:hAnsi="Times New Roman" w:cs="Times New Roman"/>
                <w:spacing w:val="-1"/>
                <w:vertAlign w:val="superscript"/>
                <w:lang w:val="it-IT"/>
              </w:rPr>
              <w:t>1)</w:t>
            </w:r>
          </w:p>
        </w:tc>
      </w:tr>
      <w:tr w:rsidR="00953B2E" w:rsidRPr="00C35766" w14:paraId="7D04B469"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5BB94E26" w14:textId="77777777" w:rsidR="00953B2E" w:rsidRPr="00C35766" w:rsidRDefault="005F0C19" w:rsidP="00083924">
            <w:pPr>
              <w:pStyle w:val="TableParagraph"/>
              <w:spacing w:before="53"/>
              <w:ind w:left="102" w:right="163"/>
              <w:rPr>
                <w:rFonts w:ascii="Times New Roman" w:hAnsi="Times New Roman" w:cs="Times New Roman"/>
                <w:lang w:val="it-IT"/>
              </w:rPr>
            </w:pPr>
            <w:r w:rsidRPr="00C35766">
              <w:rPr>
                <w:rFonts w:ascii="Times New Roman" w:eastAsia="Times New Roman" w:hAnsi="Times New Roman" w:cs="Times New Roman"/>
                <w:spacing w:val="-1"/>
                <w:lang w:val="it-IT"/>
              </w:rPr>
              <w:t>Tumori benigni, maligni e non specificati (cisti e polipi compresi)*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EF7FC7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A9D5A51"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Tumore cutaneo escluso il melanoma (tra cui carcinoma basocellulare e carcinoma a cellule squamose), </w:t>
            </w:r>
          </w:p>
          <w:p w14:paraId="419E9D48" w14:textId="77777777" w:rsidR="00953B2E" w:rsidRPr="00C35766" w:rsidRDefault="005F0C19" w:rsidP="00083924">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neoplasia benigna</w:t>
            </w:r>
          </w:p>
        </w:tc>
      </w:tr>
      <w:tr w:rsidR="00953B2E" w:rsidRPr="00494E69" w14:paraId="61F943CE" w14:textId="77777777" w:rsidTr="005A5DEF">
        <w:tc>
          <w:tcPr>
            <w:tcW w:w="1405" w:type="pct"/>
            <w:vMerge/>
            <w:tcBorders>
              <w:left w:val="single" w:sz="5" w:space="0" w:color="000000"/>
              <w:right w:val="single" w:sz="5" w:space="0" w:color="000000"/>
            </w:tcBorders>
            <w:tcMar>
              <w:top w:w="57" w:type="dxa"/>
              <w:bottom w:w="57" w:type="dxa"/>
            </w:tcMar>
          </w:tcPr>
          <w:p w14:paraId="388A1782" w14:textId="77777777" w:rsidR="00953B2E" w:rsidRPr="00C35766" w:rsidRDefault="00953B2E" w:rsidP="00083924">
            <w:pPr>
              <w:rPr>
                <w:rFonts w:ascii="Times New Roman" w:hAnsi="Times New Roman" w:cs="Times New Roman"/>
                <w:lang w:val="pt-BR"/>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4B49757"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F1EB887" w14:textId="77777777" w:rsidR="006D5C7F"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Linfoma**, </w:t>
            </w:r>
          </w:p>
          <w:p w14:paraId="60E59104" w14:textId="2F52C7F7" w:rsidR="00953B2E" w:rsidRPr="004F0B2E" w:rsidRDefault="005F0C19" w:rsidP="00083924">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tumori solidi (tra cui carcinoma mammario, neoplasia polmonare e neoplasia tiroidea), melanoma**</w:t>
            </w:r>
          </w:p>
        </w:tc>
      </w:tr>
      <w:tr w:rsidR="00953B2E" w:rsidRPr="00C35766" w14:paraId="55649DFB" w14:textId="77777777" w:rsidTr="005A5DEF">
        <w:tc>
          <w:tcPr>
            <w:tcW w:w="1405" w:type="pct"/>
            <w:vMerge/>
            <w:tcBorders>
              <w:left w:val="single" w:sz="5" w:space="0" w:color="000000"/>
              <w:right w:val="single" w:sz="5" w:space="0" w:color="000000"/>
            </w:tcBorders>
            <w:tcMar>
              <w:top w:w="57" w:type="dxa"/>
              <w:bottom w:w="57" w:type="dxa"/>
            </w:tcMar>
          </w:tcPr>
          <w:p w14:paraId="32AB319E" w14:textId="77777777" w:rsidR="00953B2E" w:rsidRPr="004F0B2E"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C9B56EF"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E62F52E" w14:textId="77777777" w:rsidR="00953B2E" w:rsidRPr="00C35766" w:rsidRDefault="005F0C19" w:rsidP="00083924">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Leucemia</w:t>
            </w:r>
            <w:r w:rsidRPr="00C35766">
              <w:rPr>
                <w:rFonts w:ascii="Times New Roman" w:eastAsia="Times New Roman" w:hAnsi="Times New Roman" w:cs="Times New Roman"/>
                <w:spacing w:val="-1"/>
                <w:vertAlign w:val="superscript"/>
                <w:lang w:val="it-IT"/>
              </w:rPr>
              <w:t>1)</w:t>
            </w:r>
          </w:p>
        </w:tc>
      </w:tr>
      <w:tr w:rsidR="00953B2E" w:rsidRPr="00C35766" w14:paraId="5A3FE7B0"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100D8FD6"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353BC90"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E75C683" w14:textId="53A92576" w:rsidR="00953B2E" w:rsidRPr="00C35766" w:rsidRDefault="005F0C19" w:rsidP="00083924">
            <w:pPr>
              <w:pStyle w:val="TableParagraph"/>
              <w:spacing w:before="56"/>
              <w:ind w:left="96" w:right="151"/>
              <w:rPr>
                <w:rFonts w:ascii="Times New Roman" w:eastAsia="Times New Roman" w:hAnsi="Times New Roman" w:cs="Times New Roman"/>
                <w:w w:val="99"/>
                <w:position w:val="8"/>
                <w:lang w:val="pt-BR"/>
              </w:rPr>
            </w:pPr>
            <w:r w:rsidRPr="00C35766">
              <w:rPr>
                <w:rFonts w:ascii="Times New Roman" w:eastAsia="Times New Roman" w:hAnsi="Times New Roman" w:cs="Times New Roman"/>
                <w:spacing w:val="-1"/>
                <w:lang w:val="it-IT"/>
              </w:rPr>
              <w:t>Linfoma epatosplenico a cellule T</w:t>
            </w:r>
            <w:r w:rsidRPr="00C35766">
              <w:rPr>
                <w:rFonts w:ascii="Times New Roman" w:eastAsia="Times New Roman" w:hAnsi="Times New Roman" w:cs="Times New Roman"/>
                <w:spacing w:val="-1"/>
                <w:vertAlign w:val="superscript"/>
                <w:lang w:val="it-IT"/>
              </w:rPr>
              <w:t>1)</w:t>
            </w:r>
            <w:r w:rsidR="0054018E" w:rsidRPr="00C35766">
              <w:rPr>
                <w:rFonts w:ascii="Times New Roman" w:eastAsia="Times New Roman" w:hAnsi="Times New Roman" w:cs="Times New Roman"/>
                <w:spacing w:val="-1"/>
                <w:lang w:val="it-IT"/>
              </w:rPr>
              <w:t>,</w:t>
            </w:r>
          </w:p>
          <w:p w14:paraId="374D8680" w14:textId="1B0F0B65" w:rsidR="00953B2E" w:rsidRPr="00C35766" w:rsidRDefault="005F0C19" w:rsidP="00083924">
            <w:pPr>
              <w:pStyle w:val="TableParagraph"/>
              <w:spacing w:before="56"/>
              <w:ind w:left="96" w:right="151"/>
              <w:rPr>
                <w:rFonts w:ascii="Times New Roman" w:hAnsi="Times New Roman" w:cs="Times New Roman"/>
                <w:w w:val="99"/>
                <w:position w:val="8"/>
                <w:lang w:val="it-IT"/>
              </w:rPr>
            </w:pPr>
            <w:r w:rsidRPr="00C35766">
              <w:rPr>
                <w:rFonts w:ascii="Times New Roman" w:eastAsia="Times New Roman" w:hAnsi="Times New Roman" w:cs="Times New Roman"/>
                <w:spacing w:val="-1"/>
                <w:lang w:val="it-IT"/>
              </w:rPr>
              <w:t>carcinoma a cellule di Merkel (carcinoma neuroendocrino della pelle)</w:t>
            </w:r>
            <w:r w:rsidRPr="00C35766">
              <w:rPr>
                <w:rFonts w:ascii="Times New Roman" w:eastAsia="Times New Roman" w:hAnsi="Times New Roman" w:cs="Times New Roman"/>
                <w:spacing w:val="-1"/>
                <w:vertAlign w:val="superscript"/>
                <w:lang w:val="it-IT"/>
              </w:rPr>
              <w:t>1)</w:t>
            </w:r>
            <w:r w:rsidR="0054018E" w:rsidRPr="00C35766">
              <w:rPr>
                <w:rFonts w:ascii="Times New Roman" w:eastAsia="Times New Roman" w:hAnsi="Times New Roman" w:cs="Times New Roman"/>
                <w:spacing w:val="-1"/>
                <w:lang w:val="it-IT"/>
              </w:rPr>
              <w:t>,</w:t>
            </w:r>
          </w:p>
          <w:p w14:paraId="342DC088" w14:textId="15CE26C6" w:rsidR="00953B2E" w:rsidRPr="00C35766" w:rsidRDefault="006D5C7F" w:rsidP="00083924">
            <w:pPr>
              <w:pStyle w:val="TableParagraph"/>
              <w:spacing w:before="56"/>
              <w:ind w:left="96"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w:t>
            </w:r>
            <w:r w:rsidR="005F0C19" w:rsidRPr="00C35766">
              <w:rPr>
                <w:rFonts w:ascii="Times New Roman" w:eastAsia="Times New Roman" w:hAnsi="Times New Roman" w:cs="Times New Roman"/>
                <w:spacing w:val="-1"/>
                <w:lang w:val="it-IT"/>
              </w:rPr>
              <w:t xml:space="preserve">arcoma di Kaposi </w:t>
            </w:r>
          </w:p>
        </w:tc>
      </w:tr>
      <w:tr w:rsidR="00953B2E" w:rsidRPr="00C35766" w14:paraId="5AA99BBF"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60A83350" w14:textId="77777777" w:rsidR="00953B2E" w:rsidRPr="00C35766" w:rsidRDefault="005F0C19" w:rsidP="00083924">
            <w:pPr>
              <w:pStyle w:val="TableParagraph"/>
              <w:spacing w:before="56"/>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emolinfopoietico*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FC55EE0"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1D596E9" w14:textId="77777777" w:rsidR="00953B2E" w:rsidRPr="00C35766" w:rsidRDefault="005F0C19" w:rsidP="00083924">
            <w:pPr>
              <w:pStyle w:val="TableParagraph"/>
              <w:spacing w:before="56"/>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Leucopenia (tra cui neutropenia e agranulocitosi),</w:t>
            </w:r>
          </w:p>
          <w:p w14:paraId="3A0B32D3" w14:textId="77777777" w:rsidR="00953B2E" w:rsidRPr="00C35766" w:rsidRDefault="005F0C19" w:rsidP="00083924">
            <w:pPr>
              <w:pStyle w:val="TableParagraph"/>
              <w:spacing w:before="58"/>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anemia</w:t>
            </w:r>
          </w:p>
        </w:tc>
      </w:tr>
      <w:tr w:rsidR="00953B2E" w:rsidRPr="00C35766" w14:paraId="5B6C6612" w14:textId="77777777" w:rsidTr="005A5DEF">
        <w:tc>
          <w:tcPr>
            <w:tcW w:w="1405" w:type="pct"/>
            <w:vMerge/>
            <w:tcBorders>
              <w:left w:val="single" w:sz="5" w:space="0" w:color="000000"/>
              <w:right w:val="single" w:sz="5" w:space="0" w:color="000000"/>
            </w:tcBorders>
            <w:tcMar>
              <w:top w:w="57" w:type="dxa"/>
              <w:bottom w:w="57" w:type="dxa"/>
            </w:tcMar>
          </w:tcPr>
          <w:p w14:paraId="37C8D916"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F3CEDA5"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F75A5D0"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Leucocitosi,</w:t>
            </w:r>
          </w:p>
          <w:p w14:paraId="6F66F25A"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trombocitopenia</w:t>
            </w:r>
          </w:p>
        </w:tc>
      </w:tr>
      <w:tr w:rsidR="00953B2E" w:rsidRPr="00C35766" w14:paraId="78119969" w14:textId="77777777" w:rsidTr="005A5DEF">
        <w:tc>
          <w:tcPr>
            <w:tcW w:w="1405" w:type="pct"/>
            <w:vMerge/>
            <w:tcBorders>
              <w:left w:val="single" w:sz="5" w:space="0" w:color="000000"/>
              <w:right w:val="single" w:sz="5" w:space="0" w:color="000000"/>
            </w:tcBorders>
            <w:tcMar>
              <w:top w:w="57" w:type="dxa"/>
              <w:bottom w:w="57" w:type="dxa"/>
            </w:tcMar>
          </w:tcPr>
          <w:p w14:paraId="6894B8A6"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C7C98AA"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2F97BDD"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Porpora trombocitopenica idiopatica</w:t>
            </w:r>
          </w:p>
        </w:tc>
      </w:tr>
      <w:tr w:rsidR="00953B2E" w:rsidRPr="00C35766" w14:paraId="6648152F"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56373FF6"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09DB316"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CEC09FD"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Pancitopenia</w:t>
            </w:r>
          </w:p>
        </w:tc>
      </w:tr>
      <w:tr w:rsidR="00953B2E" w:rsidRPr="002A37A2" w14:paraId="078EDB45"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7661A9F3"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Disturbi del sistema immunitario*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BC1D57A"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6276915" w14:textId="77777777"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Ipersensibilità,</w:t>
            </w:r>
          </w:p>
          <w:p w14:paraId="60F73A92" w14:textId="77777777" w:rsidR="00953B2E" w:rsidRPr="00C35766" w:rsidRDefault="005F0C19" w:rsidP="00083924">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allergie (tra cui allergia stagionale)</w:t>
            </w:r>
          </w:p>
        </w:tc>
      </w:tr>
      <w:tr w:rsidR="00953B2E" w:rsidRPr="00C35766" w14:paraId="69A50B6A" w14:textId="77777777" w:rsidTr="005A5DEF">
        <w:tc>
          <w:tcPr>
            <w:tcW w:w="1405" w:type="pct"/>
            <w:vMerge/>
            <w:tcBorders>
              <w:left w:val="single" w:sz="5" w:space="0" w:color="000000"/>
              <w:right w:val="single" w:sz="5" w:space="0" w:color="000000"/>
            </w:tcBorders>
            <w:tcMar>
              <w:top w:w="57" w:type="dxa"/>
              <w:bottom w:w="57" w:type="dxa"/>
            </w:tcMar>
          </w:tcPr>
          <w:p w14:paraId="0E7E8C95"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7E3F18B"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EB62AEC" w14:textId="77777777" w:rsidR="006D5C7F" w:rsidRPr="00C35766" w:rsidRDefault="005F0C19" w:rsidP="00083924">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Sarcoidosi</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5D99A03C" w14:textId="77777777" w:rsidR="00953B2E" w:rsidRPr="00C35766" w:rsidRDefault="005F0C19" w:rsidP="00083924">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vasculite</w:t>
            </w:r>
          </w:p>
        </w:tc>
      </w:tr>
      <w:tr w:rsidR="00953B2E" w:rsidRPr="00C35766" w14:paraId="2366090F"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7BB3D7BE"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D6885FD"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DE91F63" w14:textId="77777777" w:rsidR="00953B2E" w:rsidRPr="00C35766" w:rsidRDefault="005F0C19" w:rsidP="00083924">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Anafilassi</w:t>
            </w:r>
            <w:r w:rsidRPr="00C35766">
              <w:rPr>
                <w:rFonts w:ascii="Times New Roman" w:eastAsia="Times New Roman" w:hAnsi="Times New Roman" w:cs="Times New Roman"/>
                <w:spacing w:val="-1"/>
                <w:vertAlign w:val="superscript"/>
                <w:lang w:val="it-IT"/>
              </w:rPr>
              <w:t>1)</w:t>
            </w:r>
          </w:p>
        </w:tc>
      </w:tr>
      <w:tr w:rsidR="00953B2E" w:rsidRPr="00C35766" w14:paraId="4C9A4779"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1C76541A" w14:textId="77777777" w:rsidR="00953B2E" w:rsidRPr="00C35766" w:rsidRDefault="005F0C19" w:rsidP="00083924">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Disturbi del metabolismo e della nutrizione</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2852026"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82EF5D8" w14:textId="20B23DD1" w:rsidR="00953B2E" w:rsidRPr="00C35766" w:rsidRDefault="006D5C7F"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Lipidi aumentati</w:t>
            </w:r>
          </w:p>
        </w:tc>
      </w:tr>
      <w:tr w:rsidR="00953B2E" w:rsidRPr="007B2F1E" w14:paraId="6CB65867"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55B4BBEE"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19A8489"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FDB44E6" w14:textId="5F896E34"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Ipokaliemia</w:t>
            </w:r>
            <w:r w:rsidR="00083924" w:rsidRPr="00C35766">
              <w:rPr>
                <w:rFonts w:ascii="Times New Roman" w:eastAsia="Times New Roman" w:hAnsi="Times New Roman" w:cs="Times New Roman"/>
                <w:spacing w:val="-1"/>
                <w:lang w:val="it-IT"/>
              </w:rPr>
              <w:t>,</w:t>
            </w:r>
          </w:p>
          <w:p w14:paraId="49EF102F" w14:textId="4C21FB09" w:rsidR="006D5C7F" w:rsidRPr="00C35766" w:rsidRDefault="006D5C7F" w:rsidP="00083924">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acido urico aumentato</w:t>
            </w:r>
            <w:r w:rsidR="005F0C19" w:rsidRPr="00C35766">
              <w:rPr>
                <w:rFonts w:ascii="Times New Roman" w:eastAsia="Times New Roman" w:hAnsi="Times New Roman" w:cs="Times New Roman"/>
                <w:spacing w:val="-1"/>
                <w:lang w:val="it-IT"/>
              </w:rPr>
              <w:t xml:space="preserve">, </w:t>
            </w:r>
          </w:p>
          <w:p w14:paraId="734CB2D0" w14:textId="77777777" w:rsidR="006D5C7F" w:rsidRPr="00C35766" w:rsidRDefault="006D5C7F" w:rsidP="00083924">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sodio ematico anormale</w:t>
            </w:r>
            <w:r w:rsidR="005F0C19" w:rsidRPr="00C35766">
              <w:rPr>
                <w:rFonts w:ascii="Times New Roman" w:eastAsia="Times New Roman" w:hAnsi="Times New Roman" w:cs="Times New Roman"/>
                <w:spacing w:val="-1"/>
                <w:lang w:val="it-IT"/>
              </w:rPr>
              <w:t xml:space="preserve">, </w:t>
            </w:r>
          </w:p>
          <w:p w14:paraId="6074CA4D" w14:textId="77777777" w:rsidR="006D5C7F" w:rsidRPr="00C35766" w:rsidRDefault="005F0C19" w:rsidP="00083924">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ipocalcemia</w:t>
            </w:r>
            <w:r w:rsidR="006D5C7F" w:rsidRPr="00C35766">
              <w:rPr>
                <w:rFonts w:ascii="Times New Roman" w:eastAsia="Times New Roman" w:hAnsi="Times New Roman" w:cs="Times New Roman"/>
                <w:spacing w:val="-1"/>
                <w:lang w:val="it-IT"/>
              </w:rPr>
              <w:t>,</w:t>
            </w:r>
          </w:p>
          <w:p w14:paraId="7B81C5CF" w14:textId="4EA8766A" w:rsidR="006D5C7F" w:rsidRPr="00C35766" w:rsidRDefault="005F0C19" w:rsidP="00083924">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iperglicemia, </w:t>
            </w:r>
          </w:p>
          <w:p w14:paraId="3C8E8E3C" w14:textId="77777777" w:rsidR="006D5C7F" w:rsidRPr="00C35766" w:rsidRDefault="005F0C19" w:rsidP="00083924">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ipofosfatemia, </w:t>
            </w:r>
          </w:p>
          <w:p w14:paraId="43F36D56" w14:textId="77777777" w:rsidR="00953B2E" w:rsidRPr="00C35766" w:rsidRDefault="005F0C19" w:rsidP="00083924">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disidratazione</w:t>
            </w:r>
          </w:p>
        </w:tc>
      </w:tr>
      <w:tr w:rsidR="00953B2E" w:rsidRPr="00C35766" w14:paraId="529F9C74" w14:textId="77777777" w:rsidTr="005A5DEF">
        <w:tc>
          <w:tcPr>
            <w:tcW w:w="1405"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A6A514B" w14:textId="77777777" w:rsidR="00953B2E" w:rsidRPr="00C35766" w:rsidRDefault="005F0C19" w:rsidP="00083924">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Disturbi psichiatrici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BBD770C" w14:textId="77777777" w:rsidR="00953B2E" w:rsidRPr="00C35766" w:rsidRDefault="005F0C19" w:rsidP="00083924">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E8CE82B" w14:textId="77777777" w:rsidR="006D5C7F" w:rsidRPr="00C35766" w:rsidRDefault="005F0C19" w:rsidP="00083924">
            <w:pPr>
              <w:pStyle w:val="TableParagraph"/>
              <w:spacing w:before="55"/>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Disturbi dell’umore (tra cui depressione), </w:t>
            </w:r>
          </w:p>
          <w:p w14:paraId="3EB3872C" w14:textId="77777777" w:rsidR="00953B2E" w:rsidRPr="00C35766" w:rsidRDefault="005F0C19" w:rsidP="00083924">
            <w:pPr>
              <w:pStyle w:val="TableParagraph"/>
              <w:spacing w:before="55"/>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ansia,</w:t>
            </w:r>
          </w:p>
          <w:p w14:paraId="08557CC1" w14:textId="77777777" w:rsidR="00953B2E" w:rsidRPr="00C35766" w:rsidRDefault="005F0C19" w:rsidP="00083924">
            <w:pPr>
              <w:pStyle w:val="TableParagraph"/>
              <w:spacing w:before="2"/>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insonnia</w:t>
            </w:r>
          </w:p>
        </w:tc>
      </w:tr>
      <w:tr w:rsidR="00953B2E" w:rsidRPr="00C35766" w14:paraId="7E2F356F"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5041EBA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nervoso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BFA3386"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8974498" w14:textId="2FD39ACC" w:rsidR="00953B2E" w:rsidRPr="00C35766" w:rsidRDefault="006D5C7F"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Cefalea</w:t>
            </w:r>
          </w:p>
        </w:tc>
      </w:tr>
      <w:tr w:rsidR="00953B2E" w:rsidRPr="00C35766" w14:paraId="377115BC" w14:textId="77777777" w:rsidTr="005A5DEF">
        <w:tc>
          <w:tcPr>
            <w:tcW w:w="1405" w:type="pct"/>
            <w:vMerge/>
            <w:tcBorders>
              <w:left w:val="single" w:sz="5" w:space="0" w:color="000000"/>
              <w:right w:val="single" w:sz="5" w:space="0" w:color="000000"/>
            </w:tcBorders>
            <w:tcMar>
              <w:top w:w="57" w:type="dxa"/>
              <w:bottom w:w="57" w:type="dxa"/>
            </w:tcMar>
          </w:tcPr>
          <w:p w14:paraId="7421E8B2"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3E8DACA"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71E6767"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Parestesia (tra cui ipoestesia), </w:t>
            </w:r>
          </w:p>
          <w:p w14:paraId="5471A319" w14:textId="77777777" w:rsidR="00953B2E" w:rsidRPr="00C35766" w:rsidRDefault="005F0C19" w:rsidP="00083924">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emicrania,</w:t>
            </w:r>
          </w:p>
          <w:p w14:paraId="268AD744"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compressione di radice nervosa</w:t>
            </w:r>
          </w:p>
        </w:tc>
      </w:tr>
      <w:tr w:rsidR="00953B2E" w:rsidRPr="00C35766" w14:paraId="577D424E" w14:textId="77777777" w:rsidTr="005A5DEF">
        <w:tc>
          <w:tcPr>
            <w:tcW w:w="1405" w:type="pct"/>
            <w:vMerge/>
            <w:tcBorders>
              <w:left w:val="single" w:sz="5" w:space="0" w:color="000000"/>
              <w:right w:val="single" w:sz="5" w:space="0" w:color="000000"/>
            </w:tcBorders>
            <w:tcMar>
              <w:top w:w="57" w:type="dxa"/>
              <w:bottom w:w="57" w:type="dxa"/>
            </w:tcMar>
          </w:tcPr>
          <w:p w14:paraId="085B9276"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C0E5F15"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E627489" w14:textId="09CAF605"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Accidente cerebrovascolare</w:t>
            </w:r>
            <w:r w:rsidRPr="00C35766">
              <w:rPr>
                <w:rFonts w:ascii="Times New Roman" w:eastAsia="Times New Roman" w:hAnsi="Times New Roman" w:cs="Times New Roman"/>
                <w:spacing w:val="-1"/>
                <w:vertAlign w:val="superscript"/>
                <w:lang w:val="it-IT"/>
              </w:rPr>
              <w:t>1)</w:t>
            </w:r>
            <w:r w:rsidR="00083924" w:rsidRPr="00C35766">
              <w:rPr>
                <w:rFonts w:ascii="Times New Roman" w:eastAsia="Times New Roman" w:hAnsi="Times New Roman" w:cs="Times New Roman"/>
                <w:spacing w:val="-1"/>
                <w:lang w:val="it-IT"/>
              </w:rPr>
              <w:t>,</w:t>
            </w:r>
          </w:p>
          <w:p w14:paraId="721D5F51" w14:textId="77777777" w:rsidR="006D5C7F" w:rsidRPr="00C35766" w:rsidRDefault="005F0C19" w:rsidP="00083924">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tremore, </w:t>
            </w:r>
          </w:p>
          <w:p w14:paraId="6BDEA56D" w14:textId="77777777" w:rsidR="00953B2E" w:rsidRPr="00C35766" w:rsidRDefault="005F0C19" w:rsidP="00083924">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neuropatia</w:t>
            </w:r>
          </w:p>
        </w:tc>
      </w:tr>
      <w:tr w:rsidR="00953B2E" w:rsidRPr="00494E69" w14:paraId="73E3E96C"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7B657FFA"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FEB8B42"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A4A637B" w14:textId="77777777" w:rsidR="006D5C7F" w:rsidRPr="00C35766" w:rsidRDefault="005F0C19" w:rsidP="00083924">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Sclerosi multipla, </w:t>
            </w:r>
          </w:p>
          <w:p w14:paraId="62D72CF0" w14:textId="2B34DEE9" w:rsidR="00953B2E" w:rsidRPr="00C35766" w:rsidRDefault="005F0C19" w:rsidP="00083924">
            <w:pPr>
              <w:pStyle w:val="TableParagraph"/>
              <w:ind w:left="99" w:right="151"/>
              <w:rPr>
                <w:rFonts w:ascii="Times New Roman" w:eastAsia="Times New Roman" w:hAnsi="Times New Roman" w:cs="Times New Roman"/>
                <w:lang w:val="fr-FR"/>
              </w:rPr>
            </w:pPr>
            <w:r w:rsidRPr="00C35766">
              <w:rPr>
                <w:rFonts w:ascii="Times New Roman" w:eastAsia="Times New Roman" w:hAnsi="Times New Roman" w:cs="Times New Roman"/>
                <w:spacing w:val="-1"/>
                <w:lang w:val="it-IT"/>
              </w:rPr>
              <w:t>disturbi demielinizzanti (ad es., neurite ottica, sindrome di Guillain-Barré)</w:t>
            </w:r>
            <w:r w:rsidRPr="00C35766">
              <w:rPr>
                <w:rFonts w:ascii="Times New Roman" w:eastAsia="Times New Roman" w:hAnsi="Times New Roman" w:cs="Times New Roman"/>
                <w:spacing w:val="-1"/>
                <w:vertAlign w:val="superscript"/>
                <w:lang w:val="it-IT"/>
              </w:rPr>
              <w:t>1)</w:t>
            </w:r>
          </w:p>
        </w:tc>
      </w:tr>
      <w:tr w:rsidR="00953B2E" w:rsidRPr="00C35766" w14:paraId="6AA40FFC"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097EC634"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dell’occhio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F867701"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4905175" w14:textId="63E6593A" w:rsidR="006D5C7F" w:rsidRPr="00C35766" w:rsidRDefault="006D5C7F"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Compromissione della visione</w:t>
            </w:r>
            <w:r w:rsidR="005F0C19" w:rsidRPr="00C35766">
              <w:rPr>
                <w:rFonts w:ascii="Times New Roman" w:eastAsia="Times New Roman" w:hAnsi="Times New Roman" w:cs="Times New Roman"/>
                <w:spacing w:val="1"/>
                <w:lang w:val="it-IT"/>
              </w:rPr>
              <w:t xml:space="preserve">, congiuntivite, </w:t>
            </w:r>
          </w:p>
          <w:p w14:paraId="6F91C526" w14:textId="16F9ED19" w:rsidR="00953B2E"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blefarite, </w:t>
            </w:r>
          </w:p>
          <w:p w14:paraId="4645463B" w14:textId="77777777" w:rsidR="006D5C7F" w:rsidRPr="00C35766" w:rsidRDefault="006D5C7F" w:rsidP="00083924">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tumefazione degli occhi</w:t>
            </w:r>
          </w:p>
        </w:tc>
      </w:tr>
      <w:tr w:rsidR="00953B2E" w:rsidRPr="00C35766" w14:paraId="0C7B6193"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33062C7C" w14:textId="77777777" w:rsidR="00953B2E" w:rsidRPr="00C35766" w:rsidRDefault="00953B2E" w:rsidP="00083924">
            <w:pPr>
              <w:rPr>
                <w:rFonts w:ascii="Times New Roman" w:hAnsi="Times New Roman" w:cs="Times New Roman"/>
                <w:lang w:val="pt-BR"/>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EE56725"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1B29E9B"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Diplopia</w:t>
            </w:r>
          </w:p>
        </w:tc>
      </w:tr>
      <w:tr w:rsidR="00953B2E" w:rsidRPr="00C35766" w14:paraId="68F7408F"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745AFFE4" w14:textId="77777777" w:rsidR="00953B2E" w:rsidRPr="00C35766" w:rsidRDefault="005F0C19" w:rsidP="00083924">
            <w:pPr>
              <w:pStyle w:val="TableParagraph"/>
              <w:spacing w:before="56"/>
              <w:ind w:left="102" w:right="196"/>
              <w:rPr>
                <w:rFonts w:ascii="Times New Roman" w:hAnsi="Times New Roman" w:cs="Times New Roman"/>
                <w:lang w:val="it-IT"/>
              </w:rPr>
            </w:pPr>
            <w:r w:rsidRPr="00C35766">
              <w:rPr>
                <w:rFonts w:ascii="Times New Roman" w:eastAsia="Times New Roman" w:hAnsi="Times New Roman" w:cs="Times New Roman"/>
                <w:spacing w:val="-1"/>
                <w:lang w:val="it-IT"/>
              </w:rPr>
              <w:t>Patologie dell’orecchio e del labirinto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217D692"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78F8BE9"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Vertigini</w:t>
            </w:r>
          </w:p>
        </w:tc>
      </w:tr>
      <w:tr w:rsidR="00953B2E" w:rsidRPr="00C35766" w14:paraId="4F152162"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7074A2C3"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594F37F"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E4E3543" w14:textId="0D09A88F" w:rsidR="00953B2E" w:rsidRPr="00C35766" w:rsidRDefault="006D5C7F"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Sordità</w:t>
            </w:r>
            <w:r w:rsidR="005F0C19" w:rsidRPr="00C35766">
              <w:rPr>
                <w:rFonts w:ascii="Times New Roman" w:eastAsia="Times New Roman" w:hAnsi="Times New Roman" w:cs="Times New Roman"/>
                <w:spacing w:val="-1"/>
                <w:lang w:val="it-IT"/>
              </w:rPr>
              <w:t>,</w:t>
            </w:r>
          </w:p>
          <w:p w14:paraId="195E3B49" w14:textId="46942C92" w:rsidR="00953B2E" w:rsidRPr="00C35766" w:rsidRDefault="006D5C7F"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w:t>
            </w:r>
            <w:r w:rsidR="005F0C19" w:rsidRPr="00C35766">
              <w:rPr>
                <w:rFonts w:ascii="Times New Roman" w:eastAsia="Times New Roman" w:hAnsi="Times New Roman" w:cs="Times New Roman"/>
                <w:spacing w:val="-1"/>
                <w:lang w:val="it-IT"/>
              </w:rPr>
              <w:t>innito</w:t>
            </w:r>
          </w:p>
        </w:tc>
      </w:tr>
      <w:tr w:rsidR="00953B2E" w:rsidRPr="00C35766" w14:paraId="6B31D099"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78AE797A"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cardiache</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8772518"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DD6F996"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Tachicardia</w:t>
            </w:r>
          </w:p>
        </w:tc>
      </w:tr>
      <w:tr w:rsidR="00953B2E" w:rsidRPr="00494E69" w14:paraId="1937C391" w14:textId="77777777" w:rsidTr="005A5DEF">
        <w:tc>
          <w:tcPr>
            <w:tcW w:w="1405" w:type="pct"/>
            <w:vMerge/>
            <w:tcBorders>
              <w:left w:val="single" w:sz="5" w:space="0" w:color="000000"/>
              <w:right w:val="single" w:sz="5" w:space="0" w:color="000000"/>
            </w:tcBorders>
            <w:tcMar>
              <w:top w:w="57" w:type="dxa"/>
              <w:bottom w:w="57" w:type="dxa"/>
            </w:tcMar>
          </w:tcPr>
          <w:p w14:paraId="711C6701"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right w:val="single" w:sz="5" w:space="0" w:color="000000"/>
            </w:tcBorders>
            <w:tcMar>
              <w:top w:w="57" w:type="dxa"/>
              <w:bottom w:w="57" w:type="dxa"/>
            </w:tcMar>
          </w:tcPr>
          <w:p w14:paraId="69A88114"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right w:val="single" w:sz="5" w:space="0" w:color="000000"/>
            </w:tcBorders>
            <w:tcMar>
              <w:top w:w="57" w:type="dxa"/>
              <w:bottom w:w="57" w:type="dxa"/>
            </w:tcMar>
          </w:tcPr>
          <w:p w14:paraId="006CD5E1" w14:textId="77777777" w:rsidR="006D5C7F" w:rsidRPr="00C35766" w:rsidRDefault="005F0C19" w:rsidP="00083924">
            <w:pPr>
              <w:pStyle w:val="TableParagraph"/>
              <w:spacing w:before="7"/>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Infarto del miocardio</w:t>
            </w:r>
            <w:r w:rsidRPr="00C35766">
              <w:rPr>
                <w:rFonts w:ascii="Times New Roman" w:eastAsia="Times New Roman" w:hAnsi="Times New Roman" w:cs="Times New Roman"/>
                <w:vertAlign w:val="superscript"/>
                <w:lang w:val="it-IT"/>
              </w:rPr>
              <w:t>1)</w:t>
            </w:r>
            <w:r w:rsidRPr="00C35766">
              <w:rPr>
                <w:rFonts w:ascii="Times New Roman" w:eastAsia="Times New Roman" w:hAnsi="Times New Roman" w:cs="Times New Roman"/>
                <w:lang w:val="it-IT"/>
              </w:rPr>
              <w:t xml:space="preserve">, </w:t>
            </w:r>
          </w:p>
          <w:p w14:paraId="6A55C4A5" w14:textId="77777777" w:rsidR="00953B2E" w:rsidRPr="00C35766" w:rsidRDefault="005F0C19" w:rsidP="00083924">
            <w:pPr>
              <w:pStyle w:val="TableParagraph"/>
              <w:spacing w:before="7"/>
              <w:ind w:left="99" w:right="151"/>
              <w:rPr>
                <w:rFonts w:ascii="Times New Roman" w:hAnsi="Times New Roman" w:cs="Times New Roman"/>
                <w:lang w:val="it-IT"/>
              </w:rPr>
            </w:pPr>
            <w:r w:rsidRPr="00C35766">
              <w:rPr>
                <w:rFonts w:ascii="Times New Roman" w:eastAsia="Times New Roman" w:hAnsi="Times New Roman" w:cs="Times New Roman"/>
                <w:lang w:val="it-IT"/>
              </w:rPr>
              <w:lastRenderedPageBreak/>
              <w:t>aritmia,</w:t>
            </w:r>
          </w:p>
          <w:p w14:paraId="7765D8B6" w14:textId="77777777"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insufficienza cardiaca congestizia</w:t>
            </w:r>
          </w:p>
        </w:tc>
      </w:tr>
      <w:tr w:rsidR="00953B2E" w:rsidRPr="00C35766" w14:paraId="1AF0E1AE"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0B56587D"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A8D597A"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BAE5B49"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Arresto cardiaco</w:t>
            </w:r>
          </w:p>
        </w:tc>
      </w:tr>
      <w:tr w:rsidR="00953B2E" w:rsidRPr="00C35766" w14:paraId="298AD930"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260E81E4"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vascolari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599CBB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828F4AF"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Ipertensione, </w:t>
            </w:r>
          </w:p>
          <w:p w14:paraId="663FC92B"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vampate, </w:t>
            </w:r>
          </w:p>
          <w:p w14:paraId="38157088"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ematoma</w:t>
            </w:r>
          </w:p>
        </w:tc>
      </w:tr>
      <w:tr w:rsidR="00953B2E" w:rsidRPr="00C35766" w14:paraId="150295F0"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4EBAE0BA"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24C14B0"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BC28AF6"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Aneurisma aortico,</w:t>
            </w:r>
          </w:p>
          <w:p w14:paraId="2159F648" w14:textId="77777777" w:rsidR="006D5C7F" w:rsidRPr="00C35766" w:rsidRDefault="005F0C19" w:rsidP="00083924">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occlusione vascolare arteriosa, </w:t>
            </w:r>
          </w:p>
          <w:p w14:paraId="1349E5D3" w14:textId="77777777" w:rsidR="00953B2E" w:rsidRPr="00C35766" w:rsidRDefault="005F0C19" w:rsidP="00083924">
            <w:pPr>
              <w:pStyle w:val="TableParagraph"/>
              <w:spacing w:before="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tromboflebite</w:t>
            </w:r>
          </w:p>
        </w:tc>
      </w:tr>
      <w:tr w:rsidR="00953B2E" w:rsidRPr="00C35766" w14:paraId="5D1A0D3C"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1F3EDA34" w14:textId="77777777" w:rsidR="00953B2E" w:rsidRPr="00C35766" w:rsidRDefault="005F0C19" w:rsidP="00083924">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respiratorie, toraciche e mediastiniche</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945B15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1B13624"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Asma, </w:t>
            </w:r>
          </w:p>
          <w:p w14:paraId="5676CD42" w14:textId="77777777" w:rsidR="006D5C7F"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dispnea, </w:t>
            </w:r>
          </w:p>
          <w:p w14:paraId="26AD3013"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tosse</w:t>
            </w:r>
          </w:p>
        </w:tc>
      </w:tr>
      <w:tr w:rsidR="00953B2E" w:rsidRPr="00C35766" w14:paraId="4EB90DC1" w14:textId="77777777" w:rsidTr="005A5DEF">
        <w:tc>
          <w:tcPr>
            <w:tcW w:w="1405" w:type="pct"/>
            <w:vMerge/>
            <w:tcBorders>
              <w:left w:val="single" w:sz="5" w:space="0" w:color="000000"/>
              <w:right w:val="single" w:sz="5" w:space="0" w:color="000000"/>
            </w:tcBorders>
            <w:tcMar>
              <w:top w:w="57" w:type="dxa"/>
              <w:bottom w:w="57" w:type="dxa"/>
            </w:tcMar>
          </w:tcPr>
          <w:p w14:paraId="4B7AA9D0"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BD1636F"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AE06F1D" w14:textId="77777777" w:rsidR="00953B2E" w:rsidRPr="00C35766" w:rsidRDefault="005F0C19" w:rsidP="00083924">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Embolia polmonare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3F13AAEA" w14:textId="3D7EC6D7" w:rsidR="00953B2E" w:rsidRPr="00C35766" w:rsidRDefault="006D5C7F" w:rsidP="00083924">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malattia</w:t>
            </w:r>
            <w:r w:rsidR="005F0C19" w:rsidRPr="00C35766">
              <w:rPr>
                <w:rFonts w:ascii="Times New Roman" w:eastAsia="Times New Roman" w:hAnsi="Times New Roman" w:cs="Times New Roman"/>
                <w:spacing w:val="-1"/>
                <w:lang w:val="it-IT"/>
              </w:rPr>
              <w:t xml:space="preserve"> polmonare</w:t>
            </w:r>
            <w:r w:rsidRPr="00C35766">
              <w:rPr>
                <w:rFonts w:ascii="Times New Roman" w:eastAsia="Times New Roman" w:hAnsi="Times New Roman" w:cs="Times New Roman"/>
                <w:spacing w:val="-1"/>
                <w:lang w:val="it-IT"/>
              </w:rPr>
              <w:t xml:space="preserve"> interstiziale</w:t>
            </w:r>
            <w:r w:rsidR="005F0C19" w:rsidRPr="00C35766">
              <w:rPr>
                <w:rFonts w:ascii="Times New Roman" w:eastAsia="Times New Roman" w:hAnsi="Times New Roman" w:cs="Times New Roman"/>
                <w:spacing w:val="-1"/>
                <w:lang w:val="it-IT"/>
              </w:rPr>
              <w:t>,</w:t>
            </w:r>
          </w:p>
          <w:p w14:paraId="7090A4C0" w14:textId="77777777" w:rsidR="006D5C7F" w:rsidRPr="00C35766" w:rsidRDefault="005F0C19" w:rsidP="00083924">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polmonare cronica ostruttiva, </w:t>
            </w:r>
          </w:p>
          <w:p w14:paraId="780D6078" w14:textId="77777777" w:rsidR="00953B2E" w:rsidRPr="00C35766" w:rsidRDefault="005F0C19" w:rsidP="00083924">
            <w:pPr>
              <w:pStyle w:val="TableParagraph"/>
              <w:spacing w:before="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polmonite,</w:t>
            </w:r>
          </w:p>
          <w:p w14:paraId="343ACC36"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effusione pleurica</w:t>
            </w:r>
            <w:r w:rsidRPr="00C35766">
              <w:rPr>
                <w:rFonts w:ascii="Times New Roman" w:eastAsia="Times New Roman" w:hAnsi="Times New Roman" w:cs="Times New Roman"/>
                <w:spacing w:val="-1"/>
                <w:vertAlign w:val="superscript"/>
                <w:lang w:val="it-IT"/>
              </w:rPr>
              <w:t>1</w:t>
            </w:r>
          </w:p>
        </w:tc>
      </w:tr>
      <w:tr w:rsidR="00953B2E" w:rsidRPr="00C35766" w14:paraId="5575BBB1"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2C5192A9"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074264D"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2EE27B3"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Fibrosi polmonare</w:t>
            </w:r>
            <w:r w:rsidRPr="00C35766">
              <w:rPr>
                <w:rFonts w:ascii="Times New Roman" w:eastAsia="Times New Roman" w:hAnsi="Times New Roman" w:cs="Times New Roman"/>
                <w:spacing w:val="-1"/>
                <w:vertAlign w:val="superscript"/>
                <w:lang w:val="it-IT"/>
              </w:rPr>
              <w:t>1)</w:t>
            </w:r>
          </w:p>
        </w:tc>
      </w:tr>
      <w:tr w:rsidR="00953B2E" w:rsidRPr="002A37A2" w14:paraId="46AD90B5"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20AE61F3"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gastrointestinali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CF0694A"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E0416B3" w14:textId="77777777" w:rsidR="00B157C8"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Dolore addominale, </w:t>
            </w:r>
          </w:p>
          <w:p w14:paraId="4DE78A32" w14:textId="77777777"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nausea e vomito</w:t>
            </w:r>
          </w:p>
        </w:tc>
      </w:tr>
      <w:tr w:rsidR="00953B2E" w:rsidRPr="00C35766" w14:paraId="332B7A64" w14:textId="77777777" w:rsidTr="005A5DEF">
        <w:tc>
          <w:tcPr>
            <w:tcW w:w="1405" w:type="pct"/>
            <w:vMerge/>
            <w:tcBorders>
              <w:left w:val="single" w:sz="5" w:space="0" w:color="000000"/>
              <w:right w:val="single" w:sz="5" w:space="0" w:color="000000"/>
            </w:tcBorders>
            <w:tcMar>
              <w:top w:w="57" w:type="dxa"/>
              <w:bottom w:w="57" w:type="dxa"/>
            </w:tcMar>
          </w:tcPr>
          <w:p w14:paraId="0B9542DA"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8326987"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107530F" w14:textId="77777777" w:rsidR="00953B2E" w:rsidRPr="00C35766" w:rsidRDefault="005F0C19" w:rsidP="00083924">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Emorragia gastrointestinale,</w:t>
            </w:r>
          </w:p>
          <w:p w14:paraId="510A3965" w14:textId="77777777" w:rsidR="00B157C8"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dispepsia</w:t>
            </w:r>
            <w:r w:rsidR="00B157C8" w:rsidRPr="00C35766">
              <w:rPr>
                <w:rFonts w:ascii="Times New Roman" w:eastAsia="Times New Roman" w:hAnsi="Times New Roman" w:cs="Times New Roman"/>
                <w:spacing w:val="-1"/>
                <w:lang w:val="it-IT"/>
              </w:rPr>
              <w:t>,</w:t>
            </w:r>
            <w:r w:rsidRPr="00C35766">
              <w:rPr>
                <w:rFonts w:ascii="Times New Roman" w:eastAsia="Times New Roman" w:hAnsi="Times New Roman" w:cs="Times New Roman"/>
                <w:spacing w:val="-1"/>
                <w:lang w:val="it-IT"/>
              </w:rPr>
              <w:t xml:space="preserve"> </w:t>
            </w:r>
          </w:p>
          <w:p w14:paraId="1048B475" w14:textId="77777777" w:rsidR="00B157C8"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da reflusso gastroesofageo, </w:t>
            </w:r>
          </w:p>
          <w:p w14:paraId="503F9B09" w14:textId="77777777" w:rsidR="00953B2E" w:rsidRPr="00C35766" w:rsidRDefault="005F0C19" w:rsidP="00083924">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sindrome sicca</w:t>
            </w:r>
          </w:p>
        </w:tc>
      </w:tr>
      <w:tr w:rsidR="00953B2E" w:rsidRPr="00494E69" w14:paraId="67FC2D12" w14:textId="77777777" w:rsidTr="005A5DEF">
        <w:tc>
          <w:tcPr>
            <w:tcW w:w="1405" w:type="pct"/>
            <w:vMerge/>
            <w:tcBorders>
              <w:left w:val="single" w:sz="5" w:space="0" w:color="000000"/>
              <w:right w:val="single" w:sz="5" w:space="0" w:color="000000"/>
            </w:tcBorders>
            <w:tcMar>
              <w:top w:w="57" w:type="dxa"/>
              <w:bottom w:w="57" w:type="dxa"/>
            </w:tcMar>
          </w:tcPr>
          <w:p w14:paraId="26032B2B" w14:textId="77777777" w:rsidR="00953B2E" w:rsidRPr="00C35766" w:rsidRDefault="00953B2E" w:rsidP="00083924">
            <w:pPr>
              <w:rPr>
                <w:rFonts w:ascii="Times New Roman" w:hAnsi="Times New Roman" w:cs="Times New Roman"/>
                <w:lang w:val="pt-BR"/>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29BC61E"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D0C6144" w14:textId="77777777"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Pancreatite</w:t>
            </w:r>
            <w:r w:rsidR="00B157C8" w:rsidRPr="00C35766">
              <w:rPr>
                <w:rFonts w:ascii="Times New Roman" w:eastAsia="Times New Roman" w:hAnsi="Times New Roman" w:cs="Times New Roman"/>
                <w:spacing w:val="-1"/>
                <w:lang w:val="it-IT"/>
              </w:rPr>
              <w:t>,</w:t>
            </w:r>
            <w:r w:rsidRPr="00C35766">
              <w:rPr>
                <w:rFonts w:ascii="Times New Roman" w:eastAsia="Times New Roman" w:hAnsi="Times New Roman" w:cs="Times New Roman"/>
                <w:spacing w:val="-1"/>
                <w:lang w:val="it-IT"/>
              </w:rPr>
              <w:t xml:space="preserve"> </w:t>
            </w:r>
          </w:p>
          <w:p w14:paraId="2EFC248D" w14:textId="77777777"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disfagia, </w:t>
            </w:r>
          </w:p>
          <w:p w14:paraId="1A130D91" w14:textId="439EEBDD" w:rsidR="00953B2E" w:rsidRPr="004F0B2E" w:rsidRDefault="005F0C19" w:rsidP="00083924">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edema </w:t>
            </w:r>
            <w:r w:rsidR="00B157C8" w:rsidRPr="00C35766">
              <w:rPr>
                <w:rFonts w:ascii="Times New Roman" w:eastAsia="Times New Roman" w:hAnsi="Times New Roman" w:cs="Times New Roman"/>
                <w:spacing w:val="-1"/>
                <w:lang w:val="it-IT"/>
              </w:rPr>
              <w:t xml:space="preserve">della </w:t>
            </w:r>
            <w:r w:rsidRPr="00C35766">
              <w:rPr>
                <w:rFonts w:ascii="Times New Roman" w:eastAsia="Times New Roman" w:hAnsi="Times New Roman" w:cs="Times New Roman"/>
                <w:spacing w:val="-1"/>
                <w:lang w:val="it-IT"/>
              </w:rPr>
              <w:t>faccia</w:t>
            </w:r>
          </w:p>
        </w:tc>
      </w:tr>
      <w:tr w:rsidR="00953B2E" w:rsidRPr="00C35766" w14:paraId="24F36CB1"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5059EA9F" w14:textId="77777777" w:rsidR="00953B2E" w:rsidRPr="004F0B2E"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48AC2DC"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A623761" w14:textId="77777777" w:rsidR="00953B2E" w:rsidRPr="00C35766" w:rsidRDefault="005F0C19" w:rsidP="00083924">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Perforazione intestinale</w:t>
            </w:r>
            <w:r w:rsidRPr="00C35766">
              <w:rPr>
                <w:rFonts w:ascii="Times New Roman" w:eastAsia="Times New Roman" w:hAnsi="Times New Roman" w:cs="Times New Roman"/>
                <w:spacing w:val="-4"/>
                <w:vertAlign w:val="superscript"/>
                <w:lang w:val="it-IT"/>
              </w:rPr>
              <w:t>1)</w:t>
            </w:r>
          </w:p>
        </w:tc>
      </w:tr>
      <w:tr w:rsidR="00953B2E" w:rsidRPr="00C35766" w14:paraId="757AD662"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299D7DDF"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Patologie epatobiliari*</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9F29700"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A979D51" w14:textId="38CF54FC" w:rsidR="00953B2E" w:rsidRPr="00C35766" w:rsidRDefault="00B157C8"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w:t>
            </w:r>
            <w:r w:rsidR="005F0C19" w:rsidRPr="00C35766">
              <w:rPr>
                <w:rFonts w:ascii="Times New Roman" w:eastAsia="Times New Roman" w:hAnsi="Times New Roman" w:cs="Times New Roman"/>
                <w:spacing w:val="-1"/>
                <w:lang w:val="it-IT"/>
              </w:rPr>
              <w:t>nzimi epatici</w:t>
            </w:r>
            <w:r w:rsidRPr="00C35766">
              <w:rPr>
                <w:rFonts w:ascii="Times New Roman" w:eastAsia="Times New Roman" w:hAnsi="Times New Roman" w:cs="Times New Roman"/>
                <w:spacing w:val="-1"/>
                <w:lang w:val="it-IT"/>
              </w:rPr>
              <w:t xml:space="preserve"> elevati</w:t>
            </w:r>
          </w:p>
        </w:tc>
      </w:tr>
      <w:tr w:rsidR="00953B2E" w:rsidRPr="00C35766" w14:paraId="5917198E" w14:textId="77777777" w:rsidTr="005A5DEF">
        <w:tc>
          <w:tcPr>
            <w:tcW w:w="1405" w:type="pct"/>
            <w:vMerge/>
            <w:tcBorders>
              <w:left w:val="single" w:sz="5" w:space="0" w:color="000000"/>
              <w:right w:val="single" w:sz="5" w:space="0" w:color="000000"/>
            </w:tcBorders>
            <w:tcMar>
              <w:top w:w="57" w:type="dxa"/>
              <w:bottom w:w="57" w:type="dxa"/>
            </w:tcMar>
          </w:tcPr>
          <w:p w14:paraId="047F6305"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6065C35"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D0C293B" w14:textId="77777777"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Colecistite e colelitiasi, </w:t>
            </w:r>
          </w:p>
          <w:p w14:paraId="36969D51" w14:textId="77777777" w:rsidR="00B157C8" w:rsidRPr="00C35766" w:rsidRDefault="005F0C19" w:rsidP="00083924">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steatosi epatica, </w:t>
            </w:r>
          </w:p>
          <w:p w14:paraId="4B1E00F2"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aumento della bilirubina</w:t>
            </w:r>
          </w:p>
        </w:tc>
      </w:tr>
      <w:tr w:rsidR="00953B2E" w:rsidRPr="006501B3" w14:paraId="7BFF9750" w14:textId="77777777" w:rsidTr="005A5DEF">
        <w:tc>
          <w:tcPr>
            <w:tcW w:w="1405" w:type="pct"/>
            <w:vMerge/>
            <w:tcBorders>
              <w:left w:val="single" w:sz="5" w:space="0" w:color="000000"/>
              <w:right w:val="single" w:sz="5" w:space="0" w:color="000000"/>
            </w:tcBorders>
            <w:tcMar>
              <w:top w:w="57" w:type="dxa"/>
              <w:bottom w:w="57" w:type="dxa"/>
            </w:tcMar>
          </w:tcPr>
          <w:p w14:paraId="663C4E06"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right w:val="single" w:sz="5" w:space="0" w:color="000000"/>
            </w:tcBorders>
            <w:tcMar>
              <w:top w:w="57" w:type="dxa"/>
              <w:bottom w:w="57" w:type="dxa"/>
            </w:tcMar>
          </w:tcPr>
          <w:p w14:paraId="328A3C88"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right w:val="single" w:sz="5" w:space="0" w:color="000000"/>
            </w:tcBorders>
            <w:tcMar>
              <w:top w:w="57" w:type="dxa"/>
              <w:bottom w:w="57" w:type="dxa"/>
            </w:tcMar>
          </w:tcPr>
          <w:p w14:paraId="7C410D03" w14:textId="77777777" w:rsidR="00B157C8" w:rsidRPr="00C35766" w:rsidRDefault="005F0C19"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Epatite</w:t>
            </w:r>
            <w:r w:rsidR="00B157C8" w:rsidRPr="00C35766">
              <w:rPr>
                <w:rFonts w:ascii="Times New Roman" w:eastAsia="Times New Roman" w:hAnsi="Times New Roman" w:cs="Times New Roman"/>
                <w:spacing w:val="-1"/>
                <w:lang w:val="it-IT"/>
              </w:rPr>
              <w:t>,</w:t>
            </w:r>
            <w:r w:rsidRPr="00C35766">
              <w:rPr>
                <w:rFonts w:ascii="Times New Roman" w:eastAsia="Times New Roman" w:hAnsi="Times New Roman" w:cs="Times New Roman"/>
                <w:spacing w:val="-1"/>
                <w:lang w:val="it-IT"/>
              </w:rPr>
              <w:t xml:space="preserve"> </w:t>
            </w:r>
          </w:p>
          <w:p w14:paraId="669D2399" w14:textId="0A5F6D68"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riattivazione dell’epatite B</w:t>
            </w:r>
            <w:r w:rsidRPr="00C35766">
              <w:rPr>
                <w:rFonts w:ascii="Times New Roman" w:eastAsia="Times New Roman" w:hAnsi="Times New Roman" w:cs="Times New Roman"/>
                <w:spacing w:val="-1"/>
                <w:vertAlign w:val="superscript"/>
                <w:lang w:val="it-IT"/>
              </w:rPr>
              <w:t>1)</w:t>
            </w:r>
            <w:r w:rsidR="00083924" w:rsidRPr="00C35766">
              <w:rPr>
                <w:rFonts w:ascii="Times New Roman" w:eastAsia="Times New Roman" w:hAnsi="Times New Roman" w:cs="Times New Roman"/>
                <w:spacing w:val="-1"/>
                <w:lang w:val="it-IT"/>
              </w:rPr>
              <w:t>,</w:t>
            </w:r>
          </w:p>
          <w:p w14:paraId="356B99FF" w14:textId="77777777" w:rsidR="00953B2E" w:rsidRPr="00C35766" w:rsidRDefault="005F0C19" w:rsidP="00083924">
            <w:pPr>
              <w:pStyle w:val="TableParagraph"/>
              <w:spacing w:before="47"/>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epatite autoimmune</w:t>
            </w:r>
            <w:r w:rsidRPr="00C35766">
              <w:rPr>
                <w:rFonts w:ascii="Times New Roman" w:eastAsia="Times New Roman" w:hAnsi="Times New Roman" w:cs="Times New Roman"/>
                <w:spacing w:val="-1"/>
                <w:vertAlign w:val="superscript"/>
                <w:lang w:val="it-IT"/>
              </w:rPr>
              <w:t>1)</w:t>
            </w:r>
          </w:p>
        </w:tc>
      </w:tr>
      <w:tr w:rsidR="00953B2E" w:rsidRPr="00C35766" w14:paraId="1D65E674"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175CC370"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CC25E6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7AC7088" w14:textId="77777777" w:rsidR="00953B2E" w:rsidRPr="00C35766" w:rsidRDefault="005F0C19" w:rsidP="00083924">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Insufficienza epatica</w:t>
            </w:r>
            <w:r w:rsidRPr="00C35766">
              <w:rPr>
                <w:rFonts w:ascii="Times New Roman" w:eastAsia="Times New Roman" w:hAnsi="Times New Roman" w:cs="Times New Roman"/>
                <w:spacing w:val="-1"/>
                <w:vertAlign w:val="superscript"/>
                <w:lang w:val="it-IT"/>
              </w:rPr>
              <w:t>1)</w:t>
            </w:r>
          </w:p>
        </w:tc>
      </w:tr>
      <w:tr w:rsidR="00953B2E" w:rsidRPr="00494E69" w14:paraId="6959DE83"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6946A9D5" w14:textId="77777777" w:rsidR="00953B2E" w:rsidRPr="00C35766" w:rsidRDefault="005F0C19" w:rsidP="00083924">
            <w:pPr>
              <w:pStyle w:val="TableParagraph"/>
              <w:spacing w:before="56"/>
              <w:ind w:left="102" w:right="11"/>
              <w:rPr>
                <w:rFonts w:ascii="Times New Roman" w:hAnsi="Times New Roman" w:cs="Times New Roman"/>
                <w:lang w:val="it-IT"/>
              </w:rPr>
            </w:pPr>
            <w:r w:rsidRPr="00C35766">
              <w:rPr>
                <w:rFonts w:ascii="Times New Roman" w:eastAsia="Times New Roman" w:hAnsi="Times New Roman" w:cs="Times New Roman"/>
                <w:spacing w:val="-1"/>
                <w:lang w:val="it-IT"/>
              </w:rPr>
              <w:t>Patologie della cute e del tessuto sottocutaneo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6EE4B56"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ECCFEDB" w14:textId="77777777" w:rsidR="00953B2E" w:rsidRPr="00C35766" w:rsidRDefault="005F0C19" w:rsidP="00083924">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Eruzione cutanea (compresa eruzione esfoliativa)</w:t>
            </w:r>
          </w:p>
        </w:tc>
      </w:tr>
      <w:tr w:rsidR="00953B2E" w:rsidRPr="00C35766" w14:paraId="17CF5D89" w14:textId="77777777" w:rsidTr="005A5DEF">
        <w:tc>
          <w:tcPr>
            <w:tcW w:w="1405" w:type="pct"/>
            <w:vMerge/>
            <w:tcBorders>
              <w:left w:val="single" w:sz="5" w:space="0" w:color="000000"/>
              <w:right w:val="single" w:sz="5" w:space="0" w:color="000000"/>
            </w:tcBorders>
            <w:tcMar>
              <w:top w:w="57" w:type="dxa"/>
              <w:bottom w:w="57" w:type="dxa"/>
            </w:tcMar>
          </w:tcPr>
          <w:p w14:paraId="37BA4851" w14:textId="77777777" w:rsidR="00953B2E" w:rsidRPr="00C35766" w:rsidRDefault="00953B2E" w:rsidP="00083924">
            <w:pPr>
              <w:rPr>
                <w:rFonts w:ascii="Times New Roman" w:hAnsi="Times New Roman" w:cs="Times New Roman"/>
                <w:lang w:val="pt-BR"/>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0752784"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C4E6BFC" w14:textId="2658537C"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lang w:val="it-IT"/>
              </w:rPr>
              <w:t xml:space="preserve">Peggioramento o </w:t>
            </w:r>
            <w:r w:rsidR="00B157C8" w:rsidRPr="00C35766">
              <w:rPr>
                <w:rFonts w:ascii="Times New Roman" w:eastAsia="Times New Roman" w:hAnsi="Times New Roman" w:cs="Times New Roman"/>
                <w:lang w:val="it-IT"/>
              </w:rPr>
              <w:t xml:space="preserve">nuova </w:t>
            </w:r>
            <w:r w:rsidRPr="00C35766">
              <w:rPr>
                <w:rFonts w:ascii="Times New Roman" w:eastAsia="Times New Roman" w:hAnsi="Times New Roman" w:cs="Times New Roman"/>
                <w:lang w:val="it-IT"/>
              </w:rPr>
              <w:t>insorgenza di psoriasi (tra cui</w:t>
            </w:r>
            <w:r w:rsidR="00B157C8"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spacing w:val="-1"/>
                <w:lang w:val="it-IT"/>
              </w:rPr>
              <w:t>psoriasi pustolosa palmoplantare)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27918784" w14:textId="77777777" w:rsidR="00953B2E" w:rsidRPr="00C35766" w:rsidRDefault="005F0C19"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orticaria,</w:t>
            </w:r>
          </w:p>
          <w:p w14:paraId="15089066" w14:textId="58F2951E" w:rsidR="00953B2E" w:rsidRPr="00C35766" w:rsidRDefault="00B157C8" w:rsidP="00083924">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 xml:space="preserve">lividi </w:t>
            </w:r>
            <w:r w:rsidR="005F0C19" w:rsidRPr="00C35766">
              <w:rPr>
                <w:rFonts w:ascii="Times New Roman" w:eastAsia="Times New Roman" w:hAnsi="Times New Roman" w:cs="Times New Roman"/>
                <w:spacing w:val="-1"/>
                <w:lang w:val="it-IT"/>
              </w:rPr>
              <w:t>(tra cui porpora),</w:t>
            </w:r>
          </w:p>
          <w:p w14:paraId="04984A70" w14:textId="77777777" w:rsidR="00B157C8" w:rsidRPr="00C35766" w:rsidRDefault="005F0C19" w:rsidP="00083924">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dermatite (tra cui eczema), </w:t>
            </w:r>
          </w:p>
          <w:p w14:paraId="616C52B3" w14:textId="77777777" w:rsidR="00953B2E" w:rsidRPr="00C35766" w:rsidRDefault="005F0C19" w:rsidP="00083924">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onicoclasia,</w:t>
            </w:r>
          </w:p>
          <w:p w14:paraId="13AD76B8" w14:textId="13BF9D31"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iperidrosi</w:t>
            </w:r>
            <w:r w:rsidR="00095F15" w:rsidRPr="00C35766">
              <w:rPr>
                <w:rFonts w:ascii="Times New Roman" w:eastAsia="Times New Roman" w:hAnsi="Times New Roman" w:cs="Times New Roman"/>
                <w:spacing w:val="-1"/>
                <w:lang w:val="it-IT"/>
              </w:rPr>
              <w:t>,</w:t>
            </w:r>
          </w:p>
          <w:p w14:paraId="00B03495" w14:textId="77777777" w:rsidR="00B157C8" w:rsidRPr="00C35766" w:rsidRDefault="005F0C19" w:rsidP="00083924">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alopecia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02DDF367" w14:textId="77777777" w:rsidR="00953B2E" w:rsidRPr="00C35766" w:rsidRDefault="005F0C19" w:rsidP="00083924">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prurito</w:t>
            </w:r>
          </w:p>
        </w:tc>
      </w:tr>
      <w:tr w:rsidR="00953B2E" w:rsidRPr="00C35766" w14:paraId="33CEFF60" w14:textId="77777777" w:rsidTr="005A5DEF">
        <w:tc>
          <w:tcPr>
            <w:tcW w:w="1405" w:type="pct"/>
            <w:vMerge/>
            <w:tcBorders>
              <w:left w:val="single" w:sz="5" w:space="0" w:color="000000"/>
              <w:right w:val="single" w:sz="5" w:space="0" w:color="000000"/>
            </w:tcBorders>
            <w:tcMar>
              <w:top w:w="57" w:type="dxa"/>
              <w:bottom w:w="57" w:type="dxa"/>
            </w:tcMar>
          </w:tcPr>
          <w:p w14:paraId="094408B4"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20EA7DD"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74A8989" w14:textId="0C951785"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Sudorazione notturna</w:t>
            </w:r>
            <w:r w:rsidR="00083924" w:rsidRPr="00C35766">
              <w:rPr>
                <w:rFonts w:ascii="Times New Roman" w:eastAsia="Times New Roman" w:hAnsi="Times New Roman" w:cs="Times New Roman"/>
                <w:spacing w:val="-1"/>
                <w:lang w:val="it-IT"/>
              </w:rPr>
              <w:t>,</w:t>
            </w:r>
          </w:p>
          <w:p w14:paraId="618B3076" w14:textId="77777777" w:rsidR="00953B2E" w:rsidRPr="00C35766" w:rsidRDefault="005F0C19" w:rsidP="00083924">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lang w:val="it-IT"/>
              </w:rPr>
              <w:t>cicatrice</w:t>
            </w:r>
          </w:p>
        </w:tc>
      </w:tr>
      <w:tr w:rsidR="00953B2E" w:rsidRPr="00494E69" w14:paraId="7F4C8A00" w14:textId="77777777" w:rsidTr="005A5DEF">
        <w:tc>
          <w:tcPr>
            <w:tcW w:w="1405" w:type="pct"/>
            <w:vMerge/>
            <w:tcBorders>
              <w:left w:val="single" w:sz="5" w:space="0" w:color="000000"/>
              <w:right w:val="single" w:sz="5" w:space="0" w:color="000000"/>
            </w:tcBorders>
            <w:tcMar>
              <w:top w:w="57" w:type="dxa"/>
              <w:bottom w:w="57" w:type="dxa"/>
            </w:tcMar>
          </w:tcPr>
          <w:p w14:paraId="2727DDEB"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F794442"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A3C612F" w14:textId="77777777" w:rsidR="00B157C8" w:rsidRPr="00C35766" w:rsidRDefault="005F0C19" w:rsidP="00083924">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Eritema multiforme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69690D4E" w14:textId="77777777" w:rsidR="00B157C8" w:rsidRPr="00C35766" w:rsidRDefault="005F0C19" w:rsidP="00083924">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sindrome di Stevens-Johnson</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7E30633E" w14:textId="77777777" w:rsidR="00B157C8" w:rsidRPr="00C35766" w:rsidRDefault="005F0C19" w:rsidP="00083924">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angioedema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215C2FAC" w14:textId="6D4F7D7B" w:rsidR="00B157C8" w:rsidRPr="00C35766" w:rsidRDefault="005F0C19" w:rsidP="00083924">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vasculite cutanea</w:t>
            </w:r>
            <w:r w:rsidRPr="00C35766">
              <w:rPr>
                <w:rFonts w:ascii="Times New Roman" w:eastAsia="Times New Roman" w:hAnsi="Times New Roman" w:cs="Times New Roman"/>
                <w:spacing w:val="-1"/>
                <w:vertAlign w:val="superscript"/>
                <w:lang w:val="it-IT"/>
              </w:rPr>
              <w:t>1)</w:t>
            </w:r>
            <w:r w:rsidR="00B157C8" w:rsidRPr="00C35766">
              <w:rPr>
                <w:rFonts w:ascii="Times New Roman" w:eastAsia="Times New Roman" w:hAnsi="Times New Roman" w:cs="Times New Roman"/>
                <w:spacing w:val="-1"/>
                <w:lang w:val="it-IT"/>
              </w:rPr>
              <w:t>,</w:t>
            </w:r>
            <w:r w:rsidR="00095F15" w:rsidRPr="00C35766">
              <w:rPr>
                <w:rFonts w:ascii="Times New Roman" w:eastAsia="Times New Roman" w:hAnsi="Times New Roman" w:cs="Times New Roman"/>
                <w:spacing w:val="-1"/>
                <w:lang w:val="it-IT"/>
              </w:rPr>
              <w:t xml:space="preserve"> </w:t>
            </w:r>
          </w:p>
          <w:p w14:paraId="689D8D8F" w14:textId="77777777" w:rsidR="00953B2E" w:rsidRPr="00C35766" w:rsidRDefault="005F0C19" w:rsidP="00083924">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reazione cutanea lichenoide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953B2E" w:rsidRPr="00494E69" w14:paraId="61689DE3"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36572726" w14:textId="77777777" w:rsidR="00953B2E" w:rsidRPr="00C35766" w:rsidRDefault="00953B2E" w:rsidP="00083924">
            <w:pPr>
              <w:rPr>
                <w:rFonts w:ascii="Times New Roman" w:hAnsi="Times New Roman" w:cs="Times New Roman"/>
                <w:lang w:val="pt-BR"/>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885AE1A"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B74F85B" w14:textId="77777777" w:rsidR="00953B2E" w:rsidRPr="00C35766" w:rsidRDefault="005F0C19" w:rsidP="00083924">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Peggioramento dei sintomi di dermatomiosite</w:t>
            </w:r>
            <w:r w:rsidRPr="00C35766">
              <w:rPr>
                <w:rFonts w:ascii="Times New Roman" w:eastAsia="Times New Roman" w:hAnsi="Times New Roman" w:cs="Times New Roman"/>
                <w:vertAlign w:val="superscript"/>
                <w:lang w:val="it-IT"/>
              </w:rPr>
              <w:t>1)</w:t>
            </w:r>
          </w:p>
        </w:tc>
      </w:tr>
      <w:tr w:rsidR="00953B2E" w:rsidRPr="00C35766" w14:paraId="75C35CBF"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057DFDB6" w14:textId="77777777" w:rsidR="00953B2E" w:rsidRPr="00C35766" w:rsidRDefault="005F0C19" w:rsidP="00083924">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 sistema muscoloscheletrico e del tessuto connettivo</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D7AE65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EE36C6C"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lang w:val="it-IT"/>
              </w:rPr>
              <w:t>Dolore muscoloscheletrico</w:t>
            </w:r>
          </w:p>
        </w:tc>
      </w:tr>
      <w:tr w:rsidR="00953B2E" w:rsidRPr="00494E69" w14:paraId="6986EB0E" w14:textId="77777777" w:rsidTr="005A5DEF">
        <w:tc>
          <w:tcPr>
            <w:tcW w:w="1405" w:type="pct"/>
            <w:vMerge/>
            <w:tcBorders>
              <w:left w:val="single" w:sz="5" w:space="0" w:color="000000"/>
              <w:right w:val="single" w:sz="5" w:space="0" w:color="000000"/>
            </w:tcBorders>
            <w:tcMar>
              <w:top w:w="57" w:type="dxa"/>
              <w:bottom w:w="57" w:type="dxa"/>
            </w:tcMar>
          </w:tcPr>
          <w:p w14:paraId="62CA12C8"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D3F652F"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419B6D0" w14:textId="77777777" w:rsidR="00953B2E" w:rsidRPr="00C35766" w:rsidRDefault="005F0C19" w:rsidP="00083924">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lang w:val="it-IT"/>
              </w:rPr>
              <w:t>Spasmi muscolari (tra cui aumento della creatinfosfochinasi ematica)</w:t>
            </w:r>
          </w:p>
        </w:tc>
      </w:tr>
      <w:tr w:rsidR="00953B2E" w:rsidRPr="00C35766" w14:paraId="465E1F7A" w14:textId="77777777" w:rsidTr="005A5DEF">
        <w:tc>
          <w:tcPr>
            <w:tcW w:w="1405" w:type="pct"/>
            <w:vMerge/>
            <w:tcBorders>
              <w:left w:val="single" w:sz="5" w:space="0" w:color="000000"/>
              <w:right w:val="single" w:sz="5" w:space="0" w:color="000000"/>
            </w:tcBorders>
            <w:tcMar>
              <w:top w:w="57" w:type="dxa"/>
              <w:bottom w:w="57" w:type="dxa"/>
            </w:tcMar>
          </w:tcPr>
          <w:p w14:paraId="77F45957" w14:textId="77777777" w:rsidR="00953B2E" w:rsidRPr="00C35766" w:rsidRDefault="00953B2E" w:rsidP="00083924">
            <w:pPr>
              <w:rPr>
                <w:rFonts w:ascii="Times New Roman" w:hAnsi="Times New Roman" w:cs="Times New Roman"/>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41455F7"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B32CC35" w14:textId="1D8DD2DE"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Rabdomiolisi</w:t>
            </w:r>
            <w:r w:rsidR="00095F15" w:rsidRPr="00C35766">
              <w:rPr>
                <w:rFonts w:ascii="Times New Roman" w:eastAsia="Times New Roman" w:hAnsi="Times New Roman" w:cs="Times New Roman"/>
                <w:spacing w:val="-1"/>
                <w:lang w:val="it-IT"/>
              </w:rPr>
              <w:t>,</w:t>
            </w:r>
          </w:p>
          <w:p w14:paraId="76D0E13F" w14:textId="77777777" w:rsidR="00953B2E" w:rsidRPr="00C35766" w:rsidRDefault="005F0C19" w:rsidP="00083924">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lupus eritematoso sistemico</w:t>
            </w:r>
          </w:p>
        </w:tc>
      </w:tr>
      <w:tr w:rsidR="00953B2E" w:rsidRPr="00C35766" w14:paraId="619F2398"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23EA733F"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4540F40"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7DA0282"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Sindrome simile al lupus</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953B2E" w:rsidRPr="00C35766" w14:paraId="18AF001C"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31256D6A" w14:textId="77777777" w:rsidR="00953B2E" w:rsidRPr="00C35766" w:rsidRDefault="005F0C19" w:rsidP="00083924">
            <w:pPr>
              <w:pStyle w:val="TableParagraph"/>
              <w:spacing w:before="56"/>
              <w:ind w:left="102" w:right="196"/>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renali e urinarie</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3E34444"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0BEA67E" w14:textId="64DF59CD" w:rsidR="00B157C8" w:rsidRPr="00C35766" w:rsidRDefault="00B157C8" w:rsidP="00083924">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Compromissione</w:t>
            </w:r>
            <w:r w:rsidR="005F0C19" w:rsidRPr="00C35766">
              <w:rPr>
                <w:rFonts w:ascii="Times New Roman" w:eastAsia="Times New Roman" w:hAnsi="Times New Roman" w:cs="Times New Roman"/>
                <w:spacing w:val="-1"/>
                <w:lang w:val="it-IT"/>
              </w:rPr>
              <w:t xml:space="preserve"> renale, </w:t>
            </w:r>
          </w:p>
          <w:p w14:paraId="6D05F5AE"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ematuria</w:t>
            </w:r>
          </w:p>
        </w:tc>
      </w:tr>
      <w:tr w:rsidR="00953B2E" w:rsidRPr="00C35766" w14:paraId="6676A23D"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0CA3FB3B"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9E9BDBC"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67208AB8"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Nicturia</w:t>
            </w:r>
          </w:p>
        </w:tc>
      </w:tr>
      <w:tr w:rsidR="00953B2E" w:rsidRPr="00C35766" w14:paraId="51E8879E" w14:textId="77777777" w:rsidTr="005A5DEF">
        <w:tc>
          <w:tcPr>
            <w:tcW w:w="1405" w:type="pct"/>
            <w:tcBorders>
              <w:top w:val="single" w:sz="5" w:space="0" w:color="000000"/>
              <w:left w:val="single" w:sz="5" w:space="0" w:color="000000"/>
              <w:bottom w:val="single" w:sz="5" w:space="0" w:color="000000"/>
              <w:right w:val="single" w:sz="5" w:space="0" w:color="000000"/>
            </w:tcBorders>
            <w:tcMar>
              <w:top w:w="57" w:type="dxa"/>
              <w:bottom w:w="57" w:type="dxa"/>
            </w:tcMar>
          </w:tcPr>
          <w:p w14:paraId="703ADF7D" w14:textId="77777777" w:rsidR="00953B2E" w:rsidRPr="00C35766" w:rsidRDefault="005F0C19" w:rsidP="00083924">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dell’apparato riproduttivo e della mammella</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1D9CBCBE"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1018218" w14:textId="77777777" w:rsidR="00953B2E" w:rsidRPr="00C35766" w:rsidRDefault="005F0C19" w:rsidP="00083924">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Disfunzione erettile</w:t>
            </w:r>
          </w:p>
        </w:tc>
      </w:tr>
      <w:tr w:rsidR="00953B2E" w:rsidRPr="00494E69" w14:paraId="3BBFE084"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60A79B61" w14:textId="4B7478F1" w:rsidR="00953B2E" w:rsidRPr="00C35766" w:rsidRDefault="005F0C19" w:rsidP="00083924">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Patologie </w:t>
            </w:r>
            <w:r w:rsidR="006F7D38">
              <w:rPr>
                <w:rFonts w:ascii="Times New Roman" w:eastAsia="Times New Roman" w:hAnsi="Times New Roman" w:cs="Times New Roman"/>
                <w:spacing w:val="-1"/>
                <w:lang w:val="it-IT"/>
              </w:rPr>
              <w:t>generali</w:t>
            </w:r>
            <w:r w:rsidR="006F7D38"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e condizioni relative alla sede</w:t>
            </w:r>
          </w:p>
          <w:p w14:paraId="1900B00F" w14:textId="77777777" w:rsidR="00953B2E" w:rsidRPr="00BD232C" w:rsidRDefault="005F0C19" w:rsidP="00083924">
            <w:pPr>
              <w:pStyle w:val="TableParagraph"/>
              <w:ind w:left="102"/>
              <w:rPr>
                <w:rFonts w:ascii="Times New Roman" w:eastAsia="Times New Roman" w:hAnsi="Times New Roman" w:cs="Times New Roman"/>
                <w:lang w:val="fr-CA"/>
              </w:rPr>
            </w:pPr>
            <w:r w:rsidRPr="00C35766">
              <w:rPr>
                <w:rFonts w:ascii="Times New Roman" w:eastAsia="Times New Roman" w:hAnsi="Times New Roman" w:cs="Times New Roman"/>
                <w:spacing w:val="-1"/>
                <w:lang w:val="it-IT"/>
              </w:rPr>
              <w:t>di somministrazione*</w:t>
            </w:r>
          </w:p>
        </w:tc>
        <w:tc>
          <w:tcPr>
            <w:tcW w:w="1122" w:type="pct"/>
            <w:tcBorders>
              <w:top w:val="single" w:sz="5" w:space="0" w:color="000000"/>
              <w:left w:val="single" w:sz="5" w:space="0" w:color="000000"/>
              <w:right w:val="single" w:sz="5" w:space="0" w:color="000000"/>
            </w:tcBorders>
            <w:tcMar>
              <w:top w:w="57" w:type="dxa"/>
              <w:bottom w:w="57" w:type="dxa"/>
            </w:tcMar>
          </w:tcPr>
          <w:p w14:paraId="4A6EDE6E"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Borders>
              <w:top w:val="single" w:sz="5" w:space="0" w:color="000000"/>
              <w:left w:val="single" w:sz="5" w:space="0" w:color="000000"/>
              <w:right w:val="single" w:sz="5" w:space="0" w:color="000000"/>
            </w:tcBorders>
            <w:tcMar>
              <w:top w:w="57" w:type="dxa"/>
              <w:bottom w:w="57" w:type="dxa"/>
            </w:tcMar>
          </w:tcPr>
          <w:p w14:paraId="1A57F788" w14:textId="77777777" w:rsidR="00953B2E" w:rsidRPr="00C35766" w:rsidRDefault="005F0C19" w:rsidP="00083924">
            <w:pPr>
              <w:pStyle w:val="TableParagraph"/>
              <w:spacing w:before="53"/>
              <w:ind w:left="99" w:right="151"/>
              <w:rPr>
                <w:rFonts w:ascii="Times New Roman" w:eastAsia="Times New Roman" w:hAnsi="Times New Roman" w:cs="Times New Roman"/>
                <w:lang w:val="es-ES"/>
              </w:rPr>
            </w:pPr>
            <w:r w:rsidRPr="00C35766">
              <w:rPr>
                <w:rFonts w:ascii="Times New Roman" w:eastAsia="Times New Roman" w:hAnsi="Times New Roman" w:cs="Times New Roman"/>
                <w:spacing w:val="-4"/>
                <w:lang w:val="it-IT"/>
              </w:rPr>
              <w:t xml:space="preserve">Reazione al  sito di iniezione (tra cui eritema al sito di iniezione) </w:t>
            </w:r>
            <w:r w:rsidRPr="00C35766">
              <w:rPr>
                <w:rFonts w:ascii="Times New Roman" w:eastAsia="Times New Roman" w:hAnsi="Times New Roman" w:cs="Times New Roman"/>
                <w:spacing w:val="-1"/>
                <w:lang w:val="it-IT"/>
              </w:rPr>
              <w:t> </w:t>
            </w:r>
          </w:p>
        </w:tc>
      </w:tr>
      <w:tr w:rsidR="00953B2E" w:rsidRPr="00C35766" w14:paraId="3097D3CB" w14:textId="77777777" w:rsidTr="005A5DEF">
        <w:tc>
          <w:tcPr>
            <w:tcW w:w="1405" w:type="pct"/>
            <w:vMerge/>
            <w:tcBorders>
              <w:left w:val="single" w:sz="5" w:space="0" w:color="000000"/>
              <w:right w:val="single" w:sz="5" w:space="0" w:color="000000"/>
            </w:tcBorders>
            <w:tcMar>
              <w:top w:w="57" w:type="dxa"/>
              <w:bottom w:w="57" w:type="dxa"/>
            </w:tcMar>
          </w:tcPr>
          <w:p w14:paraId="4B150610" w14:textId="77777777" w:rsidR="00953B2E" w:rsidRPr="00C35766" w:rsidRDefault="00953B2E" w:rsidP="00083924">
            <w:pPr>
              <w:rPr>
                <w:rFonts w:ascii="Times New Roman" w:hAnsi="Times New Roman" w:cs="Times New Roman"/>
                <w:lang w:val="es-ES"/>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096730D"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6C86808" w14:textId="77777777"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Dolore toracico</w:t>
            </w:r>
            <w:r w:rsidR="00B157C8" w:rsidRPr="00C35766">
              <w:rPr>
                <w:rFonts w:ascii="Times New Roman" w:eastAsia="Times New Roman" w:hAnsi="Times New Roman" w:cs="Times New Roman"/>
                <w:spacing w:val="-1"/>
                <w:lang w:val="it-IT"/>
              </w:rPr>
              <w:t>,</w:t>
            </w:r>
          </w:p>
          <w:p w14:paraId="714BB81F" w14:textId="6784EE6E" w:rsidR="00B157C8" w:rsidRPr="00C35766" w:rsidRDefault="005F0C19" w:rsidP="00083924">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edema, </w:t>
            </w:r>
          </w:p>
          <w:p w14:paraId="00E371F7"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piressia</w:t>
            </w:r>
            <w:r w:rsidRPr="00C35766">
              <w:rPr>
                <w:rFonts w:ascii="Times New Roman" w:eastAsia="Times New Roman" w:hAnsi="Times New Roman" w:cs="Times New Roman"/>
                <w:spacing w:val="-1"/>
                <w:vertAlign w:val="superscript"/>
                <w:lang w:val="it-IT"/>
              </w:rPr>
              <w:t>1)</w:t>
            </w:r>
          </w:p>
        </w:tc>
      </w:tr>
      <w:tr w:rsidR="00953B2E" w:rsidRPr="00C35766" w14:paraId="7735BBDE"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4BA4DC07" w14:textId="77777777" w:rsidR="00953B2E" w:rsidRPr="00C35766" w:rsidRDefault="00953B2E" w:rsidP="00083924">
            <w:pPr>
              <w:rPr>
                <w:rFonts w:ascii="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E99D040" w14:textId="77777777" w:rsidR="00953B2E" w:rsidRPr="00C35766" w:rsidRDefault="005F0C19" w:rsidP="00083924">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DD6DEFF" w14:textId="77777777" w:rsidR="00953B2E" w:rsidRPr="00C35766" w:rsidRDefault="005F0C19" w:rsidP="00083924">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Infiammazione</w:t>
            </w:r>
          </w:p>
        </w:tc>
      </w:tr>
      <w:tr w:rsidR="00C54CAA" w:rsidRPr="00494E69" w14:paraId="24CEB405" w14:textId="77777777" w:rsidTr="005A5DEF">
        <w:tc>
          <w:tcPr>
            <w:tcW w:w="1405" w:type="pct"/>
            <w:vMerge w:val="restart"/>
            <w:tcBorders>
              <w:top w:val="single" w:sz="5" w:space="0" w:color="000000"/>
              <w:left w:val="single" w:sz="5" w:space="0" w:color="000000"/>
              <w:right w:val="single" w:sz="5" w:space="0" w:color="000000"/>
            </w:tcBorders>
            <w:tcMar>
              <w:top w:w="57" w:type="dxa"/>
              <w:bottom w:w="57" w:type="dxa"/>
            </w:tcMar>
          </w:tcPr>
          <w:p w14:paraId="5821C86B" w14:textId="77777777" w:rsidR="00C54CAA" w:rsidRPr="00C35766" w:rsidRDefault="00C54CAA"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4"/>
                <w:lang w:val="it-IT"/>
              </w:rPr>
              <w:t>Esami diagnostici*</w:t>
            </w:r>
          </w:p>
          <w:p w14:paraId="63752EAE" w14:textId="55574AE2" w:rsidR="00C54CAA" w:rsidRPr="00C35766" w:rsidRDefault="00C54CAA" w:rsidP="00083924">
            <w:pPr>
              <w:pStyle w:val="TableParagraph"/>
              <w:spacing w:before="53"/>
              <w:ind w:left="102"/>
              <w:rPr>
                <w:rFonts w:ascii="Times New Roman" w:eastAsia="Times New Roman" w:hAnsi="Times New Roman" w:cs="Times New Roman"/>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18CACF1" w14:textId="77777777" w:rsidR="00C54CAA" w:rsidRPr="00C35766" w:rsidRDefault="00C54CAA"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CD36A53" w14:textId="77777777" w:rsidR="00C54CAA" w:rsidRPr="00C35766" w:rsidRDefault="00C54CAA" w:rsidP="00083924">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Disturbi della coagulazione e disturbi emorragici (tra cui prolungamento del tempo di tromboplastina parziale attivata), </w:t>
            </w:r>
          </w:p>
          <w:p w14:paraId="45A2C4A6" w14:textId="77777777" w:rsidR="00C54CAA" w:rsidRPr="00C35766" w:rsidRDefault="00C54CAA" w:rsidP="00083924">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positività ai test per autoanticorpi (tra cui anticorpi anti-DNA a doppia catena), </w:t>
            </w:r>
          </w:p>
          <w:p w14:paraId="105EED9F" w14:textId="77777777" w:rsidR="00C54CAA" w:rsidRPr="00C35766" w:rsidRDefault="00C54CAA" w:rsidP="00083924">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aumento della lattato deidrogenasi ematica</w:t>
            </w:r>
          </w:p>
        </w:tc>
      </w:tr>
      <w:tr w:rsidR="00C54CAA" w:rsidRPr="00C35766" w14:paraId="29DE1D74" w14:textId="77777777" w:rsidTr="005A5DEF">
        <w:tc>
          <w:tcPr>
            <w:tcW w:w="1405" w:type="pct"/>
            <w:vMerge/>
            <w:tcBorders>
              <w:left w:val="single" w:sz="5" w:space="0" w:color="000000"/>
              <w:bottom w:val="single" w:sz="5" w:space="0" w:color="000000"/>
              <w:right w:val="single" w:sz="5" w:space="0" w:color="000000"/>
            </w:tcBorders>
            <w:tcMar>
              <w:top w:w="57" w:type="dxa"/>
              <w:bottom w:w="57" w:type="dxa"/>
            </w:tcMar>
          </w:tcPr>
          <w:p w14:paraId="48413743" w14:textId="6417DFDF" w:rsidR="00C54CAA" w:rsidRPr="00C35766" w:rsidRDefault="00C54CAA" w:rsidP="00083924">
            <w:pPr>
              <w:pStyle w:val="TableParagraph"/>
              <w:spacing w:before="53"/>
              <w:ind w:left="102"/>
              <w:rPr>
                <w:rFonts w:ascii="Times New Roman" w:eastAsia="Times New Roman" w:hAnsi="Times New Roman" w:cs="Times New Roman"/>
                <w:spacing w:val="-4"/>
                <w:lang w:val="it-IT"/>
              </w:rPr>
            </w:pP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08F1D1D8" w14:textId="15ECF581" w:rsidR="00C54CAA" w:rsidRPr="00C35766" w:rsidRDefault="00C54CAA" w:rsidP="00083924">
            <w:pPr>
              <w:pStyle w:val="TableParagraph"/>
              <w:spacing w:before="53"/>
              <w:ind w:left="102"/>
              <w:rPr>
                <w:rFonts w:ascii="Times New Roman" w:eastAsia="Times New Roman" w:hAnsi="Times New Roman" w:cs="Times New Roman"/>
                <w:spacing w:val="-2"/>
                <w:lang w:val="it-IT"/>
              </w:rPr>
            </w:pPr>
            <w:r w:rsidRPr="00C35766">
              <w:rPr>
                <w:rFonts w:ascii="Times New Roman" w:eastAsia="Times New Roman" w:hAnsi="Times New Roman" w:cs="Times New Roman"/>
                <w:spacing w:val="-2"/>
                <w:lang w:val="it-IT"/>
              </w:rPr>
              <w:t>Non nota</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400C1067" w14:textId="1CDE4074" w:rsidR="00C54CAA" w:rsidRPr="00C35766" w:rsidRDefault="00C54CAA" w:rsidP="00083924">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Aumento di peso</w:t>
            </w:r>
            <w:r w:rsidRPr="00C35766">
              <w:rPr>
                <w:rFonts w:ascii="Times New Roman" w:eastAsia="Times New Roman" w:hAnsi="Times New Roman" w:cs="Times New Roman"/>
                <w:spacing w:val="-1"/>
                <w:vertAlign w:val="superscript"/>
                <w:lang w:val="it-IT"/>
              </w:rPr>
              <w:t>2)</w:t>
            </w:r>
          </w:p>
        </w:tc>
      </w:tr>
      <w:tr w:rsidR="00953B2E" w:rsidRPr="00494E69" w14:paraId="037BC4EB" w14:textId="77777777" w:rsidTr="005A5DEF">
        <w:tc>
          <w:tcPr>
            <w:tcW w:w="1405" w:type="pct"/>
            <w:tcBorders>
              <w:top w:val="single" w:sz="5" w:space="0" w:color="000000"/>
              <w:left w:val="single" w:sz="5" w:space="0" w:color="000000"/>
              <w:bottom w:val="single" w:sz="5" w:space="0" w:color="000000"/>
              <w:right w:val="single" w:sz="5" w:space="0" w:color="000000"/>
            </w:tcBorders>
            <w:tcMar>
              <w:top w:w="57" w:type="dxa"/>
              <w:bottom w:w="57" w:type="dxa"/>
            </w:tcMar>
          </w:tcPr>
          <w:p w14:paraId="28DCF3B1" w14:textId="77777777" w:rsidR="00953B2E" w:rsidRPr="00C35766" w:rsidRDefault="005F0C19" w:rsidP="00083924">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2"/>
                <w:lang w:val="it-IT"/>
              </w:rPr>
              <w:lastRenderedPageBreak/>
              <w:t>Traumatismo, avvelenamento e complicazioni da procedura</w:t>
            </w:r>
          </w:p>
        </w:tc>
        <w:tc>
          <w:tcPr>
            <w:tcW w:w="1122" w:type="pct"/>
            <w:tcBorders>
              <w:top w:val="single" w:sz="5" w:space="0" w:color="000000"/>
              <w:left w:val="single" w:sz="5" w:space="0" w:color="000000"/>
              <w:bottom w:val="single" w:sz="5" w:space="0" w:color="000000"/>
              <w:right w:val="single" w:sz="5" w:space="0" w:color="000000"/>
            </w:tcBorders>
            <w:tcMar>
              <w:top w:w="57" w:type="dxa"/>
              <w:bottom w:w="57" w:type="dxa"/>
            </w:tcMar>
          </w:tcPr>
          <w:p w14:paraId="3F7D98E7" w14:textId="77777777" w:rsidR="00953B2E" w:rsidRPr="00C35766" w:rsidRDefault="005F0C19" w:rsidP="00083924">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Borders>
              <w:top w:val="single" w:sz="5" w:space="0" w:color="000000"/>
              <w:left w:val="single" w:sz="5" w:space="0" w:color="000000"/>
              <w:bottom w:val="single" w:sz="5" w:space="0" w:color="000000"/>
              <w:right w:val="single" w:sz="5" w:space="0" w:color="000000"/>
            </w:tcBorders>
            <w:tcMar>
              <w:top w:w="57" w:type="dxa"/>
              <w:bottom w:w="57" w:type="dxa"/>
            </w:tcMar>
          </w:tcPr>
          <w:p w14:paraId="505FBA52" w14:textId="77777777" w:rsidR="00953B2E" w:rsidRPr="00C35766" w:rsidRDefault="005F0C19" w:rsidP="00083924">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2"/>
                <w:lang w:val="it-IT"/>
              </w:rPr>
              <w:t>Compromissione della guarigione delle ferite</w:t>
            </w:r>
          </w:p>
        </w:tc>
      </w:tr>
    </w:tbl>
    <w:p w14:paraId="3E3E18C7" w14:textId="77777777" w:rsidR="00953B2E" w:rsidRPr="00C35766" w:rsidRDefault="00953B2E">
      <w:pPr>
        <w:spacing w:before="1" w:line="150" w:lineRule="exact"/>
        <w:rPr>
          <w:rFonts w:ascii="Times New Roman" w:hAnsi="Times New Roman" w:cs="Times New Roman"/>
          <w:sz w:val="15"/>
          <w:lang w:val="it-IT"/>
        </w:rPr>
      </w:pPr>
    </w:p>
    <w:p w14:paraId="6F4966FA" w14:textId="77777777" w:rsidR="00953B2E" w:rsidRPr="00C35766" w:rsidRDefault="005F0C19">
      <w:pPr>
        <w:pStyle w:val="a3"/>
        <w:numPr>
          <w:ilvl w:val="0"/>
          <w:numId w:val="0"/>
        </w:numPr>
        <w:rPr>
          <w:lang w:val="pt-BR"/>
        </w:rPr>
      </w:pPr>
      <w:r w:rsidRPr="00C35766">
        <w:rPr>
          <w:rFonts w:eastAsia="Times New Roman"/>
          <w:lang w:val="it-IT"/>
        </w:rPr>
        <w:t>* sono presenti ulteriori informazioni contenute nei paragrafi 4.3, 4.4 e 4.8</w:t>
      </w:r>
    </w:p>
    <w:p w14:paraId="6E00791B" w14:textId="77777777" w:rsidR="00953B2E" w:rsidRPr="00C35766" w:rsidRDefault="005F0C19">
      <w:pPr>
        <w:pStyle w:val="a3"/>
        <w:rPr>
          <w:lang w:val="pt-BR"/>
        </w:rPr>
      </w:pPr>
      <w:r w:rsidRPr="00C35766">
        <w:rPr>
          <w:rFonts w:eastAsia="Times New Roman"/>
          <w:lang w:val="it-IT"/>
        </w:rPr>
        <w:t>** tra cui studi di estensione in aperto</w:t>
      </w:r>
    </w:p>
    <w:p w14:paraId="2332FD6B" w14:textId="78EAA564" w:rsidR="00953B2E" w:rsidRPr="00C35766" w:rsidRDefault="005F0C19">
      <w:pPr>
        <w:pStyle w:val="a3"/>
        <w:rPr>
          <w:rFonts w:eastAsia="Times New Roman"/>
          <w:position w:val="8"/>
          <w:lang w:val="it-IT"/>
        </w:rPr>
      </w:pPr>
      <w:r w:rsidRPr="00C35766">
        <w:rPr>
          <w:rFonts w:eastAsia="Times New Roman"/>
          <w:position w:val="8"/>
          <w:vertAlign w:val="superscript"/>
          <w:lang w:val="it-IT"/>
        </w:rPr>
        <w:t>1)</w:t>
      </w:r>
      <w:r w:rsidRPr="00C35766">
        <w:rPr>
          <w:rFonts w:eastAsia="Times New Roman"/>
          <w:position w:val="8"/>
          <w:sz w:val="14"/>
          <w:szCs w:val="14"/>
          <w:lang w:val="it-IT"/>
        </w:rPr>
        <w:t xml:space="preserve"> </w:t>
      </w:r>
      <w:r w:rsidRPr="00C35766">
        <w:rPr>
          <w:rFonts w:eastAsia="Times New Roman"/>
          <w:position w:val="8"/>
          <w:lang w:val="it-IT"/>
        </w:rPr>
        <w:t>tra cui dati provenienti da segnalazioni spontanee</w:t>
      </w:r>
    </w:p>
    <w:p w14:paraId="4D811CA4" w14:textId="09E43E72" w:rsidR="00C54CAA" w:rsidRPr="00C35766" w:rsidRDefault="00C54CAA" w:rsidP="00F02AC8">
      <w:pPr>
        <w:pStyle w:val="a3"/>
        <w:ind w:left="176" w:hangingChars="80" w:hanging="176"/>
        <w:rPr>
          <w:lang w:val="it-IT"/>
        </w:rPr>
      </w:pPr>
      <w:r w:rsidRPr="00C35766">
        <w:rPr>
          <w:vertAlign w:val="superscript"/>
          <w:lang w:val="it-IT"/>
        </w:rPr>
        <w:t>2)</w:t>
      </w:r>
      <w:r w:rsidRPr="00C35766">
        <w:rPr>
          <w:lang w:val="it-IT"/>
        </w:rPr>
        <w:t xml:space="preserve"> La variazione ponderale media rispetto al basale per adalimumab era compresa tra 0,3 kg e 1,0 kg per le indicazioni per adulti rispetto a (meno) - 0,4 kg e 0,4 kg per il placebo nell’arco di un periodo di trattamento di 4-6 mesi. È stato osservato anche un aumento di peso di 5-6 kg in studi di estensione a lungo termine con esposizioni medie di circa 1-2 anni in assenza di un gruppo di controllo, in particolare nei pazienti affetti da morbo di Crohn e colite ulcerosa. Il meccanismo alla base di questo effetto non è chiaro, ma potrebbe essere associato all’effetto antinfiammatorio di adalimumab.</w:t>
      </w:r>
    </w:p>
    <w:p w14:paraId="7630A80B" w14:textId="77777777" w:rsidR="00953B2E" w:rsidRPr="00C35766" w:rsidRDefault="00953B2E">
      <w:pPr>
        <w:spacing w:before="13" w:line="240" w:lineRule="exact"/>
        <w:rPr>
          <w:rFonts w:ascii="Times New Roman" w:hAnsi="Times New Roman" w:cs="Times New Roman"/>
          <w:sz w:val="24"/>
          <w:szCs w:val="24"/>
          <w:lang w:val="pt-BR"/>
        </w:rPr>
      </w:pPr>
    </w:p>
    <w:p w14:paraId="43AB9459" w14:textId="77777777" w:rsidR="00953B2E" w:rsidRPr="00C35766" w:rsidRDefault="005F0C19">
      <w:pPr>
        <w:pStyle w:val="a3"/>
        <w:rPr>
          <w:u w:val="single"/>
          <w:lang w:val="pt-BR"/>
        </w:rPr>
      </w:pPr>
      <w:r w:rsidRPr="00C35766">
        <w:rPr>
          <w:rFonts w:eastAsia="Times New Roman"/>
          <w:u w:val="single" w:color="000000"/>
          <w:lang w:val="it-IT"/>
        </w:rPr>
        <w:t>Idrosadenite suppurativa</w:t>
      </w:r>
    </w:p>
    <w:p w14:paraId="2866F8F8" w14:textId="77777777" w:rsidR="00953B2E" w:rsidRPr="00C35766" w:rsidRDefault="00953B2E">
      <w:pPr>
        <w:spacing w:before="1" w:line="180" w:lineRule="exact"/>
        <w:rPr>
          <w:rFonts w:ascii="Times New Roman" w:hAnsi="Times New Roman" w:cs="Times New Roman"/>
          <w:sz w:val="18"/>
          <w:szCs w:val="18"/>
          <w:lang w:val="pt-BR"/>
        </w:rPr>
      </w:pPr>
    </w:p>
    <w:p w14:paraId="116A0562" w14:textId="77777777" w:rsidR="00953B2E" w:rsidRPr="00C35766" w:rsidRDefault="005F0C19">
      <w:pPr>
        <w:pStyle w:val="a3"/>
        <w:rPr>
          <w:lang w:val="pt-BR"/>
        </w:rPr>
      </w:pPr>
      <w:r w:rsidRPr="00C35766">
        <w:rPr>
          <w:rFonts w:eastAsia="Times New Roman"/>
          <w:lang w:val="it-IT"/>
        </w:rPr>
        <w:t>Il profilo di sicurezza di adalimumab utilizzato ogni settimana nei pazienti con Idrosadenite Suppurativa (HS) è stato coerente con il profilo di sicurezza noto di adalimumab.</w:t>
      </w:r>
    </w:p>
    <w:p w14:paraId="2B5D386D" w14:textId="77777777" w:rsidR="00953B2E" w:rsidRPr="00C35766" w:rsidRDefault="00953B2E">
      <w:pPr>
        <w:spacing w:before="11" w:line="240" w:lineRule="exact"/>
        <w:rPr>
          <w:rFonts w:ascii="Times New Roman" w:hAnsi="Times New Roman" w:cs="Times New Roman"/>
          <w:sz w:val="24"/>
          <w:szCs w:val="24"/>
          <w:lang w:val="pt-BR"/>
        </w:rPr>
      </w:pPr>
    </w:p>
    <w:p w14:paraId="324A6D70" w14:textId="77777777" w:rsidR="00953B2E" w:rsidRPr="00C35766" w:rsidRDefault="005F0C19">
      <w:pPr>
        <w:pStyle w:val="a3"/>
        <w:rPr>
          <w:u w:val="single"/>
          <w:lang w:val="pt-BR"/>
        </w:rPr>
      </w:pPr>
      <w:r w:rsidRPr="00C35766">
        <w:rPr>
          <w:rFonts w:eastAsia="Times New Roman"/>
          <w:u w:val="single" w:color="000000"/>
          <w:lang w:val="it-IT"/>
        </w:rPr>
        <w:t>Uveite</w:t>
      </w:r>
    </w:p>
    <w:p w14:paraId="6C55323C" w14:textId="77777777" w:rsidR="00953B2E" w:rsidRPr="00C35766" w:rsidRDefault="00953B2E">
      <w:pPr>
        <w:spacing w:before="1" w:line="180" w:lineRule="exact"/>
        <w:rPr>
          <w:rFonts w:ascii="Times New Roman" w:hAnsi="Times New Roman" w:cs="Times New Roman"/>
          <w:sz w:val="18"/>
          <w:szCs w:val="18"/>
          <w:lang w:val="pt-BR"/>
        </w:rPr>
      </w:pPr>
    </w:p>
    <w:p w14:paraId="1B750BC1" w14:textId="77777777" w:rsidR="00953B2E" w:rsidRPr="00C35766" w:rsidRDefault="005F0C19">
      <w:pPr>
        <w:pStyle w:val="a3"/>
        <w:rPr>
          <w:lang w:val="pt-BR"/>
        </w:rPr>
      </w:pPr>
      <w:r w:rsidRPr="00C35766">
        <w:rPr>
          <w:rFonts w:eastAsia="Times New Roman"/>
          <w:lang w:val="it-IT"/>
        </w:rPr>
        <w:t>Il profilo di sicurezza di adalimumab utilizzato a settimane alterne nei pazienti con uverite è stato coerente con il profilo di sicurezza noto di adalimumab.</w:t>
      </w:r>
    </w:p>
    <w:p w14:paraId="7450AA93" w14:textId="77777777" w:rsidR="00953B2E" w:rsidRPr="00C35766" w:rsidRDefault="00953B2E">
      <w:pPr>
        <w:spacing w:before="11" w:line="240" w:lineRule="exact"/>
        <w:rPr>
          <w:rFonts w:ascii="Times New Roman" w:hAnsi="Times New Roman" w:cs="Times New Roman"/>
          <w:sz w:val="24"/>
          <w:szCs w:val="24"/>
          <w:lang w:val="pt-BR"/>
        </w:rPr>
      </w:pPr>
    </w:p>
    <w:p w14:paraId="55ACC3D6" w14:textId="77777777" w:rsidR="00953B2E" w:rsidRPr="00C35766" w:rsidRDefault="005F0C19">
      <w:pPr>
        <w:pStyle w:val="a3"/>
        <w:rPr>
          <w:u w:val="single"/>
          <w:lang w:val="pt-BR"/>
        </w:rPr>
      </w:pPr>
      <w:r w:rsidRPr="00C35766">
        <w:rPr>
          <w:rFonts w:eastAsia="Times New Roman"/>
          <w:u w:val="single" w:color="000000"/>
          <w:lang w:val="it-IT"/>
        </w:rPr>
        <w:t>Descrizione di reazioni avverse selezionate</w:t>
      </w:r>
    </w:p>
    <w:p w14:paraId="5FE1BB16" w14:textId="77777777" w:rsidR="00953B2E" w:rsidRPr="00C35766" w:rsidRDefault="00953B2E">
      <w:pPr>
        <w:pStyle w:val="a3"/>
        <w:rPr>
          <w:sz w:val="18"/>
          <w:szCs w:val="18"/>
          <w:lang w:val="pt-BR"/>
        </w:rPr>
      </w:pPr>
    </w:p>
    <w:p w14:paraId="71D32CBB" w14:textId="77777777" w:rsidR="00953B2E" w:rsidRPr="00C35766" w:rsidRDefault="005F0C19">
      <w:pPr>
        <w:pStyle w:val="a3"/>
        <w:rPr>
          <w:rFonts w:eastAsia="Times New Roman"/>
          <w:lang w:val="pt-BR"/>
        </w:rPr>
      </w:pPr>
      <w:r w:rsidRPr="00C35766">
        <w:rPr>
          <w:rFonts w:eastAsia="Times New Roman"/>
          <w:i/>
          <w:iCs/>
          <w:spacing w:val="-1"/>
          <w:lang w:val="it-IT"/>
        </w:rPr>
        <w:t>Reazioni nel sito di iniezione</w:t>
      </w:r>
    </w:p>
    <w:p w14:paraId="4D67F7CC" w14:textId="77777777" w:rsidR="00953B2E" w:rsidRPr="00C35766" w:rsidRDefault="00953B2E">
      <w:pPr>
        <w:pStyle w:val="a3"/>
        <w:rPr>
          <w:sz w:val="24"/>
          <w:szCs w:val="24"/>
          <w:lang w:val="pt-BR"/>
        </w:rPr>
      </w:pPr>
    </w:p>
    <w:p w14:paraId="289A1C4F" w14:textId="71BBCD72" w:rsidR="00953B2E" w:rsidRPr="00C35766" w:rsidRDefault="005F0C19">
      <w:pPr>
        <w:pStyle w:val="a3"/>
        <w:rPr>
          <w:lang w:val="es-ES"/>
        </w:rPr>
      </w:pPr>
      <w:r w:rsidRPr="00C35766">
        <w:rPr>
          <w:rFonts w:eastAsia="Times New Roman"/>
          <w:lang w:val="it-IT"/>
        </w:rPr>
        <w:t xml:space="preserve">Negli studi clinici registrativi controllati su adulti e bambini, il 12,9% dei pazienti trattati con adalimumab ha manifestato reazioni nel sito d’iniezione (eritema e/o prurito, emorragia, dolore o </w:t>
      </w:r>
      <w:r w:rsidR="009557C6" w:rsidRPr="00C35766">
        <w:rPr>
          <w:rFonts w:eastAsia="Times New Roman"/>
          <w:lang w:val="it-IT"/>
        </w:rPr>
        <w:t>tumefazione</w:t>
      </w:r>
      <w:r w:rsidRPr="00C35766">
        <w:rPr>
          <w:rFonts w:eastAsia="Times New Roman"/>
          <w:lang w:val="it-IT"/>
        </w:rPr>
        <w:t>), rispetto al 7,2% dei pazienti trattati con placebo o con controllo attivo. Le reazioni nel sito d’iniezione non hanno richiesto generalmente la sospensione del medicinale.</w:t>
      </w:r>
    </w:p>
    <w:p w14:paraId="3B3CDC50" w14:textId="77777777" w:rsidR="00953B2E" w:rsidRPr="00C35766" w:rsidRDefault="00953B2E">
      <w:pPr>
        <w:pStyle w:val="a3"/>
        <w:rPr>
          <w:lang w:val="es-ES"/>
        </w:rPr>
      </w:pPr>
    </w:p>
    <w:p w14:paraId="28DCCC32" w14:textId="77777777" w:rsidR="00953B2E" w:rsidRPr="00C35766" w:rsidRDefault="005F0C19">
      <w:pPr>
        <w:pStyle w:val="a3"/>
        <w:rPr>
          <w:rFonts w:eastAsia="Times New Roman"/>
          <w:lang w:val="es-ES"/>
        </w:rPr>
      </w:pPr>
      <w:r w:rsidRPr="00C35766">
        <w:rPr>
          <w:rFonts w:eastAsia="Times New Roman"/>
          <w:i/>
          <w:iCs/>
          <w:spacing w:val="-1"/>
          <w:lang w:val="it-IT"/>
        </w:rPr>
        <w:t>Infezioni</w:t>
      </w:r>
    </w:p>
    <w:p w14:paraId="3992598E" w14:textId="77777777" w:rsidR="00953B2E" w:rsidRPr="00C35766" w:rsidRDefault="00953B2E">
      <w:pPr>
        <w:pStyle w:val="a3"/>
        <w:rPr>
          <w:lang w:val="es-ES"/>
        </w:rPr>
      </w:pPr>
    </w:p>
    <w:p w14:paraId="3E8269B0" w14:textId="77777777" w:rsidR="00953B2E" w:rsidRPr="00C35766" w:rsidRDefault="005F0C19">
      <w:pPr>
        <w:pStyle w:val="a3"/>
        <w:rPr>
          <w:lang w:val="it-IT"/>
        </w:rPr>
      </w:pPr>
      <w:r w:rsidRPr="00C35766">
        <w:rPr>
          <w:rFonts w:eastAsia="Times New Roman"/>
          <w:lang w:val="it-IT"/>
        </w:rPr>
        <w:t>Negli studi clinici registrativi controllati su adulti e bambini, il tasso d’infezione è stato di 1,51 per paziente/anno nel gruppo trattato con adalimumab e di 1,46 per paziente/anno nel gruppo trattato con placebo e con controllo attivo. Le infezioni sono state rappresentate principalmente da rinofaringiti, infezioni delle vie respiratorie superiori e sinusite. La maggior parte dei pazienti ha continuato ad assumere adalimumab dopo la remissione dell’infezione.</w:t>
      </w:r>
    </w:p>
    <w:p w14:paraId="2C1D5B42" w14:textId="77777777" w:rsidR="00953B2E" w:rsidRPr="00C35766" w:rsidRDefault="00953B2E">
      <w:pPr>
        <w:pStyle w:val="a3"/>
        <w:rPr>
          <w:lang w:val="it-IT"/>
        </w:rPr>
      </w:pPr>
    </w:p>
    <w:p w14:paraId="7D42B00A" w14:textId="77777777" w:rsidR="00953B2E" w:rsidRPr="00C35766" w:rsidRDefault="005F0C19">
      <w:pPr>
        <w:pStyle w:val="a3"/>
        <w:rPr>
          <w:lang w:val="it-IT"/>
        </w:rPr>
      </w:pPr>
      <w:r w:rsidRPr="00C35766">
        <w:rPr>
          <w:rFonts w:eastAsia="Times New Roman"/>
          <w:lang w:val="it-IT"/>
        </w:rPr>
        <w:t>L’incidenza di infezioni gravi è stata di 0,04 per paziente/anno nel gruppo trattato con adalimumab e di 0,03 per paziente/anno in quello trattato con placebo e con controllo attivo.</w:t>
      </w:r>
    </w:p>
    <w:p w14:paraId="02687143" w14:textId="77777777" w:rsidR="00953B2E" w:rsidRPr="00C35766" w:rsidRDefault="00953B2E">
      <w:pPr>
        <w:pStyle w:val="a3"/>
        <w:rPr>
          <w:lang w:val="it-IT"/>
        </w:rPr>
      </w:pPr>
    </w:p>
    <w:p w14:paraId="7BCDD41A" w14:textId="4CC5864D" w:rsidR="00953B2E" w:rsidRPr="00C35766" w:rsidRDefault="005F0C19">
      <w:pPr>
        <w:pStyle w:val="a3"/>
        <w:rPr>
          <w:lang w:val="it-IT"/>
        </w:rPr>
      </w:pPr>
      <w:r w:rsidRPr="00C35766">
        <w:rPr>
          <w:rFonts w:eastAsia="Times New Roman"/>
          <w:lang w:val="it-IT"/>
        </w:rPr>
        <w:t xml:space="preserve">Nel corso degli studi controllati e in aperto condotti con adalimumab su adulti e bambini, sono state segnalate infezioni di grave entità (anche infezioni fatali, verificatesi solo raramente), che hanno incluso segnalazioni di casi di tubercolosi (anche con localizzazioni miliari ed extra-polmonari) e infezioni opportunistiche invasive (per esempio, da istoplasmosi disseminata o extrapolmonare, blastomicosi, coccidioidomicosi, pneumocistosi, </w:t>
      </w:r>
      <w:r w:rsidR="009557C6" w:rsidRPr="00C35766">
        <w:rPr>
          <w:rFonts w:eastAsia="Times New Roman"/>
          <w:lang w:val="it-IT"/>
        </w:rPr>
        <w:t>candidiasi</w:t>
      </w:r>
      <w:r w:rsidRPr="00C35766">
        <w:rPr>
          <w:rFonts w:eastAsia="Times New Roman"/>
          <w:lang w:val="it-IT"/>
        </w:rPr>
        <w:t>, aspergillosi e listeriosi). La maggior parte dei casi di tubercolosi si è verificata nel corso dei primi otto mesi dall’inizio della terapia e possono essere interpretati come una recrudescenza della malattia latente.</w:t>
      </w:r>
    </w:p>
    <w:p w14:paraId="224EF591" w14:textId="77777777" w:rsidR="00953B2E" w:rsidRPr="00C35766" w:rsidRDefault="00953B2E">
      <w:pPr>
        <w:pStyle w:val="a3"/>
        <w:rPr>
          <w:lang w:val="it-IT"/>
        </w:rPr>
      </w:pPr>
    </w:p>
    <w:p w14:paraId="4A2F797E" w14:textId="77777777" w:rsidR="00953B2E" w:rsidRPr="00C35766" w:rsidRDefault="005F0C19">
      <w:pPr>
        <w:pStyle w:val="a3"/>
        <w:rPr>
          <w:rFonts w:eastAsia="Times New Roman"/>
          <w:lang w:val="it-IT"/>
        </w:rPr>
      </w:pPr>
      <w:r w:rsidRPr="00C35766">
        <w:rPr>
          <w:rFonts w:eastAsia="Times New Roman"/>
          <w:i/>
          <w:iCs/>
          <w:spacing w:val="-1"/>
          <w:lang w:val="it-IT"/>
        </w:rPr>
        <w:t>Neoplasie e malattie linfoproliferative</w:t>
      </w:r>
    </w:p>
    <w:p w14:paraId="1A54AAFF" w14:textId="77777777" w:rsidR="00953B2E" w:rsidRPr="00C35766" w:rsidRDefault="00953B2E">
      <w:pPr>
        <w:pStyle w:val="a3"/>
        <w:rPr>
          <w:lang w:val="it-IT"/>
        </w:rPr>
      </w:pPr>
    </w:p>
    <w:p w14:paraId="3D30B268" w14:textId="06DB8407" w:rsidR="00953B2E" w:rsidRPr="00C35766" w:rsidRDefault="005F0C19">
      <w:pPr>
        <w:pStyle w:val="a3"/>
        <w:rPr>
          <w:lang w:val="it-IT"/>
        </w:rPr>
      </w:pPr>
      <w:r w:rsidRPr="00C35766">
        <w:rPr>
          <w:rFonts w:eastAsia="Times New Roman"/>
          <w:lang w:val="it-IT"/>
        </w:rPr>
        <w:t xml:space="preserve">Nel corso di studi eseguiti somministrando adalimumab ai pazienti affetti da artrite idiopatica giovanile (artrite idiopatica giovanile poliarticolare e artrite associata ad entesite), non sono state osservate neoplasie maligne nei 249 pazienti pediatrici con un’esposizione di 655,6 anni-paziente. In aggiunta non sono state osservate neoplasie maligne nei 192 pazienti pediatrici con una esposizione di 498,1 anni-paziente durante studi eseguiti somministrando adalimumab ai pazienti pediatrici affetti da Malattia di Crohn. Nel corso di uno studio in cui è stato somministrato adalimumab a pazienti pediatrici con psoriasi cronica a placche, non è stata osservata alcuna neoplasia maligna in 77 pazienti con un’esposizione di 80,0 anni-paziente. </w:t>
      </w:r>
      <w:r w:rsidR="003456B7" w:rsidRPr="004F0B2E">
        <w:rPr>
          <w:rStyle w:val="normaltextrun"/>
          <w:shd w:val="clear" w:color="auto" w:fill="FFFFFF"/>
          <w:lang w:val="it-IT"/>
        </w:rPr>
        <w:t xml:space="preserve">Non sono state osservate neoplasie maligne in 93 pazienti pediatrici con un'esposizione di 65,3 anni-paziente durante uno studio con adalimumab in pazienti pediatrici con colite ulcerosa. </w:t>
      </w:r>
      <w:r w:rsidRPr="00C35766">
        <w:rPr>
          <w:rFonts w:eastAsia="Times New Roman"/>
          <w:lang w:val="it-IT"/>
        </w:rPr>
        <w:t>Nel corso di uno studio in cui è stato somministrato adalimumab a pazienti pediatrici con uveite, non è stata osservata alcuna neoplasia maligna in 60 pazienti pediatrici con un’esposizione di 58,4 anni-paziente.</w:t>
      </w:r>
    </w:p>
    <w:p w14:paraId="10391B59" w14:textId="77777777" w:rsidR="00953B2E" w:rsidRPr="00C35766" w:rsidRDefault="00953B2E">
      <w:pPr>
        <w:spacing w:before="13" w:line="240" w:lineRule="exact"/>
        <w:rPr>
          <w:rFonts w:ascii="Times New Roman" w:hAnsi="Times New Roman" w:cs="Times New Roman"/>
          <w:sz w:val="24"/>
          <w:szCs w:val="24"/>
          <w:lang w:val="it-IT"/>
        </w:rPr>
      </w:pPr>
    </w:p>
    <w:p w14:paraId="79DAD775" w14:textId="50BE036D" w:rsidR="00953B2E" w:rsidRPr="00C35766" w:rsidRDefault="005F0C19">
      <w:pPr>
        <w:pStyle w:val="a3"/>
        <w:rPr>
          <w:lang w:val="it-IT"/>
        </w:rPr>
      </w:pPr>
      <w:r w:rsidRPr="00C35766">
        <w:rPr>
          <w:rFonts w:eastAsia="Times New Roman"/>
          <w:lang w:val="it-IT"/>
        </w:rPr>
        <w:t xml:space="preserve">Nelle sezioni controllate di studi registrativi su adulti con adalimumab della durata di almeno 12 settimane in pazienti con artrite reumatoide attiva di grado da moderato a severo, spondilite anchilosante, spondiloartrite assiale senza evidenza radiografica di SA, artrite psoriasica, psoriasi, idrosadenite suppurativa, malattia di Crohn, colite ulcerosa e uveite, </w:t>
      </w:r>
      <w:r w:rsidR="009557C6" w:rsidRPr="00C35766">
        <w:rPr>
          <w:rFonts w:eastAsia="Times New Roman"/>
          <w:lang w:val="it-IT"/>
        </w:rPr>
        <w:t xml:space="preserve">sono state osservate </w:t>
      </w:r>
      <w:r w:rsidRPr="00C35766">
        <w:rPr>
          <w:rFonts w:eastAsia="Times New Roman"/>
          <w:lang w:val="it-IT"/>
        </w:rPr>
        <w:t xml:space="preserve">neoplasie, oltre a linfoma e carcinoma cutaneo non melanotico con un tasso (95% di intervallo di confidenza) di 6,8 (4,4; 10,5) per 1.000 anni-paziente in 5.291 pazienti trattati con adalimumab </w:t>
      </w:r>
      <w:r w:rsidRPr="00C35766">
        <w:rPr>
          <w:rFonts w:eastAsia="Times New Roman"/>
          <w:i/>
          <w:iCs/>
          <w:lang w:val="it-IT"/>
        </w:rPr>
        <w:t xml:space="preserve">rispetto a </w:t>
      </w:r>
      <w:r w:rsidRPr="00C35766">
        <w:rPr>
          <w:rFonts w:eastAsia="Times New Roman"/>
          <w:lang w:val="it-IT"/>
        </w:rPr>
        <w:t>un tasso di 6,3 (3,4; 11,8) per 1.000 anni-paziente in 3.444 pazienti controllo (la durata mediana del trattamento è stata 4,0 mesi per i pazienti trattati con adalimumab e 3,8 mesi per i pazienti controllo).  Il tasso (95% di intervallo di confidenza) dei carcinomi cutanei non melanotici è stato di 8,8</w:t>
      </w:r>
      <w:r w:rsidR="0032552D" w:rsidRPr="00C35766">
        <w:rPr>
          <w:rFonts w:eastAsia="Times New Roman"/>
          <w:lang w:val="it-IT"/>
        </w:rPr>
        <w:t xml:space="preserve"> </w:t>
      </w:r>
      <w:r w:rsidRPr="00C35766">
        <w:rPr>
          <w:rFonts w:eastAsia="Times New Roman"/>
          <w:lang w:val="it-IT"/>
        </w:rPr>
        <w:t xml:space="preserve">(6,0; 13,0) per 1.000 anni-paziente nei pazienti trattati con adalimumab e 3,2 (1,3;7,6) per 1.000 anni-paziente nei pazienti controllo. Di questi carcinomi cutanei, </w:t>
      </w:r>
      <w:r w:rsidR="0032552D" w:rsidRPr="00C35766">
        <w:rPr>
          <w:rFonts w:eastAsia="Times New Roman"/>
          <w:lang w:val="it-IT"/>
        </w:rPr>
        <w:t xml:space="preserve">i </w:t>
      </w:r>
      <w:r w:rsidRPr="00C35766">
        <w:rPr>
          <w:rFonts w:eastAsia="Times New Roman"/>
          <w:lang w:val="it-IT"/>
        </w:rPr>
        <w:t>carcinomi a cellule squamose si sono verificati con tassi (95% di intervallo di confidenza) di 2,7 (1,4; 5,4) per 1.000 anni-paziente nei pazienti trattati con adalimumab e 0,6 (0,1;4,5) per 1.000 anni-paziente nei pazienti controllo. Il tasso (95% di intervallo di confidenza) di linfomi è stato di 0,7 (0,2; 2,7) per 1.000 anni-paziente nei pazienti trattati con adalimumab e 0,6 (0,1; 4,5) per 1.000 anni-paziente nei pazienti controllo.</w:t>
      </w:r>
    </w:p>
    <w:p w14:paraId="5B889133" w14:textId="77777777" w:rsidR="00953B2E" w:rsidRPr="00C35766" w:rsidRDefault="00953B2E">
      <w:pPr>
        <w:spacing w:before="13" w:line="240" w:lineRule="exact"/>
        <w:rPr>
          <w:rFonts w:ascii="Times New Roman" w:hAnsi="Times New Roman" w:cs="Times New Roman"/>
          <w:sz w:val="24"/>
          <w:szCs w:val="24"/>
          <w:lang w:val="it-IT"/>
        </w:rPr>
      </w:pPr>
    </w:p>
    <w:p w14:paraId="2137285F" w14:textId="24964311" w:rsidR="00953B2E" w:rsidRPr="00C35766" w:rsidRDefault="005F0C19">
      <w:pPr>
        <w:pStyle w:val="a3"/>
        <w:rPr>
          <w:lang w:val="it-IT"/>
        </w:rPr>
      </w:pPr>
      <w:r w:rsidRPr="00C35766">
        <w:rPr>
          <w:rFonts w:eastAsia="Times New Roman"/>
          <w:lang w:val="it-IT"/>
        </w:rPr>
        <w:t>Quando vengono combinate parti controllate di questi studi e studi di estensione in aperto sia in corso che completati con una durata media</w:t>
      </w:r>
      <w:r w:rsidR="0032552D" w:rsidRPr="00C35766">
        <w:rPr>
          <w:rFonts w:eastAsia="Times New Roman"/>
          <w:lang w:val="it-IT"/>
        </w:rPr>
        <w:t>na</w:t>
      </w:r>
      <w:r w:rsidRPr="00C35766">
        <w:rPr>
          <w:rFonts w:eastAsia="Times New Roman"/>
          <w:lang w:val="it-IT"/>
        </w:rPr>
        <w:t xml:space="preserve"> di circa 3,3 anni includendo 6.427 pazienti e più di 26.439 anni-paziente di terapia, il tasso di neoplasie osservate, a parte linfoma e carcinoma cutaneo non melanotico, è di circa 8,5 per 1.000 anni-paziente. Il tasso osservato di carcinoma cutaneo non melanotico è di circa 9,6 per 1.000 anni-paziente e il tasso osservato di linfomi è di circa 1,3 per 1.000 anni-paziente.</w:t>
      </w:r>
    </w:p>
    <w:p w14:paraId="5C148BFE" w14:textId="77777777" w:rsidR="00953B2E" w:rsidRPr="00C35766" w:rsidRDefault="00953B2E">
      <w:pPr>
        <w:spacing w:before="14" w:line="240" w:lineRule="exact"/>
        <w:rPr>
          <w:rFonts w:ascii="Times New Roman" w:hAnsi="Times New Roman" w:cs="Times New Roman"/>
          <w:sz w:val="24"/>
          <w:szCs w:val="24"/>
          <w:lang w:val="it-IT"/>
        </w:rPr>
      </w:pPr>
    </w:p>
    <w:p w14:paraId="1B4B740E" w14:textId="541DDB61" w:rsidR="00953B2E" w:rsidRPr="00C35766" w:rsidRDefault="005F0C19">
      <w:pPr>
        <w:pStyle w:val="a3"/>
        <w:rPr>
          <w:lang w:val="pt-BR"/>
        </w:rPr>
      </w:pPr>
      <w:r w:rsidRPr="00C35766">
        <w:rPr>
          <w:rFonts w:eastAsia="Times New Roman"/>
          <w:lang w:val="it-IT"/>
        </w:rPr>
        <w:t xml:space="preserve">Nell’esperienza post-marketing da gennaio 2003 a dicembre 2010, principalmente in pazienti affetti da artrite reumatoide, il tasso di neoplasie </w:t>
      </w:r>
      <w:r w:rsidR="00AB1E93" w:rsidRPr="00BD232C">
        <w:rPr>
          <w:color w:val="000000"/>
          <w:lang w:val="it-IT"/>
        </w:rPr>
        <w:t xml:space="preserve">riportato spontaneamente </w:t>
      </w:r>
      <w:r w:rsidRPr="00C35766">
        <w:rPr>
          <w:rFonts w:eastAsia="Times New Roman"/>
          <w:lang w:val="it-IT"/>
        </w:rPr>
        <w:t xml:space="preserve">è di circa 2,7 per 1.000 anni trattamento/paziente. I tassi riportati </w:t>
      </w:r>
      <w:r w:rsidR="00994F16" w:rsidRPr="00BD232C">
        <w:rPr>
          <w:color w:val="000000"/>
          <w:lang w:val="it-IT"/>
        </w:rPr>
        <w:t>spontaneamente</w:t>
      </w:r>
      <w:r w:rsidR="00BB1FD3" w:rsidRPr="00BD232C">
        <w:rPr>
          <w:color w:val="000000"/>
          <w:lang w:val="it-IT"/>
        </w:rPr>
        <w:t>,</w:t>
      </w:r>
      <w:r w:rsidR="00994F16" w:rsidRPr="00BD232C">
        <w:rPr>
          <w:color w:val="000000"/>
          <w:lang w:val="it-IT"/>
        </w:rPr>
        <w:t xml:space="preserve"> </w:t>
      </w:r>
      <w:r w:rsidRPr="00C35766">
        <w:rPr>
          <w:rFonts w:eastAsia="Times New Roman"/>
          <w:lang w:val="it-IT"/>
        </w:rPr>
        <w:t>rispettivamente per carcinomi cutanei non melanotici e linfomi</w:t>
      </w:r>
      <w:r w:rsidR="00BB1FD3">
        <w:rPr>
          <w:rFonts w:eastAsia="Times New Roman"/>
          <w:lang w:val="it-IT"/>
        </w:rPr>
        <w:t>,</w:t>
      </w:r>
      <w:r w:rsidRPr="00C35766">
        <w:rPr>
          <w:rFonts w:eastAsia="Times New Roman"/>
          <w:lang w:val="it-IT"/>
        </w:rPr>
        <w:t xml:space="preserve"> sono di circa 0,2 e 0,3 per 1.000 anni trattamento/paziente (vedere paragrafo 4.4).</w:t>
      </w:r>
    </w:p>
    <w:p w14:paraId="38AFFC54" w14:textId="77777777" w:rsidR="00953B2E" w:rsidRPr="00C35766" w:rsidRDefault="00953B2E">
      <w:pPr>
        <w:spacing w:before="17" w:line="240" w:lineRule="exact"/>
        <w:rPr>
          <w:rFonts w:ascii="Times New Roman" w:hAnsi="Times New Roman" w:cs="Times New Roman"/>
          <w:sz w:val="24"/>
          <w:szCs w:val="24"/>
          <w:lang w:val="pt-BR"/>
        </w:rPr>
      </w:pPr>
    </w:p>
    <w:p w14:paraId="526FE1AE" w14:textId="77777777" w:rsidR="00953B2E" w:rsidRPr="00C35766" w:rsidRDefault="005F0C19">
      <w:pPr>
        <w:pStyle w:val="a3"/>
        <w:rPr>
          <w:lang w:val="pt-BR"/>
        </w:rPr>
      </w:pPr>
      <w:r w:rsidRPr="00C35766">
        <w:rPr>
          <w:rFonts w:eastAsia="Times New Roman"/>
          <w:lang w:val="it-IT"/>
        </w:rPr>
        <w:t>Nell’esperienza post-marketing sono stati segnalati rari casi di linfoma epatosplenico a cellule T nei pazienti trattati con adalimumab (vedere paragrafo 4.4).</w:t>
      </w:r>
    </w:p>
    <w:p w14:paraId="2931AEC6" w14:textId="77777777" w:rsidR="00953B2E" w:rsidRPr="00C35766" w:rsidRDefault="00953B2E">
      <w:pPr>
        <w:pStyle w:val="a3"/>
        <w:rPr>
          <w:sz w:val="24"/>
          <w:szCs w:val="24"/>
          <w:lang w:val="pt-BR"/>
        </w:rPr>
      </w:pPr>
    </w:p>
    <w:p w14:paraId="720A9E3F" w14:textId="77777777" w:rsidR="00953B2E" w:rsidRPr="00C35766" w:rsidRDefault="005F0C19">
      <w:pPr>
        <w:pStyle w:val="a3"/>
        <w:rPr>
          <w:rFonts w:eastAsia="Times New Roman"/>
          <w:lang w:val="pt-BR"/>
        </w:rPr>
      </w:pPr>
      <w:r w:rsidRPr="00C35766">
        <w:rPr>
          <w:rFonts w:eastAsia="Times New Roman"/>
          <w:i/>
          <w:iCs/>
          <w:spacing w:val="-1"/>
          <w:lang w:val="it-IT"/>
        </w:rPr>
        <w:t>Autoanticorpi</w:t>
      </w:r>
    </w:p>
    <w:p w14:paraId="1C65B932" w14:textId="77777777" w:rsidR="00953B2E" w:rsidRPr="00C35766" w:rsidRDefault="00953B2E">
      <w:pPr>
        <w:pStyle w:val="a3"/>
        <w:rPr>
          <w:sz w:val="24"/>
          <w:szCs w:val="24"/>
          <w:lang w:val="pt-BR"/>
        </w:rPr>
      </w:pPr>
    </w:p>
    <w:p w14:paraId="057E72A2" w14:textId="5D01EDBB" w:rsidR="00953B2E" w:rsidRPr="00C35766" w:rsidRDefault="005F0C19">
      <w:pPr>
        <w:pStyle w:val="a3"/>
        <w:rPr>
          <w:lang w:val="it-IT"/>
        </w:rPr>
      </w:pPr>
      <w:r w:rsidRPr="00C35766">
        <w:rPr>
          <w:rFonts w:eastAsia="Times New Roman"/>
          <w:lang w:val="it-IT"/>
        </w:rPr>
        <w:t xml:space="preserve">Nel corso degli studi I-V condotti sull’artrite reumatoide, sono stati analizzati, a vari intervalli temporali, i campioni sierici dei pazienti per la valutazione degli autoanticorpi. In questi studi, l’11,9% dei pazienti trattati con adalimumab e l’8,1% dei pazienti trattati con placebo e con controllo attivo, che presentavano valori negativi di anticorpi antinucleo al basale, ha presentato valori positivi alla settimana 24. Due pazienti su 3.441 trattati con adalimumab nel corso di tutti gli studi condotti sull’artrite reumatoide e sull’artrite psoriasica hanno manifestato segni clinici che indicavano </w:t>
      </w:r>
      <w:r w:rsidR="0032552D" w:rsidRPr="00C35766">
        <w:rPr>
          <w:rFonts w:eastAsia="Times New Roman"/>
          <w:lang w:val="it-IT"/>
        </w:rPr>
        <w:t xml:space="preserve">l’insorgenza </w:t>
      </w:r>
      <w:r w:rsidRPr="00C35766">
        <w:rPr>
          <w:rFonts w:eastAsia="Times New Roman"/>
          <w:lang w:val="it-IT"/>
        </w:rPr>
        <w:t xml:space="preserve">di una sindrome simile al lupus. I </w:t>
      </w:r>
      <w:r w:rsidRPr="00C35766">
        <w:rPr>
          <w:rFonts w:eastAsia="Times New Roman"/>
          <w:lang w:val="it-IT"/>
        </w:rPr>
        <w:lastRenderedPageBreak/>
        <w:t>pazienti sono migliorati dopo la sospensione della terapia. Nessun paziente ha sviluppato una nefrite da lupus o sintomi a carico del sistema nervoso centrale.</w:t>
      </w:r>
    </w:p>
    <w:p w14:paraId="5F005E8E" w14:textId="77777777" w:rsidR="00953B2E" w:rsidRPr="00C35766" w:rsidRDefault="00953B2E">
      <w:pPr>
        <w:pStyle w:val="a3"/>
        <w:rPr>
          <w:sz w:val="24"/>
          <w:szCs w:val="24"/>
          <w:lang w:val="it-IT"/>
        </w:rPr>
      </w:pPr>
    </w:p>
    <w:p w14:paraId="2C386626" w14:textId="2E5BA7E7" w:rsidR="00953B2E" w:rsidRPr="00C35766" w:rsidRDefault="005F0C19">
      <w:pPr>
        <w:pStyle w:val="a3"/>
        <w:rPr>
          <w:rFonts w:eastAsia="Times New Roman"/>
          <w:lang w:val="it-IT"/>
        </w:rPr>
      </w:pPr>
      <w:r w:rsidRPr="00C35766">
        <w:rPr>
          <w:rFonts w:eastAsia="Times New Roman"/>
          <w:i/>
          <w:iCs/>
          <w:lang w:val="it-IT"/>
        </w:rPr>
        <w:t xml:space="preserve">Eventi </w:t>
      </w:r>
      <w:r w:rsidR="00CD7FB2" w:rsidRPr="00C35766">
        <w:rPr>
          <w:rFonts w:eastAsia="Times New Roman"/>
          <w:i/>
          <w:iCs/>
          <w:lang w:val="it-IT"/>
        </w:rPr>
        <w:t>epato-biliari</w:t>
      </w:r>
    </w:p>
    <w:p w14:paraId="0AB37D40" w14:textId="77777777" w:rsidR="00953B2E" w:rsidRPr="00C35766" w:rsidRDefault="00953B2E">
      <w:pPr>
        <w:pStyle w:val="a3"/>
        <w:rPr>
          <w:sz w:val="24"/>
          <w:szCs w:val="24"/>
          <w:lang w:val="it-IT"/>
        </w:rPr>
      </w:pPr>
    </w:p>
    <w:p w14:paraId="22D8B1A1" w14:textId="77777777" w:rsidR="00953B2E" w:rsidRPr="00C35766" w:rsidRDefault="005F0C19">
      <w:pPr>
        <w:pStyle w:val="a3"/>
        <w:rPr>
          <w:lang w:val="it-IT"/>
        </w:rPr>
      </w:pPr>
      <w:r w:rsidRPr="00C35766">
        <w:rPr>
          <w:rFonts w:eastAsia="Times New Roman"/>
          <w:lang w:val="it-IT"/>
        </w:rPr>
        <w:t>Negli studi clinici controllati di Fase 3 di adalimumab in pazienti con artrite reumatoide e artrite psoriasica con una durata del periodo di controllo che va da 4 a 104 settimane, gli aumenti delle transaminasi ALT superiori o uguali a tre volte il limite superiore di normalità (ULN) si sono verificati nel 3,7% dei pazienti trattati con adalimumab e nell’1,6% dei pazienti trattati con il controllo.</w:t>
      </w:r>
    </w:p>
    <w:p w14:paraId="6E233BDC" w14:textId="77777777" w:rsidR="00953B2E" w:rsidRPr="00C35766" w:rsidRDefault="00953B2E">
      <w:pPr>
        <w:pStyle w:val="a3"/>
        <w:rPr>
          <w:sz w:val="24"/>
          <w:szCs w:val="24"/>
          <w:lang w:val="it-IT"/>
        </w:rPr>
      </w:pPr>
    </w:p>
    <w:p w14:paraId="58BC66F9" w14:textId="77777777" w:rsidR="00953B2E" w:rsidRPr="00C35766" w:rsidRDefault="005F0C19">
      <w:pPr>
        <w:pStyle w:val="a3"/>
        <w:rPr>
          <w:lang w:val="it-IT"/>
        </w:rPr>
      </w:pPr>
      <w:r w:rsidRPr="00C35766">
        <w:rPr>
          <w:rFonts w:eastAsia="Times New Roman"/>
          <w:lang w:val="it-IT"/>
        </w:rPr>
        <w:t>Negli studi clinici controllati di Fase 3 di adalimumab in pazienti con artrite idiopatica giovanile poliarticolare che avevano da 4 a 17 anni di età e in pazienti con artrite associata ad entesite, dai 6 ai 17 anni di età, gli aumenti delle transaminasi ALT superiori o uguali a tre volte l’ULN si sono verificati nel 6,1% dei pazienti trattati con adalimumab e nell’1,3% dei pazienti trattati con il farmaco di controllo. La maggior parte degli aumenti delle transaminasi ALT si sono verificati con l’uso concomitante di metotressato. Non si sono verificati aumenti delle transaminasi ALT superiori o uguali a tre volte l’ULN nello studio clinico di Fase 3 con adalimumab in pazienti con artrite idiopatica giovanile poliarticolare di età compresa tra 2 e &lt; 4 anni.</w:t>
      </w:r>
    </w:p>
    <w:p w14:paraId="4EC748A1" w14:textId="77777777" w:rsidR="00953B2E" w:rsidRPr="00C35766" w:rsidRDefault="00953B2E">
      <w:pPr>
        <w:pStyle w:val="a3"/>
        <w:rPr>
          <w:sz w:val="24"/>
          <w:szCs w:val="24"/>
          <w:lang w:val="it-IT"/>
        </w:rPr>
      </w:pPr>
    </w:p>
    <w:p w14:paraId="4E3A3116" w14:textId="77777777" w:rsidR="00953B2E" w:rsidRPr="00C35766" w:rsidRDefault="005F0C19">
      <w:pPr>
        <w:pStyle w:val="a3"/>
        <w:rPr>
          <w:lang w:val="it-IT"/>
        </w:rPr>
      </w:pPr>
      <w:r w:rsidRPr="00C35766">
        <w:rPr>
          <w:rFonts w:eastAsia="Times New Roman"/>
          <w:lang w:val="it-IT"/>
        </w:rPr>
        <w:t>Negli studi clinici controllati di Fase 3 di adalimumab in pazienti con malattia di Crohn e colite ulcerosa con un periodo di controllo che va da 4 a 52 settimane, gli aumenti delle transaminasi ALT superiori o uguali a tre volte l’ULN si sono verificati nello 0,9% dei pazienti trattati con adalimumab e nello 0,9% dei pazienti trattati con il controllo.</w:t>
      </w:r>
    </w:p>
    <w:p w14:paraId="297A08B6" w14:textId="77777777" w:rsidR="00953B2E" w:rsidRPr="00C35766" w:rsidRDefault="00953B2E">
      <w:pPr>
        <w:spacing w:before="11" w:line="240" w:lineRule="exact"/>
        <w:rPr>
          <w:rFonts w:ascii="Times New Roman" w:hAnsi="Times New Roman" w:cs="Times New Roman"/>
          <w:sz w:val="24"/>
          <w:szCs w:val="24"/>
          <w:lang w:val="it-IT"/>
        </w:rPr>
      </w:pPr>
    </w:p>
    <w:p w14:paraId="49AD014A" w14:textId="77777777" w:rsidR="00953B2E" w:rsidRPr="00C35766" w:rsidRDefault="005F0C19">
      <w:pPr>
        <w:pStyle w:val="a3"/>
        <w:rPr>
          <w:lang w:val="it-IT"/>
        </w:rPr>
      </w:pPr>
      <w:r w:rsidRPr="00C35766">
        <w:rPr>
          <w:rFonts w:eastAsia="Times New Roman"/>
          <w:lang w:val="it-IT"/>
        </w:rPr>
        <w:t xml:space="preserve">Nello studio di fase 3 di adalimumab, in pazienti con malattia di Crohn in età pediatrica, che ha valutato la sicurezza e l’efficacia dei due regimi posologici aggiustati per il peso corporeo per la terapia di mantenimento che segue la terapia di induzione aggiustata per il peso </w:t>
      </w:r>
      <w:r w:rsidR="0032552D" w:rsidRPr="00C35766">
        <w:rPr>
          <w:rFonts w:eastAsia="Times New Roman"/>
          <w:lang w:val="it-IT"/>
        </w:rPr>
        <w:t xml:space="preserve">corporeo </w:t>
      </w:r>
      <w:r w:rsidRPr="00C35766">
        <w:rPr>
          <w:rFonts w:eastAsia="Times New Roman"/>
          <w:lang w:val="it-IT"/>
        </w:rPr>
        <w:t>fino a 52 settimane</w:t>
      </w:r>
      <w:r w:rsidR="0032552D" w:rsidRPr="00C35766">
        <w:rPr>
          <w:rFonts w:eastAsia="Times New Roman"/>
          <w:lang w:val="it-IT"/>
        </w:rPr>
        <w:t xml:space="preserve"> di trattamento</w:t>
      </w:r>
      <w:r w:rsidRPr="00C35766">
        <w:rPr>
          <w:rFonts w:eastAsia="Times New Roman"/>
          <w:lang w:val="it-IT"/>
        </w:rPr>
        <w:t>, sono stati trovati livelli di ALT superiori o uguali a tre volte l’ULN nel 2,6% (5/192) dei pazienti di cui 4 ricevevano un trattamento concomitante con immunosoppressori al basale.</w:t>
      </w:r>
    </w:p>
    <w:p w14:paraId="0D173F30" w14:textId="77777777" w:rsidR="00953B2E" w:rsidRPr="00C35766" w:rsidRDefault="00953B2E">
      <w:pPr>
        <w:spacing w:before="13" w:line="240" w:lineRule="exact"/>
        <w:rPr>
          <w:rFonts w:ascii="Times New Roman" w:hAnsi="Times New Roman" w:cs="Times New Roman"/>
          <w:sz w:val="24"/>
          <w:szCs w:val="24"/>
          <w:lang w:val="it-IT"/>
        </w:rPr>
      </w:pPr>
    </w:p>
    <w:p w14:paraId="4FDFDCF8" w14:textId="77777777" w:rsidR="00953B2E" w:rsidRPr="00C35766" w:rsidRDefault="005F0C19">
      <w:pPr>
        <w:pStyle w:val="a3"/>
        <w:rPr>
          <w:lang w:val="it-IT"/>
        </w:rPr>
      </w:pPr>
      <w:r w:rsidRPr="00C35766">
        <w:rPr>
          <w:rFonts w:eastAsia="Times New Roman"/>
          <w:lang w:val="it-IT"/>
        </w:rPr>
        <w:t>Negli studi clinici controllati di Fase 3 di adalimumab in pazienti con psoriasi a placche con una durata del periodo di controllo che va da 12 a 24 settimane, gli aumenti delle transaminasi ALT superiori o uguali a tre volte il limite superiore di normalità si sono verificati nell’1,8% dei pazienti trattati con adalimumab e nell’1,8% dei pazienti trattati con il controllo.</w:t>
      </w:r>
    </w:p>
    <w:p w14:paraId="5A2CE956" w14:textId="77777777" w:rsidR="00953B2E" w:rsidRPr="00C35766" w:rsidRDefault="00953B2E">
      <w:pPr>
        <w:spacing w:before="17" w:line="240" w:lineRule="exact"/>
        <w:rPr>
          <w:rFonts w:ascii="Times New Roman" w:hAnsi="Times New Roman" w:cs="Times New Roman"/>
          <w:sz w:val="24"/>
          <w:szCs w:val="24"/>
          <w:lang w:val="it-IT"/>
        </w:rPr>
      </w:pPr>
    </w:p>
    <w:p w14:paraId="080080E1" w14:textId="77777777" w:rsidR="00953B2E" w:rsidRPr="00C35766" w:rsidRDefault="005F0C19">
      <w:pPr>
        <w:pStyle w:val="a3"/>
        <w:rPr>
          <w:lang w:val="it-IT"/>
        </w:rPr>
      </w:pPr>
      <w:r w:rsidRPr="00C35766">
        <w:rPr>
          <w:rFonts w:eastAsia="Times New Roman"/>
          <w:lang w:val="it-IT"/>
        </w:rPr>
        <w:t>Nello studio di fase 3 di adalimumab in pazienti pediatrici con psoriasi a placche non si è verificato alcun aumento dei livelli di ALT superiore o uguale a tre volte l’ULN.</w:t>
      </w:r>
    </w:p>
    <w:p w14:paraId="165CFC27" w14:textId="77777777" w:rsidR="00953B2E" w:rsidRPr="00C35766" w:rsidRDefault="00953B2E">
      <w:pPr>
        <w:spacing w:before="11" w:line="240" w:lineRule="exact"/>
        <w:rPr>
          <w:rFonts w:ascii="Times New Roman" w:hAnsi="Times New Roman" w:cs="Times New Roman"/>
          <w:sz w:val="24"/>
          <w:szCs w:val="24"/>
          <w:lang w:val="it-IT"/>
        </w:rPr>
      </w:pPr>
    </w:p>
    <w:p w14:paraId="0842116E" w14:textId="77777777" w:rsidR="00953B2E" w:rsidRPr="00C35766" w:rsidRDefault="005F0C19">
      <w:pPr>
        <w:pStyle w:val="a3"/>
        <w:rPr>
          <w:lang w:val="it-IT"/>
        </w:rPr>
      </w:pPr>
      <w:r w:rsidRPr="00C35766">
        <w:rPr>
          <w:rFonts w:eastAsia="Times New Roman"/>
          <w:lang w:val="it-IT"/>
        </w:rPr>
        <w:t>Negli studi clinici controllati di adalimumab (dosi iniziali di 160 mg alla settimana 0 e 80 mg alla settimana 2, seguiti da 40 mg ogni settimana a partire dalla settimana 4) in pazienti con idrosadenite suppurativa, con una durata del periodo di controllo tra 12 e 16 settimane, aumenti dei livelli di ALT superiori o uguali a tre volte l’ULN si sono verificati nello 0,3% dei pazienti trattati con adalimumab e nello 0,6% dei pazienti trattati con il controllo.</w:t>
      </w:r>
    </w:p>
    <w:p w14:paraId="69A35158" w14:textId="77777777" w:rsidR="00953B2E" w:rsidRPr="00C35766" w:rsidRDefault="00953B2E">
      <w:pPr>
        <w:spacing w:before="17" w:line="240" w:lineRule="exact"/>
        <w:rPr>
          <w:rFonts w:ascii="Times New Roman" w:hAnsi="Times New Roman" w:cs="Times New Roman"/>
          <w:sz w:val="24"/>
          <w:szCs w:val="24"/>
          <w:lang w:val="it-IT"/>
        </w:rPr>
      </w:pPr>
    </w:p>
    <w:p w14:paraId="39749980" w14:textId="45008CA8" w:rsidR="00953B2E" w:rsidRPr="00C35766" w:rsidRDefault="005F0C19">
      <w:pPr>
        <w:pStyle w:val="a3"/>
        <w:rPr>
          <w:lang w:val="it-IT"/>
        </w:rPr>
      </w:pPr>
      <w:r w:rsidRPr="00C35766">
        <w:rPr>
          <w:rFonts w:eastAsia="Times New Roman"/>
          <w:lang w:val="it-IT"/>
        </w:rPr>
        <w:t>Negli studi clinici controllati di adalimumab (dosi iniziali di 80 mg alla settimana 0 seguiti da 40 mg a settimane alterne a partire dalla settimana 1) in pazienti adulti con uveite fino a 80 settimane con un’esposizione mediana rispettivamente di 166,5 giorni nei pazienti trattati con adalimumab e di 105,0 giorni nei pazienti trattati con il controllo, aumenti dei livelli di ALT superiori o uguali a tre volte l’ULN si sono verificati nel 2,4% dei pazienti trattati con adalimumab e nel 2,4% dei pazienti trattati con il controllo.</w:t>
      </w:r>
    </w:p>
    <w:p w14:paraId="493198FE" w14:textId="75B976FF" w:rsidR="00953B2E" w:rsidRPr="00C35766" w:rsidRDefault="00953B2E">
      <w:pPr>
        <w:spacing w:before="11" w:line="240" w:lineRule="exact"/>
        <w:rPr>
          <w:rFonts w:ascii="Times New Roman" w:hAnsi="Times New Roman" w:cs="Times New Roman"/>
          <w:sz w:val="24"/>
          <w:szCs w:val="24"/>
          <w:lang w:val="it-IT"/>
        </w:rPr>
      </w:pPr>
    </w:p>
    <w:p w14:paraId="466BB243" w14:textId="348FB784" w:rsidR="003456B7" w:rsidRPr="00C35766" w:rsidRDefault="003456B7" w:rsidP="003456B7">
      <w:pPr>
        <w:rPr>
          <w:rStyle w:val="normaltextrun"/>
          <w:rFonts w:ascii="Times New Roman" w:hAnsi="Times New Roman" w:cs="Times New Roman"/>
          <w:shd w:val="clear" w:color="auto" w:fill="FFFFFF"/>
          <w:lang w:val="it-IT"/>
        </w:rPr>
      </w:pPr>
      <w:r w:rsidRPr="00C35766">
        <w:rPr>
          <w:rStyle w:val="normaltextrun"/>
          <w:rFonts w:ascii="Times New Roman" w:hAnsi="Times New Roman" w:cs="Times New Roman"/>
          <w:shd w:val="clear" w:color="auto" w:fill="FFFFFF"/>
          <w:lang w:val="it-IT"/>
        </w:rPr>
        <w:t xml:space="preserve">Nello studio controllato di fase 3 di adalimumab in pazienti con colite ulcerosa pediatrica (N=93) che ha valutato l'efficacia e la sicurezza di una dose di mantenimento di 0,6 mg/kg (massimo 40 mg) ogni due settimane (N=31) e di una dose di mantenimento di 0,6 mg/kg (massimo 40 mg) ogni settimana (N=32), a </w:t>
      </w:r>
      <w:r w:rsidRPr="00C35766">
        <w:rPr>
          <w:rStyle w:val="normaltextrun"/>
          <w:rFonts w:ascii="Times New Roman" w:hAnsi="Times New Roman" w:cs="Times New Roman"/>
          <w:shd w:val="clear" w:color="auto" w:fill="FFFFFF"/>
          <w:lang w:val="it-IT"/>
        </w:rPr>
        <w:lastRenderedPageBreak/>
        <w:t>seguito di una dose di induzione aggiustata per il peso corporeo di 2,4 mg/kg (massimo 160 mg) alla Settimana 0 e alla Settimana 1, e di 1,2 mg/kg (massimo 80 mg) alla Settimana 2 (N=63), o di una dose di induzione di 2,4 mg/kg (massimo 160 mg) alla Settimana 0, placebo alla Settimana 1, e 1,2 mg/kg (massimo 80 mg) alla Settimana 2 (N=30), sono stati riscontrati aumenti delle ALT ≥ 3 X ULN nell'1,1% (1/93) dei pazienti.</w:t>
      </w:r>
    </w:p>
    <w:p w14:paraId="6717095F" w14:textId="77777777" w:rsidR="003456B7" w:rsidRPr="00C35766" w:rsidRDefault="003456B7">
      <w:pPr>
        <w:spacing w:before="11" w:line="240" w:lineRule="exact"/>
        <w:rPr>
          <w:rFonts w:ascii="Times New Roman" w:hAnsi="Times New Roman" w:cs="Times New Roman"/>
          <w:sz w:val="24"/>
          <w:szCs w:val="24"/>
          <w:lang w:val="it-IT"/>
        </w:rPr>
      </w:pPr>
    </w:p>
    <w:p w14:paraId="0EC72BC8" w14:textId="0D45223C" w:rsidR="00953B2E" w:rsidRPr="00C35766" w:rsidRDefault="005F0C19">
      <w:pPr>
        <w:pStyle w:val="a3"/>
        <w:rPr>
          <w:lang w:val="it-IT"/>
        </w:rPr>
      </w:pPr>
      <w:r w:rsidRPr="00C35766">
        <w:rPr>
          <w:rFonts w:eastAsia="Times New Roman"/>
          <w:lang w:val="it-IT"/>
        </w:rPr>
        <w:t xml:space="preserve">Negli studi clinici, in tutte le indicazioni, i pazienti con livelli aumentati di transaminasi ALT erano asintomatici e nella maggior parte dei casi gli innalzamenti erano transitori e si sono risolti nel corso del trattamento. Tuttavia, in pazienti trattati con adalimumab, sono stati riportati anche casi post-marketing di insufficienza epatica come pure di disordini epatici meno </w:t>
      </w:r>
      <w:r w:rsidR="0032552D" w:rsidRPr="00C35766">
        <w:rPr>
          <w:rFonts w:eastAsia="Times New Roman"/>
          <w:lang w:val="it-IT"/>
        </w:rPr>
        <w:t xml:space="preserve">severi </w:t>
      </w:r>
      <w:r w:rsidRPr="00C35766">
        <w:rPr>
          <w:rFonts w:eastAsia="Times New Roman"/>
          <w:lang w:val="it-IT"/>
        </w:rPr>
        <w:t>che possono precedere l’insufficienza epatica, come l’epatite, inclusa l’epatite autoimmune.</w:t>
      </w:r>
    </w:p>
    <w:p w14:paraId="09E75387" w14:textId="77777777" w:rsidR="00953B2E" w:rsidRPr="00C35766" w:rsidRDefault="00953B2E">
      <w:pPr>
        <w:pStyle w:val="a3"/>
        <w:rPr>
          <w:u w:color="000000"/>
          <w:lang w:val="it-IT"/>
        </w:rPr>
      </w:pPr>
    </w:p>
    <w:p w14:paraId="0A7C1A8B" w14:textId="77777777" w:rsidR="00953B2E" w:rsidRPr="00C35766" w:rsidRDefault="005F0C19">
      <w:pPr>
        <w:pStyle w:val="a3"/>
        <w:rPr>
          <w:u w:val="single"/>
          <w:lang w:val="it-IT"/>
        </w:rPr>
      </w:pPr>
      <w:r w:rsidRPr="00C35766">
        <w:rPr>
          <w:rFonts w:eastAsia="Times New Roman"/>
          <w:u w:val="single" w:color="000000"/>
          <w:lang w:val="it-IT"/>
        </w:rPr>
        <w:t>Trattamento concomitante con azatioprina/6-mercaptopurina</w:t>
      </w:r>
    </w:p>
    <w:p w14:paraId="5612F853" w14:textId="77777777" w:rsidR="00953B2E" w:rsidRPr="00C35766" w:rsidRDefault="00953B2E">
      <w:pPr>
        <w:spacing w:before="1" w:line="180" w:lineRule="exact"/>
        <w:rPr>
          <w:rFonts w:ascii="Times New Roman" w:hAnsi="Times New Roman" w:cs="Times New Roman"/>
          <w:sz w:val="18"/>
          <w:szCs w:val="18"/>
          <w:lang w:val="it-IT"/>
        </w:rPr>
      </w:pPr>
    </w:p>
    <w:p w14:paraId="30CD59FA" w14:textId="303F1F0E" w:rsidR="00953B2E" w:rsidRPr="00C35766" w:rsidRDefault="005F0C19">
      <w:pPr>
        <w:pStyle w:val="a3"/>
        <w:rPr>
          <w:lang w:val="it-IT"/>
        </w:rPr>
      </w:pPr>
      <w:r w:rsidRPr="00C35766">
        <w:rPr>
          <w:rFonts w:eastAsia="Times New Roman"/>
          <w:lang w:val="it-IT"/>
        </w:rPr>
        <w:t xml:space="preserve">Negli studi sulla malattia di Crohn negli adulti, con </w:t>
      </w:r>
      <w:r w:rsidR="0032552D" w:rsidRPr="00C35766">
        <w:rPr>
          <w:rFonts w:eastAsia="Times New Roman"/>
          <w:lang w:val="it-IT"/>
        </w:rPr>
        <w:t>l’associazione</w:t>
      </w:r>
      <w:r w:rsidRPr="00C35766">
        <w:rPr>
          <w:rFonts w:eastAsia="Times New Roman"/>
          <w:lang w:val="it-IT"/>
        </w:rPr>
        <w:t xml:space="preserve"> di adalimumab e azatioprina/6-mercaptopurina sono state osservate incidenze più elevate di eventi avversi correlati a infezioni gravi e a tumori maligni rispetto ad adalimumab da solo.</w:t>
      </w:r>
    </w:p>
    <w:p w14:paraId="51018CC8" w14:textId="77777777" w:rsidR="00953B2E" w:rsidRPr="00C35766" w:rsidRDefault="00953B2E">
      <w:pPr>
        <w:spacing w:before="13" w:line="240" w:lineRule="exact"/>
        <w:rPr>
          <w:rFonts w:ascii="Times New Roman" w:hAnsi="Times New Roman" w:cs="Times New Roman"/>
          <w:sz w:val="24"/>
          <w:szCs w:val="24"/>
          <w:lang w:val="it-IT"/>
        </w:rPr>
      </w:pPr>
    </w:p>
    <w:p w14:paraId="4382C101" w14:textId="77777777" w:rsidR="00953B2E" w:rsidRPr="00C35766" w:rsidRDefault="005F0C19">
      <w:pPr>
        <w:pStyle w:val="a3"/>
        <w:rPr>
          <w:u w:val="single"/>
          <w:lang w:val="it-IT"/>
        </w:rPr>
      </w:pPr>
      <w:r w:rsidRPr="00C35766">
        <w:rPr>
          <w:rFonts w:eastAsia="Times New Roman"/>
          <w:u w:val="single" w:color="000000"/>
          <w:lang w:val="it-IT"/>
        </w:rPr>
        <w:t>Segnalazione delle reazioni avverse sospette</w:t>
      </w:r>
    </w:p>
    <w:p w14:paraId="0A330FDE" w14:textId="77777777" w:rsidR="00953B2E" w:rsidRPr="00C35766" w:rsidRDefault="00953B2E">
      <w:pPr>
        <w:spacing w:before="9" w:line="170" w:lineRule="exact"/>
        <w:rPr>
          <w:rFonts w:ascii="Times New Roman" w:hAnsi="Times New Roman" w:cs="Times New Roman"/>
          <w:sz w:val="17"/>
          <w:szCs w:val="17"/>
          <w:lang w:val="it-IT"/>
        </w:rPr>
      </w:pPr>
    </w:p>
    <w:p w14:paraId="63F47C95" w14:textId="4E5090E3" w:rsidR="00953B2E" w:rsidRPr="00C35766" w:rsidRDefault="005F0C19">
      <w:pPr>
        <w:pStyle w:val="a3"/>
        <w:rPr>
          <w:lang w:val="it-IT"/>
        </w:rPr>
      </w:pPr>
      <w:r w:rsidRPr="00C35766">
        <w:rPr>
          <w:rFonts w:eastAsia="Times New Roman"/>
          <w:lang w:val="it-IT"/>
        </w:rPr>
        <w:t>La segnalazione delle reazioni avverse sospette che si verificano dopo l’autorizzazione del medicinale è importante, in quanto permette un monitoraggio continuo del rapporto beneficio/rischio del medicinale. Agli operatori sanitari è richiesto di segnalare qualsiasi reazione avversa sospetta tramite il sistema nazionale di segnalazione riportato nell’</w:t>
      </w:r>
      <w:hyperlink r:id="rId12" w:history="1">
        <w:r w:rsidR="00AD1D4A">
          <w:rPr>
            <w:rFonts w:eastAsia="Times New Roman"/>
            <w:color w:val="0000FF"/>
            <w:u w:val="single"/>
            <w:lang w:val="it-IT"/>
          </w:rPr>
          <w:t>a</w:t>
        </w:r>
        <w:r w:rsidR="00AD1D4A" w:rsidRPr="00C35766">
          <w:rPr>
            <w:rFonts w:eastAsia="Times New Roman"/>
            <w:color w:val="0000FF"/>
            <w:u w:val="single"/>
            <w:lang w:val="it-IT"/>
          </w:rPr>
          <w:t>llegato V</w:t>
        </w:r>
        <w:r w:rsidR="00AD1D4A" w:rsidRPr="00C35766">
          <w:rPr>
            <w:rFonts w:eastAsia="Times New Roman"/>
            <w:color w:val="000000"/>
            <w:lang w:val="it-IT"/>
          </w:rPr>
          <w:t>.</w:t>
        </w:r>
      </w:hyperlink>
    </w:p>
    <w:p w14:paraId="355C3E2A" w14:textId="77777777" w:rsidR="00953B2E" w:rsidRPr="00C35766" w:rsidRDefault="00953B2E">
      <w:pPr>
        <w:spacing w:before="6" w:line="180" w:lineRule="exact"/>
        <w:rPr>
          <w:rFonts w:ascii="Times New Roman" w:hAnsi="Times New Roman" w:cs="Times New Roman"/>
          <w:sz w:val="18"/>
          <w:szCs w:val="18"/>
          <w:lang w:val="it-IT"/>
        </w:rPr>
      </w:pPr>
    </w:p>
    <w:p w14:paraId="2EC9A986" w14:textId="77777777" w:rsidR="00953B2E" w:rsidRPr="00C35766" w:rsidRDefault="005F0C19" w:rsidP="00787805">
      <w:pPr>
        <w:widowControl/>
        <w:numPr>
          <w:ilvl w:val="1"/>
          <w:numId w:val="1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Sovradosaggio</w:t>
      </w:r>
    </w:p>
    <w:p w14:paraId="09795279" w14:textId="77777777" w:rsidR="00953B2E" w:rsidRPr="00C35766" w:rsidRDefault="00953B2E">
      <w:pPr>
        <w:spacing w:before="12" w:line="240" w:lineRule="exact"/>
        <w:rPr>
          <w:rFonts w:ascii="Times New Roman" w:hAnsi="Times New Roman" w:cs="Times New Roman"/>
          <w:sz w:val="24"/>
          <w:szCs w:val="24"/>
        </w:rPr>
      </w:pPr>
    </w:p>
    <w:p w14:paraId="0E5DA8CD" w14:textId="77777777" w:rsidR="00953B2E" w:rsidRPr="00C35766" w:rsidRDefault="005F0C19">
      <w:pPr>
        <w:pStyle w:val="a3"/>
        <w:rPr>
          <w:lang w:val="it-IT"/>
        </w:rPr>
      </w:pPr>
      <w:r w:rsidRPr="00C35766">
        <w:rPr>
          <w:rFonts w:eastAsia="Times New Roman"/>
          <w:lang w:val="it-IT"/>
        </w:rPr>
        <w:t>Non è stata osservata tossicità dose-limitante durante gli studi clinici. La dose più elevata valutata è stata quella costituita da dosi multiple di 10 mg/kg per via endovenosa; tale dose risulta equivalente a circa 15 volte la dose raccomandata.</w:t>
      </w:r>
    </w:p>
    <w:p w14:paraId="3A2186D5" w14:textId="77777777" w:rsidR="00953B2E" w:rsidRPr="00C35766" w:rsidRDefault="00953B2E">
      <w:pPr>
        <w:spacing w:line="200" w:lineRule="exact"/>
        <w:rPr>
          <w:rFonts w:ascii="Times New Roman" w:hAnsi="Times New Roman" w:cs="Times New Roman"/>
          <w:sz w:val="20"/>
          <w:lang w:val="it-IT"/>
        </w:rPr>
      </w:pPr>
    </w:p>
    <w:p w14:paraId="333E625C" w14:textId="77777777" w:rsidR="00953B2E" w:rsidRPr="00C35766" w:rsidRDefault="00953B2E">
      <w:pPr>
        <w:widowControl/>
        <w:tabs>
          <w:tab w:val="left" w:pos="567"/>
        </w:tabs>
        <w:spacing w:line="260" w:lineRule="exact"/>
        <w:rPr>
          <w:rFonts w:ascii="Times New Roman" w:hAnsi="Times New Roman" w:cs="Times New Roman"/>
          <w:b/>
          <w:lang w:val="it-IT"/>
        </w:rPr>
      </w:pPr>
    </w:p>
    <w:p w14:paraId="7B503A1C" w14:textId="77777777" w:rsidR="00953B2E" w:rsidRPr="00C35766" w:rsidRDefault="005F0C19" w:rsidP="00787805">
      <w:pPr>
        <w:widowControl/>
        <w:numPr>
          <w:ilvl w:val="0"/>
          <w:numId w:val="25"/>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FARMACOLOGICHE</w:t>
      </w:r>
    </w:p>
    <w:p w14:paraId="4FD24A71" w14:textId="77777777" w:rsidR="00953B2E" w:rsidRPr="00C35766" w:rsidRDefault="00953B2E">
      <w:pPr>
        <w:spacing w:before="11" w:line="240" w:lineRule="exact"/>
        <w:rPr>
          <w:rFonts w:ascii="Times New Roman" w:hAnsi="Times New Roman" w:cs="Times New Roman"/>
          <w:sz w:val="24"/>
          <w:szCs w:val="24"/>
        </w:rPr>
      </w:pPr>
    </w:p>
    <w:p w14:paraId="517EBE12" w14:textId="77777777" w:rsidR="00953B2E" w:rsidRPr="00C35766" w:rsidRDefault="005F0C19" w:rsidP="00787805">
      <w:pPr>
        <w:widowControl/>
        <w:numPr>
          <w:ilvl w:val="1"/>
          <w:numId w:val="29"/>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farmacodinamiche</w:t>
      </w:r>
    </w:p>
    <w:p w14:paraId="064E9D65" w14:textId="77777777" w:rsidR="00953B2E" w:rsidRPr="00C35766" w:rsidRDefault="00953B2E">
      <w:pPr>
        <w:spacing w:before="9" w:line="240" w:lineRule="exact"/>
        <w:rPr>
          <w:rFonts w:ascii="Times New Roman" w:hAnsi="Times New Roman" w:cs="Times New Roman"/>
          <w:sz w:val="24"/>
          <w:szCs w:val="24"/>
        </w:rPr>
      </w:pPr>
    </w:p>
    <w:p w14:paraId="10F8F1E7" w14:textId="77777777" w:rsidR="00953B2E" w:rsidRPr="00C35766" w:rsidRDefault="005F0C19">
      <w:pPr>
        <w:pStyle w:val="a3"/>
        <w:rPr>
          <w:lang w:val="it-IT"/>
        </w:rPr>
      </w:pPr>
      <w:r w:rsidRPr="00C35766">
        <w:rPr>
          <w:rFonts w:eastAsia="Times New Roman"/>
          <w:lang w:val="it-IT"/>
        </w:rPr>
        <w:t>Categoria farmacoterapeutica: Immunosoppressori, inibitori del fattore di necrosi tumorale alfa (TNF-α). Codice ATC: L04AB04.</w:t>
      </w:r>
    </w:p>
    <w:p w14:paraId="3964E5F6" w14:textId="77777777" w:rsidR="00953B2E" w:rsidRPr="00C35766" w:rsidRDefault="00953B2E">
      <w:pPr>
        <w:pStyle w:val="a3"/>
        <w:rPr>
          <w:lang w:val="it-IT"/>
        </w:rPr>
      </w:pPr>
    </w:p>
    <w:p w14:paraId="6ED6ED4C" w14:textId="00972BF7" w:rsidR="00953B2E" w:rsidRPr="00C35766" w:rsidRDefault="005F0C19">
      <w:pPr>
        <w:pStyle w:val="a3"/>
        <w:rPr>
          <w:lang w:val="pt-BR"/>
        </w:rPr>
      </w:pPr>
      <w:r w:rsidRPr="00C35766">
        <w:rPr>
          <w:rFonts w:eastAsia="Times New Roman"/>
          <w:lang w:val="it-IT"/>
        </w:rPr>
        <w:t xml:space="preserve">Yuflyma è un medicinale biosimilare. Informazioni più dettagliate sono disponibili sul sito web della Agenzia europea dei medicinali: </w:t>
      </w:r>
      <w:hyperlink r:id="rId13" w:history="1">
        <w:r w:rsidR="005B2D45" w:rsidRPr="00C35766">
          <w:rPr>
            <w:rStyle w:val="ad"/>
            <w:rFonts w:eastAsia="Times New Roman"/>
            <w:lang w:val="it-IT"/>
          </w:rPr>
          <w:t>http://www.ema.europa.eu</w:t>
        </w:r>
      </w:hyperlink>
      <w:r w:rsidRPr="00C35766">
        <w:rPr>
          <w:rFonts w:eastAsia="Times New Roman"/>
          <w:lang w:val="it-IT"/>
        </w:rPr>
        <w:t>.</w:t>
      </w:r>
      <w:r w:rsidR="005B2D45" w:rsidRPr="00C35766">
        <w:rPr>
          <w:rFonts w:eastAsia="Times New Roman"/>
          <w:lang w:val="it-IT"/>
        </w:rPr>
        <w:t xml:space="preserve"> </w:t>
      </w:r>
    </w:p>
    <w:p w14:paraId="465A8222" w14:textId="77777777" w:rsidR="00953B2E" w:rsidRPr="00C35766" w:rsidRDefault="00953B2E">
      <w:pPr>
        <w:spacing w:before="10" w:line="240" w:lineRule="exact"/>
        <w:rPr>
          <w:rFonts w:ascii="Times New Roman" w:hAnsi="Times New Roman" w:cs="Times New Roman"/>
          <w:sz w:val="24"/>
          <w:szCs w:val="24"/>
          <w:lang w:val="pt-BR"/>
        </w:rPr>
      </w:pPr>
    </w:p>
    <w:p w14:paraId="193F2034" w14:textId="77777777" w:rsidR="00953B2E" w:rsidRPr="00C35766" w:rsidRDefault="005F0C19">
      <w:pPr>
        <w:pStyle w:val="a3"/>
        <w:rPr>
          <w:u w:val="single"/>
          <w:lang w:val="pt-BR"/>
        </w:rPr>
      </w:pPr>
      <w:r w:rsidRPr="00C35766">
        <w:rPr>
          <w:rFonts w:eastAsia="Times New Roman"/>
          <w:u w:val="single" w:color="000000"/>
          <w:lang w:val="it-IT"/>
        </w:rPr>
        <w:t>Meccanismo d’azione</w:t>
      </w:r>
    </w:p>
    <w:p w14:paraId="25C33A2B" w14:textId="77777777" w:rsidR="00953B2E" w:rsidRPr="00C35766" w:rsidRDefault="00953B2E">
      <w:pPr>
        <w:spacing w:before="1" w:line="180" w:lineRule="exact"/>
        <w:rPr>
          <w:rFonts w:ascii="Times New Roman" w:hAnsi="Times New Roman" w:cs="Times New Roman"/>
          <w:sz w:val="18"/>
          <w:szCs w:val="18"/>
          <w:lang w:val="pt-BR"/>
        </w:rPr>
      </w:pPr>
    </w:p>
    <w:p w14:paraId="4D9B3DD7" w14:textId="77777777" w:rsidR="00953B2E" w:rsidRPr="00C35766" w:rsidRDefault="005F0C19">
      <w:pPr>
        <w:pStyle w:val="a3"/>
        <w:rPr>
          <w:lang w:val="pt-BR"/>
        </w:rPr>
      </w:pPr>
      <w:r w:rsidRPr="00C35766">
        <w:rPr>
          <w:rFonts w:eastAsia="Times New Roman"/>
          <w:lang w:val="it-IT"/>
        </w:rPr>
        <w:t>Adalimumab si lega specificamente al TNF e neutralizza la funzione biologica del TNF bloccando la sua interazione con i recettori del TNF di membrana cellulare, p55 e p75.</w:t>
      </w:r>
    </w:p>
    <w:p w14:paraId="57A0401D" w14:textId="77777777" w:rsidR="00953B2E" w:rsidRPr="00C35766" w:rsidRDefault="00953B2E">
      <w:pPr>
        <w:spacing w:before="10" w:line="240" w:lineRule="exact"/>
        <w:rPr>
          <w:rFonts w:ascii="Times New Roman" w:hAnsi="Times New Roman" w:cs="Times New Roman"/>
          <w:sz w:val="24"/>
          <w:szCs w:val="24"/>
          <w:lang w:val="pt-BR"/>
        </w:rPr>
      </w:pPr>
    </w:p>
    <w:p w14:paraId="39C87EAA" w14:textId="77777777" w:rsidR="00953B2E" w:rsidRPr="00C35766" w:rsidRDefault="005F0C19">
      <w:pPr>
        <w:pStyle w:val="a3"/>
        <w:rPr>
          <w:lang w:val="pt-BR"/>
        </w:rPr>
      </w:pPr>
      <w:r w:rsidRPr="00C35766">
        <w:rPr>
          <w:rFonts w:eastAsia="Times New Roman"/>
          <w:lang w:val="it-IT"/>
        </w:rPr>
        <w:t>Adalimumab modula anche le risposte biologiche che sono indotte o regolate dal TNF, inclusi i cambiamenti dei livelli delle molecole di adesione responsabili della migrazione dei leucociti (ELAM-1, VCAM-1 e ICAM-1 con un IC</w:t>
      </w:r>
      <w:r w:rsidRPr="00C35766">
        <w:rPr>
          <w:rFonts w:eastAsia="Times New Roman"/>
          <w:sz w:val="14"/>
          <w:szCs w:val="14"/>
          <w:lang w:val="it-IT"/>
        </w:rPr>
        <w:t xml:space="preserve">50 </w:t>
      </w:r>
      <w:r w:rsidRPr="00C35766">
        <w:rPr>
          <w:rFonts w:eastAsia="Times New Roman"/>
          <w:lang w:val="it-IT"/>
        </w:rPr>
        <w:t>di 0,1-0,2 nM).</w:t>
      </w:r>
    </w:p>
    <w:p w14:paraId="5BB00956" w14:textId="77777777" w:rsidR="00953B2E" w:rsidRPr="00C35766" w:rsidRDefault="00953B2E">
      <w:pPr>
        <w:spacing w:before="12" w:line="240" w:lineRule="exact"/>
        <w:rPr>
          <w:rFonts w:ascii="Times New Roman" w:hAnsi="Times New Roman" w:cs="Times New Roman"/>
          <w:sz w:val="24"/>
          <w:szCs w:val="24"/>
          <w:lang w:val="pt-BR"/>
        </w:rPr>
      </w:pPr>
    </w:p>
    <w:p w14:paraId="0B631052" w14:textId="77777777" w:rsidR="00953B2E" w:rsidRPr="00C35766" w:rsidRDefault="005F0C19">
      <w:pPr>
        <w:pStyle w:val="a3"/>
        <w:rPr>
          <w:u w:val="single"/>
          <w:lang w:val="pt-BR"/>
        </w:rPr>
      </w:pPr>
      <w:r w:rsidRPr="00C35766">
        <w:rPr>
          <w:rFonts w:eastAsia="Times New Roman"/>
          <w:u w:val="single" w:color="000000"/>
          <w:lang w:val="it-IT"/>
        </w:rPr>
        <w:t>Effetti farmacodinamici</w:t>
      </w:r>
    </w:p>
    <w:p w14:paraId="7275D8BA" w14:textId="77777777" w:rsidR="00953B2E" w:rsidRPr="00C35766" w:rsidRDefault="00953B2E">
      <w:pPr>
        <w:spacing w:before="1" w:line="180" w:lineRule="exact"/>
        <w:rPr>
          <w:rFonts w:ascii="Times New Roman" w:hAnsi="Times New Roman" w:cs="Times New Roman"/>
          <w:sz w:val="18"/>
          <w:szCs w:val="18"/>
          <w:lang w:val="pt-BR"/>
        </w:rPr>
      </w:pPr>
    </w:p>
    <w:p w14:paraId="0EAF349D" w14:textId="019BD981" w:rsidR="00953B2E" w:rsidRPr="00C35766" w:rsidRDefault="005F0C19">
      <w:pPr>
        <w:pStyle w:val="a3"/>
        <w:rPr>
          <w:lang w:val="it-IT"/>
        </w:rPr>
      </w:pPr>
      <w:r w:rsidRPr="00C35766">
        <w:rPr>
          <w:rFonts w:eastAsia="Times New Roman"/>
          <w:lang w:val="it-IT"/>
        </w:rPr>
        <w:t>Dopo trattamento con adalimumab, si è osservata una rapida diminuzione delle proteine di fase acuta, indici di infiammazione</w:t>
      </w:r>
      <w:r w:rsidR="00A871A0" w:rsidRPr="00C35766">
        <w:rPr>
          <w:rFonts w:eastAsia="Times New Roman"/>
          <w:lang w:val="it-IT"/>
        </w:rPr>
        <w:t xml:space="preserve"> </w:t>
      </w:r>
      <w:r w:rsidRPr="00C35766">
        <w:rPr>
          <w:rFonts w:eastAsia="Times New Roman"/>
          <w:lang w:val="it-IT"/>
        </w:rPr>
        <w:t>(proteina C reattiva -PCR</w:t>
      </w:r>
      <w:r w:rsidR="00A871A0" w:rsidRPr="00C35766">
        <w:rPr>
          <w:rFonts w:eastAsia="Times New Roman"/>
          <w:lang w:val="it-IT"/>
        </w:rPr>
        <w:t xml:space="preserve"> e </w:t>
      </w:r>
      <w:r w:rsidRPr="00C35766">
        <w:rPr>
          <w:rFonts w:eastAsia="Times New Roman"/>
          <w:lang w:val="it-IT"/>
        </w:rPr>
        <w:t xml:space="preserve">velocità di eritrosedimentazione -VES) e delle citochine </w:t>
      </w:r>
      <w:r w:rsidRPr="00C35766">
        <w:rPr>
          <w:rFonts w:eastAsia="Times New Roman"/>
          <w:lang w:val="it-IT"/>
        </w:rPr>
        <w:lastRenderedPageBreak/>
        <w:t>sieriche (IL-6) nei pazienti con artrite reumatoide rispetto al valore basale. Anche i livelli sierici delle metalloproteinasi della matrice (MMP-1 e MMP-3), coinvolte nel rimodellamento tissutale responsabile della distruzione della cartilagine, erano diminuiti in seguito alla somministrazione di adalimumab. I pazienti trattati con adalimumab hanno generalmente mostrato un miglioramento dei segni ematologici dell’infiammazione cronica.</w:t>
      </w:r>
    </w:p>
    <w:p w14:paraId="72822CD2" w14:textId="77777777" w:rsidR="00953B2E" w:rsidRPr="00C35766" w:rsidRDefault="00953B2E">
      <w:pPr>
        <w:spacing w:before="10" w:line="240" w:lineRule="exact"/>
        <w:rPr>
          <w:rFonts w:ascii="Times New Roman" w:hAnsi="Times New Roman" w:cs="Times New Roman"/>
          <w:sz w:val="24"/>
          <w:szCs w:val="24"/>
          <w:lang w:val="it-IT"/>
        </w:rPr>
      </w:pPr>
    </w:p>
    <w:p w14:paraId="06FE6090" w14:textId="52F3D1B9" w:rsidR="00953B2E" w:rsidRPr="00C35766" w:rsidRDefault="005F0C19">
      <w:pPr>
        <w:pStyle w:val="a3"/>
        <w:rPr>
          <w:lang w:val="es-ES"/>
        </w:rPr>
      </w:pPr>
      <w:r w:rsidRPr="00C35766">
        <w:rPr>
          <w:rFonts w:eastAsia="Times New Roman"/>
          <w:lang w:val="it-IT"/>
        </w:rPr>
        <w:t xml:space="preserve">Dopo trattamento con adalimumab, anche nei pazienti affetti da artrite idiopatica giovanile poliarticolare, malattia di Crohn, colite ulcerosa e idrosadenite suppurativa è stata osservata una rapida diminuzione dei livelli di PCR (proteina C reattiva). Nei pazienti affetti dalla malattia di Crohn, è stata osservata una riduzione del numero di cellule che esprimono i marcatori infiammatori nel colon compresa una significativa riduzione dell’espressione del TNFα. Studi endoscopici </w:t>
      </w:r>
      <w:r w:rsidR="00A871A0" w:rsidRPr="00C35766">
        <w:rPr>
          <w:rFonts w:eastAsia="Times New Roman"/>
          <w:lang w:val="it-IT"/>
        </w:rPr>
        <w:t xml:space="preserve">sulla </w:t>
      </w:r>
      <w:r w:rsidRPr="00C35766">
        <w:rPr>
          <w:rFonts w:eastAsia="Times New Roman"/>
          <w:lang w:val="it-IT"/>
        </w:rPr>
        <w:t>mucosa intestinale hanno evidenziato la guarigione mucosale nei pazienti trattati con adalimumab.</w:t>
      </w:r>
    </w:p>
    <w:p w14:paraId="67CB39EB" w14:textId="77777777" w:rsidR="00953B2E" w:rsidRPr="00C35766" w:rsidRDefault="00953B2E">
      <w:pPr>
        <w:pStyle w:val="a3"/>
        <w:rPr>
          <w:u w:val="single" w:color="000000"/>
          <w:lang w:val="es-ES"/>
        </w:rPr>
      </w:pPr>
    </w:p>
    <w:p w14:paraId="7A79E2C1" w14:textId="77777777" w:rsidR="00953B2E" w:rsidRPr="00C35766" w:rsidRDefault="005F0C19">
      <w:pPr>
        <w:pStyle w:val="a3"/>
        <w:rPr>
          <w:u w:val="single"/>
          <w:lang w:val="es-ES"/>
        </w:rPr>
      </w:pPr>
      <w:r w:rsidRPr="00C35766">
        <w:rPr>
          <w:rFonts w:eastAsia="Times New Roman"/>
          <w:u w:val="single" w:color="000000"/>
          <w:lang w:val="it-IT"/>
        </w:rPr>
        <w:t>Efficacia e sicurezza clinica</w:t>
      </w:r>
    </w:p>
    <w:p w14:paraId="30FD0604" w14:textId="77777777" w:rsidR="00953B2E" w:rsidRPr="00C35766" w:rsidRDefault="00953B2E">
      <w:pPr>
        <w:spacing w:line="180" w:lineRule="exact"/>
        <w:rPr>
          <w:rFonts w:ascii="Times New Roman" w:hAnsi="Times New Roman" w:cs="Times New Roman"/>
          <w:sz w:val="18"/>
          <w:szCs w:val="18"/>
          <w:lang w:val="es-ES"/>
        </w:rPr>
      </w:pPr>
    </w:p>
    <w:p w14:paraId="75DCA3B0" w14:textId="77777777" w:rsidR="00953B2E" w:rsidRPr="00C35766" w:rsidRDefault="005F0C19">
      <w:pPr>
        <w:pStyle w:val="a3"/>
        <w:rPr>
          <w:i/>
          <w:iCs/>
          <w:lang w:val="es-ES"/>
        </w:rPr>
      </w:pPr>
      <w:r w:rsidRPr="00C35766">
        <w:rPr>
          <w:rFonts w:eastAsia="Times New Roman"/>
          <w:i/>
          <w:iCs/>
          <w:lang w:val="it-IT"/>
        </w:rPr>
        <w:t>Artrite reumatoide</w:t>
      </w:r>
    </w:p>
    <w:p w14:paraId="2C8087C8" w14:textId="77777777" w:rsidR="00953B2E" w:rsidRPr="00C35766" w:rsidRDefault="00953B2E">
      <w:pPr>
        <w:pStyle w:val="a3"/>
        <w:rPr>
          <w:sz w:val="24"/>
          <w:szCs w:val="24"/>
          <w:lang w:val="es-ES"/>
        </w:rPr>
      </w:pPr>
    </w:p>
    <w:p w14:paraId="59E5CC69" w14:textId="6EC19852" w:rsidR="00953B2E" w:rsidRPr="00C35766" w:rsidRDefault="005F0C19">
      <w:pPr>
        <w:pStyle w:val="a3"/>
        <w:rPr>
          <w:lang w:val="it-IT"/>
        </w:rPr>
      </w:pPr>
      <w:r w:rsidRPr="00C35766">
        <w:rPr>
          <w:rFonts w:eastAsia="Times New Roman"/>
          <w:lang w:val="it-IT"/>
        </w:rPr>
        <w:t xml:space="preserve">Adalimumab è stato valutato su oltre 3.000 pazienti in tutti gli studi clinici sull’artrite reumatoide. L’efficacia e la sicurezza di adalimumab sono state valutate in cinque studi randomizzati, in doppio cieco e ben controllati. Alcuni pazienti sono stati sottoposti a trattamento per un periodo fino a 120 mesi. Il dolore nel sito di iniezione di adalimumab 40 mg/0,4 </w:t>
      </w:r>
      <w:r w:rsidR="00331973" w:rsidRPr="00C35766">
        <w:rPr>
          <w:rFonts w:eastAsia="Times New Roman"/>
          <w:lang w:val="it-IT"/>
        </w:rPr>
        <w:t>mL</w:t>
      </w:r>
      <w:r w:rsidRPr="00C35766">
        <w:rPr>
          <w:rFonts w:eastAsia="Times New Roman"/>
          <w:lang w:val="it-IT"/>
        </w:rPr>
        <w:t xml:space="preserve"> è stato valutato in due studi randomizzati, con controllo attivo, in singolo cieco, con due periodi di crossover.</w:t>
      </w:r>
    </w:p>
    <w:p w14:paraId="5FDFC04B" w14:textId="77777777" w:rsidR="00953B2E" w:rsidRPr="00C35766" w:rsidRDefault="00953B2E">
      <w:pPr>
        <w:spacing w:before="13" w:line="240" w:lineRule="exact"/>
        <w:rPr>
          <w:rFonts w:ascii="Times New Roman" w:hAnsi="Times New Roman" w:cs="Times New Roman"/>
          <w:sz w:val="24"/>
          <w:szCs w:val="24"/>
          <w:lang w:val="it-IT"/>
        </w:rPr>
      </w:pPr>
    </w:p>
    <w:p w14:paraId="713C6C3F" w14:textId="7F14C328" w:rsidR="00953B2E" w:rsidRPr="00C35766" w:rsidRDefault="005F0C19">
      <w:pPr>
        <w:pStyle w:val="a3"/>
        <w:rPr>
          <w:lang w:val="it-IT"/>
        </w:rPr>
      </w:pPr>
      <w:r w:rsidRPr="00C35766">
        <w:rPr>
          <w:rFonts w:eastAsia="Times New Roman"/>
          <w:lang w:val="it-IT"/>
        </w:rPr>
        <w:t>Lo studio AR I è stato condotto su 271 pazienti</w:t>
      </w:r>
      <w:r w:rsidR="00F81DF1" w:rsidRPr="00C35766">
        <w:rPr>
          <w:rFonts w:eastAsia="Times New Roman"/>
          <w:lang w:val="it-IT"/>
        </w:rPr>
        <w:t xml:space="preserve"> </w:t>
      </w:r>
      <w:r w:rsidRPr="00C35766">
        <w:rPr>
          <w:rFonts w:eastAsia="Times New Roman"/>
          <w:lang w:val="it-IT"/>
        </w:rPr>
        <w:t xml:space="preserve">di età </w:t>
      </w:r>
      <w:r w:rsidRPr="00C35766">
        <w:rPr>
          <w:lang w:val="it-IT"/>
        </w:rPr>
        <w:sym w:font="Symbol" w:char="F0B3"/>
      </w:r>
      <w:r w:rsidRPr="00C35766">
        <w:rPr>
          <w:lang w:val="it-IT"/>
        </w:rPr>
        <w:sym w:font="Symbol" w:char="F020"/>
      </w:r>
      <w:r w:rsidRPr="00C35766">
        <w:rPr>
          <w:rFonts w:eastAsia="Times New Roman"/>
          <w:lang w:val="it-IT"/>
        </w:rPr>
        <w:t xml:space="preserve"> 18 anni, affetti da artrite reumatoide attiva di grado da moderato a severo, refrattari ad almeno un farmaco DMARD e con risposta inadeguata al metotressato a dosaggi compresi tra 12,5 e 25 mg (10 mg se intolleranti al metotressato) a settimana e la cui dose di metotressato è rimasta costante a 10-25 mg a settimana. Adalimumab 20, 40 o 80 mg o placebo sono stati somministrati a settimane alterne per 24 settimane.</w:t>
      </w:r>
    </w:p>
    <w:p w14:paraId="3611B0E9" w14:textId="77777777" w:rsidR="00953B2E" w:rsidRPr="00C35766" w:rsidRDefault="00953B2E">
      <w:pPr>
        <w:spacing w:before="13" w:line="240" w:lineRule="exact"/>
        <w:rPr>
          <w:rFonts w:ascii="Times New Roman" w:hAnsi="Times New Roman" w:cs="Times New Roman"/>
          <w:sz w:val="24"/>
          <w:szCs w:val="24"/>
          <w:lang w:val="it-IT"/>
        </w:rPr>
      </w:pPr>
    </w:p>
    <w:p w14:paraId="65B54718" w14:textId="5A8FC6AC" w:rsidR="00953B2E" w:rsidRPr="00C35766" w:rsidRDefault="005F0C19">
      <w:pPr>
        <w:pStyle w:val="a3"/>
        <w:rPr>
          <w:lang w:val="it-IT"/>
        </w:rPr>
      </w:pPr>
      <w:r w:rsidRPr="00C35766">
        <w:rPr>
          <w:rFonts w:eastAsia="Times New Roman"/>
          <w:lang w:val="it-IT"/>
        </w:rPr>
        <w:t>Nello studio AR II sono stati studiati 544 pazienti affetti da artrite reumatoide attiva di grado da moderato a severo,</w:t>
      </w:r>
      <w:r w:rsidR="00F81DF1" w:rsidRPr="00C35766">
        <w:rPr>
          <w:rFonts w:eastAsia="Times New Roman"/>
          <w:lang w:val="it-IT"/>
        </w:rPr>
        <w:t xml:space="preserve"> </w:t>
      </w:r>
      <w:r w:rsidRPr="00C35766">
        <w:rPr>
          <w:rFonts w:eastAsia="Times New Roman"/>
          <w:lang w:val="it-IT"/>
        </w:rPr>
        <w:t xml:space="preserve">di età </w:t>
      </w:r>
      <w:r w:rsidRPr="00C35766">
        <w:rPr>
          <w:lang w:val="it-IT"/>
        </w:rPr>
        <w:sym w:font="Symbol" w:char="F0B3"/>
      </w:r>
      <w:r w:rsidRPr="00C35766">
        <w:rPr>
          <w:lang w:val="it-IT"/>
        </w:rPr>
        <w:sym w:font="Symbol" w:char="F020"/>
      </w:r>
      <w:r w:rsidRPr="00C35766">
        <w:rPr>
          <w:rFonts w:eastAsia="Times New Roman"/>
          <w:lang w:val="it-IT"/>
        </w:rPr>
        <w:t>18 anni, con insufficiente risposta ad almeno un farmaco DMARD. Sono state somministrate dosi di 20 o 40 mg di adalimumab tramite iniezione sottocutanea ogni due settimane con placebo a settimane alterne, o ogni settimana per 26 settimane; il placebo è stato somministrato ogni settimana per la stessa durata. Non è stato consentito l’uso di altri DMARD.</w:t>
      </w:r>
    </w:p>
    <w:p w14:paraId="7675632B" w14:textId="77777777" w:rsidR="00953B2E" w:rsidRPr="00C35766" w:rsidRDefault="00953B2E" w:rsidP="00C0539A">
      <w:pPr>
        <w:spacing w:before="13" w:line="240" w:lineRule="exact"/>
        <w:rPr>
          <w:rFonts w:ascii="Times New Roman" w:hAnsi="Times New Roman" w:cs="Times New Roman"/>
          <w:sz w:val="24"/>
          <w:lang w:val="it-IT"/>
        </w:rPr>
      </w:pPr>
    </w:p>
    <w:p w14:paraId="5D191A43" w14:textId="58C5991D" w:rsidR="00953B2E" w:rsidRPr="00C35766" w:rsidRDefault="005F0C19">
      <w:pPr>
        <w:pStyle w:val="a3"/>
        <w:rPr>
          <w:lang w:val="it-IT"/>
        </w:rPr>
      </w:pPr>
      <w:r w:rsidRPr="00C35766">
        <w:rPr>
          <w:rFonts w:eastAsia="Times New Roman"/>
          <w:lang w:val="it-IT"/>
        </w:rPr>
        <w:t>Allo studio AR III hanno partecipato 619 pazienti con artrite reumatoide attiva di grado da moderato a severo,</w:t>
      </w:r>
      <w:r w:rsidR="00F81DF1" w:rsidRPr="00C35766">
        <w:rPr>
          <w:rFonts w:eastAsia="Times New Roman"/>
          <w:lang w:val="it-IT"/>
        </w:rPr>
        <w:t xml:space="preserve"> </w:t>
      </w:r>
      <w:r w:rsidRPr="00C35766">
        <w:rPr>
          <w:rFonts w:eastAsia="Times New Roman"/>
          <w:lang w:val="it-IT"/>
        </w:rPr>
        <w:t xml:space="preserve">di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18 anni di età, con inadeguata risposta alla terapia con metotressato a dosaggi compresi tra 12,5 e 25 mg, o intolleranti a 10 mg di metotressato ogni settimana. In questo studio sono stati costituiti 3 gruppi. Il primo ha ricevuto iniezioni di placebo ogni settimana per 52 settimane. Il secondo ha ricevuto 20 mg di adalimumab a settimana per 52 settimane, mentre il terzo ha ricevuto 40 mg di adalimumab ogni due settimane e iniezioni di placebo a settimane alterne. Al completamento delle prime 52 settimane, 457 pazienti sono stati arruolati in una fase di estensione in aperto in cui adalimumab/MTX è stato somministrato alla dose di 40 mg a settimane alterne fino a 10 anni.</w:t>
      </w:r>
    </w:p>
    <w:p w14:paraId="27116D2F" w14:textId="77777777" w:rsidR="00953B2E" w:rsidRPr="00C35766" w:rsidRDefault="00953B2E">
      <w:pPr>
        <w:spacing w:before="13" w:line="240" w:lineRule="exact"/>
        <w:rPr>
          <w:rFonts w:ascii="Times New Roman" w:hAnsi="Times New Roman" w:cs="Times New Roman"/>
          <w:sz w:val="24"/>
          <w:szCs w:val="24"/>
          <w:lang w:val="it-IT"/>
        </w:rPr>
      </w:pPr>
    </w:p>
    <w:p w14:paraId="62966CAE" w14:textId="77777777" w:rsidR="00953B2E" w:rsidRPr="00C35766" w:rsidRDefault="005F0C19">
      <w:pPr>
        <w:pStyle w:val="a3"/>
        <w:rPr>
          <w:lang w:val="it-IT"/>
        </w:rPr>
      </w:pPr>
      <w:r w:rsidRPr="00C35766">
        <w:rPr>
          <w:rFonts w:eastAsia="Times New Roman"/>
          <w:lang w:val="it-IT"/>
        </w:rPr>
        <w:t xml:space="preserve">Lo studio AR IV ha valutato in primo luogo la sicurezza in 636 pazienti con artrite reumatoide attiva di grado da moderato a severo e con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18 anni. La popolazione studiata era costituita sia da pazienti mai trattati con DMARD, sia da pazienti che avevano continuato la terapia anti-reumatica preesistente a condizione che questa fosse stabile da un minimo di 28 giorni. Queste terapie includono metotressato, leflunomide, idrossiclorochina, sulfasalazina e/o sali d’oro. I pazienti sono stati randomizzati per ricevere 40 mg di adalimumab o placebo ogni due settimane per 24 settimane.</w:t>
      </w:r>
    </w:p>
    <w:p w14:paraId="3FD4296D" w14:textId="77777777" w:rsidR="00953B2E" w:rsidRPr="00C35766" w:rsidRDefault="00953B2E">
      <w:pPr>
        <w:spacing w:before="11" w:line="240" w:lineRule="exact"/>
        <w:rPr>
          <w:rFonts w:ascii="Times New Roman" w:hAnsi="Times New Roman" w:cs="Times New Roman"/>
          <w:sz w:val="24"/>
          <w:szCs w:val="24"/>
          <w:lang w:val="it-IT"/>
        </w:rPr>
      </w:pPr>
    </w:p>
    <w:p w14:paraId="494608BF" w14:textId="77777777" w:rsidR="00953B2E" w:rsidRPr="00C35766" w:rsidRDefault="005F0C19">
      <w:pPr>
        <w:pStyle w:val="a3"/>
        <w:rPr>
          <w:lang w:val="it-IT"/>
        </w:rPr>
      </w:pPr>
      <w:r w:rsidRPr="00C35766">
        <w:rPr>
          <w:rFonts w:eastAsia="Times New Roman"/>
          <w:lang w:val="it-IT"/>
        </w:rPr>
        <w:t xml:space="preserve">Lo studio AR V ha valutato 799 pazienti adulti mai trattati in precedenza con metotressato ed affetti da artrite reumatoide precoce attiva di grado da moderato a severo (durata media della malattia inferiore a 9 mesi). Questo studio ha valutato l’efficacia di 40 mg di adalimumab somministrato a settimane alterne in </w:t>
      </w:r>
      <w:r w:rsidRPr="00C35766">
        <w:rPr>
          <w:rFonts w:eastAsia="Times New Roman"/>
          <w:lang w:val="it-IT"/>
        </w:rPr>
        <w:lastRenderedPageBreak/>
        <w:t>terapia associata con il metotressato, di 40 mg di adalimumab somministrato in monoterapia a settimane alterne e di metotressato in monoterapia nella riduzione dei segni e sintomi di malattia e dell’indice di progressione del danno articolare causato dall’artrite reumatoide per 104 settimane. Al completamento delle prime 104 settimane, 497 pazienti sono stati arruolati in una fase di estensione in aperto in cui adalimumab è stato somministrato alla dose di 40 mg a settimane alterne fino a 10 anni.</w:t>
      </w:r>
    </w:p>
    <w:p w14:paraId="1ECA7289" w14:textId="77777777" w:rsidR="00953B2E" w:rsidRPr="00C35766" w:rsidRDefault="00953B2E">
      <w:pPr>
        <w:spacing w:before="13" w:line="240" w:lineRule="exact"/>
        <w:rPr>
          <w:rFonts w:ascii="Times New Roman" w:hAnsi="Times New Roman" w:cs="Times New Roman"/>
          <w:sz w:val="24"/>
          <w:szCs w:val="24"/>
          <w:lang w:val="it-IT"/>
        </w:rPr>
      </w:pPr>
    </w:p>
    <w:p w14:paraId="5798C1DE" w14:textId="29B54E73" w:rsidR="00953B2E" w:rsidRPr="00C35766" w:rsidRDefault="005F0C19">
      <w:pPr>
        <w:pStyle w:val="a3"/>
        <w:rPr>
          <w:lang w:val="it-IT"/>
        </w:rPr>
      </w:pPr>
      <w:r w:rsidRPr="00C35766">
        <w:rPr>
          <w:rFonts w:eastAsia="Times New Roman"/>
          <w:lang w:val="it-IT"/>
        </w:rPr>
        <w:t xml:space="preserve">Gli studi AR VI e VII hanno valutato ciascuno 60 pazienti con artrite reumatoide attiva di grado da moderato a </w:t>
      </w:r>
      <w:r w:rsidR="00BE2E4F" w:rsidRPr="00C35766">
        <w:rPr>
          <w:rFonts w:eastAsia="Times New Roman"/>
          <w:lang w:val="it-IT"/>
        </w:rPr>
        <w:t xml:space="preserve">severo </w:t>
      </w:r>
      <w:r w:rsidRPr="00C35766">
        <w:rPr>
          <w:rFonts w:eastAsia="Times New Roman"/>
          <w:lang w:val="it-IT"/>
        </w:rPr>
        <w:t xml:space="preserve">con età ≥ 18 anni. I pazienti arruolati utilizzavano sia adalimumab 40 mg/0,8 </w:t>
      </w:r>
      <w:r w:rsidR="00331973" w:rsidRPr="00C35766">
        <w:rPr>
          <w:rFonts w:eastAsia="Times New Roman"/>
          <w:lang w:val="it-IT"/>
        </w:rPr>
        <w:t>mL</w:t>
      </w:r>
      <w:r w:rsidRPr="00C35766">
        <w:rPr>
          <w:rFonts w:eastAsia="Times New Roman"/>
          <w:lang w:val="it-IT"/>
        </w:rPr>
        <w:t xml:space="preserve"> e valutarono il dolore medio al sito di iniezione come una superficie di almeno 3 cm (su una scala VAS da 0-10 cm) oppure erano soggetti naive al trattamento con farmaco biologico che stavano iniziando il trattamento con adalimumab 40 mg/0,8 </w:t>
      </w:r>
      <w:r w:rsidR="00331973" w:rsidRPr="00C35766">
        <w:rPr>
          <w:rFonts w:eastAsia="Times New Roman"/>
          <w:lang w:val="it-IT"/>
        </w:rPr>
        <w:t>mL</w:t>
      </w:r>
      <w:r w:rsidRPr="00C35766">
        <w:rPr>
          <w:rFonts w:eastAsia="Times New Roman"/>
          <w:lang w:val="it-IT"/>
        </w:rPr>
        <w:t xml:space="preserve">. I pazienti erano randomizzati a ricevere una singola dose di adalimumab 40 mg/0,8 </w:t>
      </w:r>
      <w:r w:rsidR="00331973" w:rsidRPr="00C35766">
        <w:rPr>
          <w:rFonts w:eastAsia="Times New Roman"/>
          <w:lang w:val="it-IT"/>
        </w:rPr>
        <w:t>mL</w:t>
      </w:r>
      <w:r w:rsidRPr="00C35766">
        <w:rPr>
          <w:rFonts w:eastAsia="Times New Roman"/>
          <w:lang w:val="it-IT"/>
        </w:rPr>
        <w:t xml:space="preserve"> oppure di adalimumab 40 mg/0,4 </w:t>
      </w:r>
      <w:r w:rsidR="00331973" w:rsidRPr="00C35766">
        <w:rPr>
          <w:rFonts w:eastAsia="Times New Roman"/>
          <w:lang w:val="it-IT"/>
        </w:rPr>
        <w:t>mL</w:t>
      </w:r>
      <w:r w:rsidRPr="00C35766">
        <w:rPr>
          <w:rFonts w:eastAsia="Times New Roman"/>
          <w:lang w:val="it-IT"/>
        </w:rPr>
        <w:t>, seguita da una singola iniezione del trattamento alternativo alla dose successiva</w:t>
      </w:r>
      <w:r w:rsidR="00BE2E4F" w:rsidRPr="00C35766">
        <w:rPr>
          <w:rFonts w:eastAsia="Times New Roman"/>
          <w:lang w:val="it-IT"/>
        </w:rPr>
        <w:t>.</w:t>
      </w:r>
    </w:p>
    <w:p w14:paraId="1A524229" w14:textId="77777777" w:rsidR="00953B2E" w:rsidRPr="00C35766" w:rsidRDefault="00953B2E">
      <w:pPr>
        <w:spacing w:before="14" w:line="240" w:lineRule="exact"/>
        <w:rPr>
          <w:rFonts w:ascii="Times New Roman" w:hAnsi="Times New Roman" w:cs="Times New Roman"/>
          <w:sz w:val="24"/>
          <w:szCs w:val="24"/>
          <w:lang w:val="it-IT"/>
        </w:rPr>
      </w:pPr>
    </w:p>
    <w:p w14:paraId="60C0D092" w14:textId="77777777" w:rsidR="00953B2E" w:rsidRPr="00C35766" w:rsidRDefault="005F0C19">
      <w:pPr>
        <w:pStyle w:val="a3"/>
        <w:rPr>
          <w:lang w:val="it-IT"/>
        </w:rPr>
      </w:pPr>
      <w:r w:rsidRPr="00C35766">
        <w:rPr>
          <w:rFonts w:eastAsia="Times New Roman"/>
          <w:lang w:val="it-IT"/>
        </w:rPr>
        <w:t>L’endpoint primario degli studi AR I, II, III, e secondario dello studio AR IV, era la valutazione della percentuale di pazienti che raggiungeva una risposta ACR 20 alla settimana 24 o 26. L’endpoint primario dello studio AR V era la valutazione della percentuale di pazienti che raggiungeva una risposta ACR 50 alla settimana 52. Inoltre, gli studi AR III e V avevano un ulteriore endpoint primario rappresentato dal ritardo della progressione di malattia (attraverso gli esami radiografici) alla settimana 52. Lo studio AR III aveva anche l’endpoint primario di variazione della qualità di vita. L’endpoint primario negli studi RA VI e VII era rappresentato dal dolore al sito di iniezione immediatamente dopo l’iniezione misurato dalla scala VAS da 0-10 cm.</w:t>
      </w:r>
    </w:p>
    <w:p w14:paraId="600E5B49" w14:textId="77777777" w:rsidR="00953B2E" w:rsidRPr="00C35766" w:rsidRDefault="00953B2E">
      <w:pPr>
        <w:spacing w:before="13" w:line="240" w:lineRule="exact"/>
        <w:rPr>
          <w:rFonts w:ascii="Times New Roman" w:hAnsi="Times New Roman" w:cs="Times New Roman"/>
          <w:sz w:val="24"/>
          <w:szCs w:val="24"/>
          <w:lang w:val="it-IT"/>
        </w:rPr>
      </w:pPr>
    </w:p>
    <w:p w14:paraId="21D0EF17" w14:textId="77777777" w:rsidR="00953B2E" w:rsidRPr="00C35766" w:rsidRDefault="005F0C19">
      <w:pPr>
        <w:rPr>
          <w:rFonts w:ascii="Times New Roman" w:eastAsia="Times New Roman" w:hAnsi="Times New Roman" w:cs="Times New Roman"/>
          <w:lang w:val="pt-BR"/>
        </w:rPr>
      </w:pPr>
      <w:r w:rsidRPr="00C35766">
        <w:rPr>
          <w:rFonts w:ascii="Times New Roman" w:eastAsia="Times New Roman" w:hAnsi="Times New Roman" w:cs="Times New Roman"/>
          <w:i/>
          <w:iCs/>
          <w:spacing w:val="-1"/>
          <w:u w:val="single" w:color="000000"/>
          <w:lang w:val="it-IT"/>
        </w:rPr>
        <w:t>Risposta ACR</w:t>
      </w:r>
    </w:p>
    <w:p w14:paraId="67710A96" w14:textId="77777777" w:rsidR="00953B2E" w:rsidRPr="00C35766" w:rsidRDefault="00953B2E">
      <w:pPr>
        <w:spacing w:before="1" w:line="180" w:lineRule="exact"/>
        <w:rPr>
          <w:rFonts w:ascii="Times New Roman" w:hAnsi="Times New Roman" w:cs="Times New Roman"/>
          <w:sz w:val="18"/>
          <w:szCs w:val="18"/>
          <w:lang w:val="pt-BR"/>
        </w:rPr>
      </w:pPr>
    </w:p>
    <w:p w14:paraId="76B01666" w14:textId="2587706C" w:rsidR="00953B2E" w:rsidRPr="00C35766" w:rsidRDefault="005F0C19">
      <w:pPr>
        <w:pStyle w:val="a3"/>
        <w:rPr>
          <w:lang w:val="it-IT"/>
        </w:rPr>
      </w:pPr>
      <w:r w:rsidRPr="00C35766">
        <w:rPr>
          <w:rFonts w:eastAsia="Times New Roman"/>
          <w:lang w:val="it-IT"/>
        </w:rPr>
        <w:t xml:space="preserve">Le percentuali di pazienti trattati con adalimumab che hanno raggiunto risposte ACR 20, 50 e 70 erano sovrapponibili negli studi AR I, II e III. I risultati relativi al trattamento con 40 mg ogni due settimane sono riassunti nella Tabella </w:t>
      </w:r>
      <w:r w:rsidR="003456B7" w:rsidRPr="00C35766">
        <w:rPr>
          <w:rFonts w:eastAsia="Times New Roman"/>
          <w:lang w:val="it-IT"/>
        </w:rPr>
        <w:t>8</w:t>
      </w:r>
      <w:r w:rsidRPr="00C35766">
        <w:rPr>
          <w:rFonts w:eastAsia="Times New Roman"/>
          <w:lang w:val="it-IT"/>
        </w:rPr>
        <w:t>.</w:t>
      </w:r>
    </w:p>
    <w:p w14:paraId="5C583533" w14:textId="77777777" w:rsidR="00953B2E" w:rsidRPr="00C35766" w:rsidRDefault="00953B2E">
      <w:pPr>
        <w:spacing w:before="15" w:line="240" w:lineRule="exact"/>
        <w:rPr>
          <w:rFonts w:ascii="Times New Roman" w:hAnsi="Times New Roman" w:cs="Times New Roman"/>
          <w:sz w:val="24"/>
          <w:szCs w:val="24"/>
          <w:lang w:val="it-IT"/>
        </w:rPr>
      </w:pPr>
    </w:p>
    <w:p w14:paraId="3EFDBFF7" w14:textId="57F0B7CC" w:rsidR="00953B2E" w:rsidRPr="00C35766" w:rsidRDefault="005F0C19" w:rsidP="00787805">
      <w:pPr>
        <w:pStyle w:val="a3"/>
        <w:jc w:val="center"/>
        <w:rPr>
          <w:b/>
          <w:lang w:val="it-IT"/>
        </w:rPr>
      </w:pPr>
      <w:r w:rsidRPr="00C35766">
        <w:rPr>
          <w:rFonts w:eastAsia="Times New Roman"/>
          <w:b/>
          <w:bCs/>
          <w:lang w:val="it-IT"/>
        </w:rPr>
        <w:t xml:space="preserve">Tabella </w:t>
      </w:r>
      <w:r w:rsidR="003456B7" w:rsidRPr="00C35766">
        <w:rPr>
          <w:rFonts w:eastAsia="Times New Roman"/>
          <w:b/>
          <w:bCs/>
          <w:lang w:val="it-IT"/>
        </w:rPr>
        <w:t>8</w:t>
      </w:r>
    </w:p>
    <w:p w14:paraId="30AD82CE" w14:textId="4A49E37E" w:rsidR="00953B2E" w:rsidRPr="00C35766" w:rsidRDefault="005F0C19" w:rsidP="005A5DEF">
      <w:pPr>
        <w:pStyle w:val="a3"/>
        <w:jc w:val="center"/>
        <w:rPr>
          <w:sz w:val="24"/>
          <w:szCs w:val="24"/>
          <w:lang w:val="it-IT"/>
        </w:rPr>
      </w:pPr>
      <w:r w:rsidRPr="00C35766">
        <w:rPr>
          <w:rFonts w:eastAsia="Times New Roman"/>
          <w:b/>
          <w:bCs/>
          <w:lang w:val="it-IT"/>
        </w:rPr>
        <w:t xml:space="preserve">Risposte ACR negli studi clinici controllati con placebo </w:t>
      </w:r>
      <w:r w:rsidRPr="00C35766">
        <w:rPr>
          <w:rFonts w:eastAsia="Times New Roman"/>
          <w:b/>
          <w:bCs/>
          <w:lang w:val="it-IT"/>
        </w:rPr>
        <w:br/>
        <w:t>(percentuale di pazienti)</w:t>
      </w:r>
    </w:p>
    <w:tbl>
      <w:tblPr>
        <w:tblStyle w:val="TableNormal1"/>
        <w:tblpPr w:leftFromText="180" w:rightFromText="180" w:vertAnchor="text" w:tblpX="201" w:tblpY="1"/>
        <w:tblOverlap w:val="never"/>
        <w:tblW w:w="5000" w:type="pct"/>
        <w:tblLayout w:type="fixed"/>
        <w:tblLook w:val="01E0" w:firstRow="1" w:lastRow="1" w:firstColumn="1" w:lastColumn="1" w:noHBand="0" w:noVBand="0"/>
      </w:tblPr>
      <w:tblGrid>
        <w:gridCol w:w="1236"/>
        <w:gridCol w:w="1119"/>
        <w:gridCol w:w="1674"/>
        <w:gridCol w:w="1326"/>
        <w:gridCol w:w="1341"/>
        <w:gridCol w:w="1423"/>
        <w:gridCol w:w="1381"/>
      </w:tblGrid>
      <w:tr w:rsidR="00953B2E" w:rsidRPr="00C35766" w14:paraId="684C4980" w14:textId="77777777" w:rsidTr="00146E60">
        <w:tc>
          <w:tcPr>
            <w:tcW w:w="650" w:type="pct"/>
            <w:vMerge w:val="restart"/>
            <w:tcBorders>
              <w:top w:val="single" w:sz="4" w:space="0" w:color="auto"/>
              <w:right w:val="single" w:sz="4" w:space="0" w:color="auto"/>
            </w:tcBorders>
          </w:tcPr>
          <w:p w14:paraId="0B7FEA10" w14:textId="77777777" w:rsidR="00953B2E" w:rsidRPr="00C35766" w:rsidRDefault="005F0C19">
            <w:pPr>
              <w:rPr>
                <w:rFonts w:ascii="Times New Roman" w:eastAsia="Times New Roman" w:hAnsi="Times New Roman" w:cs="Times New Roman"/>
              </w:rPr>
            </w:pPr>
            <w:r w:rsidRPr="00C35766">
              <w:rPr>
                <w:rFonts w:ascii="Times New Roman" w:eastAsia="Times New Roman" w:hAnsi="Times New Roman" w:cs="Times New Roman"/>
                <w:lang w:val="it-IT"/>
              </w:rPr>
              <w:t>Risposta</w:t>
            </w:r>
          </w:p>
        </w:tc>
        <w:tc>
          <w:tcPr>
            <w:tcW w:w="1470" w:type="pct"/>
            <w:gridSpan w:val="2"/>
            <w:tcBorders>
              <w:top w:val="single" w:sz="4" w:space="0" w:color="auto"/>
              <w:left w:val="single" w:sz="4" w:space="0" w:color="auto"/>
              <w:bottom w:val="single" w:sz="4" w:space="0" w:color="auto"/>
              <w:right w:val="single" w:sz="4" w:space="0" w:color="auto"/>
            </w:tcBorders>
          </w:tcPr>
          <w:p w14:paraId="45431764" w14:textId="77777777" w:rsidR="00953B2E" w:rsidRPr="00C35766" w:rsidRDefault="005F0C19">
            <w:pPr>
              <w:pStyle w:val="TableParagraph"/>
              <w:spacing w:line="246" w:lineRule="exact"/>
              <w:ind w:left="690"/>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1403" w:type="pct"/>
            <w:gridSpan w:val="2"/>
            <w:tcBorders>
              <w:top w:val="single" w:sz="4" w:space="0" w:color="auto"/>
              <w:left w:val="single" w:sz="4" w:space="0" w:color="auto"/>
              <w:bottom w:val="single" w:sz="4" w:space="0" w:color="auto"/>
              <w:right w:val="single" w:sz="4" w:space="0" w:color="auto"/>
            </w:tcBorders>
          </w:tcPr>
          <w:p w14:paraId="39E53E48" w14:textId="77777777" w:rsidR="00953B2E" w:rsidRPr="00C35766" w:rsidRDefault="005F0C19">
            <w:pPr>
              <w:pStyle w:val="TableParagraph"/>
              <w:spacing w:line="246" w:lineRule="exact"/>
              <w:ind w:left="591"/>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1477" w:type="pct"/>
            <w:gridSpan w:val="2"/>
            <w:tcBorders>
              <w:top w:val="single" w:sz="4" w:space="0" w:color="auto"/>
              <w:left w:val="single" w:sz="4" w:space="0" w:color="auto"/>
              <w:bottom w:val="single" w:sz="4" w:space="0" w:color="auto"/>
            </w:tcBorders>
          </w:tcPr>
          <w:p w14:paraId="2A9319AA" w14:textId="77777777" w:rsidR="00953B2E" w:rsidRPr="00C35766" w:rsidRDefault="005F0C19">
            <w:pPr>
              <w:pStyle w:val="TableParagraph"/>
              <w:spacing w:line="246" w:lineRule="exact"/>
              <w:ind w:left="625"/>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r>
      <w:tr w:rsidR="00953B2E" w:rsidRPr="00C35766" w14:paraId="7EA4E04B" w14:textId="77777777" w:rsidTr="00146E60">
        <w:tc>
          <w:tcPr>
            <w:tcW w:w="650" w:type="pct"/>
            <w:vMerge/>
            <w:tcBorders>
              <w:bottom w:val="single" w:sz="4" w:space="0" w:color="auto"/>
              <w:right w:val="single" w:sz="4" w:space="0" w:color="auto"/>
            </w:tcBorders>
          </w:tcPr>
          <w:p w14:paraId="51AC9CEC" w14:textId="77777777" w:rsidR="00953B2E" w:rsidRPr="00C35766" w:rsidRDefault="00953B2E">
            <w:pPr>
              <w:rPr>
                <w:rFonts w:ascii="Times New Roman" w:hAnsi="Times New Roman" w:cs="Times New Roman"/>
              </w:rPr>
            </w:pPr>
          </w:p>
        </w:tc>
        <w:tc>
          <w:tcPr>
            <w:tcW w:w="589" w:type="pct"/>
            <w:tcBorders>
              <w:top w:val="single" w:sz="4" w:space="0" w:color="auto"/>
              <w:left w:val="single" w:sz="4" w:space="0" w:color="auto"/>
              <w:bottom w:val="single" w:sz="4" w:space="0" w:color="auto"/>
            </w:tcBorders>
          </w:tcPr>
          <w:p w14:paraId="660CF960" w14:textId="58970E68"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r w:rsidR="00A34731" w:rsidRPr="00C35766">
              <w:rPr>
                <w:rFonts w:ascii="Times New Roman" w:eastAsia="Times New Roman" w:hAnsi="Times New Roman" w:cs="Times New Roman"/>
                <w:lang w:val="it-IT"/>
              </w:rPr>
              <w:t>/</w:t>
            </w:r>
          </w:p>
          <w:p w14:paraId="1AC7CA71" w14:textId="77777777" w:rsidR="00953B2E" w:rsidRPr="00C35766" w:rsidRDefault="005F0C19">
            <w:pPr>
              <w:pStyle w:val="TableParagraph"/>
              <w:spacing w:before="5" w:line="252" w:lineRule="exact"/>
              <w:ind w:right="226"/>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 xml:space="preserve">c </w:t>
            </w:r>
            <w:r w:rsidRPr="00C35766">
              <w:rPr>
                <w:rFonts w:ascii="Times New Roman" w:eastAsia="Times New Roman" w:hAnsi="Times New Roman" w:cs="Times New Roman"/>
                <w:lang w:val="it-IT"/>
              </w:rPr>
              <w:t>n=60</w:t>
            </w:r>
          </w:p>
        </w:tc>
        <w:tc>
          <w:tcPr>
            <w:tcW w:w="881" w:type="pct"/>
            <w:tcBorders>
              <w:top w:val="single" w:sz="4" w:space="0" w:color="auto"/>
              <w:bottom w:val="single" w:sz="4" w:space="0" w:color="auto"/>
              <w:right w:val="single" w:sz="4" w:space="0" w:color="auto"/>
            </w:tcBorders>
          </w:tcPr>
          <w:p w14:paraId="7DAE2079" w14:textId="77777777" w:rsidR="00953B2E" w:rsidRPr="00C35766" w:rsidRDefault="005F0C19">
            <w:pPr>
              <w:pStyle w:val="TableParagraph"/>
              <w:spacing w:line="246" w:lineRule="exact"/>
              <w:ind w:right="50"/>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/MTX</w:t>
            </w:r>
            <w:r w:rsidRPr="00C35766">
              <w:rPr>
                <w:rFonts w:ascii="Times New Roman" w:hAnsi="Times New Roman" w:cs="Times New Roman"/>
                <w:spacing w:val="-1"/>
                <w:vertAlign w:val="superscript"/>
                <w:lang w:val="it-IT"/>
              </w:rPr>
              <w:t>c</w:t>
            </w:r>
          </w:p>
          <w:p w14:paraId="1C20B07B"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n=63</w:t>
            </w:r>
          </w:p>
        </w:tc>
        <w:tc>
          <w:tcPr>
            <w:tcW w:w="698" w:type="pct"/>
            <w:tcBorders>
              <w:top w:val="single" w:sz="4" w:space="0" w:color="auto"/>
              <w:left w:val="single" w:sz="4" w:space="0" w:color="auto"/>
              <w:bottom w:val="single" w:sz="4" w:space="0" w:color="auto"/>
            </w:tcBorders>
          </w:tcPr>
          <w:p w14:paraId="2D1F0F2A"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1B9585BE"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n=110</w:t>
            </w:r>
          </w:p>
        </w:tc>
        <w:tc>
          <w:tcPr>
            <w:tcW w:w="706" w:type="pct"/>
            <w:tcBorders>
              <w:top w:val="single" w:sz="4" w:space="0" w:color="auto"/>
              <w:bottom w:val="single" w:sz="4" w:space="0" w:color="auto"/>
              <w:right w:val="single" w:sz="4" w:space="0" w:color="auto"/>
            </w:tcBorders>
          </w:tcPr>
          <w:p w14:paraId="52388870"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p>
          <w:p w14:paraId="5DD7164A"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n=113</w:t>
            </w:r>
          </w:p>
        </w:tc>
        <w:tc>
          <w:tcPr>
            <w:tcW w:w="749" w:type="pct"/>
            <w:tcBorders>
              <w:top w:val="single" w:sz="4" w:space="0" w:color="auto"/>
              <w:left w:val="single" w:sz="4" w:space="0" w:color="auto"/>
              <w:bottom w:val="single" w:sz="4" w:space="0" w:color="auto"/>
            </w:tcBorders>
          </w:tcPr>
          <w:p w14:paraId="1F7EFA6A"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p>
          <w:p w14:paraId="2AAD8913" w14:textId="77777777" w:rsidR="00083924" w:rsidRPr="00C35766" w:rsidRDefault="005F0C19">
            <w:pPr>
              <w:pStyle w:val="TableParagraph"/>
              <w:spacing w:line="252" w:lineRule="exact"/>
              <w:ind w:hanging="4"/>
              <w:jc w:val="center"/>
              <w:rPr>
                <w:rFonts w:ascii="Times New Roman" w:eastAsia="Times New Roman" w:hAnsi="Times New Roman" w:cs="Times New Roman"/>
                <w:vertAlign w:val="superscript"/>
                <w:lang w:val="it-IT"/>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 xml:space="preserve">c </w:t>
            </w:r>
          </w:p>
          <w:p w14:paraId="65596CB4" w14:textId="57C48EF7" w:rsidR="00953B2E" w:rsidRPr="00C35766" w:rsidRDefault="005F0C19">
            <w:pPr>
              <w:pStyle w:val="TableParagraph"/>
              <w:spacing w:line="252" w:lineRule="exact"/>
              <w:ind w:hanging="4"/>
              <w:jc w:val="center"/>
              <w:rPr>
                <w:rFonts w:ascii="Times New Roman" w:eastAsia="Times New Roman" w:hAnsi="Times New Roman" w:cs="Times New Roman"/>
              </w:rPr>
            </w:pPr>
            <w:r w:rsidRPr="00C35766">
              <w:rPr>
                <w:rFonts w:ascii="Times New Roman" w:eastAsia="Times New Roman" w:hAnsi="Times New Roman" w:cs="Times New Roman"/>
                <w:lang w:val="it-IT"/>
              </w:rPr>
              <w:t>n=200</w:t>
            </w:r>
          </w:p>
        </w:tc>
        <w:tc>
          <w:tcPr>
            <w:tcW w:w="728" w:type="pct"/>
            <w:tcBorders>
              <w:top w:val="single" w:sz="4" w:space="0" w:color="auto"/>
              <w:bottom w:val="single" w:sz="4" w:space="0" w:color="auto"/>
            </w:tcBorders>
          </w:tcPr>
          <w:p w14:paraId="32AC1813"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/MTX</w:t>
            </w:r>
            <w:r w:rsidRPr="00C35766">
              <w:rPr>
                <w:rFonts w:ascii="Times New Roman" w:eastAsia="Times New Roman" w:hAnsi="Times New Roman" w:cs="Times New Roman"/>
                <w:spacing w:val="-1"/>
                <w:vertAlign w:val="superscript"/>
                <w:lang w:val="it-IT"/>
              </w:rPr>
              <w:t>c</w:t>
            </w:r>
          </w:p>
          <w:p w14:paraId="0F244CD9"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n=207</w:t>
            </w:r>
          </w:p>
        </w:tc>
      </w:tr>
      <w:tr w:rsidR="00953B2E" w:rsidRPr="00C35766" w14:paraId="79019717" w14:textId="77777777" w:rsidTr="00146E60">
        <w:tc>
          <w:tcPr>
            <w:tcW w:w="650" w:type="pct"/>
            <w:tcBorders>
              <w:top w:val="single" w:sz="4" w:space="0" w:color="auto"/>
              <w:right w:val="single" w:sz="4" w:space="0" w:color="auto"/>
            </w:tcBorders>
          </w:tcPr>
          <w:p w14:paraId="163D97AF" w14:textId="77777777" w:rsidR="00953B2E" w:rsidRPr="00C35766" w:rsidRDefault="005F0C19">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20</w:t>
            </w:r>
          </w:p>
        </w:tc>
        <w:tc>
          <w:tcPr>
            <w:tcW w:w="589" w:type="pct"/>
            <w:vMerge w:val="restart"/>
            <w:tcBorders>
              <w:top w:val="single" w:sz="4" w:space="0" w:color="auto"/>
              <w:left w:val="single" w:sz="4" w:space="0" w:color="auto"/>
              <w:right w:val="nil"/>
            </w:tcBorders>
          </w:tcPr>
          <w:p w14:paraId="53F0C08E" w14:textId="77777777" w:rsidR="00953B2E" w:rsidRPr="00C35766" w:rsidRDefault="00953B2E">
            <w:pPr>
              <w:pStyle w:val="TableParagraph"/>
              <w:spacing w:before="7" w:line="240" w:lineRule="exact"/>
              <w:rPr>
                <w:rFonts w:ascii="Times New Roman" w:hAnsi="Times New Roman" w:cs="Times New Roman"/>
              </w:rPr>
            </w:pPr>
          </w:p>
          <w:p w14:paraId="5617F953" w14:textId="77777777" w:rsidR="00953B2E" w:rsidRPr="00C35766" w:rsidRDefault="005F0C19">
            <w:pPr>
              <w:pStyle w:val="TableParagraph"/>
              <w:ind w:left="277"/>
              <w:rPr>
                <w:rFonts w:ascii="Times New Roman" w:eastAsia="Times New Roman" w:hAnsi="Times New Roman" w:cs="Times New Roman"/>
              </w:rPr>
            </w:pPr>
            <w:r w:rsidRPr="00C35766">
              <w:rPr>
                <w:rFonts w:ascii="Times New Roman" w:eastAsia="Times New Roman" w:hAnsi="Times New Roman" w:cs="Times New Roman"/>
                <w:lang w:val="it-IT"/>
              </w:rPr>
              <w:t>13,3%</w:t>
            </w:r>
          </w:p>
        </w:tc>
        <w:tc>
          <w:tcPr>
            <w:tcW w:w="881" w:type="pct"/>
            <w:vMerge w:val="restart"/>
            <w:tcBorders>
              <w:top w:val="single" w:sz="4" w:space="0" w:color="auto"/>
              <w:left w:val="nil"/>
              <w:right w:val="single" w:sz="7" w:space="0" w:color="000000"/>
            </w:tcBorders>
          </w:tcPr>
          <w:p w14:paraId="70C4DB03" w14:textId="77777777" w:rsidR="00953B2E" w:rsidRPr="00C35766" w:rsidRDefault="00953B2E">
            <w:pPr>
              <w:pStyle w:val="TableParagraph"/>
              <w:spacing w:before="7" w:line="240" w:lineRule="exact"/>
              <w:rPr>
                <w:rFonts w:ascii="Times New Roman" w:hAnsi="Times New Roman" w:cs="Times New Roman"/>
              </w:rPr>
            </w:pPr>
          </w:p>
          <w:p w14:paraId="4B12F794" w14:textId="77777777" w:rsidR="00953B2E" w:rsidRPr="00C35766" w:rsidRDefault="005F0C19">
            <w:pPr>
              <w:pStyle w:val="TableParagraph"/>
              <w:ind w:left="544"/>
              <w:rPr>
                <w:rFonts w:ascii="Times New Roman" w:eastAsia="Times New Roman" w:hAnsi="Times New Roman" w:cs="Times New Roman"/>
              </w:rPr>
            </w:pPr>
            <w:r w:rsidRPr="00C35766">
              <w:rPr>
                <w:rFonts w:ascii="Times New Roman" w:eastAsia="Times New Roman" w:hAnsi="Times New Roman" w:cs="Times New Roman"/>
                <w:lang w:val="it-IT"/>
              </w:rPr>
              <w:t>65,1%</w:t>
            </w:r>
          </w:p>
        </w:tc>
        <w:tc>
          <w:tcPr>
            <w:tcW w:w="698" w:type="pct"/>
            <w:vMerge w:val="restart"/>
            <w:tcBorders>
              <w:top w:val="single" w:sz="4" w:space="0" w:color="auto"/>
              <w:left w:val="single" w:sz="7" w:space="0" w:color="000000"/>
              <w:right w:val="nil"/>
            </w:tcBorders>
          </w:tcPr>
          <w:p w14:paraId="31B0BB6A" w14:textId="77777777" w:rsidR="00953B2E" w:rsidRPr="00C35766" w:rsidRDefault="00953B2E">
            <w:pPr>
              <w:pStyle w:val="TableParagraph"/>
              <w:spacing w:before="7" w:line="240" w:lineRule="exact"/>
              <w:rPr>
                <w:rFonts w:ascii="Times New Roman" w:hAnsi="Times New Roman" w:cs="Times New Roman"/>
              </w:rPr>
            </w:pPr>
          </w:p>
          <w:p w14:paraId="64129265" w14:textId="77777777" w:rsidR="00953B2E" w:rsidRPr="00C35766" w:rsidRDefault="005F0C19">
            <w:pPr>
              <w:pStyle w:val="TableParagraph"/>
              <w:ind w:left="351"/>
              <w:rPr>
                <w:rFonts w:ascii="Times New Roman" w:eastAsia="Times New Roman" w:hAnsi="Times New Roman" w:cs="Times New Roman"/>
              </w:rPr>
            </w:pPr>
            <w:r w:rsidRPr="00C35766">
              <w:rPr>
                <w:rFonts w:ascii="Times New Roman" w:eastAsia="Times New Roman" w:hAnsi="Times New Roman" w:cs="Times New Roman"/>
                <w:lang w:val="it-IT"/>
              </w:rPr>
              <w:t>19,1%</w:t>
            </w:r>
          </w:p>
        </w:tc>
        <w:tc>
          <w:tcPr>
            <w:tcW w:w="706" w:type="pct"/>
            <w:vMerge w:val="restart"/>
            <w:tcBorders>
              <w:top w:val="single" w:sz="4" w:space="0" w:color="auto"/>
              <w:left w:val="nil"/>
              <w:right w:val="single" w:sz="7" w:space="0" w:color="000000"/>
            </w:tcBorders>
          </w:tcPr>
          <w:p w14:paraId="37871212" w14:textId="77777777" w:rsidR="00953B2E" w:rsidRPr="00C35766" w:rsidRDefault="00953B2E">
            <w:pPr>
              <w:pStyle w:val="TableParagraph"/>
              <w:spacing w:before="7" w:line="240" w:lineRule="exact"/>
              <w:rPr>
                <w:rFonts w:ascii="Times New Roman" w:hAnsi="Times New Roman" w:cs="Times New Roman"/>
              </w:rPr>
            </w:pPr>
          </w:p>
          <w:p w14:paraId="53CD0D29" w14:textId="77777777" w:rsidR="00953B2E" w:rsidRPr="00C35766" w:rsidRDefault="005F0C19">
            <w:pPr>
              <w:pStyle w:val="TableParagraph"/>
              <w:ind w:left="363"/>
              <w:rPr>
                <w:rFonts w:ascii="Times New Roman" w:eastAsia="Times New Roman" w:hAnsi="Times New Roman" w:cs="Times New Roman"/>
              </w:rPr>
            </w:pPr>
            <w:r w:rsidRPr="00C35766">
              <w:rPr>
                <w:rFonts w:ascii="Times New Roman" w:eastAsia="Times New Roman" w:hAnsi="Times New Roman" w:cs="Times New Roman"/>
                <w:lang w:val="it-IT"/>
              </w:rPr>
              <w:t>46,0%</w:t>
            </w:r>
          </w:p>
        </w:tc>
        <w:tc>
          <w:tcPr>
            <w:tcW w:w="749" w:type="pct"/>
            <w:vMerge w:val="restart"/>
            <w:tcBorders>
              <w:top w:val="single" w:sz="4" w:space="0" w:color="auto"/>
              <w:left w:val="single" w:sz="7" w:space="0" w:color="000000"/>
              <w:right w:val="nil"/>
            </w:tcBorders>
          </w:tcPr>
          <w:p w14:paraId="7C7EC8D0" w14:textId="77777777" w:rsidR="00953B2E" w:rsidRPr="00C35766" w:rsidRDefault="00953B2E">
            <w:pPr>
              <w:pStyle w:val="TableParagraph"/>
              <w:spacing w:before="7" w:line="240" w:lineRule="exact"/>
              <w:rPr>
                <w:rFonts w:ascii="Times New Roman" w:hAnsi="Times New Roman" w:cs="Times New Roman"/>
              </w:rPr>
            </w:pPr>
          </w:p>
          <w:p w14:paraId="26EADB7C" w14:textId="77777777" w:rsidR="00953B2E" w:rsidRPr="00C35766" w:rsidRDefault="005F0C19">
            <w:pPr>
              <w:pStyle w:val="TableParagraph"/>
              <w:ind w:left="344"/>
              <w:rPr>
                <w:rFonts w:ascii="Times New Roman" w:eastAsia="Times New Roman" w:hAnsi="Times New Roman" w:cs="Times New Roman"/>
              </w:rPr>
            </w:pPr>
            <w:r w:rsidRPr="00C35766">
              <w:rPr>
                <w:rFonts w:ascii="Times New Roman" w:eastAsia="Times New Roman" w:hAnsi="Times New Roman" w:cs="Times New Roman"/>
                <w:lang w:val="it-IT"/>
              </w:rPr>
              <w:t>29,5%</w:t>
            </w:r>
          </w:p>
        </w:tc>
        <w:tc>
          <w:tcPr>
            <w:tcW w:w="728" w:type="pct"/>
            <w:vMerge w:val="restart"/>
            <w:tcBorders>
              <w:top w:val="single" w:sz="4" w:space="0" w:color="auto"/>
              <w:left w:val="nil"/>
            </w:tcBorders>
          </w:tcPr>
          <w:p w14:paraId="1AF2EAB5" w14:textId="77777777" w:rsidR="00953B2E" w:rsidRPr="00C35766" w:rsidRDefault="00953B2E">
            <w:pPr>
              <w:pStyle w:val="TableParagraph"/>
              <w:spacing w:before="7" w:line="240" w:lineRule="exact"/>
              <w:rPr>
                <w:rFonts w:ascii="Times New Roman" w:hAnsi="Times New Roman" w:cs="Times New Roman"/>
              </w:rPr>
            </w:pPr>
          </w:p>
          <w:p w14:paraId="7422E03E" w14:textId="77777777" w:rsidR="00953B2E" w:rsidRPr="00C35766" w:rsidRDefault="005F0C19">
            <w:pPr>
              <w:pStyle w:val="TableParagraph"/>
              <w:ind w:left="567"/>
              <w:rPr>
                <w:rFonts w:ascii="Times New Roman" w:eastAsia="Times New Roman" w:hAnsi="Times New Roman" w:cs="Times New Roman"/>
              </w:rPr>
            </w:pPr>
            <w:r w:rsidRPr="00C35766">
              <w:rPr>
                <w:rFonts w:ascii="Times New Roman" w:eastAsia="Times New Roman" w:hAnsi="Times New Roman" w:cs="Times New Roman"/>
                <w:lang w:val="it-IT"/>
              </w:rPr>
              <w:t>63,3%</w:t>
            </w:r>
          </w:p>
        </w:tc>
      </w:tr>
      <w:tr w:rsidR="00953B2E" w:rsidRPr="00C35766" w14:paraId="2B2BA1A7" w14:textId="77777777" w:rsidTr="00146E60">
        <w:tc>
          <w:tcPr>
            <w:tcW w:w="650" w:type="pct"/>
            <w:tcBorders>
              <w:right w:val="single" w:sz="4" w:space="0" w:color="auto"/>
            </w:tcBorders>
          </w:tcPr>
          <w:p w14:paraId="4D0E5533" w14:textId="77777777" w:rsidR="00953B2E" w:rsidRPr="00C35766" w:rsidRDefault="005F0C19">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vMerge/>
            <w:tcBorders>
              <w:left w:val="single" w:sz="4" w:space="0" w:color="auto"/>
              <w:right w:val="nil"/>
            </w:tcBorders>
          </w:tcPr>
          <w:p w14:paraId="39E76B81" w14:textId="77777777" w:rsidR="00953B2E" w:rsidRPr="00C35766" w:rsidRDefault="00953B2E">
            <w:pPr>
              <w:rPr>
                <w:rFonts w:ascii="Times New Roman" w:hAnsi="Times New Roman" w:cs="Times New Roman"/>
              </w:rPr>
            </w:pPr>
          </w:p>
        </w:tc>
        <w:tc>
          <w:tcPr>
            <w:tcW w:w="881" w:type="pct"/>
            <w:vMerge/>
            <w:tcBorders>
              <w:left w:val="nil"/>
              <w:right w:val="single" w:sz="7" w:space="0" w:color="000000"/>
            </w:tcBorders>
          </w:tcPr>
          <w:p w14:paraId="7E1415DE" w14:textId="77777777" w:rsidR="00953B2E" w:rsidRPr="00C35766" w:rsidRDefault="00953B2E">
            <w:pPr>
              <w:rPr>
                <w:rFonts w:ascii="Times New Roman" w:hAnsi="Times New Roman" w:cs="Times New Roman"/>
              </w:rPr>
            </w:pPr>
          </w:p>
        </w:tc>
        <w:tc>
          <w:tcPr>
            <w:tcW w:w="698" w:type="pct"/>
            <w:vMerge/>
            <w:tcBorders>
              <w:left w:val="single" w:sz="7" w:space="0" w:color="000000"/>
              <w:right w:val="nil"/>
            </w:tcBorders>
          </w:tcPr>
          <w:p w14:paraId="6397D5F7" w14:textId="77777777" w:rsidR="00953B2E" w:rsidRPr="00C35766" w:rsidRDefault="00953B2E">
            <w:pPr>
              <w:rPr>
                <w:rFonts w:ascii="Times New Roman" w:hAnsi="Times New Roman" w:cs="Times New Roman"/>
              </w:rPr>
            </w:pPr>
          </w:p>
        </w:tc>
        <w:tc>
          <w:tcPr>
            <w:tcW w:w="706" w:type="pct"/>
            <w:vMerge/>
            <w:tcBorders>
              <w:left w:val="nil"/>
              <w:right w:val="single" w:sz="7" w:space="0" w:color="000000"/>
            </w:tcBorders>
          </w:tcPr>
          <w:p w14:paraId="52F8495C" w14:textId="77777777" w:rsidR="00953B2E" w:rsidRPr="00C35766" w:rsidRDefault="00953B2E">
            <w:pPr>
              <w:rPr>
                <w:rFonts w:ascii="Times New Roman" w:hAnsi="Times New Roman" w:cs="Times New Roman"/>
              </w:rPr>
            </w:pPr>
          </w:p>
        </w:tc>
        <w:tc>
          <w:tcPr>
            <w:tcW w:w="749" w:type="pct"/>
            <w:vMerge/>
            <w:tcBorders>
              <w:left w:val="single" w:sz="7" w:space="0" w:color="000000"/>
              <w:right w:val="nil"/>
            </w:tcBorders>
          </w:tcPr>
          <w:p w14:paraId="1A232617" w14:textId="77777777" w:rsidR="00953B2E" w:rsidRPr="00C35766" w:rsidRDefault="00953B2E">
            <w:pPr>
              <w:rPr>
                <w:rFonts w:ascii="Times New Roman" w:hAnsi="Times New Roman" w:cs="Times New Roman"/>
              </w:rPr>
            </w:pPr>
          </w:p>
        </w:tc>
        <w:tc>
          <w:tcPr>
            <w:tcW w:w="728" w:type="pct"/>
            <w:vMerge/>
            <w:tcBorders>
              <w:left w:val="nil"/>
            </w:tcBorders>
          </w:tcPr>
          <w:p w14:paraId="517907C3" w14:textId="77777777" w:rsidR="00953B2E" w:rsidRPr="00C35766" w:rsidRDefault="00953B2E">
            <w:pPr>
              <w:rPr>
                <w:rFonts w:ascii="Times New Roman" w:hAnsi="Times New Roman" w:cs="Times New Roman"/>
              </w:rPr>
            </w:pPr>
          </w:p>
        </w:tc>
      </w:tr>
      <w:tr w:rsidR="00953B2E" w:rsidRPr="00C35766" w14:paraId="503D5223" w14:textId="77777777" w:rsidTr="00146E60">
        <w:tc>
          <w:tcPr>
            <w:tcW w:w="650" w:type="pct"/>
            <w:tcBorders>
              <w:right w:val="single" w:sz="4" w:space="0" w:color="auto"/>
            </w:tcBorders>
          </w:tcPr>
          <w:p w14:paraId="43E54707" w14:textId="77777777" w:rsidR="00953B2E" w:rsidRPr="00C35766" w:rsidRDefault="005F0C19">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right w:val="nil"/>
            </w:tcBorders>
          </w:tcPr>
          <w:p w14:paraId="4DE2BCB2" w14:textId="77777777" w:rsidR="00953B2E" w:rsidRPr="00C35766" w:rsidRDefault="005F0C19">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right w:val="single" w:sz="7" w:space="0" w:color="000000"/>
            </w:tcBorders>
          </w:tcPr>
          <w:p w14:paraId="0E6DDAC0" w14:textId="77777777" w:rsidR="00953B2E" w:rsidRPr="00C35766" w:rsidRDefault="005F0C19">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right w:val="nil"/>
            </w:tcBorders>
          </w:tcPr>
          <w:p w14:paraId="276DA250" w14:textId="77777777" w:rsidR="00953B2E" w:rsidRPr="00C35766" w:rsidRDefault="005F0C19">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right w:val="single" w:sz="7" w:space="0" w:color="000000"/>
            </w:tcBorders>
          </w:tcPr>
          <w:p w14:paraId="33F89122" w14:textId="77777777" w:rsidR="00953B2E" w:rsidRPr="00C35766" w:rsidRDefault="005F0C19">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right w:val="nil"/>
            </w:tcBorders>
          </w:tcPr>
          <w:p w14:paraId="61E4966C" w14:textId="77777777" w:rsidR="00953B2E" w:rsidRPr="00C35766" w:rsidRDefault="005F0C19">
            <w:pPr>
              <w:pStyle w:val="TableParagraph"/>
              <w:spacing w:line="241" w:lineRule="exact"/>
              <w:ind w:left="344"/>
              <w:rPr>
                <w:rFonts w:ascii="Times New Roman" w:eastAsia="Times New Roman" w:hAnsi="Times New Roman" w:cs="Times New Roman"/>
              </w:rPr>
            </w:pPr>
            <w:r w:rsidRPr="00C35766">
              <w:rPr>
                <w:rFonts w:ascii="Times New Roman" w:eastAsia="Times New Roman" w:hAnsi="Times New Roman" w:cs="Times New Roman"/>
                <w:lang w:val="it-IT"/>
              </w:rPr>
              <w:t>24,0%</w:t>
            </w:r>
          </w:p>
        </w:tc>
        <w:tc>
          <w:tcPr>
            <w:tcW w:w="728" w:type="pct"/>
            <w:tcBorders>
              <w:left w:val="nil"/>
            </w:tcBorders>
          </w:tcPr>
          <w:p w14:paraId="196B9B9B" w14:textId="77777777" w:rsidR="00953B2E" w:rsidRPr="00C35766" w:rsidRDefault="005F0C19">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58,9%</w:t>
            </w:r>
          </w:p>
        </w:tc>
      </w:tr>
      <w:tr w:rsidR="00953B2E" w:rsidRPr="00C35766" w14:paraId="166AD51C" w14:textId="77777777" w:rsidTr="00146E60">
        <w:tc>
          <w:tcPr>
            <w:tcW w:w="650" w:type="pct"/>
            <w:tcBorders>
              <w:right w:val="single" w:sz="4" w:space="0" w:color="auto"/>
            </w:tcBorders>
          </w:tcPr>
          <w:p w14:paraId="5B84F7D5" w14:textId="77777777" w:rsidR="00953B2E" w:rsidRPr="00C35766" w:rsidRDefault="005F0C19">
            <w:pPr>
              <w:pStyle w:val="TableParagraph"/>
              <w:spacing w:line="242"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50</w:t>
            </w:r>
          </w:p>
        </w:tc>
        <w:tc>
          <w:tcPr>
            <w:tcW w:w="589" w:type="pct"/>
            <w:tcBorders>
              <w:left w:val="single" w:sz="4" w:space="0" w:color="auto"/>
              <w:right w:val="nil"/>
            </w:tcBorders>
          </w:tcPr>
          <w:p w14:paraId="17248E88" w14:textId="77777777" w:rsidR="00953B2E" w:rsidRPr="00C35766" w:rsidRDefault="00953B2E">
            <w:pPr>
              <w:rPr>
                <w:rFonts w:ascii="Times New Roman" w:hAnsi="Times New Roman" w:cs="Times New Roman"/>
              </w:rPr>
            </w:pPr>
          </w:p>
        </w:tc>
        <w:tc>
          <w:tcPr>
            <w:tcW w:w="881" w:type="pct"/>
            <w:tcBorders>
              <w:left w:val="nil"/>
              <w:right w:val="single" w:sz="7" w:space="0" w:color="000000"/>
            </w:tcBorders>
          </w:tcPr>
          <w:p w14:paraId="707CBD50" w14:textId="77777777" w:rsidR="00953B2E" w:rsidRPr="00C35766" w:rsidRDefault="00953B2E">
            <w:pPr>
              <w:rPr>
                <w:rFonts w:ascii="Times New Roman" w:hAnsi="Times New Roman" w:cs="Times New Roman"/>
              </w:rPr>
            </w:pPr>
          </w:p>
        </w:tc>
        <w:tc>
          <w:tcPr>
            <w:tcW w:w="698" w:type="pct"/>
            <w:tcBorders>
              <w:left w:val="single" w:sz="7" w:space="0" w:color="000000"/>
              <w:right w:val="nil"/>
            </w:tcBorders>
          </w:tcPr>
          <w:p w14:paraId="7C7791F5" w14:textId="77777777" w:rsidR="00953B2E" w:rsidRPr="00C35766" w:rsidRDefault="00953B2E">
            <w:pPr>
              <w:rPr>
                <w:rFonts w:ascii="Times New Roman" w:hAnsi="Times New Roman" w:cs="Times New Roman"/>
              </w:rPr>
            </w:pPr>
          </w:p>
        </w:tc>
        <w:tc>
          <w:tcPr>
            <w:tcW w:w="706" w:type="pct"/>
            <w:tcBorders>
              <w:left w:val="nil"/>
              <w:right w:val="single" w:sz="7" w:space="0" w:color="000000"/>
            </w:tcBorders>
          </w:tcPr>
          <w:p w14:paraId="1227536D" w14:textId="77777777" w:rsidR="00953B2E" w:rsidRPr="00C35766" w:rsidRDefault="00953B2E">
            <w:pPr>
              <w:rPr>
                <w:rFonts w:ascii="Times New Roman" w:hAnsi="Times New Roman" w:cs="Times New Roman"/>
              </w:rPr>
            </w:pPr>
          </w:p>
        </w:tc>
        <w:tc>
          <w:tcPr>
            <w:tcW w:w="749" w:type="pct"/>
            <w:tcBorders>
              <w:left w:val="single" w:sz="7" w:space="0" w:color="000000"/>
              <w:right w:val="nil"/>
            </w:tcBorders>
          </w:tcPr>
          <w:p w14:paraId="09B833F9" w14:textId="77777777" w:rsidR="00953B2E" w:rsidRPr="00C35766" w:rsidRDefault="00953B2E">
            <w:pPr>
              <w:rPr>
                <w:rFonts w:ascii="Times New Roman" w:hAnsi="Times New Roman" w:cs="Times New Roman"/>
              </w:rPr>
            </w:pPr>
          </w:p>
        </w:tc>
        <w:tc>
          <w:tcPr>
            <w:tcW w:w="728" w:type="pct"/>
            <w:tcBorders>
              <w:left w:val="nil"/>
            </w:tcBorders>
          </w:tcPr>
          <w:p w14:paraId="7AAE93D9" w14:textId="77777777" w:rsidR="00953B2E" w:rsidRPr="00C35766" w:rsidRDefault="00953B2E">
            <w:pPr>
              <w:rPr>
                <w:rFonts w:ascii="Times New Roman" w:hAnsi="Times New Roman" w:cs="Times New Roman"/>
              </w:rPr>
            </w:pPr>
          </w:p>
        </w:tc>
      </w:tr>
      <w:tr w:rsidR="00953B2E" w:rsidRPr="00C35766" w14:paraId="1096CCE0" w14:textId="77777777" w:rsidTr="00146E60">
        <w:tc>
          <w:tcPr>
            <w:tcW w:w="650" w:type="pct"/>
            <w:tcBorders>
              <w:right w:val="single" w:sz="4" w:space="0" w:color="auto"/>
            </w:tcBorders>
          </w:tcPr>
          <w:p w14:paraId="1B7E4E98" w14:textId="77777777" w:rsidR="00953B2E" w:rsidRPr="00C35766" w:rsidRDefault="005F0C19">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tcBorders>
              <w:left w:val="single" w:sz="4" w:space="0" w:color="auto"/>
              <w:right w:val="nil"/>
            </w:tcBorders>
          </w:tcPr>
          <w:p w14:paraId="5799D244" w14:textId="77777777" w:rsidR="00953B2E" w:rsidRPr="00C35766" w:rsidRDefault="005F0C19">
            <w:pPr>
              <w:pStyle w:val="TableParagraph"/>
              <w:spacing w:line="241"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6,7%</w:t>
            </w:r>
          </w:p>
        </w:tc>
        <w:tc>
          <w:tcPr>
            <w:tcW w:w="881" w:type="pct"/>
            <w:tcBorders>
              <w:left w:val="nil"/>
              <w:right w:val="single" w:sz="7" w:space="0" w:color="000000"/>
            </w:tcBorders>
          </w:tcPr>
          <w:p w14:paraId="43246B9F" w14:textId="77777777" w:rsidR="00953B2E" w:rsidRPr="00C35766" w:rsidRDefault="005F0C19">
            <w:pPr>
              <w:pStyle w:val="TableParagraph"/>
              <w:spacing w:line="241"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52,4%</w:t>
            </w:r>
          </w:p>
        </w:tc>
        <w:tc>
          <w:tcPr>
            <w:tcW w:w="698" w:type="pct"/>
            <w:tcBorders>
              <w:left w:val="single" w:sz="7" w:space="0" w:color="000000"/>
              <w:right w:val="nil"/>
            </w:tcBorders>
          </w:tcPr>
          <w:p w14:paraId="67418255" w14:textId="77777777" w:rsidR="00953B2E" w:rsidRPr="00C35766" w:rsidRDefault="005F0C19">
            <w:pPr>
              <w:pStyle w:val="TableParagraph"/>
              <w:spacing w:line="241"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8,2%</w:t>
            </w:r>
          </w:p>
        </w:tc>
        <w:tc>
          <w:tcPr>
            <w:tcW w:w="706" w:type="pct"/>
            <w:tcBorders>
              <w:left w:val="nil"/>
              <w:right w:val="single" w:sz="7" w:space="0" w:color="000000"/>
            </w:tcBorders>
          </w:tcPr>
          <w:p w14:paraId="5731F355" w14:textId="77777777" w:rsidR="00953B2E" w:rsidRPr="00C35766" w:rsidRDefault="005F0C19">
            <w:pPr>
              <w:pStyle w:val="TableParagraph"/>
              <w:spacing w:line="241"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22,1%</w:t>
            </w:r>
          </w:p>
        </w:tc>
        <w:tc>
          <w:tcPr>
            <w:tcW w:w="749" w:type="pct"/>
            <w:tcBorders>
              <w:left w:val="single" w:sz="7" w:space="0" w:color="000000"/>
              <w:right w:val="nil"/>
            </w:tcBorders>
          </w:tcPr>
          <w:p w14:paraId="3250F8C5" w14:textId="77777777" w:rsidR="00953B2E" w:rsidRPr="00C35766" w:rsidRDefault="005F0C19">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728" w:type="pct"/>
            <w:tcBorders>
              <w:left w:val="nil"/>
            </w:tcBorders>
          </w:tcPr>
          <w:p w14:paraId="67645ED4" w14:textId="77777777" w:rsidR="00953B2E" w:rsidRPr="00C35766" w:rsidRDefault="005F0C19">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39,1%</w:t>
            </w:r>
          </w:p>
        </w:tc>
      </w:tr>
      <w:tr w:rsidR="00953B2E" w:rsidRPr="00C35766" w14:paraId="36EC6686" w14:textId="77777777" w:rsidTr="00146E60">
        <w:tc>
          <w:tcPr>
            <w:tcW w:w="650" w:type="pct"/>
            <w:tcBorders>
              <w:right w:val="single" w:sz="4" w:space="0" w:color="auto"/>
            </w:tcBorders>
          </w:tcPr>
          <w:p w14:paraId="043E6966" w14:textId="77777777" w:rsidR="00953B2E" w:rsidRPr="00C35766" w:rsidRDefault="005F0C19">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right w:val="nil"/>
            </w:tcBorders>
          </w:tcPr>
          <w:p w14:paraId="695E0E1F" w14:textId="77777777" w:rsidR="00953B2E" w:rsidRPr="00C35766" w:rsidRDefault="005F0C19">
            <w:pPr>
              <w:pStyle w:val="TableParagraph"/>
              <w:spacing w:line="242"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right w:val="single" w:sz="7" w:space="0" w:color="000000"/>
            </w:tcBorders>
          </w:tcPr>
          <w:p w14:paraId="5850B193" w14:textId="77777777" w:rsidR="00953B2E" w:rsidRPr="00C35766" w:rsidRDefault="005F0C19">
            <w:pPr>
              <w:pStyle w:val="TableParagraph"/>
              <w:spacing w:line="242"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right w:val="nil"/>
            </w:tcBorders>
          </w:tcPr>
          <w:p w14:paraId="2AB926FA" w14:textId="77777777" w:rsidR="00953B2E" w:rsidRPr="00C35766" w:rsidRDefault="005F0C19">
            <w:pPr>
              <w:pStyle w:val="TableParagraph"/>
              <w:spacing w:line="242"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right w:val="single" w:sz="7" w:space="0" w:color="000000"/>
            </w:tcBorders>
          </w:tcPr>
          <w:p w14:paraId="1C18FEBE" w14:textId="77777777" w:rsidR="00953B2E" w:rsidRPr="00C35766" w:rsidRDefault="005F0C19">
            <w:pPr>
              <w:pStyle w:val="TableParagraph"/>
              <w:spacing w:line="242"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right w:val="nil"/>
            </w:tcBorders>
          </w:tcPr>
          <w:p w14:paraId="05F1822A" w14:textId="77777777" w:rsidR="00953B2E" w:rsidRPr="00C35766" w:rsidRDefault="005F0C19">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728" w:type="pct"/>
            <w:tcBorders>
              <w:left w:val="nil"/>
            </w:tcBorders>
          </w:tcPr>
          <w:p w14:paraId="1D1B2F25" w14:textId="77777777" w:rsidR="00953B2E" w:rsidRPr="00C35766" w:rsidRDefault="005F0C19">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41,5%</w:t>
            </w:r>
          </w:p>
        </w:tc>
      </w:tr>
      <w:tr w:rsidR="00953B2E" w:rsidRPr="00C35766" w14:paraId="79466B9E" w14:textId="77777777" w:rsidTr="00146E60">
        <w:tc>
          <w:tcPr>
            <w:tcW w:w="650" w:type="pct"/>
            <w:tcBorders>
              <w:right w:val="single" w:sz="4" w:space="0" w:color="auto"/>
            </w:tcBorders>
          </w:tcPr>
          <w:p w14:paraId="2625F27B" w14:textId="77777777" w:rsidR="00953B2E" w:rsidRPr="00C35766" w:rsidRDefault="005F0C19">
            <w:pPr>
              <w:pStyle w:val="TableParagraph"/>
              <w:spacing w:line="241"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70</w:t>
            </w:r>
          </w:p>
        </w:tc>
        <w:tc>
          <w:tcPr>
            <w:tcW w:w="589" w:type="pct"/>
            <w:tcBorders>
              <w:left w:val="single" w:sz="4" w:space="0" w:color="auto"/>
              <w:right w:val="nil"/>
            </w:tcBorders>
          </w:tcPr>
          <w:p w14:paraId="18D41D52" w14:textId="77777777" w:rsidR="00953B2E" w:rsidRPr="00C35766" w:rsidRDefault="00953B2E">
            <w:pPr>
              <w:rPr>
                <w:rFonts w:ascii="Times New Roman" w:hAnsi="Times New Roman" w:cs="Times New Roman"/>
              </w:rPr>
            </w:pPr>
          </w:p>
        </w:tc>
        <w:tc>
          <w:tcPr>
            <w:tcW w:w="881" w:type="pct"/>
            <w:tcBorders>
              <w:left w:val="nil"/>
              <w:right w:val="single" w:sz="7" w:space="0" w:color="000000"/>
            </w:tcBorders>
          </w:tcPr>
          <w:p w14:paraId="1C7594F4" w14:textId="77777777" w:rsidR="00953B2E" w:rsidRPr="00C35766" w:rsidRDefault="00953B2E">
            <w:pPr>
              <w:rPr>
                <w:rFonts w:ascii="Times New Roman" w:hAnsi="Times New Roman" w:cs="Times New Roman"/>
              </w:rPr>
            </w:pPr>
          </w:p>
        </w:tc>
        <w:tc>
          <w:tcPr>
            <w:tcW w:w="698" w:type="pct"/>
            <w:tcBorders>
              <w:left w:val="single" w:sz="7" w:space="0" w:color="000000"/>
              <w:right w:val="nil"/>
            </w:tcBorders>
          </w:tcPr>
          <w:p w14:paraId="65E01706" w14:textId="77777777" w:rsidR="00953B2E" w:rsidRPr="00C35766" w:rsidRDefault="00953B2E">
            <w:pPr>
              <w:rPr>
                <w:rFonts w:ascii="Times New Roman" w:hAnsi="Times New Roman" w:cs="Times New Roman"/>
              </w:rPr>
            </w:pPr>
          </w:p>
        </w:tc>
        <w:tc>
          <w:tcPr>
            <w:tcW w:w="706" w:type="pct"/>
            <w:tcBorders>
              <w:left w:val="nil"/>
              <w:right w:val="single" w:sz="7" w:space="0" w:color="000000"/>
            </w:tcBorders>
          </w:tcPr>
          <w:p w14:paraId="60E03ED5" w14:textId="77777777" w:rsidR="00953B2E" w:rsidRPr="00C35766" w:rsidRDefault="00953B2E">
            <w:pPr>
              <w:rPr>
                <w:rFonts w:ascii="Times New Roman" w:hAnsi="Times New Roman" w:cs="Times New Roman"/>
              </w:rPr>
            </w:pPr>
          </w:p>
        </w:tc>
        <w:tc>
          <w:tcPr>
            <w:tcW w:w="749" w:type="pct"/>
            <w:tcBorders>
              <w:left w:val="single" w:sz="7" w:space="0" w:color="000000"/>
              <w:right w:val="nil"/>
            </w:tcBorders>
          </w:tcPr>
          <w:p w14:paraId="15D762AC" w14:textId="77777777" w:rsidR="00953B2E" w:rsidRPr="00C35766" w:rsidRDefault="00953B2E">
            <w:pPr>
              <w:rPr>
                <w:rFonts w:ascii="Times New Roman" w:hAnsi="Times New Roman" w:cs="Times New Roman"/>
              </w:rPr>
            </w:pPr>
          </w:p>
        </w:tc>
        <w:tc>
          <w:tcPr>
            <w:tcW w:w="728" w:type="pct"/>
            <w:tcBorders>
              <w:left w:val="nil"/>
            </w:tcBorders>
          </w:tcPr>
          <w:p w14:paraId="02F12C8A" w14:textId="77777777" w:rsidR="00953B2E" w:rsidRPr="00C35766" w:rsidRDefault="00953B2E">
            <w:pPr>
              <w:rPr>
                <w:rFonts w:ascii="Times New Roman" w:hAnsi="Times New Roman" w:cs="Times New Roman"/>
              </w:rPr>
            </w:pPr>
          </w:p>
        </w:tc>
      </w:tr>
      <w:tr w:rsidR="00953B2E" w:rsidRPr="00C35766" w14:paraId="74833DE2" w14:textId="77777777" w:rsidTr="00146E60">
        <w:tc>
          <w:tcPr>
            <w:tcW w:w="650" w:type="pct"/>
            <w:tcBorders>
              <w:right w:val="single" w:sz="4" w:space="0" w:color="auto"/>
            </w:tcBorders>
          </w:tcPr>
          <w:p w14:paraId="1D9B832A" w14:textId="77777777" w:rsidR="00953B2E" w:rsidRPr="00C35766" w:rsidRDefault="005F0C19">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tcBorders>
              <w:left w:val="single" w:sz="4" w:space="0" w:color="auto"/>
              <w:right w:val="nil"/>
            </w:tcBorders>
          </w:tcPr>
          <w:p w14:paraId="7203A8EA" w14:textId="77777777" w:rsidR="00953B2E" w:rsidRPr="00C35766" w:rsidRDefault="005F0C19">
            <w:pPr>
              <w:pStyle w:val="TableParagraph"/>
              <w:spacing w:line="242"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3,3%</w:t>
            </w:r>
          </w:p>
        </w:tc>
        <w:tc>
          <w:tcPr>
            <w:tcW w:w="881" w:type="pct"/>
            <w:tcBorders>
              <w:left w:val="nil"/>
              <w:right w:val="single" w:sz="7" w:space="0" w:color="000000"/>
            </w:tcBorders>
          </w:tcPr>
          <w:p w14:paraId="1173FDDD" w14:textId="77777777" w:rsidR="00953B2E" w:rsidRPr="00C35766" w:rsidRDefault="005F0C19">
            <w:pPr>
              <w:pStyle w:val="TableParagraph"/>
              <w:spacing w:line="242"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698" w:type="pct"/>
            <w:tcBorders>
              <w:left w:val="single" w:sz="7" w:space="0" w:color="000000"/>
              <w:right w:val="nil"/>
            </w:tcBorders>
          </w:tcPr>
          <w:p w14:paraId="29DECDA5" w14:textId="77777777" w:rsidR="00953B2E" w:rsidRPr="00C35766" w:rsidRDefault="005F0C19">
            <w:pPr>
              <w:pStyle w:val="TableParagraph"/>
              <w:spacing w:line="242"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1,8%</w:t>
            </w:r>
          </w:p>
        </w:tc>
        <w:tc>
          <w:tcPr>
            <w:tcW w:w="706" w:type="pct"/>
            <w:tcBorders>
              <w:left w:val="nil"/>
              <w:right w:val="single" w:sz="7" w:space="0" w:color="000000"/>
            </w:tcBorders>
          </w:tcPr>
          <w:p w14:paraId="6383FBEB" w14:textId="77777777" w:rsidR="00953B2E" w:rsidRPr="00C35766" w:rsidRDefault="005F0C19">
            <w:pPr>
              <w:pStyle w:val="TableParagraph"/>
              <w:spacing w:line="242"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12,4%</w:t>
            </w:r>
          </w:p>
        </w:tc>
        <w:tc>
          <w:tcPr>
            <w:tcW w:w="749" w:type="pct"/>
            <w:tcBorders>
              <w:left w:val="single" w:sz="7" w:space="0" w:color="000000"/>
              <w:right w:val="nil"/>
            </w:tcBorders>
          </w:tcPr>
          <w:p w14:paraId="5964636D" w14:textId="77777777" w:rsidR="00953B2E" w:rsidRPr="00C35766" w:rsidRDefault="005F0C19">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728" w:type="pct"/>
            <w:tcBorders>
              <w:left w:val="nil"/>
            </w:tcBorders>
          </w:tcPr>
          <w:p w14:paraId="7B472C81" w14:textId="77777777" w:rsidR="00953B2E" w:rsidRPr="00C35766" w:rsidRDefault="005F0C19">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20,8%</w:t>
            </w:r>
          </w:p>
        </w:tc>
      </w:tr>
      <w:tr w:rsidR="00953B2E" w:rsidRPr="00C35766" w14:paraId="2B7B0927" w14:textId="77777777" w:rsidTr="00146E60">
        <w:tc>
          <w:tcPr>
            <w:tcW w:w="650" w:type="pct"/>
            <w:tcBorders>
              <w:bottom w:val="single" w:sz="4" w:space="0" w:color="auto"/>
              <w:right w:val="single" w:sz="4" w:space="0" w:color="auto"/>
            </w:tcBorders>
          </w:tcPr>
          <w:p w14:paraId="69E9EC07" w14:textId="77777777" w:rsidR="00953B2E" w:rsidRPr="00C35766" w:rsidRDefault="005F0C19">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bottom w:val="single" w:sz="4" w:space="0" w:color="auto"/>
              <w:right w:val="nil"/>
            </w:tcBorders>
          </w:tcPr>
          <w:p w14:paraId="4E10BC28" w14:textId="77777777" w:rsidR="00953B2E" w:rsidRPr="00C35766" w:rsidRDefault="005F0C19">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bottom w:val="single" w:sz="4" w:space="0" w:color="auto"/>
              <w:right w:val="single" w:sz="7" w:space="0" w:color="000000"/>
            </w:tcBorders>
          </w:tcPr>
          <w:p w14:paraId="730F2EC8" w14:textId="77777777" w:rsidR="00953B2E" w:rsidRPr="00C35766" w:rsidRDefault="005F0C19">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bottom w:val="single" w:sz="4" w:space="0" w:color="auto"/>
              <w:right w:val="nil"/>
            </w:tcBorders>
          </w:tcPr>
          <w:p w14:paraId="2882B036" w14:textId="77777777" w:rsidR="00953B2E" w:rsidRPr="00C35766" w:rsidRDefault="005F0C19">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bottom w:val="single" w:sz="4" w:space="0" w:color="auto"/>
              <w:right w:val="single" w:sz="7" w:space="0" w:color="000000"/>
            </w:tcBorders>
          </w:tcPr>
          <w:p w14:paraId="38AEBD57" w14:textId="77777777" w:rsidR="00953B2E" w:rsidRPr="00C35766" w:rsidRDefault="005F0C19">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bottom w:val="single" w:sz="4" w:space="0" w:color="auto"/>
              <w:right w:val="nil"/>
            </w:tcBorders>
          </w:tcPr>
          <w:p w14:paraId="22A29583" w14:textId="77777777" w:rsidR="00953B2E" w:rsidRPr="00C35766" w:rsidRDefault="005F0C19">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4,5%</w:t>
            </w:r>
          </w:p>
        </w:tc>
        <w:tc>
          <w:tcPr>
            <w:tcW w:w="728" w:type="pct"/>
            <w:tcBorders>
              <w:left w:val="nil"/>
              <w:bottom w:val="single" w:sz="4" w:space="0" w:color="auto"/>
            </w:tcBorders>
          </w:tcPr>
          <w:p w14:paraId="524E9370" w14:textId="77777777" w:rsidR="00953B2E" w:rsidRPr="00C35766" w:rsidRDefault="005F0C19">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23,2%</w:t>
            </w:r>
          </w:p>
        </w:tc>
      </w:tr>
    </w:tbl>
    <w:p w14:paraId="2A1AF25D" w14:textId="77777777" w:rsidR="00953B2E" w:rsidRPr="00C35766" w:rsidRDefault="005F0C19" w:rsidP="00146E60">
      <w:pPr>
        <w:pStyle w:val="a3"/>
        <w:numPr>
          <w:ilvl w:val="0"/>
          <w:numId w:val="0"/>
        </w:numPr>
        <w:ind w:leftChars="100" w:left="220"/>
        <w:rPr>
          <w:lang w:val="pt-BR"/>
        </w:rPr>
      </w:pPr>
      <w:r w:rsidRPr="00C35766">
        <w:rPr>
          <w:rFonts w:eastAsia="Times New Roman"/>
          <w:position w:val="8"/>
          <w:vertAlign w:val="superscript"/>
          <w:lang w:val="it-IT"/>
        </w:rPr>
        <w:t xml:space="preserve">a </w:t>
      </w:r>
      <w:r w:rsidRPr="00C35766">
        <w:rPr>
          <w:rFonts w:eastAsia="Times New Roman"/>
          <w:position w:val="8"/>
          <w:lang w:val="it-IT"/>
        </w:rPr>
        <w:t>studio AR I a 24 settimane, studio AR II a 26 settimane, e studio AR III a 24 e 52 settimane</w:t>
      </w:r>
    </w:p>
    <w:p w14:paraId="66D0A16A" w14:textId="77777777" w:rsidR="00953B2E" w:rsidRPr="00C35766" w:rsidRDefault="005F0C19" w:rsidP="00146E60">
      <w:pPr>
        <w:pStyle w:val="a3"/>
        <w:numPr>
          <w:ilvl w:val="0"/>
          <w:numId w:val="0"/>
        </w:numPr>
        <w:ind w:leftChars="100" w:left="220"/>
        <w:rPr>
          <w:lang w:val="pt-BR"/>
        </w:rPr>
      </w:pPr>
      <w:r w:rsidRPr="00C35766">
        <w:rPr>
          <w:rFonts w:eastAsia="Times New Roman"/>
          <w:position w:val="8"/>
          <w:vertAlign w:val="superscript"/>
          <w:lang w:val="it-IT"/>
        </w:rPr>
        <w:t xml:space="preserve">b </w:t>
      </w:r>
      <w:r w:rsidRPr="00C35766">
        <w:rPr>
          <w:rFonts w:eastAsia="Times New Roman"/>
          <w:position w:val="8"/>
          <w:lang w:val="it-IT"/>
        </w:rPr>
        <w:t>40 mg di adalimumab somministrato ogni due settimane</w:t>
      </w:r>
    </w:p>
    <w:p w14:paraId="6CCD5238" w14:textId="77777777" w:rsidR="00953B2E" w:rsidRPr="00C35766" w:rsidRDefault="005F0C19" w:rsidP="00146E60">
      <w:pPr>
        <w:pStyle w:val="a3"/>
        <w:ind w:leftChars="100" w:left="220"/>
        <w:rPr>
          <w:lang w:val="pt-BR"/>
        </w:rPr>
      </w:pPr>
      <w:r w:rsidRPr="00C35766">
        <w:rPr>
          <w:rFonts w:eastAsia="Times New Roman"/>
          <w:position w:val="8"/>
          <w:vertAlign w:val="superscript"/>
          <w:lang w:val="it-IT"/>
        </w:rPr>
        <w:t>c</w:t>
      </w:r>
      <w:r w:rsidRPr="00C35766">
        <w:rPr>
          <w:rFonts w:eastAsia="Times New Roman"/>
          <w:position w:val="8"/>
          <w:lang w:val="it-IT"/>
        </w:rPr>
        <w:t xml:space="preserve"> MTX = metotressato</w:t>
      </w:r>
    </w:p>
    <w:p w14:paraId="1BD83212" w14:textId="182F5848" w:rsidR="00953B2E" w:rsidRPr="00C35766" w:rsidRDefault="005F0C19" w:rsidP="00146E60">
      <w:pPr>
        <w:spacing w:before="1"/>
        <w:ind w:leftChars="100" w:left="220"/>
        <w:rPr>
          <w:rFonts w:ascii="Times New Roman" w:eastAsia="Times New Roman" w:hAnsi="Times New Roman" w:cs="Times New Roman"/>
          <w:lang w:val="pt-BR"/>
        </w:rPr>
      </w:pPr>
      <w:r w:rsidRPr="00C35766">
        <w:rPr>
          <w:rFonts w:ascii="Times New Roman" w:eastAsia="Times New Roman" w:hAnsi="Times New Roman" w:cs="Times New Roman"/>
          <w:lang w:val="it-IT"/>
        </w:rPr>
        <w:t>**p</w:t>
      </w:r>
      <w:r w:rsidR="00083924"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&lt;</w:t>
      </w:r>
      <w:r w:rsidR="00083924"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 xml:space="preserve">0,01, adalimumab </w:t>
      </w:r>
      <w:r w:rsidRPr="00C35766">
        <w:rPr>
          <w:rFonts w:ascii="Times New Roman" w:eastAsia="Times New Roman" w:hAnsi="Times New Roman" w:cs="Times New Roman"/>
          <w:i/>
          <w:iCs/>
          <w:lang w:val="it-IT"/>
        </w:rPr>
        <w:t xml:space="preserve">versus </w:t>
      </w:r>
      <w:r w:rsidRPr="00C35766">
        <w:rPr>
          <w:rFonts w:ascii="Times New Roman" w:eastAsia="Times New Roman" w:hAnsi="Times New Roman" w:cs="Times New Roman"/>
          <w:lang w:val="it-IT"/>
        </w:rPr>
        <w:t>placebo</w:t>
      </w:r>
    </w:p>
    <w:p w14:paraId="50059C9A" w14:textId="77777777" w:rsidR="00953B2E" w:rsidRPr="00C35766" w:rsidRDefault="00953B2E">
      <w:pPr>
        <w:spacing w:before="1" w:line="180" w:lineRule="exact"/>
        <w:rPr>
          <w:rFonts w:ascii="Times New Roman" w:hAnsi="Times New Roman" w:cs="Times New Roman"/>
          <w:sz w:val="18"/>
          <w:szCs w:val="18"/>
          <w:lang w:val="pt-BR"/>
        </w:rPr>
      </w:pPr>
    </w:p>
    <w:p w14:paraId="0255A567" w14:textId="7753C7AB" w:rsidR="00953B2E" w:rsidRPr="00C35766" w:rsidRDefault="005F0C19">
      <w:pPr>
        <w:pStyle w:val="a3"/>
        <w:rPr>
          <w:lang w:val="pt-BR"/>
        </w:rPr>
      </w:pPr>
      <w:r w:rsidRPr="00C35766">
        <w:rPr>
          <w:rFonts w:eastAsia="Times New Roman"/>
          <w:lang w:val="it-IT"/>
        </w:rPr>
        <w:t xml:space="preserve">Negli studi AR I-IV, tutti i parametri valutati per la definizione della risposta ACR (numero di articolazioni dolenti e tumefatte, valutazione dell’attività di malattia </w:t>
      </w:r>
      <w:r w:rsidR="00BE2E4F" w:rsidRPr="00C35766">
        <w:rPr>
          <w:rFonts w:eastAsia="Times New Roman"/>
          <w:lang w:val="it-IT"/>
        </w:rPr>
        <w:t xml:space="preserve">e del dolore </w:t>
      </w:r>
      <w:r w:rsidRPr="00C35766">
        <w:rPr>
          <w:rFonts w:eastAsia="Times New Roman"/>
          <w:lang w:val="it-IT"/>
        </w:rPr>
        <w:t xml:space="preserve">da parte del medico e del paziente, indice di disabilità </w:t>
      </w:r>
      <w:r w:rsidR="00BE2E4F" w:rsidRPr="00C35766">
        <w:rPr>
          <w:rFonts w:eastAsia="Times New Roman"/>
          <w:lang w:val="it-IT"/>
        </w:rPr>
        <w:t>(</w:t>
      </w:r>
      <w:r w:rsidRPr="00C35766">
        <w:rPr>
          <w:rFonts w:eastAsia="Times New Roman"/>
          <w:lang w:val="it-IT"/>
        </w:rPr>
        <w:t>HAQ) e i valori di PCR (mg/d</w:t>
      </w:r>
      <w:r w:rsidR="00BE2E4F" w:rsidRPr="00C35766">
        <w:rPr>
          <w:rFonts w:eastAsia="Times New Roman"/>
          <w:lang w:val="it-IT"/>
        </w:rPr>
        <w:t>L</w:t>
      </w:r>
      <w:r w:rsidRPr="00C35766">
        <w:rPr>
          <w:rFonts w:eastAsia="Times New Roman"/>
          <w:lang w:val="it-IT"/>
        </w:rPr>
        <w:t>) sono migliorati a 24 o 26 settimane rispetto al placebo. Nello studio AR III, tali miglioramenti si sono mantenuti nell’arco di 52 settimane.</w:t>
      </w:r>
    </w:p>
    <w:p w14:paraId="2AB711A6" w14:textId="77777777" w:rsidR="00953B2E" w:rsidRPr="00C35766" w:rsidRDefault="00953B2E">
      <w:pPr>
        <w:spacing w:before="13" w:line="240" w:lineRule="exact"/>
        <w:rPr>
          <w:rFonts w:ascii="Times New Roman" w:hAnsi="Times New Roman" w:cs="Times New Roman"/>
          <w:sz w:val="24"/>
          <w:szCs w:val="24"/>
          <w:lang w:val="pt-BR"/>
        </w:rPr>
      </w:pPr>
    </w:p>
    <w:p w14:paraId="4C2CCDBF" w14:textId="77777777" w:rsidR="00953B2E" w:rsidRPr="00C35766" w:rsidRDefault="005F0C19">
      <w:pPr>
        <w:pStyle w:val="a3"/>
        <w:rPr>
          <w:lang w:val="it-IT"/>
        </w:rPr>
      </w:pPr>
      <w:r w:rsidRPr="00C35766">
        <w:rPr>
          <w:rFonts w:eastAsia="Times New Roman"/>
          <w:lang w:val="it-IT"/>
        </w:rPr>
        <w:t>Nella fase di estensione in aperto dello studio AR III, la maggior parte dei pazienti che hanno avuto una risposta ACR hanno mantenuto la risposta quando sono stati seguiti fino a per 10 anni. Su un totale di 207 pazienti che sono stati randomizzati ad adalimumab 40 mg a settimane alterne, 114 hanno continuato il trattamento con adalimumab 40 mg a settimane alterne per 5 anni. Di questi, 86 pazienti (75,4%) hanno avuto risposte ACR 20; 72 pazienti (63,2%) hanno avuto risposte ACR 50; e 41 pazienti (36%) hanno avuto risposte ACR 70. Su un totale di 207 pazienti, 81 hanno continuato il trattamento con adalimumab 40 mg a settimane alterne per 10 anni. Di questi, 64 pazienti (79,0%) hanno avuto risposte ACR 20; 56 pazienti (69,1%) hanno avuto risposte ACR 50; e 43 pazienti (53,1%) hanno avuto risposte ACR 70.</w:t>
      </w:r>
    </w:p>
    <w:p w14:paraId="6DDDEAF5" w14:textId="77777777" w:rsidR="00953B2E" w:rsidRPr="00C35766" w:rsidRDefault="00953B2E">
      <w:pPr>
        <w:spacing w:before="17" w:line="240" w:lineRule="exact"/>
        <w:rPr>
          <w:rFonts w:ascii="Times New Roman" w:hAnsi="Times New Roman" w:cs="Times New Roman"/>
          <w:sz w:val="24"/>
          <w:szCs w:val="24"/>
          <w:lang w:val="it-IT"/>
        </w:rPr>
      </w:pPr>
    </w:p>
    <w:p w14:paraId="758B9949" w14:textId="262ECE6C" w:rsidR="00953B2E" w:rsidRPr="00C35766" w:rsidRDefault="005F0C19">
      <w:pPr>
        <w:pStyle w:val="a3"/>
        <w:rPr>
          <w:lang w:val="it-IT"/>
        </w:rPr>
      </w:pPr>
      <w:r w:rsidRPr="00C35766">
        <w:rPr>
          <w:rFonts w:eastAsia="Times New Roman"/>
          <w:lang w:val="it-IT"/>
        </w:rPr>
        <w:t xml:space="preserve">Nello studio AR IV, la risposta ACR 20 di pazienti trattati con adalimumab, in </w:t>
      </w:r>
      <w:r w:rsidR="00BE2E4F" w:rsidRPr="00C35766">
        <w:rPr>
          <w:rFonts w:eastAsia="Times New Roman"/>
          <w:lang w:val="it-IT"/>
        </w:rPr>
        <w:t xml:space="preserve">associazione </w:t>
      </w:r>
      <w:r w:rsidRPr="00C35766">
        <w:rPr>
          <w:rFonts w:eastAsia="Times New Roman"/>
          <w:lang w:val="it-IT"/>
        </w:rPr>
        <w:t>con la terapia convenzionale, è stata migliore in misura statisticamente significativa rispetto ai pazienti trattati con placebo associato a terapia convenzionale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w:t>
      </w:r>
    </w:p>
    <w:p w14:paraId="07846F19" w14:textId="77777777" w:rsidR="00953B2E" w:rsidRPr="00C35766" w:rsidRDefault="00953B2E">
      <w:pPr>
        <w:spacing w:before="11" w:line="240" w:lineRule="exact"/>
        <w:rPr>
          <w:rFonts w:ascii="Times New Roman" w:hAnsi="Times New Roman" w:cs="Times New Roman"/>
          <w:sz w:val="24"/>
          <w:szCs w:val="24"/>
          <w:lang w:val="it-IT"/>
        </w:rPr>
      </w:pPr>
    </w:p>
    <w:p w14:paraId="7EA6C302" w14:textId="77777777" w:rsidR="00953B2E" w:rsidRPr="00C35766" w:rsidRDefault="005F0C19">
      <w:pPr>
        <w:pStyle w:val="a3"/>
        <w:rPr>
          <w:lang w:val="it-IT"/>
        </w:rPr>
      </w:pPr>
      <w:r w:rsidRPr="00C35766">
        <w:rPr>
          <w:rFonts w:eastAsia="Times New Roman"/>
          <w:lang w:val="it-IT"/>
        </w:rPr>
        <w:t>Negli studi AR I-IV, i pazienti trattati con adalimumab hanno raggiunto risposte ACR 20 e 50 statisticamente significative rispetto al placebo già entro 1-2 settimane dall’inizio del trattamento.</w:t>
      </w:r>
    </w:p>
    <w:p w14:paraId="5E941504" w14:textId="77777777" w:rsidR="00953B2E" w:rsidRPr="00C35766" w:rsidRDefault="00953B2E">
      <w:pPr>
        <w:pStyle w:val="a3"/>
        <w:rPr>
          <w:lang w:val="it-IT"/>
        </w:rPr>
      </w:pPr>
    </w:p>
    <w:p w14:paraId="6D37480B" w14:textId="4694E271" w:rsidR="00933A6C" w:rsidRPr="00C35766" w:rsidRDefault="00C0539A" w:rsidP="00146E60">
      <w:pPr>
        <w:pStyle w:val="a3"/>
        <w:rPr>
          <w:b/>
          <w:lang w:val="it-IT"/>
        </w:rPr>
      </w:pPr>
      <w:r w:rsidRPr="004F0B2E">
        <w:rPr>
          <w:lang w:val="it-IT"/>
        </w:rPr>
        <w:t xml:space="preserve">Nello studio AR V, nei pazienti con artrite reumatoide precoce che non erano mai stati precedentemente trattati con metotressato, la terapia </w:t>
      </w:r>
      <w:r w:rsidR="00A12077" w:rsidRPr="004F0B2E">
        <w:rPr>
          <w:lang w:val="it-IT"/>
        </w:rPr>
        <w:t xml:space="preserve">di </w:t>
      </w:r>
      <w:r w:rsidRPr="004F0B2E">
        <w:rPr>
          <w:lang w:val="it-IT"/>
        </w:rPr>
        <w:t>associa</w:t>
      </w:r>
      <w:r w:rsidR="00A12077" w:rsidRPr="004F0B2E">
        <w:rPr>
          <w:lang w:val="it-IT"/>
        </w:rPr>
        <w:t>zione</w:t>
      </w:r>
      <w:r w:rsidRPr="004F0B2E">
        <w:rPr>
          <w:lang w:val="it-IT"/>
        </w:rPr>
        <w:t xml:space="preserve"> </w:t>
      </w:r>
      <w:r w:rsidR="00A12077" w:rsidRPr="004F0B2E">
        <w:rPr>
          <w:lang w:val="it-IT"/>
        </w:rPr>
        <w:t>adalimumab</w:t>
      </w:r>
      <w:r w:rsidRPr="004F0B2E">
        <w:rPr>
          <w:lang w:val="it-IT"/>
        </w:rPr>
        <w:t xml:space="preserve">/metotressato ha determinato risposte ACR più rapide e significativamente superiori rispetto alla monoterapia con metotressato ed alla monoterapia con </w:t>
      </w:r>
      <w:r w:rsidR="00A12077" w:rsidRPr="004F0B2E">
        <w:rPr>
          <w:lang w:val="it-IT"/>
        </w:rPr>
        <w:t>adalimumab</w:t>
      </w:r>
      <w:r w:rsidRPr="004F0B2E">
        <w:rPr>
          <w:lang w:val="it-IT"/>
        </w:rPr>
        <w:t xml:space="preserve"> alla settimana 52 e tali risposte si sono mantenute nell’arco di 104 settimane </w:t>
      </w:r>
      <w:r w:rsidR="005F0C19" w:rsidRPr="00C35766">
        <w:rPr>
          <w:rFonts w:eastAsia="Times New Roman"/>
          <w:lang w:val="it-IT"/>
        </w:rPr>
        <w:t xml:space="preserve">(vedere Tabella </w:t>
      </w:r>
      <w:r w:rsidR="003456B7" w:rsidRPr="00C35766">
        <w:rPr>
          <w:rFonts w:eastAsia="Times New Roman"/>
          <w:lang w:val="it-IT"/>
        </w:rPr>
        <w:t>9</w:t>
      </w:r>
      <w:r w:rsidR="005F0C19" w:rsidRPr="00C35766">
        <w:rPr>
          <w:rFonts w:eastAsia="Times New Roman"/>
          <w:lang w:val="it-IT"/>
        </w:rPr>
        <w:t>).</w:t>
      </w:r>
    </w:p>
    <w:p w14:paraId="1C3AA1B5" w14:textId="77777777" w:rsidR="00933A6C" w:rsidRPr="00C35766" w:rsidRDefault="00933A6C" w:rsidP="00146E60">
      <w:pPr>
        <w:pStyle w:val="a3"/>
        <w:rPr>
          <w:b/>
          <w:lang w:val="it-IT"/>
        </w:rPr>
      </w:pPr>
    </w:p>
    <w:p w14:paraId="1FFB870D" w14:textId="3BF8DBA7" w:rsidR="00953B2E" w:rsidRPr="00C35766" w:rsidRDefault="005F0C19" w:rsidP="00787805">
      <w:pPr>
        <w:pStyle w:val="a3"/>
        <w:jc w:val="center"/>
        <w:rPr>
          <w:b/>
          <w:lang w:val="it-IT"/>
        </w:rPr>
      </w:pPr>
      <w:r w:rsidRPr="00C35766">
        <w:rPr>
          <w:rFonts w:eastAsia="Times New Roman"/>
          <w:b/>
          <w:bCs/>
          <w:lang w:val="it-IT"/>
        </w:rPr>
        <w:t xml:space="preserve">Tabella </w:t>
      </w:r>
      <w:r w:rsidR="003456B7" w:rsidRPr="00C35766">
        <w:rPr>
          <w:rFonts w:eastAsia="Times New Roman"/>
          <w:b/>
          <w:bCs/>
          <w:lang w:val="it-IT"/>
        </w:rPr>
        <w:t>9</w:t>
      </w:r>
    </w:p>
    <w:p w14:paraId="0F78BB51" w14:textId="77777777" w:rsidR="00953B2E" w:rsidRPr="00C35766" w:rsidRDefault="005F0C19">
      <w:pPr>
        <w:pStyle w:val="a3"/>
        <w:jc w:val="center"/>
        <w:rPr>
          <w:b/>
          <w:lang w:val="it-IT"/>
        </w:rPr>
      </w:pPr>
      <w:r w:rsidRPr="00C35766">
        <w:rPr>
          <w:rFonts w:eastAsia="Times New Roman"/>
          <w:b/>
          <w:bCs/>
          <w:lang w:val="it-IT"/>
        </w:rPr>
        <w:t>Risposte ACR nello studio AR V</w:t>
      </w:r>
    </w:p>
    <w:p w14:paraId="71992C27" w14:textId="0FA938FC" w:rsidR="00953B2E" w:rsidRPr="00C35766" w:rsidRDefault="005F0C19">
      <w:pPr>
        <w:pStyle w:val="a3"/>
        <w:jc w:val="center"/>
        <w:rPr>
          <w:b/>
        </w:rPr>
      </w:pPr>
      <w:r w:rsidRPr="00C35766">
        <w:rPr>
          <w:rFonts w:eastAsia="Times New Roman"/>
          <w:b/>
          <w:bCs/>
          <w:lang w:val="it-IT"/>
        </w:rPr>
        <w:t>(percentuale di pazienti)</w:t>
      </w:r>
    </w:p>
    <w:tbl>
      <w:tblPr>
        <w:tblStyle w:val="TableNormal1"/>
        <w:tblpPr w:leftFromText="180" w:rightFromText="180" w:vertAnchor="text" w:tblpX="184" w:tblpY="1"/>
        <w:tblOverlap w:val="never"/>
        <w:tblW w:w="5000" w:type="pct"/>
        <w:tblLayout w:type="fixed"/>
        <w:tblLook w:val="01E0" w:firstRow="1" w:lastRow="1" w:firstColumn="1" w:lastColumn="1" w:noHBand="0" w:noVBand="0"/>
      </w:tblPr>
      <w:tblGrid>
        <w:gridCol w:w="1400"/>
        <w:gridCol w:w="1306"/>
        <w:gridCol w:w="1308"/>
        <w:gridCol w:w="2034"/>
        <w:gridCol w:w="980"/>
        <w:gridCol w:w="1204"/>
        <w:gridCol w:w="1247"/>
      </w:tblGrid>
      <w:tr w:rsidR="00953B2E" w:rsidRPr="00C35766" w14:paraId="24F49889" w14:textId="77777777" w:rsidTr="00146E60">
        <w:tc>
          <w:tcPr>
            <w:tcW w:w="738" w:type="pct"/>
            <w:tcBorders>
              <w:top w:val="single" w:sz="5" w:space="0" w:color="000000"/>
              <w:left w:val="single" w:sz="8" w:space="0" w:color="000000"/>
              <w:bottom w:val="single" w:sz="5" w:space="0" w:color="000000"/>
              <w:right w:val="single" w:sz="5" w:space="0" w:color="000000"/>
            </w:tcBorders>
            <w:vAlign w:val="center"/>
          </w:tcPr>
          <w:p w14:paraId="1C3FD4F9" w14:textId="77777777" w:rsidR="00953B2E" w:rsidRPr="00C35766" w:rsidRDefault="00953B2E">
            <w:pPr>
              <w:pStyle w:val="TableParagraph"/>
              <w:spacing w:line="120" w:lineRule="exact"/>
              <w:jc w:val="center"/>
              <w:rPr>
                <w:rFonts w:ascii="Times New Roman" w:hAnsi="Times New Roman" w:cs="Times New Roman"/>
              </w:rPr>
            </w:pPr>
          </w:p>
          <w:p w14:paraId="57DA1139"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Risposta</w:t>
            </w:r>
          </w:p>
        </w:tc>
        <w:tc>
          <w:tcPr>
            <w:tcW w:w="689" w:type="pct"/>
            <w:tcBorders>
              <w:top w:val="single" w:sz="5" w:space="0" w:color="000000"/>
              <w:left w:val="single" w:sz="5" w:space="0" w:color="000000"/>
              <w:bottom w:val="single" w:sz="5" w:space="0" w:color="000000"/>
              <w:right w:val="single" w:sz="5" w:space="0" w:color="000000"/>
            </w:tcBorders>
            <w:vAlign w:val="center"/>
          </w:tcPr>
          <w:p w14:paraId="6336356C" w14:textId="77777777" w:rsidR="000E5655" w:rsidRPr="00C35766" w:rsidRDefault="005F0C19">
            <w:pPr>
              <w:pStyle w:val="TableParagraph"/>
              <w:spacing w:line="252" w:lineRule="exact"/>
              <w:ind w:firstLine="33"/>
              <w:jc w:val="center"/>
              <w:rPr>
                <w:rFonts w:ascii="Times New Roman" w:eastAsia="Times New Roman" w:hAnsi="Times New Roman" w:cs="Times New Roman"/>
                <w:b/>
                <w:bCs/>
                <w:spacing w:val="-1"/>
                <w:lang w:val="it-IT"/>
              </w:rPr>
            </w:pPr>
            <w:r w:rsidRPr="00C35766">
              <w:rPr>
                <w:rFonts w:ascii="Times New Roman" w:eastAsia="Times New Roman" w:hAnsi="Times New Roman" w:cs="Times New Roman"/>
                <w:b/>
                <w:bCs/>
                <w:spacing w:val="-1"/>
                <w:lang w:val="it-IT"/>
              </w:rPr>
              <w:t xml:space="preserve">MTX </w:t>
            </w:r>
          </w:p>
          <w:p w14:paraId="63D39D75" w14:textId="298B61DD" w:rsidR="00953B2E" w:rsidRPr="00C35766" w:rsidRDefault="005F0C19">
            <w:pPr>
              <w:pStyle w:val="TableParagraph"/>
              <w:spacing w:line="252" w:lineRule="exact"/>
              <w:ind w:firstLine="3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n=257</w:t>
            </w:r>
          </w:p>
        </w:tc>
        <w:tc>
          <w:tcPr>
            <w:tcW w:w="690" w:type="pct"/>
            <w:tcBorders>
              <w:top w:val="single" w:sz="5" w:space="0" w:color="000000"/>
              <w:left w:val="single" w:sz="5" w:space="0" w:color="000000"/>
              <w:bottom w:val="single" w:sz="5" w:space="0" w:color="000000"/>
              <w:right w:val="single" w:sz="5" w:space="0" w:color="000000"/>
            </w:tcBorders>
            <w:vAlign w:val="center"/>
          </w:tcPr>
          <w:p w14:paraId="3504334F" w14:textId="77777777" w:rsidR="000E5655" w:rsidRPr="00C35766" w:rsidRDefault="005F0C19">
            <w:pPr>
              <w:pStyle w:val="TableParagraph"/>
              <w:spacing w:line="252" w:lineRule="exact"/>
              <w:ind w:hanging="8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  Adalimumab </w:t>
            </w:r>
          </w:p>
          <w:p w14:paraId="484C84F8" w14:textId="0717BEED" w:rsidR="00953B2E" w:rsidRPr="00C35766" w:rsidRDefault="005F0C19">
            <w:pPr>
              <w:pStyle w:val="TableParagraph"/>
              <w:spacing w:line="252" w:lineRule="exact"/>
              <w:ind w:hanging="8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n=274</w:t>
            </w:r>
          </w:p>
        </w:tc>
        <w:tc>
          <w:tcPr>
            <w:tcW w:w="1073" w:type="pct"/>
            <w:tcBorders>
              <w:top w:val="single" w:sz="5" w:space="0" w:color="000000"/>
              <w:left w:val="single" w:sz="5" w:space="0" w:color="000000"/>
              <w:bottom w:val="single" w:sz="5" w:space="0" w:color="000000"/>
              <w:right w:val="single" w:sz="5" w:space="0" w:color="000000"/>
            </w:tcBorders>
            <w:vAlign w:val="center"/>
          </w:tcPr>
          <w:p w14:paraId="3A95F469" w14:textId="77777777" w:rsidR="00953B2E" w:rsidRPr="00C35766" w:rsidRDefault="005F0C19">
            <w:pPr>
              <w:pStyle w:val="TableParagraph"/>
              <w:spacing w:line="252" w:lineRule="exact"/>
              <w:ind w:hanging="372"/>
              <w:jc w:val="center"/>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 xml:space="preserve">      Adalimumab/MTX</w:t>
            </w:r>
          </w:p>
          <w:p w14:paraId="25CE4394" w14:textId="77777777" w:rsidR="00953B2E" w:rsidRPr="00C35766" w:rsidRDefault="005F0C19">
            <w:pPr>
              <w:pStyle w:val="TableParagraph"/>
              <w:spacing w:line="252" w:lineRule="exact"/>
              <w:ind w:hanging="37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n=268</w:t>
            </w:r>
          </w:p>
        </w:tc>
        <w:tc>
          <w:tcPr>
            <w:tcW w:w="517" w:type="pct"/>
            <w:tcBorders>
              <w:top w:val="single" w:sz="5" w:space="0" w:color="000000"/>
              <w:left w:val="single" w:sz="5" w:space="0" w:color="000000"/>
              <w:bottom w:val="single" w:sz="5" w:space="0" w:color="000000"/>
              <w:right w:val="single" w:sz="5" w:space="0" w:color="000000"/>
            </w:tcBorders>
            <w:vAlign w:val="center"/>
          </w:tcPr>
          <w:p w14:paraId="750339A9"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a</w:t>
            </w:r>
          </w:p>
        </w:tc>
        <w:tc>
          <w:tcPr>
            <w:tcW w:w="635" w:type="pct"/>
            <w:tcBorders>
              <w:top w:val="single" w:sz="5" w:space="0" w:color="000000"/>
              <w:left w:val="single" w:sz="5" w:space="0" w:color="000000"/>
              <w:bottom w:val="single" w:sz="5" w:space="0" w:color="000000"/>
              <w:right w:val="single" w:sz="5" w:space="0" w:color="000000"/>
            </w:tcBorders>
            <w:vAlign w:val="center"/>
          </w:tcPr>
          <w:p w14:paraId="17C811BE"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b</w:t>
            </w:r>
          </w:p>
        </w:tc>
        <w:tc>
          <w:tcPr>
            <w:tcW w:w="657" w:type="pct"/>
            <w:tcBorders>
              <w:top w:val="single" w:sz="5" w:space="0" w:color="000000"/>
              <w:left w:val="single" w:sz="5" w:space="0" w:color="000000"/>
              <w:bottom w:val="single" w:sz="5" w:space="0" w:color="000000"/>
              <w:right w:val="single" w:sz="9" w:space="0" w:color="000000"/>
            </w:tcBorders>
            <w:vAlign w:val="center"/>
          </w:tcPr>
          <w:p w14:paraId="715D578C"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c</w:t>
            </w:r>
          </w:p>
        </w:tc>
      </w:tr>
      <w:tr w:rsidR="00953B2E" w:rsidRPr="00C35766" w14:paraId="69ABD5D3" w14:textId="77777777" w:rsidTr="00146E60">
        <w:tc>
          <w:tcPr>
            <w:tcW w:w="5000" w:type="pct"/>
            <w:gridSpan w:val="7"/>
            <w:tcBorders>
              <w:top w:val="single" w:sz="5" w:space="0" w:color="000000"/>
              <w:left w:val="single" w:sz="8" w:space="0" w:color="000000"/>
              <w:bottom w:val="single" w:sz="5" w:space="0" w:color="000000"/>
              <w:right w:val="single" w:sz="9" w:space="0" w:color="000000"/>
            </w:tcBorders>
          </w:tcPr>
          <w:p w14:paraId="568C9137" w14:textId="77777777" w:rsidR="00953B2E" w:rsidRPr="00C35766" w:rsidRDefault="005F0C19">
            <w:pPr>
              <w:rPr>
                <w:rFonts w:ascii="Times New Roman" w:hAnsi="Times New Roman" w:cs="Times New Roman"/>
              </w:rPr>
            </w:pPr>
            <w:r w:rsidRPr="00C35766">
              <w:rPr>
                <w:rFonts w:ascii="Times New Roman" w:eastAsia="Times New Roman" w:hAnsi="Times New Roman" w:cs="Times New Roman"/>
                <w:spacing w:val="-1"/>
                <w:lang w:val="it-IT"/>
              </w:rPr>
              <w:t>ACR 20</w:t>
            </w:r>
          </w:p>
        </w:tc>
      </w:tr>
      <w:tr w:rsidR="00953B2E" w:rsidRPr="00C35766" w14:paraId="3F260786" w14:textId="77777777" w:rsidTr="00146E60">
        <w:tc>
          <w:tcPr>
            <w:tcW w:w="738" w:type="pct"/>
            <w:tcBorders>
              <w:top w:val="single" w:sz="5" w:space="0" w:color="000000"/>
              <w:left w:val="single" w:sz="8" w:space="0" w:color="000000"/>
              <w:bottom w:val="single" w:sz="5" w:space="0" w:color="000000"/>
              <w:right w:val="single" w:sz="5" w:space="0" w:color="000000"/>
            </w:tcBorders>
          </w:tcPr>
          <w:p w14:paraId="0037009C" w14:textId="77777777" w:rsidR="00953B2E" w:rsidRPr="00C35766" w:rsidRDefault="005F0C19">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689" w:type="pct"/>
            <w:tcBorders>
              <w:top w:val="single" w:sz="5" w:space="0" w:color="000000"/>
              <w:left w:val="single" w:sz="5" w:space="0" w:color="000000"/>
              <w:bottom w:val="single" w:sz="5" w:space="0" w:color="000000"/>
              <w:right w:val="single" w:sz="5" w:space="0" w:color="000000"/>
            </w:tcBorders>
          </w:tcPr>
          <w:p w14:paraId="591F04F0"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62,6%</w:t>
            </w:r>
          </w:p>
        </w:tc>
        <w:tc>
          <w:tcPr>
            <w:tcW w:w="690" w:type="pct"/>
            <w:tcBorders>
              <w:top w:val="single" w:sz="5" w:space="0" w:color="000000"/>
              <w:left w:val="single" w:sz="5" w:space="0" w:color="000000"/>
              <w:bottom w:val="single" w:sz="5" w:space="0" w:color="000000"/>
              <w:right w:val="single" w:sz="5" w:space="0" w:color="000000"/>
            </w:tcBorders>
          </w:tcPr>
          <w:p w14:paraId="160D41BC"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54,4%</w:t>
            </w:r>
          </w:p>
        </w:tc>
        <w:tc>
          <w:tcPr>
            <w:tcW w:w="1073" w:type="pct"/>
            <w:tcBorders>
              <w:top w:val="single" w:sz="5" w:space="0" w:color="000000"/>
              <w:left w:val="single" w:sz="5" w:space="0" w:color="000000"/>
              <w:bottom w:val="single" w:sz="5" w:space="0" w:color="000000"/>
              <w:right w:val="single" w:sz="5" w:space="0" w:color="000000"/>
            </w:tcBorders>
          </w:tcPr>
          <w:p w14:paraId="159F834B" w14:textId="77777777" w:rsidR="00953B2E" w:rsidRPr="00C35766" w:rsidRDefault="005F0C19">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72,8%</w:t>
            </w:r>
          </w:p>
        </w:tc>
        <w:tc>
          <w:tcPr>
            <w:tcW w:w="517" w:type="pct"/>
            <w:tcBorders>
              <w:top w:val="single" w:sz="5" w:space="0" w:color="000000"/>
              <w:left w:val="single" w:sz="5" w:space="0" w:color="000000"/>
              <w:bottom w:val="single" w:sz="5" w:space="0" w:color="000000"/>
              <w:right w:val="single" w:sz="5" w:space="0" w:color="000000"/>
            </w:tcBorders>
          </w:tcPr>
          <w:p w14:paraId="237C9E5A" w14:textId="77777777"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0,013</w:t>
            </w:r>
          </w:p>
        </w:tc>
        <w:tc>
          <w:tcPr>
            <w:tcW w:w="635" w:type="pct"/>
            <w:tcBorders>
              <w:top w:val="single" w:sz="5" w:space="0" w:color="000000"/>
              <w:left w:val="single" w:sz="5" w:space="0" w:color="000000"/>
              <w:bottom w:val="single" w:sz="5" w:space="0" w:color="000000"/>
              <w:right w:val="single" w:sz="5" w:space="0" w:color="000000"/>
            </w:tcBorders>
          </w:tcPr>
          <w:p w14:paraId="7ED3AED2" w14:textId="3A714606"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19E69D1C" w14:textId="77777777" w:rsidR="00953B2E" w:rsidRPr="00C35766" w:rsidRDefault="005F0C19">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0,043</w:t>
            </w:r>
          </w:p>
        </w:tc>
      </w:tr>
      <w:tr w:rsidR="00953B2E" w:rsidRPr="00C35766" w14:paraId="53C3FFA5" w14:textId="77777777" w:rsidTr="00146E60">
        <w:tc>
          <w:tcPr>
            <w:tcW w:w="738" w:type="pct"/>
            <w:tcBorders>
              <w:top w:val="single" w:sz="5" w:space="0" w:color="000000"/>
              <w:left w:val="single" w:sz="8" w:space="0" w:color="000000"/>
              <w:bottom w:val="single" w:sz="5" w:space="0" w:color="000000"/>
              <w:right w:val="single" w:sz="5" w:space="0" w:color="000000"/>
            </w:tcBorders>
          </w:tcPr>
          <w:p w14:paraId="30FB7D0B" w14:textId="77777777" w:rsidR="00953B2E" w:rsidRPr="00C35766" w:rsidRDefault="005F0C19">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689" w:type="pct"/>
            <w:tcBorders>
              <w:top w:val="single" w:sz="5" w:space="0" w:color="000000"/>
              <w:left w:val="single" w:sz="5" w:space="0" w:color="000000"/>
              <w:bottom w:val="single" w:sz="5" w:space="0" w:color="000000"/>
              <w:right w:val="single" w:sz="5" w:space="0" w:color="000000"/>
            </w:tcBorders>
          </w:tcPr>
          <w:p w14:paraId="3AF8CEE9"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56,0%</w:t>
            </w:r>
          </w:p>
        </w:tc>
        <w:tc>
          <w:tcPr>
            <w:tcW w:w="690" w:type="pct"/>
            <w:tcBorders>
              <w:top w:val="single" w:sz="5" w:space="0" w:color="000000"/>
              <w:left w:val="single" w:sz="5" w:space="0" w:color="000000"/>
              <w:bottom w:val="single" w:sz="5" w:space="0" w:color="000000"/>
              <w:right w:val="single" w:sz="5" w:space="0" w:color="000000"/>
            </w:tcBorders>
          </w:tcPr>
          <w:p w14:paraId="76269828"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49,3%</w:t>
            </w:r>
          </w:p>
        </w:tc>
        <w:tc>
          <w:tcPr>
            <w:tcW w:w="1073" w:type="pct"/>
            <w:tcBorders>
              <w:top w:val="single" w:sz="5" w:space="0" w:color="000000"/>
              <w:left w:val="single" w:sz="5" w:space="0" w:color="000000"/>
              <w:bottom w:val="single" w:sz="5" w:space="0" w:color="000000"/>
              <w:right w:val="single" w:sz="5" w:space="0" w:color="000000"/>
            </w:tcBorders>
          </w:tcPr>
          <w:p w14:paraId="41A83CBA" w14:textId="77777777" w:rsidR="00953B2E" w:rsidRPr="00C35766" w:rsidRDefault="005F0C19">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69,4%</w:t>
            </w:r>
          </w:p>
        </w:tc>
        <w:tc>
          <w:tcPr>
            <w:tcW w:w="517" w:type="pct"/>
            <w:tcBorders>
              <w:top w:val="single" w:sz="5" w:space="0" w:color="000000"/>
              <w:left w:val="single" w:sz="5" w:space="0" w:color="000000"/>
              <w:bottom w:val="single" w:sz="5" w:space="0" w:color="000000"/>
              <w:right w:val="single" w:sz="5" w:space="0" w:color="000000"/>
            </w:tcBorders>
          </w:tcPr>
          <w:p w14:paraId="6E2E91B2" w14:textId="77777777"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c>
          <w:tcPr>
            <w:tcW w:w="635" w:type="pct"/>
            <w:tcBorders>
              <w:top w:val="single" w:sz="5" w:space="0" w:color="000000"/>
              <w:left w:val="single" w:sz="5" w:space="0" w:color="000000"/>
              <w:bottom w:val="single" w:sz="5" w:space="0" w:color="000000"/>
              <w:right w:val="single" w:sz="5" w:space="0" w:color="000000"/>
            </w:tcBorders>
          </w:tcPr>
          <w:p w14:paraId="0B98499C" w14:textId="77D6F5C7"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6C4CA788" w14:textId="77777777" w:rsidR="00953B2E" w:rsidRPr="00C35766" w:rsidRDefault="005F0C19">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0,140</w:t>
            </w:r>
          </w:p>
        </w:tc>
      </w:tr>
      <w:tr w:rsidR="00953B2E" w:rsidRPr="00C35766" w14:paraId="46E5D004" w14:textId="77777777" w:rsidTr="00146E60">
        <w:tc>
          <w:tcPr>
            <w:tcW w:w="5000" w:type="pct"/>
            <w:gridSpan w:val="7"/>
            <w:tcBorders>
              <w:top w:val="single" w:sz="5" w:space="0" w:color="000000"/>
              <w:left w:val="single" w:sz="8" w:space="0" w:color="000000"/>
              <w:bottom w:val="single" w:sz="5" w:space="0" w:color="000000"/>
              <w:right w:val="single" w:sz="9" w:space="0" w:color="000000"/>
            </w:tcBorders>
          </w:tcPr>
          <w:p w14:paraId="213344DF" w14:textId="77777777" w:rsidR="00953B2E" w:rsidRPr="00C35766" w:rsidRDefault="005F0C19">
            <w:pPr>
              <w:rPr>
                <w:rFonts w:ascii="Times New Roman" w:hAnsi="Times New Roman" w:cs="Times New Roman"/>
              </w:rPr>
            </w:pPr>
            <w:r w:rsidRPr="00C35766">
              <w:rPr>
                <w:rFonts w:ascii="Times New Roman" w:eastAsia="Times New Roman" w:hAnsi="Times New Roman" w:cs="Times New Roman"/>
                <w:spacing w:val="-1"/>
                <w:lang w:val="it-IT"/>
              </w:rPr>
              <w:t>ACR 50</w:t>
            </w:r>
          </w:p>
        </w:tc>
      </w:tr>
      <w:tr w:rsidR="00953B2E" w:rsidRPr="00C35766" w14:paraId="2149D515" w14:textId="77777777" w:rsidTr="00146E60">
        <w:tc>
          <w:tcPr>
            <w:tcW w:w="738" w:type="pct"/>
            <w:tcBorders>
              <w:top w:val="single" w:sz="5" w:space="0" w:color="000000"/>
              <w:left w:val="single" w:sz="8" w:space="0" w:color="000000"/>
              <w:bottom w:val="single" w:sz="5" w:space="0" w:color="000000"/>
              <w:right w:val="single" w:sz="5" w:space="0" w:color="000000"/>
            </w:tcBorders>
          </w:tcPr>
          <w:p w14:paraId="7969FB59" w14:textId="77777777" w:rsidR="00953B2E" w:rsidRPr="00C35766" w:rsidRDefault="005F0C19">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689" w:type="pct"/>
            <w:tcBorders>
              <w:top w:val="single" w:sz="5" w:space="0" w:color="000000"/>
              <w:left w:val="single" w:sz="5" w:space="0" w:color="000000"/>
              <w:bottom w:val="single" w:sz="5" w:space="0" w:color="000000"/>
              <w:right w:val="single" w:sz="5" w:space="0" w:color="000000"/>
            </w:tcBorders>
          </w:tcPr>
          <w:p w14:paraId="71DC73A0" w14:textId="77777777" w:rsidR="00953B2E" w:rsidRPr="00C35766" w:rsidRDefault="005F0C19">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45,9%</w:t>
            </w:r>
          </w:p>
        </w:tc>
        <w:tc>
          <w:tcPr>
            <w:tcW w:w="690" w:type="pct"/>
            <w:tcBorders>
              <w:top w:val="single" w:sz="5" w:space="0" w:color="000000"/>
              <w:left w:val="single" w:sz="5" w:space="0" w:color="000000"/>
              <w:bottom w:val="single" w:sz="5" w:space="0" w:color="000000"/>
              <w:right w:val="single" w:sz="5" w:space="0" w:color="000000"/>
            </w:tcBorders>
          </w:tcPr>
          <w:p w14:paraId="314CA95A" w14:textId="77777777" w:rsidR="00953B2E" w:rsidRPr="00C35766" w:rsidRDefault="005F0C19">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41,2%</w:t>
            </w:r>
          </w:p>
        </w:tc>
        <w:tc>
          <w:tcPr>
            <w:tcW w:w="1073" w:type="pct"/>
            <w:tcBorders>
              <w:top w:val="single" w:sz="5" w:space="0" w:color="000000"/>
              <w:left w:val="single" w:sz="5" w:space="0" w:color="000000"/>
              <w:bottom w:val="single" w:sz="5" w:space="0" w:color="000000"/>
              <w:right w:val="single" w:sz="5" w:space="0" w:color="000000"/>
            </w:tcBorders>
          </w:tcPr>
          <w:p w14:paraId="6509AEA5" w14:textId="77777777" w:rsidR="00953B2E" w:rsidRPr="00C35766" w:rsidRDefault="005F0C19">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61,6%</w:t>
            </w:r>
          </w:p>
        </w:tc>
        <w:tc>
          <w:tcPr>
            <w:tcW w:w="517" w:type="pct"/>
            <w:tcBorders>
              <w:top w:val="single" w:sz="5" w:space="0" w:color="000000"/>
              <w:left w:val="single" w:sz="5" w:space="0" w:color="000000"/>
              <w:bottom w:val="single" w:sz="5" w:space="0" w:color="000000"/>
              <w:right w:val="single" w:sz="5" w:space="0" w:color="000000"/>
            </w:tcBorders>
          </w:tcPr>
          <w:p w14:paraId="3F7DDEB0" w14:textId="4625208D"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35" w:type="pct"/>
            <w:tcBorders>
              <w:top w:val="single" w:sz="5" w:space="0" w:color="000000"/>
              <w:left w:val="single" w:sz="5" w:space="0" w:color="000000"/>
              <w:bottom w:val="single" w:sz="5" w:space="0" w:color="000000"/>
              <w:right w:val="single" w:sz="5" w:space="0" w:color="000000"/>
            </w:tcBorders>
          </w:tcPr>
          <w:p w14:paraId="5AD4CB3F" w14:textId="32DE040C"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30860A67" w14:textId="77777777" w:rsidR="00953B2E" w:rsidRPr="00C35766" w:rsidRDefault="005F0C19">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0,317</w:t>
            </w:r>
          </w:p>
        </w:tc>
      </w:tr>
      <w:tr w:rsidR="00953B2E" w:rsidRPr="00C35766" w14:paraId="5BDC050D" w14:textId="77777777" w:rsidTr="00146E60">
        <w:tc>
          <w:tcPr>
            <w:tcW w:w="738" w:type="pct"/>
            <w:tcBorders>
              <w:top w:val="single" w:sz="5" w:space="0" w:color="000000"/>
              <w:left w:val="single" w:sz="8" w:space="0" w:color="000000"/>
              <w:bottom w:val="single" w:sz="5" w:space="0" w:color="000000"/>
              <w:right w:val="single" w:sz="5" w:space="0" w:color="000000"/>
            </w:tcBorders>
          </w:tcPr>
          <w:p w14:paraId="28803AEE" w14:textId="77777777" w:rsidR="00953B2E" w:rsidRPr="00C35766" w:rsidRDefault="005F0C19">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689" w:type="pct"/>
            <w:tcBorders>
              <w:top w:val="single" w:sz="5" w:space="0" w:color="000000"/>
              <w:left w:val="single" w:sz="5" w:space="0" w:color="000000"/>
              <w:bottom w:val="single" w:sz="5" w:space="0" w:color="000000"/>
              <w:right w:val="single" w:sz="5" w:space="0" w:color="000000"/>
            </w:tcBorders>
          </w:tcPr>
          <w:p w14:paraId="5A618E0E" w14:textId="4BF3E43C" w:rsidR="00953B2E" w:rsidRPr="00C35766" w:rsidRDefault="005F0C19">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42</w:t>
            </w:r>
            <w:r w:rsidR="007A5A5E" w:rsidRPr="00C35766">
              <w:rPr>
                <w:rFonts w:ascii="Times New Roman" w:eastAsia="Times New Roman" w:hAnsi="Times New Roman" w:cs="Times New Roman"/>
                <w:lang w:val="it-IT"/>
              </w:rPr>
              <w:t>,</w:t>
            </w:r>
            <w:r w:rsidRPr="00C35766">
              <w:rPr>
                <w:rFonts w:ascii="Times New Roman" w:eastAsia="Times New Roman" w:hAnsi="Times New Roman" w:cs="Times New Roman"/>
                <w:lang w:val="it-IT"/>
              </w:rPr>
              <w:t>8%</w:t>
            </w:r>
          </w:p>
        </w:tc>
        <w:tc>
          <w:tcPr>
            <w:tcW w:w="690" w:type="pct"/>
            <w:tcBorders>
              <w:top w:val="single" w:sz="5" w:space="0" w:color="000000"/>
              <w:left w:val="single" w:sz="5" w:space="0" w:color="000000"/>
              <w:bottom w:val="single" w:sz="5" w:space="0" w:color="000000"/>
              <w:right w:val="single" w:sz="5" w:space="0" w:color="000000"/>
            </w:tcBorders>
          </w:tcPr>
          <w:p w14:paraId="6B93A7DE" w14:textId="77777777" w:rsidR="00953B2E" w:rsidRPr="00C35766" w:rsidRDefault="005F0C19">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36,9%</w:t>
            </w:r>
          </w:p>
        </w:tc>
        <w:tc>
          <w:tcPr>
            <w:tcW w:w="1073" w:type="pct"/>
            <w:tcBorders>
              <w:top w:val="single" w:sz="5" w:space="0" w:color="000000"/>
              <w:left w:val="single" w:sz="5" w:space="0" w:color="000000"/>
              <w:bottom w:val="single" w:sz="5" w:space="0" w:color="000000"/>
              <w:right w:val="single" w:sz="5" w:space="0" w:color="000000"/>
            </w:tcBorders>
          </w:tcPr>
          <w:p w14:paraId="1A9BE85C" w14:textId="77777777" w:rsidR="00953B2E" w:rsidRPr="00C35766" w:rsidRDefault="005F0C19">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59.0%</w:t>
            </w:r>
          </w:p>
        </w:tc>
        <w:tc>
          <w:tcPr>
            <w:tcW w:w="517" w:type="pct"/>
            <w:tcBorders>
              <w:top w:val="single" w:sz="5" w:space="0" w:color="000000"/>
              <w:left w:val="single" w:sz="5" w:space="0" w:color="000000"/>
              <w:bottom w:val="single" w:sz="5" w:space="0" w:color="000000"/>
              <w:right w:val="single" w:sz="5" w:space="0" w:color="000000"/>
            </w:tcBorders>
          </w:tcPr>
          <w:p w14:paraId="6A2DDCDF" w14:textId="72738E09"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35" w:type="pct"/>
            <w:tcBorders>
              <w:top w:val="single" w:sz="5" w:space="0" w:color="000000"/>
              <w:left w:val="single" w:sz="5" w:space="0" w:color="000000"/>
              <w:bottom w:val="single" w:sz="5" w:space="0" w:color="000000"/>
              <w:right w:val="single" w:sz="5" w:space="0" w:color="000000"/>
            </w:tcBorders>
          </w:tcPr>
          <w:p w14:paraId="7C7F53D7" w14:textId="6FD30878"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3BC05079" w14:textId="77777777" w:rsidR="00953B2E" w:rsidRPr="00C35766" w:rsidRDefault="005F0C19">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0,162</w:t>
            </w:r>
          </w:p>
        </w:tc>
      </w:tr>
      <w:tr w:rsidR="00953B2E" w:rsidRPr="00C35766" w14:paraId="6EC231E2" w14:textId="77777777" w:rsidTr="00146E60">
        <w:tc>
          <w:tcPr>
            <w:tcW w:w="5000" w:type="pct"/>
            <w:gridSpan w:val="7"/>
            <w:tcBorders>
              <w:top w:val="single" w:sz="5" w:space="0" w:color="000000"/>
              <w:left w:val="single" w:sz="8" w:space="0" w:color="000000"/>
              <w:bottom w:val="single" w:sz="5" w:space="0" w:color="000000"/>
              <w:right w:val="single" w:sz="9" w:space="0" w:color="000000"/>
            </w:tcBorders>
          </w:tcPr>
          <w:p w14:paraId="22BAAE6C" w14:textId="77777777" w:rsidR="00953B2E" w:rsidRPr="00C35766" w:rsidRDefault="005F0C19">
            <w:pPr>
              <w:rPr>
                <w:rFonts w:ascii="Times New Roman" w:hAnsi="Times New Roman" w:cs="Times New Roman"/>
              </w:rPr>
            </w:pPr>
            <w:r w:rsidRPr="00C35766">
              <w:rPr>
                <w:rFonts w:ascii="Times New Roman" w:eastAsia="Times New Roman" w:hAnsi="Times New Roman" w:cs="Times New Roman"/>
                <w:spacing w:val="-1"/>
                <w:lang w:val="it-IT"/>
              </w:rPr>
              <w:t>ACR 70</w:t>
            </w:r>
          </w:p>
        </w:tc>
      </w:tr>
      <w:tr w:rsidR="00953B2E" w:rsidRPr="00C35766" w14:paraId="6C55DB22" w14:textId="77777777" w:rsidTr="00146E60">
        <w:tc>
          <w:tcPr>
            <w:tcW w:w="738" w:type="pct"/>
            <w:tcBorders>
              <w:top w:val="single" w:sz="5" w:space="0" w:color="000000"/>
              <w:left w:val="single" w:sz="8" w:space="0" w:color="000000"/>
              <w:bottom w:val="single" w:sz="5" w:space="0" w:color="000000"/>
              <w:right w:val="single" w:sz="5" w:space="0" w:color="000000"/>
            </w:tcBorders>
          </w:tcPr>
          <w:p w14:paraId="2B00A456" w14:textId="77777777" w:rsidR="00953B2E" w:rsidRPr="00C35766" w:rsidRDefault="005F0C19">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689" w:type="pct"/>
            <w:tcBorders>
              <w:top w:val="single" w:sz="5" w:space="0" w:color="000000"/>
              <w:left w:val="single" w:sz="5" w:space="0" w:color="000000"/>
              <w:bottom w:val="single" w:sz="5" w:space="0" w:color="000000"/>
              <w:right w:val="single" w:sz="5" w:space="0" w:color="000000"/>
            </w:tcBorders>
          </w:tcPr>
          <w:p w14:paraId="52AD4D2F"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27,2%</w:t>
            </w:r>
          </w:p>
        </w:tc>
        <w:tc>
          <w:tcPr>
            <w:tcW w:w="690" w:type="pct"/>
            <w:tcBorders>
              <w:top w:val="single" w:sz="5" w:space="0" w:color="000000"/>
              <w:left w:val="single" w:sz="5" w:space="0" w:color="000000"/>
              <w:bottom w:val="single" w:sz="5" w:space="0" w:color="000000"/>
              <w:right w:val="single" w:sz="5" w:space="0" w:color="000000"/>
            </w:tcBorders>
          </w:tcPr>
          <w:p w14:paraId="5D76EB06"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25,9%</w:t>
            </w:r>
          </w:p>
        </w:tc>
        <w:tc>
          <w:tcPr>
            <w:tcW w:w="1073" w:type="pct"/>
            <w:tcBorders>
              <w:top w:val="single" w:sz="5" w:space="0" w:color="000000"/>
              <w:left w:val="single" w:sz="5" w:space="0" w:color="000000"/>
              <w:bottom w:val="single" w:sz="5" w:space="0" w:color="000000"/>
              <w:right w:val="single" w:sz="5" w:space="0" w:color="000000"/>
            </w:tcBorders>
          </w:tcPr>
          <w:p w14:paraId="3623350C" w14:textId="77777777" w:rsidR="00953B2E" w:rsidRPr="00C35766" w:rsidRDefault="005F0C19">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45,5%</w:t>
            </w:r>
          </w:p>
        </w:tc>
        <w:tc>
          <w:tcPr>
            <w:tcW w:w="517" w:type="pct"/>
            <w:tcBorders>
              <w:top w:val="single" w:sz="5" w:space="0" w:color="000000"/>
              <w:left w:val="single" w:sz="5" w:space="0" w:color="000000"/>
              <w:bottom w:val="single" w:sz="5" w:space="0" w:color="000000"/>
              <w:right w:val="single" w:sz="5" w:space="0" w:color="000000"/>
            </w:tcBorders>
          </w:tcPr>
          <w:p w14:paraId="7FB6EE76" w14:textId="244CF375"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35" w:type="pct"/>
            <w:tcBorders>
              <w:top w:val="single" w:sz="5" w:space="0" w:color="000000"/>
              <w:left w:val="single" w:sz="5" w:space="0" w:color="000000"/>
              <w:bottom w:val="single" w:sz="5" w:space="0" w:color="000000"/>
              <w:right w:val="single" w:sz="5" w:space="0" w:color="000000"/>
            </w:tcBorders>
          </w:tcPr>
          <w:p w14:paraId="27E734A8" w14:textId="6F03E3ED"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6BDBDA62" w14:textId="77777777" w:rsidR="00953B2E" w:rsidRPr="00C35766" w:rsidRDefault="005F0C19">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0,656</w:t>
            </w:r>
          </w:p>
        </w:tc>
      </w:tr>
      <w:tr w:rsidR="00953B2E" w:rsidRPr="00C35766" w14:paraId="1F5B7BB7" w14:textId="77777777" w:rsidTr="00146E60">
        <w:tc>
          <w:tcPr>
            <w:tcW w:w="738" w:type="pct"/>
            <w:tcBorders>
              <w:top w:val="single" w:sz="5" w:space="0" w:color="000000"/>
              <w:left w:val="single" w:sz="8" w:space="0" w:color="000000"/>
              <w:bottom w:val="single" w:sz="5" w:space="0" w:color="000000"/>
              <w:right w:val="single" w:sz="5" w:space="0" w:color="000000"/>
            </w:tcBorders>
          </w:tcPr>
          <w:p w14:paraId="34C4992B" w14:textId="77777777" w:rsidR="00953B2E" w:rsidRPr="00C35766" w:rsidRDefault="005F0C19">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689" w:type="pct"/>
            <w:tcBorders>
              <w:top w:val="single" w:sz="5" w:space="0" w:color="000000"/>
              <w:left w:val="single" w:sz="5" w:space="0" w:color="000000"/>
              <w:bottom w:val="single" w:sz="5" w:space="0" w:color="000000"/>
              <w:right w:val="single" w:sz="5" w:space="0" w:color="000000"/>
            </w:tcBorders>
          </w:tcPr>
          <w:p w14:paraId="7534DD29"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690" w:type="pct"/>
            <w:tcBorders>
              <w:top w:val="single" w:sz="5" w:space="0" w:color="000000"/>
              <w:left w:val="single" w:sz="5" w:space="0" w:color="000000"/>
              <w:bottom w:val="single" w:sz="5" w:space="0" w:color="000000"/>
              <w:right w:val="single" w:sz="5" w:space="0" w:color="000000"/>
            </w:tcBorders>
          </w:tcPr>
          <w:p w14:paraId="0815663C" w14:textId="77777777" w:rsidR="00953B2E" w:rsidRPr="00C35766" w:rsidRDefault="005F0C19">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28,1%</w:t>
            </w:r>
          </w:p>
        </w:tc>
        <w:tc>
          <w:tcPr>
            <w:tcW w:w="1073" w:type="pct"/>
            <w:tcBorders>
              <w:top w:val="single" w:sz="5" w:space="0" w:color="000000"/>
              <w:left w:val="single" w:sz="5" w:space="0" w:color="000000"/>
              <w:bottom w:val="single" w:sz="5" w:space="0" w:color="000000"/>
              <w:right w:val="single" w:sz="5" w:space="0" w:color="000000"/>
            </w:tcBorders>
          </w:tcPr>
          <w:p w14:paraId="37FFB47C" w14:textId="77777777" w:rsidR="00953B2E" w:rsidRPr="00C35766" w:rsidRDefault="005F0C19">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46,6%</w:t>
            </w:r>
          </w:p>
        </w:tc>
        <w:tc>
          <w:tcPr>
            <w:tcW w:w="517" w:type="pct"/>
            <w:tcBorders>
              <w:top w:val="single" w:sz="5" w:space="0" w:color="000000"/>
              <w:left w:val="single" w:sz="5" w:space="0" w:color="000000"/>
              <w:bottom w:val="single" w:sz="5" w:space="0" w:color="000000"/>
              <w:right w:val="single" w:sz="5" w:space="0" w:color="000000"/>
            </w:tcBorders>
          </w:tcPr>
          <w:p w14:paraId="67BBC4B9" w14:textId="54FC7A67"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35" w:type="pct"/>
            <w:tcBorders>
              <w:top w:val="single" w:sz="5" w:space="0" w:color="000000"/>
              <w:left w:val="single" w:sz="5" w:space="0" w:color="000000"/>
              <w:bottom w:val="single" w:sz="5" w:space="0" w:color="000000"/>
              <w:right w:val="single" w:sz="5" w:space="0" w:color="000000"/>
            </w:tcBorders>
          </w:tcPr>
          <w:p w14:paraId="2976D895" w14:textId="54EA6778" w:rsidR="00953B2E" w:rsidRPr="00C35766" w:rsidRDefault="005F0C19" w:rsidP="008F4C1A">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657" w:type="pct"/>
            <w:tcBorders>
              <w:top w:val="single" w:sz="5" w:space="0" w:color="000000"/>
              <w:left w:val="single" w:sz="5" w:space="0" w:color="000000"/>
              <w:bottom w:val="single" w:sz="5" w:space="0" w:color="000000"/>
              <w:right w:val="single" w:sz="9" w:space="0" w:color="000000"/>
            </w:tcBorders>
          </w:tcPr>
          <w:p w14:paraId="4F5F8AC5" w14:textId="77777777" w:rsidR="00953B2E" w:rsidRPr="00C35766" w:rsidRDefault="005F0C19">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0,864</w:t>
            </w:r>
          </w:p>
        </w:tc>
      </w:tr>
    </w:tbl>
    <w:p w14:paraId="13A5CE49" w14:textId="77777777" w:rsidR="00953B2E" w:rsidRPr="00C35766" w:rsidRDefault="005F0C19" w:rsidP="00146E60">
      <w:pPr>
        <w:tabs>
          <w:tab w:val="left" w:pos="433"/>
        </w:tabs>
        <w:ind w:leftChars="100" w:left="220"/>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il valore p è stato ottenuto confrontando a due a due la monoterapia con metotressato e la terapia associata adalimumab/metotressato utilizzando il test U Mann-Whitney.</w:t>
      </w:r>
    </w:p>
    <w:p w14:paraId="5AE77FD7" w14:textId="77777777" w:rsidR="00953B2E" w:rsidRPr="00C35766" w:rsidRDefault="005F0C19" w:rsidP="00146E60">
      <w:pPr>
        <w:tabs>
          <w:tab w:val="left" w:pos="433"/>
        </w:tabs>
        <w:ind w:leftChars="100" w:left="220"/>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b</w:t>
      </w:r>
      <w:r w:rsidRPr="00C35766">
        <w:rPr>
          <w:rFonts w:ascii="Times New Roman" w:eastAsia="Times New Roman" w:hAnsi="Times New Roman" w:cs="Times New Roman"/>
          <w:position w:val="8"/>
          <w:lang w:val="it-IT"/>
        </w:rPr>
        <w:t xml:space="preserve"> il valore p è stato ottenuto confrontando a due a due la monoterapia con adalimumab e la terapia associata adalimumab/metotressato utilizzando il test U Mann-Whitney</w:t>
      </w:r>
    </w:p>
    <w:p w14:paraId="7E203338" w14:textId="77777777" w:rsidR="00953B2E" w:rsidRPr="00C35766" w:rsidRDefault="005F0C19" w:rsidP="00146E60">
      <w:pPr>
        <w:tabs>
          <w:tab w:val="left" w:pos="421"/>
        </w:tabs>
        <w:ind w:leftChars="100" w:left="220"/>
        <w:rPr>
          <w:rFonts w:ascii="Times New Roman" w:hAnsi="Times New Roman" w:cs="Times New Roman"/>
          <w:lang w:val="es-ES"/>
        </w:rPr>
      </w:pPr>
      <w:r w:rsidRPr="00C35766">
        <w:rPr>
          <w:rFonts w:ascii="Times New Roman" w:eastAsia="Times New Roman" w:hAnsi="Times New Roman" w:cs="Times New Roman"/>
          <w:position w:val="8"/>
          <w:vertAlign w:val="superscript"/>
          <w:lang w:val="it-IT"/>
        </w:rPr>
        <w:t xml:space="preserve">c </w:t>
      </w:r>
      <w:r w:rsidRPr="00C35766">
        <w:rPr>
          <w:rFonts w:ascii="Times New Roman" w:eastAsia="Times New Roman" w:hAnsi="Times New Roman" w:cs="Times New Roman"/>
          <w:position w:val="8"/>
          <w:lang w:val="it-IT"/>
        </w:rPr>
        <w:t>il valore p è stato ottenuto confrontando a due a due la monoterapia con adalimumab e la monoterapia con metotressato utilizzando il test U Mann-Whitney</w:t>
      </w:r>
    </w:p>
    <w:p w14:paraId="3459DC90" w14:textId="77777777" w:rsidR="00953B2E" w:rsidRPr="00C35766" w:rsidRDefault="00953B2E">
      <w:pPr>
        <w:spacing w:before="5" w:line="170" w:lineRule="exact"/>
        <w:rPr>
          <w:rFonts w:ascii="Times New Roman" w:hAnsi="Times New Roman" w:cs="Times New Roman"/>
          <w:sz w:val="17"/>
          <w:szCs w:val="17"/>
          <w:lang w:val="es-ES"/>
        </w:rPr>
      </w:pPr>
    </w:p>
    <w:p w14:paraId="766F4578" w14:textId="77777777" w:rsidR="00953B2E" w:rsidRPr="00C35766" w:rsidRDefault="005F0C19">
      <w:pPr>
        <w:pStyle w:val="a3"/>
        <w:rPr>
          <w:lang w:val="pt-BR"/>
        </w:rPr>
      </w:pPr>
      <w:r w:rsidRPr="00C35766">
        <w:rPr>
          <w:rFonts w:eastAsia="Times New Roman"/>
          <w:lang w:val="it-IT"/>
        </w:rPr>
        <w:t>Nella fase di estensione in aperto dello studio AR V, il tasso di risposta ACR è stato mantenuto nei pazienti seguiti fino a 10 anni. Dei 542 pazienti che erano stati randomizzati alla somministrazione di 40 mg di adalimumab a settimane alterne, 170 pazienti hanno continuato il trattamento con adalimumab 40 mg a settimane alterne per 10 anni. Di questi, 154 pazienti (90,6%) hanno avuto risposte ACR 20; 127 pazienti (74,7%) hanno avuto risposte ACR 50; e 102 pazienti (60,0%) hanno avuto risposte ACR 70.</w:t>
      </w:r>
    </w:p>
    <w:p w14:paraId="25C8FF89" w14:textId="77777777" w:rsidR="00953B2E" w:rsidRPr="00C35766" w:rsidRDefault="00953B2E">
      <w:pPr>
        <w:spacing w:before="13" w:line="240" w:lineRule="exact"/>
        <w:rPr>
          <w:rFonts w:ascii="Times New Roman" w:hAnsi="Times New Roman" w:cs="Times New Roman"/>
          <w:sz w:val="24"/>
          <w:szCs w:val="24"/>
          <w:lang w:val="pt-BR"/>
        </w:rPr>
      </w:pPr>
    </w:p>
    <w:p w14:paraId="2AFFF6D3" w14:textId="4B308EB2" w:rsidR="00953B2E" w:rsidRPr="00C35766" w:rsidRDefault="005F0C19">
      <w:pPr>
        <w:pStyle w:val="a3"/>
        <w:rPr>
          <w:lang w:val="pt-BR"/>
        </w:rPr>
      </w:pPr>
      <w:r w:rsidRPr="00C35766">
        <w:rPr>
          <w:rFonts w:eastAsia="Times New Roman"/>
          <w:lang w:val="it-IT"/>
        </w:rPr>
        <w:t xml:space="preserve">Alla settimana 52, il 42,9% dei pazienti che era stato sottoposto a terapia associata con adalimumab/metotressato ha raggiunto remissione clinica (DAS28 (PCR) &lt; 2,6) rispetto al 20,6% dei pazienti trattati con metotressato in monoterapia ed al 23,4% dei pazienti che aveva ricevuto adalimumab in </w:t>
      </w:r>
      <w:r w:rsidRPr="00C35766">
        <w:rPr>
          <w:rFonts w:eastAsia="Times New Roman"/>
          <w:lang w:val="it-IT"/>
        </w:rPr>
        <w:lastRenderedPageBreak/>
        <w:t>monoterapia. La terapia associata adalimumab/metotressato si è rivelata superiore dal punto di vista clinico e statistico alle monoterapie con metotressato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e adalimumab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nel determinare una riduzione dell’attività di malattia in pazienti in cui era stata di recente diagnosticata artrite reumatoide di grado da moderato a severo. La risposta ottenuta nei due gruppi in monoterapia è stata simile (p</w:t>
      </w:r>
      <w:r w:rsidR="000F35BA" w:rsidRPr="00C35766">
        <w:rPr>
          <w:rFonts w:eastAsia="Times New Roman"/>
          <w:lang w:val="it-IT"/>
        </w:rPr>
        <w:t xml:space="preserve"> </w:t>
      </w:r>
      <w:r w:rsidRPr="00C35766">
        <w:rPr>
          <w:rFonts w:eastAsia="Times New Roman"/>
          <w:lang w:val="it-IT"/>
        </w:rPr>
        <w:t>=</w:t>
      </w:r>
      <w:r w:rsidR="000F35BA" w:rsidRPr="00C35766">
        <w:rPr>
          <w:rFonts w:eastAsia="Times New Roman"/>
          <w:lang w:val="it-IT"/>
        </w:rPr>
        <w:t xml:space="preserve"> </w:t>
      </w:r>
      <w:r w:rsidRPr="00C35766">
        <w:rPr>
          <w:rFonts w:eastAsia="Times New Roman"/>
          <w:lang w:val="it-IT"/>
        </w:rPr>
        <w:t>0.447). Dei 342 pazienti che erano stati inizialmente randomizzati alla somministrazione di adalimumab in monoterapia o alla terapia associata adalimumab/metotressato e che erano stati arruolati nella fase di estensione in aperto dello studio, 171 hanno completato i 10 anni di trattamento con adalimumab. Di questi, è stato riportato che 109 pazienti (63,7%) erano in remissione a 10 anni.</w:t>
      </w:r>
    </w:p>
    <w:p w14:paraId="38ACBE24" w14:textId="77777777" w:rsidR="00953B2E" w:rsidRPr="00C35766" w:rsidRDefault="00953B2E">
      <w:pPr>
        <w:pStyle w:val="a3"/>
        <w:rPr>
          <w:lang w:val="pt-BR"/>
        </w:rPr>
      </w:pPr>
    </w:p>
    <w:p w14:paraId="56073B7A" w14:textId="03D33E6B" w:rsidR="00953B2E" w:rsidRPr="00C35766" w:rsidRDefault="005F0C19">
      <w:pPr>
        <w:pStyle w:val="a3"/>
        <w:rPr>
          <w:rFonts w:eastAsia="Times New Roman"/>
          <w:lang w:val="pt-BR"/>
        </w:rPr>
      </w:pPr>
      <w:r w:rsidRPr="00C35766">
        <w:rPr>
          <w:rFonts w:eastAsia="Times New Roman"/>
          <w:i/>
          <w:iCs/>
          <w:spacing w:val="-1"/>
          <w:u w:val="single" w:color="000000"/>
          <w:lang w:val="it-IT"/>
        </w:rPr>
        <w:t>Risposta radiografica</w:t>
      </w:r>
    </w:p>
    <w:p w14:paraId="6E818D56" w14:textId="77777777" w:rsidR="00953B2E" w:rsidRPr="00C35766" w:rsidRDefault="00953B2E">
      <w:pPr>
        <w:pStyle w:val="a3"/>
        <w:rPr>
          <w:sz w:val="18"/>
          <w:szCs w:val="18"/>
          <w:lang w:val="pt-BR"/>
        </w:rPr>
      </w:pPr>
    </w:p>
    <w:p w14:paraId="7B180A29" w14:textId="550F5D86" w:rsidR="00953B2E" w:rsidRPr="00C35766" w:rsidRDefault="005F0C19">
      <w:pPr>
        <w:pStyle w:val="a3"/>
        <w:rPr>
          <w:lang w:val="it-IT"/>
        </w:rPr>
      </w:pPr>
      <w:r w:rsidRPr="00C35766">
        <w:rPr>
          <w:rFonts w:eastAsia="Times New Roman"/>
          <w:lang w:val="it-IT"/>
        </w:rPr>
        <w:t xml:space="preserve">Nello studio AR III, in cui i pazienti trattati con adalimumab avevano una durata media di </w:t>
      </w:r>
      <w:r w:rsidR="001715A7" w:rsidRPr="00C35766">
        <w:rPr>
          <w:rFonts w:eastAsia="Times New Roman"/>
          <w:lang w:val="it-IT"/>
        </w:rPr>
        <w:t xml:space="preserve">artrite reumatoide </w:t>
      </w:r>
      <w:r w:rsidRPr="00C35766">
        <w:rPr>
          <w:rFonts w:eastAsia="Times New Roman"/>
          <w:lang w:val="it-IT"/>
        </w:rPr>
        <w:t xml:space="preserve">di circa 11 anni, il danno strutturale è stato valutato radiograficamente ed espresso come variazione dell’Indice Totale di Sharp modificato (Total Sharp Score TSS) e dei relativi componenti, gli indici di erosione e di riduzione della rima articolare (Joint Space Narrowing). I pazienti trattati con adalimumab/MTX hanno mostrato una progressione radiologica significativamente inferiore ai pazienti che hanno ricevuto solo MTX, a 6 e 12 mesi (vedere Tabella </w:t>
      </w:r>
      <w:r w:rsidR="003456B7" w:rsidRPr="00C35766">
        <w:rPr>
          <w:rFonts w:eastAsia="Times New Roman"/>
          <w:lang w:val="it-IT"/>
        </w:rPr>
        <w:t>10</w:t>
      </w:r>
      <w:r w:rsidRPr="00C35766">
        <w:rPr>
          <w:rFonts w:eastAsia="Times New Roman"/>
          <w:lang w:val="it-IT"/>
        </w:rPr>
        <w:t>).</w:t>
      </w:r>
    </w:p>
    <w:p w14:paraId="644AB2B7" w14:textId="77777777" w:rsidR="00953B2E" w:rsidRPr="00C35766" w:rsidRDefault="00953B2E">
      <w:pPr>
        <w:pStyle w:val="a3"/>
        <w:rPr>
          <w:lang w:val="it-IT"/>
        </w:rPr>
      </w:pPr>
    </w:p>
    <w:p w14:paraId="20B6FF02" w14:textId="77777777" w:rsidR="00953B2E" w:rsidRPr="00C35766" w:rsidRDefault="005F0C19">
      <w:pPr>
        <w:pStyle w:val="a3"/>
        <w:rPr>
          <w:lang w:val="it-IT"/>
        </w:rPr>
      </w:pPr>
      <w:r w:rsidRPr="00C35766">
        <w:rPr>
          <w:rFonts w:eastAsia="Times New Roman"/>
          <w:lang w:val="it-IT"/>
        </w:rPr>
        <w:t>Nell’estensione in aperto dello studio AR III, la riduzione del tasso di progressione del danno strutturale è stata mantenuta per 8 e 10 anni in un sottogruppo di pazienti. A 8 anni, 81 pazienti su 207 originariamente trattati con adalimumab 40 mg a settimane alterne sono stati valutati radiologicamente. Tra questi, 48 pazienti non hanno mostrato progressione del danno strutturale definita attraverso una modifica del mTSS di 0,5 o meno rispetto al valore basale. A 10 anni, 79 pazienti su 207 originariamente trattati con adalimumab 40 mg a settimane alterne sono stati valutati radiologicamente. Di questi, 40 pazienti non hanno dimostrato una progressione del danno strutturale definito da un cambiamento del mTSS di 0,5 o minore dal valore basale.</w:t>
      </w:r>
    </w:p>
    <w:p w14:paraId="2761B21D" w14:textId="77777777" w:rsidR="00953B2E" w:rsidRPr="00C35766" w:rsidRDefault="00953B2E">
      <w:pPr>
        <w:spacing w:before="18" w:line="240" w:lineRule="exact"/>
        <w:rPr>
          <w:rFonts w:ascii="Times New Roman" w:hAnsi="Times New Roman" w:cs="Times New Roman"/>
          <w:sz w:val="24"/>
          <w:szCs w:val="24"/>
          <w:lang w:val="it-IT"/>
        </w:rPr>
      </w:pPr>
    </w:p>
    <w:p w14:paraId="69FAD9D3" w14:textId="4983BEF0" w:rsidR="00953B2E" w:rsidRPr="00C35766" w:rsidRDefault="005F0C19">
      <w:pPr>
        <w:pStyle w:val="a3"/>
        <w:jc w:val="center"/>
        <w:rPr>
          <w:b/>
          <w:lang w:val="es-ES"/>
        </w:rPr>
      </w:pPr>
      <w:r w:rsidRPr="00C35766">
        <w:rPr>
          <w:rFonts w:eastAsia="Times New Roman"/>
          <w:b/>
          <w:bCs/>
          <w:lang w:val="it-IT"/>
        </w:rPr>
        <w:t xml:space="preserve">Tabella </w:t>
      </w:r>
      <w:r w:rsidR="003456B7" w:rsidRPr="00C35766">
        <w:rPr>
          <w:rFonts w:eastAsia="Times New Roman"/>
          <w:b/>
          <w:bCs/>
          <w:lang w:val="it-IT"/>
        </w:rPr>
        <w:t>10</w:t>
      </w:r>
    </w:p>
    <w:p w14:paraId="578364F1" w14:textId="77777777" w:rsidR="00953B2E" w:rsidRPr="00C35766" w:rsidRDefault="005F0C19">
      <w:pPr>
        <w:pStyle w:val="a3"/>
        <w:jc w:val="center"/>
        <w:rPr>
          <w:b/>
          <w:lang w:val="es-ES"/>
        </w:rPr>
      </w:pPr>
      <w:r w:rsidRPr="00C35766">
        <w:rPr>
          <w:rFonts w:eastAsia="Times New Roman"/>
          <w:b/>
          <w:bCs/>
          <w:lang w:val="it-IT"/>
        </w:rPr>
        <w:t>Variazione radiografica media dopo 12 mesi nello studio AR III</w:t>
      </w:r>
    </w:p>
    <w:p w14:paraId="66C463F7" w14:textId="77777777" w:rsidR="00953B2E" w:rsidRPr="00C35766" w:rsidRDefault="00953B2E">
      <w:pPr>
        <w:spacing w:before="14" w:line="240" w:lineRule="exact"/>
        <w:rPr>
          <w:rFonts w:ascii="Times New Roman" w:hAnsi="Times New Roman" w:cs="Times New Roman"/>
          <w:sz w:val="24"/>
          <w:szCs w:val="24"/>
          <w:lang w:val="es-ES"/>
        </w:rPr>
      </w:pPr>
    </w:p>
    <w:tbl>
      <w:tblPr>
        <w:tblStyle w:val="TableNormal1"/>
        <w:tblW w:w="5000" w:type="pct"/>
        <w:tblLayout w:type="fixed"/>
        <w:tblLook w:val="01E0" w:firstRow="1" w:lastRow="1" w:firstColumn="1" w:lastColumn="1" w:noHBand="0" w:noVBand="0"/>
      </w:tblPr>
      <w:tblGrid>
        <w:gridCol w:w="2463"/>
        <w:gridCol w:w="1306"/>
        <w:gridCol w:w="1918"/>
        <w:gridCol w:w="2142"/>
        <w:gridCol w:w="1659"/>
      </w:tblGrid>
      <w:tr w:rsidR="00953B2E" w:rsidRPr="00C35766" w14:paraId="6D3D20D7" w14:textId="77777777" w:rsidTr="00146E60">
        <w:tc>
          <w:tcPr>
            <w:tcW w:w="1298" w:type="pct"/>
            <w:tcBorders>
              <w:top w:val="single" w:sz="5" w:space="0" w:color="000000"/>
              <w:left w:val="single" w:sz="5" w:space="0" w:color="000000"/>
              <w:bottom w:val="single" w:sz="5" w:space="0" w:color="000000"/>
              <w:right w:val="single" w:sz="5" w:space="0" w:color="000000"/>
            </w:tcBorders>
            <w:vAlign w:val="center"/>
          </w:tcPr>
          <w:p w14:paraId="173BE295" w14:textId="77777777" w:rsidR="00953B2E" w:rsidRPr="00C35766" w:rsidRDefault="00953B2E">
            <w:pPr>
              <w:jc w:val="center"/>
              <w:rPr>
                <w:rFonts w:ascii="Times New Roman" w:hAnsi="Times New Roman" w:cs="Times New Roman"/>
                <w:lang w:val="es-ES"/>
              </w:rPr>
            </w:pPr>
          </w:p>
        </w:tc>
        <w:tc>
          <w:tcPr>
            <w:tcW w:w="688" w:type="pct"/>
            <w:tcBorders>
              <w:top w:val="single" w:sz="5" w:space="0" w:color="000000"/>
              <w:left w:val="single" w:sz="5" w:space="0" w:color="000000"/>
              <w:bottom w:val="single" w:sz="5" w:space="0" w:color="000000"/>
              <w:right w:val="single" w:sz="5" w:space="0" w:color="000000"/>
            </w:tcBorders>
            <w:vAlign w:val="center"/>
          </w:tcPr>
          <w:p w14:paraId="6F703E86"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401B9710" w14:textId="77777777" w:rsidR="00953B2E" w:rsidRPr="00C35766" w:rsidRDefault="005F0C19">
            <w:pPr>
              <w:pStyle w:val="TableParagraph"/>
              <w:spacing w:line="254"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a</w:t>
            </w:r>
          </w:p>
        </w:tc>
        <w:tc>
          <w:tcPr>
            <w:tcW w:w="1011" w:type="pct"/>
            <w:tcBorders>
              <w:top w:val="single" w:sz="5" w:space="0" w:color="000000"/>
              <w:left w:val="single" w:sz="5" w:space="0" w:color="000000"/>
              <w:bottom w:val="single" w:sz="5" w:space="0" w:color="000000"/>
              <w:right w:val="single" w:sz="5" w:space="0" w:color="000000"/>
            </w:tcBorders>
            <w:vAlign w:val="center"/>
          </w:tcPr>
          <w:p w14:paraId="7D7F085E" w14:textId="77777777" w:rsidR="00953B2E" w:rsidRPr="00C35766" w:rsidRDefault="005F0C19">
            <w:pPr>
              <w:pStyle w:val="TableParagraph"/>
              <w:spacing w:line="246" w:lineRule="exact"/>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Adalimumab/MTX</w:t>
            </w:r>
          </w:p>
          <w:p w14:paraId="0D70E9E6" w14:textId="77777777" w:rsidR="00953B2E" w:rsidRPr="00C35766" w:rsidRDefault="005F0C19">
            <w:pPr>
              <w:pStyle w:val="TableParagraph"/>
              <w:spacing w:line="252" w:lineRule="exact"/>
              <w:ind w:hanging="63"/>
              <w:jc w:val="center"/>
              <w:rPr>
                <w:rFonts w:ascii="Times New Roman" w:hAnsi="Times New Roman" w:cs="Times New Roman"/>
                <w:lang w:val="it-IT"/>
              </w:rPr>
            </w:pPr>
            <w:r w:rsidRPr="00C35766">
              <w:rPr>
                <w:rFonts w:ascii="Times New Roman" w:eastAsia="Times New Roman" w:hAnsi="Times New Roman" w:cs="Times New Roman"/>
                <w:lang w:val="it-IT"/>
              </w:rPr>
              <w:t>40 mg a settimane alterne</w:t>
            </w:r>
          </w:p>
        </w:tc>
        <w:tc>
          <w:tcPr>
            <w:tcW w:w="1129" w:type="pct"/>
            <w:tcBorders>
              <w:top w:val="single" w:sz="5" w:space="0" w:color="000000"/>
              <w:left w:val="single" w:sz="5" w:space="0" w:color="000000"/>
              <w:bottom w:val="single" w:sz="5" w:space="0" w:color="000000"/>
              <w:right w:val="single" w:sz="5" w:space="0" w:color="000000"/>
            </w:tcBorders>
            <w:vAlign w:val="center"/>
          </w:tcPr>
          <w:p w14:paraId="3FC9D7D3" w14:textId="77777777" w:rsidR="00953B2E" w:rsidRPr="00C35766" w:rsidRDefault="005F0C19">
            <w:pPr>
              <w:pStyle w:val="TableParagraph"/>
              <w:spacing w:line="246" w:lineRule="exact"/>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Placebo/MTX-</w:t>
            </w:r>
          </w:p>
          <w:p w14:paraId="3D698721" w14:textId="77777777" w:rsidR="00953B2E" w:rsidRPr="00C35766" w:rsidRDefault="005F0C19">
            <w:pPr>
              <w:pStyle w:val="TableParagraph"/>
              <w:spacing w:line="237" w:lineRule="auto"/>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adalimumab/MTX (intervallo di confidenza 95%</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w:t>
            </w:r>
          </w:p>
        </w:tc>
        <w:tc>
          <w:tcPr>
            <w:tcW w:w="874" w:type="pct"/>
            <w:tcBorders>
              <w:top w:val="single" w:sz="5" w:space="0" w:color="000000"/>
              <w:left w:val="single" w:sz="5" w:space="0" w:color="000000"/>
              <w:bottom w:val="single" w:sz="5" w:space="0" w:color="000000"/>
              <w:right w:val="single" w:sz="5" w:space="0" w:color="000000"/>
            </w:tcBorders>
            <w:vAlign w:val="center"/>
          </w:tcPr>
          <w:p w14:paraId="1471CFC9" w14:textId="77777777" w:rsidR="00953B2E" w:rsidRPr="00C35766" w:rsidRDefault="005F0C19">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p>
        </w:tc>
      </w:tr>
      <w:tr w:rsidR="00953B2E" w:rsidRPr="00C35766" w14:paraId="59FE652C" w14:textId="77777777" w:rsidTr="00146E60">
        <w:tc>
          <w:tcPr>
            <w:tcW w:w="1298" w:type="pct"/>
            <w:tcBorders>
              <w:top w:val="single" w:sz="5" w:space="0" w:color="000000"/>
              <w:left w:val="single" w:sz="5" w:space="0" w:color="000000"/>
              <w:bottom w:val="single" w:sz="5" w:space="0" w:color="000000"/>
              <w:right w:val="single" w:sz="5" w:space="0" w:color="000000"/>
            </w:tcBorders>
          </w:tcPr>
          <w:p w14:paraId="5D21DB9A" w14:textId="77777777" w:rsidR="00953B2E" w:rsidRPr="00C35766" w:rsidRDefault="005F0C19" w:rsidP="005F0C19">
            <w:pPr>
              <w:pStyle w:val="TableParagraph"/>
              <w:spacing w:line="246" w:lineRule="exact"/>
              <w:ind w:left="243"/>
              <w:rPr>
                <w:rFonts w:ascii="Times New Roman" w:eastAsia="Times New Roman" w:hAnsi="Times New Roman" w:cs="Times New Roman"/>
              </w:rPr>
            </w:pPr>
            <w:r w:rsidRPr="00C35766">
              <w:rPr>
                <w:rFonts w:ascii="Times New Roman" w:eastAsia="Times New Roman" w:hAnsi="Times New Roman" w:cs="Times New Roman"/>
                <w:spacing w:val="-1"/>
                <w:lang w:val="it-IT"/>
              </w:rPr>
              <w:t>Indice totale di Sharp</w:t>
            </w:r>
          </w:p>
        </w:tc>
        <w:tc>
          <w:tcPr>
            <w:tcW w:w="688" w:type="pct"/>
            <w:tcBorders>
              <w:top w:val="single" w:sz="5" w:space="0" w:color="000000"/>
              <w:left w:val="single" w:sz="5" w:space="0" w:color="000000"/>
              <w:bottom w:val="single" w:sz="5" w:space="0" w:color="000000"/>
              <w:right w:val="single" w:sz="5" w:space="0" w:color="000000"/>
            </w:tcBorders>
          </w:tcPr>
          <w:p w14:paraId="76F29AC1" w14:textId="77777777" w:rsidR="00953B2E" w:rsidRPr="00C35766" w:rsidRDefault="005F0C19" w:rsidP="008F4C1A">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011" w:type="pct"/>
            <w:tcBorders>
              <w:top w:val="single" w:sz="5" w:space="0" w:color="000000"/>
              <w:left w:val="single" w:sz="5" w:space="0" w:color="000000"/>
              <w:bottom w:val="single" w:sz="5" w:space="0" w:color="000000"/>
              <w:right w:val="single" w:sz="5" w:space="0" w:color="000000"/>
            </w:tcBorders>
          </w:tcPr>
          <w:p w14:paraId="5427C8F6" w14:textId="77777777" w:rsidR="00953B2E" w:rsidRPr="00C35766" w:rsidRDefault="005F0C19">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129" w:type="pct"/>
            <w:tcBorders>
              <w:top w:val="single" w:sz="5" w:space="0" w:color="000000"/>
              <w:left w:val="single" w:sz="5" w:space="0" w:color="000000"/>
              <w:bottom w:val="single" w:sz="5" w:space="0" w:color="000000"/>
              <w:right w:val="single" w:sz="5" w:space="0" w:color="000000"/>
            </w:tcBorders>
          </w:tcPr>
          <w:p w14:paraId="1555601C" w14:textId="77777777" w:rsidR="00953B2E" w:rsidRPr="00C35766" w:rsidRDefault="005F0C19">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2,6 (1,4, 3,8)</w:t>
            </w:r>
          </w:p>
        </w:tc>
        <w:tc>
          <w:tcPr>
            <w:tcW w:w="874" w:type="pct"/>
            <w:tcBorders>
              <w:top w:val="single" w:sz="5" w:space="0" w:color="000000"/>
              <w:left w:val="single" w:sz="5" w:space="0" w:color="000000"/>
              <w:bottom w:val="single" w:sz="5" w:space="0" w:color="000000"/>
              <w:right w:val="single" w:sz="5" w:space="0" w:color="000000"/>
            </w:tcBorders>
          </w:tcPr>
          <w:p w14:paraId="0754C461" w14:textId="77777777"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r w:rsidRPr="00C35766">
              <w:rPr>
                <w:rFonts w:ascii="Times New Roman" w:eastAsia="Times New Roman" w:hAnsi="Times New Roman" w:cs="Times New Roman"/>
                <w:vertAlign w:val="superscript"/>
                <w:lang w:val="it-IT"/>
              </w:rPr>
              <w:t>c</w:t>
            </w:r>
          </w:p>
        </w:tc>
      </w:tr>
      <w:tr w:rsidR="00953B2E" w:rsidRPr="00C35766" w14:paraId="09D82255" w14:textId="77777777" w:rsidTr="00146E60">
        <w:tc>
          <w:tcPr>
            <w:tcW w:w="1298" w:type="pct"/>
            <w:tcBorders>
              <w:top w:val="single" w:sz="5" w:space="0" w:color="000000"/>
              <w:left w:val="single" w:sz="5" w:space="0" w:color="000000"/>
              <w:bottom w:val="single" w:sz="5" w:space="0" w:color="000000"/>
              <w:right w:val="single" w:sz="5" w:space="0" w:color="000000"/>
            </w:tcBorders>
          </w:tcPr>
          <w:p w14:paraId="0F7C4212" w14:textId="77777777" w:rsidR="00953B2E" w:rsidRPr="00C35766" w:rsidRDefault="005F0C19" w:rsidP="005F0C19">
            <w:pPr>
              <w:pStyle w:val="TableParagraph"/>
              <w:spacing w:line="246" w:lineRule="exact"/>
              <w:ind w:left="435"/>
              <w:rPr>
                <w:rFonts w:ascii="Times New Roman" w:eastAsia="Times New Roman" w:hAnsi="Times New Roman" w:cs="Times New Roman"/>
              </w:rPr>
            </w:pPr>
            <w:r w:rsidRPr="00C35766">
              <w:rPr>
                <w:rFonts w:ascii="Times New Roman" w:eastAsia="Times New Roman" w:hAnsi="Times New Roman" w:cs="Times New Roman"/>
                <w:spacing w:val="-1"/>
                <w:lang w:val="it-IT"/>
              </w:rPr>
              <w:t>Indice di erosione</w:t>
            </w:r>
          </w:p>
        </w:tc>
        <w:tc>
          <w:tcPr>
            <w:tcW w:w="688" w:type="pct"/>
            <w:tcBorders>
              <w:top w:val="single" w:sz="5" w:space="0" w:color="000000"/>
              <w:left w:val="single" w:sz="5" w:space="0" w:color="000000"/>
              <w:bottom w:val="single" w:sz="5" w:space="0" w:color="000000"/>
              <w:right w:val="single" w:sz="5" w:space="0" w:color="000000"/>
            </w:tcBorders>
          </w:tcPr>
          <w:p w14:paraId="2CFF7466" w14:textId="77777777" w:rsidR="00953B2E" w:rsidRPr="00C35766" w:rsidRDefault="005F0C19" w:rsidP="008F4C1A">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1.6</w:t>
            </w:r>
          </w:p>
        </w:tc>
        <w:tc>
          <w:tcPr>
            <w:tcW w:w="1011" w:type="pct"/>
            <w:tcBorders>
              <w:top w:val="single" w:sz="5" w:space="0" w:color="000000"/>
              <w:left w:val="single" w:sz="5" w:space="0" w:color="000000"/>
              <w:bottom w:val="single" w:sz="5" w:space="0" w:color="000000"/>
              <w:right w:val="single" w:sz="5" w:space="0" w:color="000000"/>
            </w:tcBorders>
          </w:tcPr>
          <w:p w14:paraId="5F2127F2" w14:textId="77777777" w:rsidR="00953B2E" w:rsidRPr="00C35766" w:rsidRDefault="005F0C19">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0,0</w:t>
            </w:r>
          </w:p>
        </w:tc>
        <w:tc>
          <w:tcPr>
            <w:tcW w:w="1129" w:type="pct"/>
            <w:tcBorders>
              <w:top w:val="single" w:sz="5" w:space="0" w:color="000000"/>
              <w:left w:val="single" w:sz="5" w:space="0" w:color="000000"/>
              <w:bottom w:val="single" w:sz="5" w:space="0" w:color="000000"/>
              <w:right w:val="single" w:sz="5" w:space="0" w:color="000000"/>
            </w:tcBorders>
          </w:tcPr>
          <w:p w14:paraId="16066647" w14:textId="77777777" w:rsidR="00953B2E" w:rsidRPr="00C35766" w:rsidRDefault="005F0C19">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1,6 (0,9, 2,2)</w:t>
            </w:r>
          </w:p>
        </w:tc>
        <w:tc>
          <w:tcPr>
            <w:tcW w:w="874" w:type="pct"/>
            <w:tcBorders>
              <w:top w:val="single" w:sz="5" w:space="0" w:color="000000"/>
              <w:left w:val="single" w:sz="5" w:space="0" w:color="000000"/>
              <w:bottom w:val="single" w:sz="5" w:space="0" w:color="000000"/>
              <w:right w:val="single" w:sz="5" w:space="0" w:color="000000"/>
            </w:tcBorders>
          </w:tcPr>
          <w:p w14:paraId="0E8E72D6" w14:textId="58ED6AF0"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r>
      <w:tr w:rsidR="00953B2E" w:rsidRPr="00C35766" w14:paraId="3E740A4C" w14:textId="77777777" w:rsidTr="00146E60">
        <w:tc>
          <w:tcPr>
            <w:tcW w:w="1298" w:type="pct"/>
            <w:tcBorders>
              <w:top w:val="single" w:sz="5" w:space="0" w:color="000000"/>
              <w:left w:val="single" w:sz="5" w:space="0" w:color="000000"/>
              <w:bottom w:val="single" w:sz="5" w:space="0" w:color="000000"/>
              <w:right w:val="single" w:sz="5" w:space="0" w:color="000000"/>
            </w:tcBorders>
          </w:tcPr>
          <w:p w14:paraId="43A9DF42" w14:textId="77777777" w:rsidR="00953B2E" w:rsidRPr="00C35766" w:rsidRDefault="005F0C19" w:rsidP="005F0C19">
            <w:pPr>
              <w:pStyle w:val="TableParagraph"/>
              <w:spacing w:line="246" w:lineRule="exact"/>
              <w:ind w:left="560"/>
              <w:rPr>
                <w:rFonts w:ascii="Times New Roman" w:eastAsia="Times New Roman" w:hAnsi="Times New Roman" w:cs="Times New Roman"/>
              </w:rPr>
            </w:pPr>
            <w:r w:rsidRPr="00C35766">
              <w:rPr>
                <w:rFonts w:ascii="Times New Roman" w:eastAsia="Times New Roman" w:hAnsi="Times New Roman" w:cs="Times New Roman"/>
                <w:spacing w:val="1"/>
                <w:lang w:val="it-IT"/>
              </w:rPr>
              <w:t>Punteggio JSN</w:t>
            </w:r>
            <w:r w:rsidRPr="00C35766">
              <w:rPr>
                <w:rFonts w:ascii="Times New Roman" w:eastAsia="Times New Roman" w:hAnsi="Times New Roman" w:cs="Times New Roman"/>
                <w:spacing w:val="1"/>
                <w:vertAlign w:val="superscript"/>
                <w:lang w:val="it-IT"/>
              </w:rPr>
              <w:t>d</w:t>
            </w:r>
          </w:p>
        </w:tc>
        <w:tc>
          <w:tcPr>
            <w:tcW w:w="688" w:type="pct"/>
            <w:tcBorders>
              <w:top w:val="single" w:sz="5" w:space="0" w:color="000000"/>
              <w:left w:val="single" w:sz="5" w:space="0" w:color="000000"/>
              <w:bottom w:val="single" w:sz="5" w:space="0" w:color="000000"/>
              <w:right w:val="single" w:sz="5" w:space="0" w:color="000000"/>
            </w:tcBorders>
          </w:tcPr>
          <w:p w14:paraId="66E6D2A5" w14:textId="77777777" w:rsidR="00953B2E" w:rsidRPr="00C35766" w:rsidRDefault="005F0C19" w:rsidP="008F4C1A">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1,0</w:t>
            </w:r>
          </w:p>
        </w:tc>
        <w:tc>
          <w:tcPr>
            <w:tcW w:w="1011" w:type="pct"/>
            <w:tcBorders>
              <w:top w:val="single" w:sz="5" w:space="0" w:color="000000"/>
              <w:left w:val="single" w:sz="5" w:space="0" w:color="000000"/>
              <w:bottom w:val="single" w:sz="5" w:space="0" w:color="000000"/>
              <w:right w:val="single" w:sz="5" w:space="0" w:color="000000"/>
            </w:tcBorders>
          </w:tcPr>
          <w:p w14:paraId="402C04D2" w14:textId="77777777" w:rsidR="00953B2E" w:rsidRPr="00C35766" w:rsidRDefault="005F0C19">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129" w:type="pct"/>
            <w:tcBorders>
              <w:top w:val="single" w:sz="5" w:space="0" w:color="000000"/>
              <w:left w:val="single" w:sz="5" w:space="0" w:color="000000"/>
              <w:bottom w:val="single" w:sz="5" w:space="0" w:color="000000"/>
              <w:right w:val="single" w:sz="5" w:space="0" w:color="000000"/>
            </w:tcBorders>
          </w:tcPr>
          <w:p w14:paraId="73C1AFF2" w14:textId="77777777" w:rsidR="00953B2E" w:rsidRPr="00C35766" w:rsidRDefault="005F0C19">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0,9 (0,3, 1,4)</w:t>
            </w:r>
          </w:p>
        </w:tc>
        <w:tc>
          <w:tcPr>
            <w:tcW w:w="874" w:type="pct"/>
            <w:tcBorders>
              <w:top w:val="single" w:sz="5" w:space="0" w:color="000000"/>
              <w:left w:val="single" w:sz="5" w:space="0" w:color="000000"/>
              <w:bottom w:val="single" w:sz="5" w:space="0" w:color="000000"/>
              <w:right w:val="single" w:sz="5" w:space="0" w:color="000000"/>
            </w:tcBorders>
          </w:tcPr>
          <w:p w14:paraId="6887D7F0" w14:textId="77777777" w:rsidR="00953B2E" w:rsidRPr="00C35766" w:rsidRDefault="005F0C19" w:rsidP="008F4C1A">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r>
    </w:tbl>
    <w:p w14:paraId="04BBE5F9" w14:textId="77777777" w:rsidR="00953B2E" w:rsidRPr="00C35766" w:rsidRDefault="005F0C19">
      <w:pPr>
        <w:pStyle w:val="a3"/>
      </w:pPr>
      <w:r w:rsidRPr="00C35766">
        <w:rPr>
          <w:rFonts w:eastAsia="Times New Roman"/>
          <w:position w:val="8"/>
          <w:vertAlign w:val="superscript"/>
          <w:lang w:val="it-IT"/>
        </w:rPr>
        <w:t xml:space="preserve">a </w:t>
      </w:r>
      <w:r w:rsidRPr="00C35766">
        <w:rPr>
          <w:rFonts w:eastAsia="Times New Roman"/>
          <w:position w:val="8"/>
          <w:lang w:val="it-IT"/>
        </w:rPr>
        <w:t>metotressato</w:t>
      </w:r>
    </w:p>
    <w:p w14:paraId="37722533" w14:textId="77777777" w:rsidR="00953B2E" w:rsidRPr="00C35766" w:rsidRDefault="005F0C19">
      <w:pPr>
        <w:pStyle w:val="a3"/>
        <w:rPr>
          <w:lang w:val="it-IT"/>
        </w:rPr>
      </w:pPr>
      <w:r w:rsidRPr="00C35766">
        <w:rPr>
          <w:rFonts w:eastAsia="Times New Roman"/>
          <w:position w:val="8"/>
          <w:vertAlign w:val="superscript"/>
          <w:lang w:val="it-IT"/>
        </w:rPr>
        <w:t>b</w:t>
      </w:r>
      <w:r w:rsidRPr="00C35766">
        <w:rPr>
          <w:rFonts w:eastAsia="Times New Roman"/>
          <w:position w:val="8"/>
          <w:lang w:val="it-IT"/>
        </w:rPr>
        <w:t xml:space="preserve"> Intervallo di confidenza del 95% per le differenze nelle variazioni degli indici tra metotressato e adalimumab.</w:t>
      </w:r>
    </w:p>
    <w:p w14:paraId="3109E1A8" w14:textId="77777777" w:rsidR="00953B2E" w:rsidRPr="00C35766" w:rsidRDefault="005F0C19">
      <w:pPr>
        <w:pStyle w:val="a3"/>
        <w:rPr>
          <w:lang w:val="it-IT"/>
        </w:rPr>
      </w:pPr>
      <w:r w:rsidRPr="00C35766">
        <w:rPr>
          <w:rFonts w:eastAsia="Times New Roman"/>
          <w:position w:val="8"/>
          <w:vertAlign w:val="superscript"/>
          <w:lang w:val="it-IT"/>
        </w:rPr>
        <w:t>c</w:t>
      </w:r>
      <w:r w:rsidRPr="00C35766">
        <w:rPr>
          <w:rFonts w:eastAsia="Times New Roman"/>
          <w:position w:val="8"/>
          <w:lang w:val="it-IT"/>
        </w:rPr>
        <w:t xml:space="preserve"> Basato sull’analisi a ranghi</w:t>
      </w:r>
    </w:p>
    <w:p w14:paraId="6322B27C" w14:textId="77777777" w:rsidR="00953B2E" w:rsidRPr="00C35766" w:rsidRDefault="005F0C19">
      <w:pPr>
        <w:pStyle w:val="a3"/>
        <w:rPr>
          <w:lang w:val="it-IT"/>
        </w:rPr>
      </w:pPr>
      <w:r w:rsidRPr="00C35766">
        <w:rPr>
          <w:rFonts w:eastAsia="Times New Roman"/>
          <w:position w:val="8"/>
          <w:vertAlign w:val="superscript"/>
          <w:lang w:val="it-IT"/>
        </w:rPr>
        <w:t>d</w:t>
      </w:r>
      <w:r w:rsidRPr="00C35766">
        <w:rPr>
          <w:rFonts w:eastAsia="Times New Roman"/>
          <w:position w:val="8"/>
          <w:lang w:val="it-IT"/>
        </w:rPr>
        <w:t>Joint Space Narrowing (riduzione della rima articolare)</w:t>
      </w:r>
    </w:p>
    <w:p w14:paraId="452631B0" w14:textId="77777777" w:rsidR="00953B2E" w:rsidRPr="00C35766" w:rsidRDefault="00953B2E">
      <w:pPr>
        <w:spacing w:before="17" w:line="240" w:lineRule="exact"/>
        <w:rPr>
          <w:rFonts w:ascii="Times New Roman" w:hAnsi="Times New Roman" w:cs="Times New Roman"/>
          <w:sz w:val="24"/>
          <w:lang w:val="it-IT"/>
        </w:rPr>
      </w:pPr>
    </w:p>
    <w:p w14:paraId="654D0354" w14:textId="5E40CE2F" w:rsidR="00953B2E" w:rsidRPr="00C35766" w:rsidRDefault="005F0C19">
      <w:pPr>
        <w:pStyle w:val="a3"/>
        <w:rPr>
          <w:lang w:val="it-IT"/>
        </w:rPr>
      </w:pPr>
      <w:r w:rsidRPr="00C35766">
        <w:rPr>
          <w:rFonts w:eastAsia="Times New Roman"/>
          <w:lang w:val="it-IT"/>
        </w:rPr>
        <w:t xml:space="preserve">Nello studio AR V, il danno articolare strutturale è stato valutato radiograficamente ed è espresso in termini di variazione dell’Indice Totale di Sharp modificato (vedere Tabella </w:t>
      </w:r>
      <w:r w:rsidR="003456B7" w:rsidRPr="00C35766">
        <w:rPr>
          <w:rFonts w:eastAsia="Times New Roman"/>
          <w:lang w:val="it-IT"/>
        </w:rPr>
        <w:t>11</w:t>
      </w:r>
      <w:r w:rsidRPr="00C35766">
        <w:rPr>
          <w:rFonts w:eastAsia="Times New Roman"/>
          <w:lang w:val="it-IT"/>
        </w:rPr>
        <w:t>).</w:t>
      </w:r>
    </w:p>
    <w:p w14:paraId="568597EA" w14:textId="77777777" w:rsidR="00953B2E" w:rsidRPr="00C35766" w:rsidRDefault="00953B2E">
      <w:pPr>
        <w:spacing w:before="15" w:line="240" w:lineRule="exact"/>
        <w:rPr>
          <w:rFonts w:ascii="Times New Roman" w:hAnsi="Times New Roman" w:cs="Times New Roman"/>
          <w:sz w:val="24"/>
          <w:lang w:val="it-IT"/>
        </w:rPr>
      </w:pPr>
    </w:p>
    <w:p w14:paraId="5E21C326" w14:textId="7732C879" w:rsidR="00953B2E" w:rsidRPr="00C35766" w:rsidRDefault="005F0C19">
      <w:pPr>
        <w:pStyle w:val="a3"/>
        <w:jc w:val="center"/>
        <w:rPr>
          <w:b/>
          <w:lang w:val="es-ES"/>
        </w:rPr>
      </w:pPr>
      <w:r w:rsidRPr="00C35766">
        <w:rPr>
          <w:rFonts w:eastAsia="Times New Roman"/>
          <w:b/>
          <w:bCs/>
          <w:lang w:val="it-IT"/>
        </w:rPr>
        <w:t xml:space="preserve">Tabella </w:t>
      </w:r>
      <w:r w:rsidR="003456B7" w:rsidRPr="00C35766">
        <w:rPr>
          <w:rFonts w:eastAsia="Times New Roman"/>
          <w:b/>
          <w:bCs/>
          <w:lang w:val="it-IT"/>
        </w:rPr>
        <w:t>11</w:t>
      </w:r>
    </w:p>
    <w:p w14:paraId="50486C29" w14:textId="77777777" w:rsidR="00953B2E" w:rsidRPr="00C35766" w:rsidRDefault="005F0C19">
      <w:pPr>
        <w:pStyle w:val="a3"/>
        <w:jc w:val="center"/>
        <w:rPr>
          <w:b/>
          <w:lang w:val="es-ES"/>
        </w:rPr>
      </w:pPr>
      <w:r w:rsidRPr="00C35766">
        <w:rPr>
          <w:rFonts w:eastAsia="Times New Roman"/>
          <w:b/>
          <w:bCs/>
          <w:lang w:val="it-IT"/>
        </w:rPr>
        <w:t>Variazioni radiografiche medie alla settimana 52 nello studio AR V</w:t>
      </w:r>
    </w:p>
    <w:p w14:paraId="056A3531" w14:textId="77777777" w:rsidR="00953B2E" w:rsidRPr="00C35766" w:rsidRDefault="00953B2E">
      <w:pPr>
        <w:spacing w:before="11" w:line="240" w:lineRule="exact"/>
        <w:rPr>
          <w:rFonts w:ascii="Times New Roman" w:hAnsi="Times New Roman" w:cs="Times New Roman"/>
          <w:sz w:val="24"/>
          <w:szCs w:val="24"/>
          <w:lang w:val="es-ES"/>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953B2E" w:rsidRPr="00C35766" w14:paraId="63FF8D02" w14:textId="77777777" w:rsidTr="00B3291C">
        <w:tc>
          <w:tcPr>
            <w:tcW w:w="1430" w:type="dxa"/>
            <w:tcBorders>
              <w:top w:val="single" w:sz="5" w:space="0" w:color="000000"/>
              <w:left w:val="single" w:sz="5" w:space="0" w:color="000000"/>
              <w:bottom w:val="single" w:sz="5" w:space="0" w:color="000000"/>
              <w:right w:val="single" w:sz="5" w:space="0" w:color="000000"/>
            </w:tcBorders>
          </w:tcPr>
          <w:p w14:paraId="5687598A" w14:textId="77777777" w:rsidR="00953B2E" w:rsidRPr="00C35766" w:rsidRDefault="00953B2E">
            <w:pPr>
              <w:rPr>
                <w:rFonts w:ascii="Times New Roman" w:hAnsi="Times New Roman" w:cs="Times New Roman"/>
                <w:lang w:val="es-ES"/>
              </w:rPr>
            </w:pPr>
          </w:p>
        </w:tc>
        <w:tc>
          <w:tcPr>
            <w:tcW w:w="1541" w:type="dxa"/>
            <w:tcBorders>
              <w:top w:val="single" w:sz="5" w:space="0" w:color="000000"/>
              <w:left w:val="single" w:sz="5" w:space="0" w:color="000000"/>
              <w:bottom w:val="single" w:sz="5" w:space="0" w:color="000000"/>
              <w:right w:val="single" w:sz="5" w:space="0" w:color="000000"/>
            </w:tcBorders>
            <w:vAlign w:val="center"/>
          </w:tcPr>
          <w:p w14:paraId="2182DA94" w14:textId="77777777" w:rsidR="00953B2E" w:rsidRPr="00C35766" w:rsidRDefault="005F0C19" w:rsidP="0093349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MTX</w:t>
            </w:r>
          </w:p>
          <w:p w14:paraId="1029DBA6" w14:textId="13B3B2A4" w:rsidR="000E5655" w:rsidRPr="00C35766" w:rsidRDefault="005F0C19" w:rsidP="00B3291C">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n=257</w:t>
            </w:r>
          </w:p>
          <w:p w14:paraId="34081245" w14:textId="605DF91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34B1A4E1" w14:textId="7777777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 xml:space="preserve">d’intervallo di </w:t>
            </w:r>
            <w:r w:rsidRPr="00C35766">
              <w:rPr>
                <w:rFonts w:ascii="Times New Roman" w:eastAsia="Times New Roman" w:hAnsi="Times New Roman" w:cs="Times New Roman"/>
                <w:spacing w:val="-1"/>
                <w:lang w:val="it-IT"/>
              </w:rPr>
              <w:lastRenderedPageBreak/>
              <w:t>confidenza)</w:t>
            </w:r>
          </w:p>
        </w:tc>
        <w:tc>
          <w:tcPr>
            <w:tcW w:w="1481" w:type="dxa"/>
            <w:tcBorders>
              <w:top w:val="single" w:sz="5" w:space="0" w:color="000000"/>
              <w:left w:val="single" w:sz="5" w:space="0" w:color="000000"/>
              <w:bottom w:val="single" w:sz="5" w:space="0" w:color="000000"/>
              <w:right w:val="single" w:sz="5" w:space="0" w:color="000000"/>
            </w:tcBorders>
            <w:vAlign w:val="center"/>
          </w:tcPr>
          <w:p w14:paraId="1E0F0DFA" w14:textId="7777777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Adalimumab</w:t>
            </w:r>
          </w:p>
          <w:p w14:paraId="1FDDC1B5" w14:textId="6FD8F9BE" w:rsidR="000E5655" w:rsidRPr="00C35766" w:rsidRDefault="005F0C19" w:rsidP="00B3291C">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n=274</w:t>
            </w:r>
          </w:p>
          <w:p w14:paraId="4297F92D" w14:textId="5BBDEA98"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5B3F0684" w14:textId="7777777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 xml:space="preserve">d’intervallo di </w:t>
            </w:r>
            <w:r w:rsidRPr="00C35766">
              <w:rPr>
                <w:rFonts w:ascii="Times New Roman" w:eastAsia="Times New Roman" w:hAnsi="Times New Roman" w:cs="Times New Roman"/>
                <w:spacing w:val="-1"/>
                <w:lang w:val="it-IT"/>
              </w:rPr>
              <w:lastRenderedPageBreak/>
              <w:t>confidenza)</w:t>
            </w:r>
          </w:p>
        </w:tc>
        <w:tc>
          <w:tcPr>
            <w:tcW w:w="1488" w:type="dxa"/>
            <w:tcBorders>
              <w:top w:val="single" w:sz="5" w:space="0" w:color="000000"/>
              <w:left w:val="single" w:sz="5" w:space="0" w:color="000000"/>
              <w:bottom w:val="single" w:sz="5" w:space="0" w:color="000000"/>
              <w:right w:val="single" w:sz="5" w:space="0" w:color="000000"/>
            </w:tcBorders>
            <w:vAlign w:val="center"/>
          </w:tcPr>
          <w:p w14:paraId="1BE9E79F" w14:textId="7777777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Adalimumab/MTX</w:t>
            </w:r>
          </w:p>
          <w:p w14:paraId="68346142" w14:textId="71F1E8C1" w:rsidR="000E5655" w:rsidRPr="00C35766" w:rsidRDefault="005F0C19" w:rsidP="00B3291C">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n=268</w:t>
            </w:r>
          </w:p>
          <w:p w14:paraId="7767874A" w14:textId="7179C982"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59BE1B7D" w14:textId="77777777" w:rsidR="00953B2E" w:rsidRPr="00C35766" w:rsidRDefault="005F0C19" w:rsidP="00B3291C">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d’intervallo di confidenza)</w:t>
            </w:r>
          </w:p>
        </w:tc>
        <w:tc>
          <w:tcPr>
            <w:tcW w:w="991" w:type="dxa"/>
            <w:tcBorders>
              <w:top w:val="single" w:sz="5" w:space="0" w:color="000000"/>
              <w:left w:val="single" w:sz="5" w:space="0" w:color="000000"/>
              <w:bottom w:val="single" w:sz="5" w:space="0" w:color="000000"/>
              <w:right w:val="single" w:sz="5" w:space="0" w:color="000000"/>
            </w:tcBorders>
            <w:vAlign w:val="center"/>
          </w:tcPr>
          <w:p w14:paraId="0DB1EE3B" w14:textId="77777777" w:rsidR="00953B2E" w:rsidRPr="00C35766" w:rsidRDefault="005F0C19" w:rsidP="00B3291C">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lastRenderedPageBreak/>
              <w:t>Valore p</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vAlign w:val="center"/>
          </w:tcPr>
          <w:p w14:paraId="28611231" w14:textId="77777777" w:rsidR="00953B2E" w:rsidRPr="00C35766" w:rsidRDefault="005F0C19" w:rsidP="00B3291C">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b</w:t>
            </w:r>
          </w:p>
        </w:tc>
        <w:tc>
          <w:tcPr>
            <w:tcW w:w="991" w:type="dxa"/>
            <w:tcBorders>
              <w:top w:val="single" w:sz="5" w:space="0" w:color="000000"/>
              <w:left w:val="single" w:sz="5" w:space="0" w:color="000000"/>
              <w:bottom w:val="single" w:sz="5" w:space="0" w:color="000000"/>
              <w:right w:val="single" w:sz="5" w:space="0" w:color="000000"/>
            </w:tcBorders>
            <w:vAlign w:val="center"/>
          </w:tcPr>
          <w:p w14:paraId="0FE875E5" w14:textId="19FED747" w:rsidR="00953B2E" w:rsidRPr="00C35766" w:rsidRDefault="005F0C19" w:rsidP="00B3291C">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c</w:t>
            </w:r>
          </w:p>
        </w:tc>
      </w:tr>
      <w:tr w:rsidR="00953B2E" w:rsidRPr="00C35766" w14:paraId="6B891527" w14:textId="77777777">
        <w:tc>
          <w:tcPr>
            <w:tcW w:w="1430" w:type="dxa"/>
            <w:tcBorders>
              <w:top w:val="single" w:sz="5" w:space="0" w:color="000000"/>
              <w:left w:val="single" w:sz="5" w:space="0" w:color="000000"/>
              <w:bottom w:val="single" w:sz="5" w:space="0" w:color="000000"/>
              <w:right w:val="single" w:sz="5" w:space="0" w:color="000000"/>
            </w:tcBorders>
          </w:tcPr>
          <w:p w14:paraId="5DD1761E" w14:textId="77777777" w:rsidR="00953B2E" w:rsidRPr="00C35766" w:rsidRDefault="005F0C19">
            <w:pPr>
              <w:pStyle w:val="TableParagraph"/>
              <w:spacing w:line="246" w:lineRule="exact"/>
              <w:ind w:left="65" w:right="179"/>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Indice totale </w:t>
            </w:r>
            <w:r w:rsidRPr="00C35766">
              <w:rPr>
                <w:rFonts w:ascii="Times New Roman" w:eastAsia="Times New Roman" w:hAnsi="Times New Roman" w:cs="Times New Roman"/>
                <w:lang w:val="it-IT"/>
              </w:rPr>
              <w:t>di Sharp</w:t>
            </w:r>
          </w:p>
        </w:tc>
        <w:tc>
          <w:tcPr>
            <w:tcW w:w="1541" w:type="dxa"/>
            <w:tcBorders>
              <w:top w:val="single" w:sz="5" w:space="0" w:color="000000"/>
              <w:left w:val="single" w:sz="5" w:space="0" w:color="000000"/>
              <w:bottom w:val="single" w:sz="5" w:space="0" w:color="000000"/>
              <w:right w:val="single" w:sz="5" w:space="0" w:color="000000"/>
            </w:tcBorders>
          </w:tcPr>
          <w:p w14:paraId="47AD486C" w14:textId="77777777" w:rsidR="00953B2E" w:rsidRPr="00C35766" w:rsidRDefault="005F0C19">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5,7 (4,2-7,3)</w:t>
            </w:r>
          </w:p>
        </w:tc>
        <w:tc>
          <w:tcPr>
            <w:tcW w:w="1481" w:type="dxa"/>
            <w:tcBorders>
              <w:top w:val="single" w:sz="5" w:space="0" w:color="000000"/>
              <w:left w:val="single" w:sz="5" w:space="0" w:color="000000"/>
              <w:bottom w:val="single" w:sz="5" w:space="0" w:color="000000"/>
              <w:right w:val="single" w:sz="5" w:space="0" w:color="000000"/>
            </w:tcBorders>
          </w:tcPr>
          <w:p w14:paraId="5DC023CF"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3,0 (1,7-4,3)</w:t>
            </w:r>
          </w:p>
        </w:tc>
        <w:tc>
          <w:tcPr>
            <w:tcW w:w="1488" w:type="dxa"/>
            <w:tcBorders>
              <w:top w:val="single" w:sz="5" w:space="0" w:color="000000"/>
              <w:left w:val="single" w:sz="5" w:space="0" w:color="000000"/>
              <w:bottom w:val="single" w:sz="5" w:space="0" w:color="000000"/>
              <w:right w:val="single" w:sz="5" w:space="0" w:color="000000"/>
            </w:tcBorders>
          </w:tcPr>
          <w:p w14:paraId="2F2AAE77" w14:textId="77777777" w:rsidR="00953B2E" w:rsidRPr="00C35766" w:rsidRDefault="005F0C19">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991" w:type="dxa"/>
            <w:tcBorders>
              <w:top w:val="single" w:sz="5" w:space="0" w:color="000000"/>
              <w:left w:val="single" w:sz="5" w:space="0" w:color="000000"/>
              <w:bottom w:val="single" w:sz="5" w:space="0" w:color="000000"/>
              <w:right w:val="single" w:sz="5" w:space="0" w:color="000000"/>
            </w:tcBorders>
          </w:tcPr>
          <w:p w14:paraId="1373E526" w14:textId="2C3065CF" w:rsidR="00953B2E" w:rsidRPr="00C35766" w:rsidRDefault="005F0C19">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989" w:type="dxa"/>
            <w:tcBorders>
              <w:top w:val="single" w:sz="5" w:space="0" w:color="000000"/>
              <w:left w:val="single" w:sz="5" w:space="0" w:color="000000"/>
              <w:bottom w:val="single" w:sz="5" w:space="0" w:color="000000"/>
              <w:right w:val="single" w:sz="5" w:space="0" w:color="000000"/>
            </w:tcBorders>
          </w:tcPr>
          <w:p w14:paraId="602A9514"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0,0020</w:t>
            </w:r>
          </w:p>
        </w:tc>
        <w:tc>
          <w:tcPr>
            <w:tcW w:w="991" w:type="dxa"/>
            <w:tcBorders>
              <w:top w:val="single" w:sz="5" w:space="0" w:color="000000"/>
              <w:left w:val="single" w:sz="5" w:space="0" w:color="000000"/>
              <w:bottom w:val="single" w:sz="5" w:space="0" w:color="000000"/>
              <w:right w:val="single" w:sz="5" w:space="0" w:color="000000"/>
            </w:tcBorders>
          </w:tcPr>
          <w:p w14:paraId="5CA61BE5" w14:textId="653198A7" w:rsidR="00953B2E" w:rsidRPr="00C35766" w:rsidRDefault="005F0C19">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r>
      <w:tr w:rsidR="00953B2E" w:rsidRPr="00C35766" w14:paraId="7A4BB644" w14:textId="77777777">
        <w:tc>
          <w:tcPr>
            <w:tcW w:w="1430" w:type="dxa"/>
            <w:tcBorders>
              <w:top w:val="single" w:sz="5" w:space="0" w:color="000000"/>
              <w:left w:val="single" w:sz="5" w:space="0" w:color="000000"/>
              <w:bottom w:val="single" w:sz="5" w:space="0" w:color="000000"/>
              <w:right w:val="single" w:sz="5" w:space="0" w:color="000000"/>
            </w:tcBorders>
          </w:tcPr>
          <w:p w14:paraId="04FD67C4" w14:textId="77777777" w:rsidR="00953B2E" w:rsidRPr="00C35766" w:rsidRDefault="005F0C19">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Indice di erosione</w:t>
            </w:r>
          </w:p>
        </w:tc>
        <w:tc>
          <w:tcPr>
            <w:tcW w:w="1541" w:type="dxa"/>
            <w:tcBorders>
              <w:top w:val="single" w:sz="5" w:space="0" w:color="000000"/>
              <w:left w:val="single" w:sz="5" w:space="0" w:color="000000"/>
              <w:bottom w:val="single" w:sz="5" w:space="0" w:color="000000"/>
              <w:right w:val="single" w:sz="5" w:space="0" w:color="000000"/>
            </w:tcBorders>
          </w:tcPr>
          <w:p w14:paraId="08828194" w14:textId="77777777" w:rsidR="00953B2E" w:rsidRPr="00C35766" w:rsidRDefault="005F0C19">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3,7 (2,7-4,7)</w:t>
            </w:r>
          </w:p>
        </w:tc>
        <w:tc>
          <w:tcPr>
            <w:tcW w:w="1481" w:type="dxa"/>
            <w:tcBorders>
              <w:top w:val="single" w:sz="5" w:space="0" w:color="000000"/>
              <w:left w:val="single" w:sz="5" w:space="0" w:color="000000"/>
              <w:bottom w:val="single" w:sz="5" w:space="0" w:color="000000"/>
              <w:right w:val="single" w:sz="5" w:space="0" w:color="000000"/>
            </w:tcBorders>
          </w:tcPr>
          <w:p w14:paraId="11B1C729"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1,7 (1,0-2,4)</w:t>
            </w:r>
          </w:p>
        </w:tc>
        <w:tc>
          <w:tcPr>
            <w:tcW w:w="1488" w:type="dxa"/>
            <w:tcBorders>
              <w:top w:val="single" w:sz="5" w:space="0" w:color="000000"/>
              <w:left w:val="single" w:sz="5" w:space="0" w:color="000000"/>
              <w:bottom w:val="single" w:sz="5" w:space="0" w:color="000000"/>
              <w:right w:val="single" w:sz="5" w:space="0" w:color="000000"/>
            </w:tcBorders>
          </w:tcPr>
          <w:p w14:paraId="6C3232CE" w14:textId="77777777" w:rsidR="00953B2E" w:rsidRPr="00C35766" w:rsidRDefault="005F0C19">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0,8 (0,4; 1,2)</w:t>
            </w:r>
          </w:p>
        </w:tc>
        <w:tc>
          <w:tcPr>
            <w:tcW w:w="991" w:type="dxa"/>
            <w:tcBorders>
              <w:top w:val="single" w:sz="5" w:space="0" w:color="000000"/>
              <w:left w:val="single" w:sz="5" w:space="0" w:color="000000"/>
              <w:bottom w:val="single" w:sz="5" w:space="0" w:color="000000"/>
              <w:right w:val="single" w:sz="5" w:space="0" w:color="000000"/>
            </w:tcBorders>
          </w:tcPr>
          <w:p w14:paraId="5CD3EA8A" w14:textId="7B2C2E5E" w:rsidR="00953B2E" w:rsidRPr="00C35766" w:rsidRDefault="005F0C19">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989" w:type="dxa"/>
            <w:tcBorders>
              <w:top w:val="single" w:sz="5" w:space="0" w:color="000000"/>
              <w:left w:val="single" w:sz="5" w:space="0" w:color="000000"/>
              <w:bottom w:val="single" w:sz="5" w:space="0" w:color="000000"/>
              <w:right w:val="single" w:sz="5" w:space="0" w:color="000000"/>
            </w:tcBorders>
          </w:tcPr>
          <w:p w14:paraId="48D9AAF1"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0,0082</w:t>
            </w:r>
          </w:p>
        </w:tc>
        <w:tc>
          <w:tcPr>
            <w:tcW w:w="991" w:type="dxa"/>
            <w:tcBorders>
              <w:top w:val="single" w:sz="5" w:space="0" w:color="000000"/>
              <w:left w:val="single" w:sz="5" w:space="0" w:color="000000"/>
              <w:bottom w:val="single" w:sz="5" w:space="0" w:color="000000"/>
              <w:right w:val="single" w:sz="5" w:space="0" w:color="000000"/>
            </w:tcBorders>
          </w:tcPr>
          <w:p w14:paraId="617FAE39" w14:textId="3585BFDD" w:rsidR="00953B2E" w:rsidRPr="00C35766" w:rsidRDefault="005F0C19">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r>
      <w:tr w:rsidR="00953B2E" w:rsidRPr="00C35766" w14:paraId="6CFC7FC4" w14:textId="77777777">
        <w:tc>
          <w:tcPr>
            <w:tcW w:w="1430" w:type="dxa"/>
            <w:tcBorders>
              <w:top w:val="single" w:sz="5" w:space="0" w:color="000000"/>
              <w:left w:val="single" w:sz="5" w:space="0" w:color="000000"/>
              <w:bottom w:val="single" w:sz="5" w:space="0" w:color="000000"/>
              <w:right w:val="single" w:sz="5" w:space="0" w:color="000000"/>
            </w:tcBorders>
          </w:tcPr>
          <w:p w14:paraId="459C4EAE" w14:textId="77777777" w:rsidR="00953B2E" w:rsidRPr="00C35766" w:rsidRDefault="005F0C19">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Indice JSN</w:t>
            </w:r>
          </w:p>
        </w:tc>
        <w:tc>
          <w:tcPr>
            <w:tcW w:w="1541" w:type="dxa"/>
            <w:tcBorders>
              <w:top w:val="single" w:sz="5" w:space="0" w:color="000000"/>
              <w:left w:val="single" w:sz="5" w:space="0" w:color="000000"/>
              <w:bottom w:val="single" w:sz="5" w:space="0" w:color="000000"/>
              <w:right w:val="single" w:sz="5" w:space="0" w:color="000000"/>
            </w:tcBorders>
          </w:tcPr>
          <w:p w14:paraId="18834C58" w14:textId="77777777" w:rsidR="00953B2E" w:rsidRPr="00C35766" w:rsidRDefault="005F0C19">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2,0 (1,2-2,8)</w:t>
            </w:r>
          </w:p>
        </w:tc>
        <w:tc>
          <w:tcPr>
            <w:tcW w:w="1481" w:type="dxa"/>
            <w:tcBorders>
              <w:top w:val="single" w:sz="5" w:space="0" w:color="000000"/>
              <w:left w:val="single" w:sz="5" w:space="0" w:color="000000"/>
              <w:bottom w:val="single" w:sz="5" w:space="0" w:color="000000"/>
              <w:right w:val="single" w:sz="5" w:space="0" w:color="000000"/>
            </w:tcBorders>
          </w:tcPr>
          <w:p w14:paraId="00148B5D"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1488" w:type="dxa"/>
            <w:tcBorders>
              <w:top w:val="single" w:sz="5" w:space="0" w:color="000000"/>
              <w:left w:val="single" w:sz="5" w:space="0" w:color="000000"/>
              <w:bottom w:val="single" w:sz="5" w:space="0" w:color="000000"/>
              <w:right w:val="single" w:sz="5" w:space="0" w:color="000000"/>
            </w:tcBorders>
          </w:tcPr>
          <w:p w14:paraId="2F331586" w14:textId="77777777" w:rsidR="00953B2E" w:rsidRPr="00C35766" w:rsidRDefault="005F0C19">
            <w:pPr>
              <w:pStyle w:val="TableParagraph"/>
              <w:spacing w:line="246" w:lineRule="exact"/>
              <w:ind w:left="270"/>
              <w:rPr>
                <w:rFonts w:ascii="Times New Roman" w:eastAsia="Times New Roman" w:hAnsi="Times New Roman" w:cs="Times New Roman"/>
              </w:rPr>
            </w:pPr>
            <w:r w:rsidRPr="00C35766">
              <w:rPr>
                <w:rFonts w:ascii="Times New Roman" w:eastAsia="Times New Roman" w:hAnsi="Times New Roman" w:cs="Times New Roman"/>
                <w:lang w:val="it-IT"/>
              </w:rPr>
              <w:t>0,5 (0-1,0)</w:t>
            </w:r>
          </w:p>
        </w:tc>
        <w:tc>
          <w:tcPr>
            <w:tcW w:w="991" w:type="dxa"/>
            <w:tcBorders>
              <w:top w:val="single" w:sz="5" w:space="0" w:color="000000"/>
              <w:left w:val="single" w:sz="5" w:space="0" w:color="000000"/>
              <w:bottom w:val="single" w:sz="5" w:space="0" w:color="000000"/>
              <w:right w:val="single" w:sz="5" w:space="0" w:color="000000"/>
            </w:tcBorders>
          </w:tcPr>
          <w:p w14:paraId="55CD8BFF" w14:textId="4747FBC0" w:rsidR="00953B2E" w:rsidRPr="00C35766" w:rsidRDefault="005F0C19">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0,001</w:t>
            </w:r>
          </w:p>
        </w:tc>
        <w:tc>
          <w:tcPr>
            <w:tcW w:w="989" w:type="dxa"/>
            <w:tcBorders>
              <w:top w:val="single" w:sz="5" w:space="0" w:color="000000"/>
              <w:left w:val="single" w:sz="5" w:space="0" w:color="000000"/>
              <w:bottom w:val="single" w:sz="5" w:space="0" w:color="000000"/>
              <w:right w:val="single" w:sz="5" w:space="0" w:color="000000"/>
            </w:tcBorders>
          </w:tcPr>
          <w:p w14:paraId="4980A6B4" w14:textId="77777777" w:rsidR="00953B2E" w:rsidRPr="00C35766" w:rsidRDefault="005F0C19">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0,0037</w:t>
            </w:r>
          </w:p>
        </w:tc>
        <w:tc>
          <w:tcPr>
            <w:tcW w:w="991" w:type="dxa"/>
            <w:tcBorders>
              <w:top w:val="single" w:sz="5" w:space="0" w:color="000000"/>
              <w:left w:val="single" w:sz="5" w:space="0" w:color="000000"/>
              <w:bottom w:val="single" w:sz="5" w:space="0" w:color="000000"/>
              <w:right w:val="single" w:sz="5" w:space="0" w:color="000000"/>
            </w:tcBorders>
          </w:tcPr>
          <w:p w14:paraId="678824E6" w14:textId="77777777" w:rsidR="00953B2E" w:rsidRPr="00C35766" w:rsidRDefault="005F0C19">
            <w:pPr>
              <w:pStyle w:val="TableParagraph"/>
              <w:spacing w:line="246" w:lineRule="exact"/>
              <w:ind w:left="241"/>
              <w:rPr>
                <w:rFonts w:ascii="Times New Roman" w:eastAsia="Times New Roman" w:hAnsi="Times New Roman" w:cs="Times New Roman"/>
              </w:rPr>
            </w:pPr>
            <w:r w:rsidRPr="00C35766">
              <w:rPr>
                <w:rFonts w:ascii="Times New Roman" w:eastAsia="Times New Roman" w:hAnsi="Times New Roman" w:cs="Times New Roman"/>
                <w:lang w:val="it-IT"/>
              </w:rPr>
              <w:t>0,151</w:t>
            </w:r>
          </w:p>
        </w:tc>
      </w:tr>
    </w:tbl>
    <w:p w14:paraId="2DBE77D8" w14:textId="77777777" w:rsidR="00953B2E" w:rsidRPr="00C35766" w:rsidRDefault="005F0C19" w:rsidP="00146E60">
      <w:pPr>
        <w:pStyle w:val="a3"/>
        <w:ind w:leftChars="100" w:left="220"/>
        <w:rPr>
          <w:lang w:val="it-IT"/>
        </w:rPr>
      </w:pPr>
      <w:r w:rsidRPr="00C35766">
        <w:rPr>
          <w:rFonts w:eastAsia="Times New Roman"/>
          <w:position w:val="8"/>
          <w:sz w:val="14"/>
          <w:szCs w:val="14"/>
          <w:lang w:val="it-IT"/>
        </w:rPr>
        <w:t>a</w:t>
      </w:r>
      <w:r w:rsidRPr="00C35766">
        <w:rPr>
          <w:rFonts w:eastAsia="Times New Roman"/>
          <w:position w:val="8"/>
          <w:lang w:val="it-IT"/>
        </w:rPr>
        <w:t xml:space="preserve"> il valore p è stato ottenuto confrontando a due a due la monoterapia con metotressato e la terapia associata adalimumab/metotressato utilizzando il test U Mann-Whitney.</w:t>
      </w:r>
    </w:p>
    <w:p w14:paraId="7F0853D6" w14:textId="77777777" w:rsidR="00953B2E" w:rsidRPr="00C35766" w:rsidRDefault="005F0C19" w:rsidP="00146E60">
      <w:pPr>
        <w:pStyle w:val="a3"/>
        <w:ind w:leftChars="100" w:left="220"/>
        <w:rPr>
          <w:lang w:val="it-IT"/>
        </w:rPr>
      </w:pPr>
      <w:r w:rsidRPr="00C35766">
        <w:rPr>
          <w:rFonts w:eastAsia="Times New Roman"/>
          <w:position w:val="8"/>
          <w:sz w:val="14"/>
          <w:szCs w:val="14"/>
          <w:lang w:val="it-IT"/>
        </w:rPr>
        <w:t>b</w:t>
      </w:r>
      <w:r w:rsidRPr="00C35766">
        <w:rPr>
          <w:rFonts w:eastAsia="Times New Roman"/>
          <w:position w:val="8"/>
          <w:lang w:val="it-IT"/>
        </w:rPr>
        <w:t xml:space="preserve"> il valore p è stato ottenuto confrontando a due a due la monoterapia con adalimumab e la terapia associata adalimumab/metotressato utilizzando il test U Mann-Whitney</w:t>
      </w:r>
    </w:p>
    <w:p w14:paraId="7D8525AF" w14:textId="77777777" w:rsidR="00953B2E" w:rsidRPr="00C35766" w:rsidRDefault="005F0C19" w:rsidP="00146E60">
      <w:pPr>
        <w:pStyle w:val="a3"/>
        <w:ind w:leftChars="100" w:left="220"/>
        <w:rPr>
          <w:lang w:val="es-ES"/>
        </w:rPr>
      </w:pPr>
      <w:r w:rsidRPr="00C35766">
        <w:rPr>
          <w:rFonts w:eastAsia="Times New Roman"/>
          <w:position w:val="8"/>
          <w:sz w:val="14"/>
          <w:szCs w:val="14"/>
          <w:lang w:val="it-IT"/>
        </w:rPr>
        <w:t>c</w:t>
      </w:r>
      <w:r w:rsidRPr="00C35766">
        <w:rPr>
          <w:rFonts w:eastAsia="Times New Roman"/>
          <w:position w:val="8"/>
          <w:lang w:val="it-IT"/>
        </w:rPr>
        <w:t xml:space="preserve"> il valore p è stato ottenuto confrontando a due a due la monoterapia con adalimumab e la monoterapia con metotressato utilizzando il test U Mann-Whitney</w:t>
      </w:r>
    </w:p>
    <w:p w14:paraId="7803AEF8" w14:textId="77777777" w:rsidR="00953B2E" w:rsidRPr="00C35766" w:rsidRDefault="00953B2E">
      <w:pPr>
        <w:spacing w:before="8" w:line="170" w:lineRule="exact"/>
        <w:rPr>
          <w:rFonts w:ascii="Times New Roman" w:hAnsi="Times New Roman" w:cs="Times New Roman"/>
          <w:sz w:val="17"/>
          <w:szCs w:val="17"/>
          <w:lang w:val="es-ES"/>
        </w:rPr>
      </w:pPr>
    </w:p>
    <w:p w14:paraId="405C5ECC" w14:textId="7241BD45" w:rsidR="00953B2E" w:rsidRPr="00C35766" w:rsidRDefault="005F0C19">
      <w:pPr>
        <w:pStyle w:val="a3"/>
        <w:rPr>
          <w:lang w:val="es-ES"/>
        </w:rPr>
      </w:pPr>
      <w:r w:rsidRPr="00C35766">
        <w:rPr>
          <w:rFonts w:eastAsia="Times New Roman"/>
          <w:lang w:val="it-IT"/>
        </w:rPr>
        <w:t xml:space="preserve">Dopo 52 settimane e 104 settimane di trattamento, la percentuale di pazienti in cui non si è avuta progressione (variazione rispetto al valore basale dell’indice totale di Sharp modificato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0,5) è stata significativamente maggiore con la terapia associata adalimumab/metotressato (rispettivamente 63,8% e 61,2%) rispetto alla monoterapia con metotressato (rispettivamente 37,4% e 33,5%,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e alla monoterapia con adalimumab (rispettivamente 50,7%,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0,002 e 44,5%,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w:t>
      </w:r>
    </w:p>
    <w:p w14:paraId="32AD97F2" w14:textId="77777777" w:rsidR="00953B2E" w:rsidRPr="00C35766" w:rsidRDefault="00953B2E">
      <w:pPr>
        <w:spacing w:before="10" w:line="240" w:lineRule="exact"/>
        <w:rPr>
          <w:rFonts w:ascii="Times New Roman" w:hAnsi="Times New Roman" w:cs="Times New Roman"/>
          <w:sz w:val="24"/>
          <w:szCs w:val="24"/>
          <w:lang w:val="es-ES"/>
        </w:rPr>
      </w:pPr>
    </w:p>
    <w:p w14:paraId="48AADE9A" w14:textId="74A33023" w:rsidR="00953B2E" w:rsidRPr="00C35766" w:rsidRDefault="005F0C19">
      <w:pPr>
        <w:pStyle w:val="a3"/>
        <w:rPr>
          <w:lang w:val="pt-BR"/>
        </w:rPr>
      </w:pPr>
      <w:r w:rsidRPr="00C35766">
        <w:rPr>
          <w:rFonts w:eastAsia="Times New Roman"/>
          <w:lang w:val="it-IT"/>
        </w:rPr>
        <w:t>Nella fase di estensione in aperto dello studio AR V, la variazione media rispetto al valore basale all’Anno 10 dell’indice totale di Sharp modificato è stata, rispettivamente, di 10,8</w:t>
      </w:r>
      <w:r w:rsidR="001715A7" w:rsidRPr="00C35766">
        <w:rPr>
          <w:rFonts w:eastAsia="Times New Roman"/>
          <w:lang w:val="it-IT"/>
        </w:rPr>
        <w:t>,</w:t>
      </w:r>
      <w:r w:rsidRPr="00C35766">
        <w:rPr>
          <w:rFonts w:eastAsia="Times New Roman"/>
          <w:lang w:val="it-IT"/>
        </w:rPr>
        <w:t xml:space="preserve"> 9,2 e 3,9 nei pazienti che erano stati inizialmente randomizzati alla somministrazione di metotressato in monoterapia, di adalimumab in monoterapia e della terapia associata adalimumab/metotressato. Le corrispondenti percentuali di pazienti senza progressione radiologica sono state, rispettivamente, 31,3%, 23,7% e 36,7%.</w:t>
      </w:r>
    </w:p>
    <w:p w14:paraId="5E2AA2EB" w14:textId="77777777" w:rsidR="00953B2E" w:rsidRPr="00C35766" w:rsidRDefault="00953B2E">
      <w:pPr>
        <w:pStyle w:val="a3"/>
        <w:rPr>
          <w:sz w:val="24"/>
          <w:szCs w:val="24"/>
          <w:lang w:val="pt-BR"/>
        </w:rPr>
      </w:pPr>
    </w:p>
    <w:p w14:paraId="24B8FD92" w14:textId="77777777" w:rsidR="00953B2E" w:rsidRPr="00C35766" w:rsidRDefault="005F0C19">
      <w:pPr>
        <w:pStyle w:val="a3"/>
        <w:rPr>
          <w:rFonts w:eastAsia="Times New Roman"/>
          <w:lang w:val="pt-BR"/>
        </w:rPr>
      </w:pPr>
      <w:r w:rsidRPr="00C35766">
        <w:rPr>
          <w:rFonts w:eastAsia="Times New Roman"/>
          <w:i/>
          <w:iCs/>
          <w:spacing w:val="-1"/>
          <w:u w:val="single" w:color="000000"/>
          <w:lang w:val="it-IT"/>
        </w:rPr>
        <w:t>Qualità della vita e funzionalità fisica</w:t>
      </w:r>
    </w:p>
    <w:p w14:paraId="67E4889A" w14:textId="77777777" w:rsidR="00953B2E" w:rsidRPr="00C35766" w:rsidRDefault="00953B2E">
      <w:pPr>
        <w:pStyle w:val="a3"/>
        <w:rPr>
          <w:sz w:val="18"/>
          <w:szCs w:val="18"/>
          <w:lang w:val="pt-BR"/>
        </w:rPr>
      </w:pPr>
    </w:p>
    <w:p w14:paraId="1316C556" w14:textId="029B55E2" w:rsidR="00953B2E" w:rsidRPr="00C35766" w:rsidRDefault="005F0C19">
      <w:pPr>
        <w:pStyle w:val="a3"/>
        <w:rPr>
          <w:lang w:val="it-IT"/>
        </w:rPr>
      </w:pPr>
      <w:r w:rsidRPr="00C35766">
        <w:rPr>
          <w:rFonts w:eastAsia="Times New Roman"/>
          <w:lang w:val="it-IT"/>
        </w:rPr>
        <w:t xml:space="preserve">La qualità di vita correlata allo stato di salute e la funzionalità fisica sono state valutate con l’indice di disabilità ottenuto attraverso il questionario di valutazione dello stato di salute (Health Assessment Questionnaire - HAQ), in quattro studi originali, adeguati e ben controllati, che è stato un endpoint primario prespecificato dello studio AR III alla settimana 52. Tutti gli schemi terapeutici con adalimumab nei quattro studi hanno evidenziato miglioramenti maggiori in misura statisticamente significativa dell’indice di disabilità dell’HAQ tra il valore basale e il 6° mese rispetto al placebo e nello studio AR III il medesimo risultato è stato osservato alla settimana 52. L’analisi dello stato generale di salute, valutato attraverso lo Short Form Health Survey (SF-36) nei quattro studi, supporta queste conclusioni per tutti gli schemi di somministrazione di adalimumab con risultati statisticamente significativi per quanto riguarda gli indici di attività fisica, di dolore e dello stato di benessere, registrati con adalimumab 40 mg a settimane alterne. Una diminuzione statisticamente significativa </w:t>
      </w:r>
      <w:r w:rsidR="001715A7" w:rsidRPr="00C35766">
        <w:rPr>
          <w:rFonts w:eastAsia="Times New Roman"/>
          <w:lang w:val="it-IT"/>
        </w:rPr>
        <w:t>della stanchezza</w:t>
      </w:r>
      <w:r w:rsidRPr="00C35766">
        <w:rPr>
          <w:rFonts w:eastAsia="Times New Roman"/>
          <w:lang w:val="it-IT"/>
        </w:rPr>
        <w:t xml:space="preserve"> così come risulta dagli indici della valutazione funzionale relativa al trattamento della patologia cronica (FACIT) è stata riscontrata in tutti i tre studi in cui è stata valutata (studi AR I, III, IV).</w:t>
      </w:r>
    </w:p>
    <w:p w14:paraId="6B9D2D2F" w14:textId="77777777" w:rsidR="00953B2E" w:rsidRPr="00C35766" w:rsidRDefault="00953B2E">
      <w:pPr>
        <w:pStyle w:val="a3"/>
        <w:rPr>
          <w:sz w:val="24"/>
          <w:szCs w:val="24"/>
          <w:lang w:val="it-IT"/>
        </w:rPr>
      </w:pPr>
    </w:p>
    <w:p w14:paraId="07DB6614" w14:textId="77777777" w:rsidR="00953B2E" w:rsidRPr="00C35766" w:rsidRDefault="005F0C19">
      <w:pPr>
        <w:pStyle w:val="a3"/>
        <w:rPr>
          <w:lang w:val="pt-BR"/>
        </w:rPr>
      </w:pPr>
      <w:r w:rsidRPr="00C35766">
        <w:rPr>
          <w:rFonts w:eastAsia="Times New Roman"/>
          <w:lang w:val="it-IT"/>
        </w:rPr>
        <w:t>Nello studio AR III, la maggioranza dei soggetti che hanno raggiunto il miglioramento della funzionalità fisica e che hanno continuato il trattamento hanno mantenuto il miglioramento per 520 settimane (120 mesi) di trattamento in aperto. Il miglioramento della qualità di vita è stato misurato fino alla settimana 156 (36 mesi) ed il miglioramento è stato mantenuto nel tempo.</w:t>
      </w:r>
    </w:p>
    <w:p w14:paraId="06E7C671" w14:textId="77777777" w:rsidR="00953B2E" w:rsidRPr="00C35766" w:rsidRDefault="00953B2E">
      <w:pPr>
        <w:pStyle w:val="a3"/>
        <w:rPr>
          <w:sz w:val="24"/>
          <w:szCs w:val="24"/>
          <w:lang w:val="pt-BR"/>
        </w:rPr>
      </w:pPr>
    </w:p>
    <w:p w14:paraId="04B480DF" w14:textId="238AA0D3" w:rsidR="00953B2E" w:rsidRPr="00C35766" w:rsidRDefault="005F0C19">
      <w:pPr>
        <w:pStyle w:val="a3"/>
        <w:rPr>
          <w:lang w:val="it-IT"/>
        </w:rPr>
      </w:pPr>
      <w:r w:rsidRPr="00C35766">
        <w:rPr>
          <w:rFonts w:eastAsia="Times New Roman"/>
          <w:lang w:val="it-IT"/>
        </w:rPr>
        <w:t>Nello studio AR V, l’indice di disabilità valutato in base all’HAQ e la componente fisica dell’SF-36 hanno dimostrato un miglioramento superiore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 xml:space="preserve">0,001) quando è stata effettuata terapia associata adalimumab/metotressato </w:t>
      </w:r>
      <w:r w:rsidRPr="00C35766">
        <w:rPr>
          <w:rFonts w:eastAsia="Times New Roman"/>
          <w:i/>
          <w:iCs/>
          <w:lang w:val="it-IT"/>
        </w:rPr>
        <w:t>rispetto</w:t>
      </w:r>
      <w:r w:rsidRPr="00C35766">
        <w:rPr>
          <w:rFonts w:eastAsia="Times New Roman"/>
          <w:lang w:val="it-IT"/>
        </w:rPr>
        <w:t xml:space="preserve"> alla monoterapia con metotressato ed a quella con adalimumab alla settimana 52, e questo miglioramento si è mantenuto nell’arco di 104 settimane. Nei 250 pazienti che hanno completato la fase di estensione in aperto dello studio, i miglioramenti nella funzionalità fisica sono stati mantenuti nell’arco dei 10 anni di trattamento.</w:t>
      </w:r>
    </w:p>
    <w:p w14:paraId="1BC097BF" w14:textId="77777777" w:rsidR="00953B2E" w:rsidRPr="00C35766" w:rsidRDefault="00953B2E">
      <w:pPr>
        <w:pStyle w:val="a3"/>
        <w:rPr>
          <w:sz w:val="24"/>
          <w:szCs w:val="24"/>
          <w:lang w:val="it-IT"/>
        </w:rPr>
      </w:pPr>
    </w:p>
    <w:p w14:paraId="468A3EB9" w14:textId="77777777" w:rsidR="00953B2E" w:rsidRPr="00C35766" w:rsidRDefault="005F0C19">
      <w:pPr>
        <w:pStyle w:val="a3"/>
        <w:rPr>
          <w:rFonts w:eastAsia="Times New Roman"/>
          <w:lang w:val="it-IT"/>
        </w:rPr>
      </w:pPr>
      <w:r w:rsidRPr="00C35766">
        <w:rPr>
          <w:rFonts w:eastAsia="Times New Roman"/>
          <w:i/>
          <w:iCs/>
          <w:spacing w:val="-1"/>
          <w:u w:val="single" w:color="000000"/>
          <w:lang w:val="it-IT"/>
        </w:rPr>
        <w:t>Dolore al sito di iniezione</w:t>
      </w:r>
    </w:p>
    <w:p w14:paraId="40950BDC" w14:textId="77777777" w:rsidR="00953B2E" w:rsidRPr="00C35766" w:rsidRDefault="00953B2E">
      <w:pPr>
        <w:pStyle w:val="a3"/>
        <w:rPr>
          <w:sz w:val="18"/>
          <w:szCs w:val="18"/>
          <w:lang w:val="it-IT"/>
        </w:rPr>
      </w:pPr>
    </w:p>
    <w:p w14:paraId="30F4C9CB" w14:textId="4A8402C1" w:rsidR="00953B2E" w:rsidRPr="00C35766" w:rsidRDefault="005F0C19">
      <w:pPr>
        <w:pStyle w:val="a3"/>
        <w:rPr>
          <w:lang w:val="es-ES"/>
        </w:rPr>
      </w:pPr>
      <w:r w:rsidRPr="00C35766">
        <w:rPr>
          <w:rFonts w:eastAsia="Times New Roman"/>
          <w:lang w:val="it-IT"/>
        </w:rPr>
        <w:t xml:space="preserve">Per gli studi crossover raggruppati RA VI e VII, è stata osservata una differenza statisticamente significativa per il dolore al sito di iniezione subito dopo la somministrazione tra adalimumab 40 mg/0,8 </w:t>
      </w:r>
      <w:r w:rsidR="00331973" w:rsidRPr="00C35766">
        <w:rPr>
          <w:rFonts w:eastAsia="Times New Roman"/>
          <w:lang w:val="it-IT"/>
        </w:rPr>
        <w:t>mL</w:t>
      </w:r>
      <w:r w:rsidRPr="00C35766">
        <w:rPr>
          <w:rFonts w:eastAsia="Times New Roman"/>
          <w:lang w:val="it-IT"/>
        </w:rPr>
        <w:t xml:space="preserve"> e adalimumab 40 mg/0,4 </w:t>
      </w:r>
      <w:r w:rsidR="00331973" w:rsidRPr="00C35766">
        <w:rPr>
          <w:rFonts w:eastAsia="Times New Roman"/>
          <w:lang w:val="it-IT"/>
        </w:rPr>
        <w:t>mL</w:t>
      </w:r>
      <w:r w:rsidRPr="00C35766">
        <w:rPr>
          <w:rFonts w:eastAsia="Times New Roman"/>
          <w:lang w:val="it-IT"/>
        </w:rPr>
        <w:t xml:space="preserve"> (valore medio di VAS di 3,7 cm contro un valore di 1,2 cm, scala 0</w:t>
      </w:r>
      <w:r w:rsidR="000F35BA" w:rsidRPr="00C35766">
        <w:rPr>
          <w:rFonts w:eastAsia="Times New Roman"/>
          <w:lang w:val="it-IT"/>
        </w:rPr>
        <w:t xml:space="preserve"> – </w:t>
      </w:r>
      <w:r w:rsidRPr="00C35766">
        <w:rPr>
          <w:rFonts w:eastAsia="Times New Roman"/>
          <w:lang w:val="it-IT"/>
        </w:rPr>
        <w:t xml:space="preserve">10 cm, </w:t>
      </w:r>
      <w:r w:rsidR="000F35BA" w:rsidRPr="00C35766">
        <w:rPr>
          <w:rFonts w:eastAsia="Times New Roman"/>
          <w:lang w:val="it-IT"/>
        </w:rPr>
        <w:t xml:space="preserve">p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Questo rappresenta una riduzione mediana del dolore al sito di iniezione pari all’84%.</w:t>
      </w:r>
    </w:p>
    <w:p w14:paraId="0E0BD6DC" w14:textId="77777777" w:rsidR="00953B2E" w:rsidRPr="00C35766" w:rsidRDefault="00953B2E">
      <w:pPr>
        <w:pStyle w:val="a3"/>
        <w:rPr>
          <w:sz w:val="24"/>
          <w:szCs w:val="24"/>
          <w:lang w:val="it-IT"/>
        </w:rPr>
      </w:pPr>
    </w:p>
    <w:p w14:paraId="773E6785" w14:textId="77777777" w:rsidR="00953B2E" w:rsidRPr="00C35766" w:rsidRDefault="005F0C19">
      <w:pPr>
        <w:pStyle w:val="a3"/>
        <w:rPr>
          <w:rFonts w:eastAsia="Times New Roman"/>
          <w:i/>
          <w:spacing w:val="-1"/>
          <w:lang w:val="fr-FR"/>
        </w:rPr>
      </w:pPr>
      <w:r w:rsidRPr="00C35766">
        <w:rPr>
          <w:rFonts w:eastAsia="Times New Roman"/>
          <w:i/>
          <w:iCs/>
          <w:spacing w:val="-1"/>
          <w:lang w:val="it-IT"/>
        </w:rPr>
        <w:t>Spondiloartrite assiale</w:t>
      </w:r>
    </w:p>
    <w:p w14:paraId="301662F6" w14:textId="77777777" w:rsidR="00953B2E" w:rsidRPr="00C35766" w:rsidRDefault="00953B2E">
      <w:pPr>
        <w:pStyle w:val="a3"/>
        <w:rPr>
          <w:rFonts w:eastAsia="Times New Roman"/>
          <w:i/>
          <w:spacing w:val="-1"/>
          <w:lang w:val="fr-FR"/>
        </w:rPr>
      </w:pPr>
    </w:p>
    <w:p w14:paraId="65DF44C4" w14:textId="77777777" w:rsidR="00953B2E" w:rsidRPr="00C35766" w:rsidRDefault="005F0C19">
      <w:pPr>
        <w:pStyle w:val="a3"/>
        <w:rPr>
          <w:rFonts w:eastAsia="Times New Roman"/>
          <w:i/>
          <w:spacing w:val="-1"/>
          <w:u w:val="single" w:color="000000"/>
          <w:lang w:val="fr-FR"/>
        </w:rPr>
      </w:pPr>
      <w:r w:rsidRPr="00C35766">
        <w:rPr>
          <w:rFonts w:eastAsia="Times New Roman"/>
          <w:i/>
          <w:iCs/>
          <w:spacing w:val="-1"/>
          <w:u w:val="single" w:color="000000"/>
          <w:lang w:val="it-IT"/>
        </w:rPr>
        <w:t>Spondilite anchilosante (SA)</w:t>
      </w:r>
    </w:p>
    <w:p w14:paraId="415E0565" w14:textId="77777777" w:rsidR="00953B2E" w:rsidRPr="00C35766" w:rsidRDefault="00953B2E">
      <w:pPr>
        <w:pStyle w:val="a3"/>
        <w:rPr>
          <w:rFonts w:eastAsia="Times New Roman"/>
          <w:lang w:val="fr-FR"/>
        </w:rPr>
      </w:pPr>
    </w:p>
    <w:p w14:paraId="4F01C6A3" w14:textId="77777777" w:rsidR="00953B2E" w:rsidRPr="00C35766" w:rsidRDefault="005F0C19">
      <w:pPr>
        <w:pStyle w:val="a3"/>
        <w:rPr>
          <w:lang w:val="it-IT"/>
        </w:rPr>
      </w:pPr>
      <w:r w:rsidRPr="00C35766">
        <w:rPr>
          <w:rFonts w:eastAsia="Times New Roman"/>
          <w:lang w:val="it-IT"/>
        </w:rPr>
        <w:t>È stata valutata la somministrazione di 40 mg di adalimumab assunti a settimane alterne da 393 pazienti nel corso di due studi randomizzati in doppio cieco controllati con placebo della durata di 24 settimane in soggetti affetti da spondilite anchilosante attiva (in cui il punteggio basale medio dell’attività della malattia [Bath Ankylosing Spondylitis Disease Activity Index (BASDAI)] è risultato pari a 6,3 in tutti i gruppi analizzati) che hanno sviluppato una risposta inadeguata alla terapia convenzionale. Settantanove pazienti (20,1%) sono stati trattati con terapia concomitante con DMARD, e 37 pazienti (9,4%) con glucocorticoidi. Il periodo condotto in cieco è stato seguito da un periodo in aperto durante il quale i pazienti hanno ricevuto 40 mg di adalimumab a settimane alterne per via sottocutanea per un periodo di tempo aggiuntivo fino a 28 settimane. Ai soggetti (n=215, 54,7%) in cui non è stato possibile ottenere l’ASAS 20 alla settimana 12, o alla 16 o alla 20, sono stati somministrati per via sottocutanea 40 mg di adalimumab come terapia di salvataggio precoce in aperto a settimane alterne e sono stati conseguentemente trattati come soggetti non-responder nelle analisi statistiche condotte in doppio cieco.</w:t>
      </w:r>
    </w:p>
    <w:p w14:paraId="122E37FB" w14:textId="77777777" w:rsidR="00953B2E" w:rsidRPr="00C35766" w:rsidRDefault="00953B2E">
      <w:pPr>
        <w:spacing w:before="13" w:line="240" w:lineRule="exact"/>
        <w:rPr>
          <w:rFonts w:ascii="Times New Roman" w:hAnsi="Times New Roman" w:cs="Times New Roman"/>
          <w:sz w:val="24"/>
          <w:szCs w:val="24"/>
          <w:lang w:val="it-IT"/>
        </w:rPr>
      </w:pPr>
    </w:p>
    <w:p w14:paraId="122646B8" w14:textId="18E415F6" w:rsidR="00953B2E" w:rsidRPr="00C35766" w:rsidRDefault="005F0C19">
      <w:pPr>
        <w:pStyle w:val="a3"/>
        <w:rPr>
          <w:lang w:val="it-IT"/>
        </w:rPr>
      </w:pPr>
      <w:r w:rsidRPr="00C35766">
        <w:rPr>
          <w:rFonts w:eastAsia="Times New Roman"/>
          <w:lang w:val="it-IT"/>
        </w:rPr>
        <w:t xml:space="preserve">In uno studio AS I più ampio in cui sono stati analizzati 315 pazienti, i risultati hanno mostrato un miglioramento statisticamente significativo dei segni e dei sintomi della spondilite anchilosante nei pazienti trattati con adalimumab rispetto ai pazienti trattati con placebo. La risposta significativa è stata per la prima volta osservata alla settimana 2 ed è stata mantenuta per un periodo di 24 settimane (Tabella </w:t>
      </w:r>
      <w:r w:rsidR="003456B7" w:rsidRPr="00C35766">
        <w:rPr>
          <w:rFonts w:eastAsia="Times New Roman"/>
          <w:lang w:val="it-IT"/>
        </w:rPr>
        <w:t>12</w:t>
      </w:r>
      <w:r w:rsidRPr="00C35766">
        <w:rPr>
          <w:rFonts w:eastAsia="Times New Roman"/>
          <w:lang w:val="it-IT"/>
        </w:rPr>
        <w:t>).</w:t>
      </w:r>
    </w:p>
    <w:p w14:paraId="0AA71086" w14:textId="77777777" w:rsidR="00953B2E" w:rsidRPr="00C35766" w:rsidRDefault="00953B2E">
      <w:pPr>
        <w:pStyle w:val="a3"/>
        <w:jc w:val="center"/>
        <w:rPr>
          <w:b/>
          <w:lang w:val="it-IT"/>
        </w:rPr>
      </w:pPr>
    </w:p>
    <w:p w14:paraId="46318C51" w14:textId="353DAA56" w:rsidR="00953B2E" w:rsidRPr="00C35766" w:rsidRDefault="005F0C19">
      <w:pPr>
        <w:pStyle w:val="a3"/>
        <w:jc w:val="center"/>
        <w:rPr>
          <w:b/>
          <w:lang w:val="it-IT"/>
        </w:rPr>
      </w:pPr>
      <w:r w:rsidRPr="00C35766">
        <w:rPr>
          <w:rFonts w:eastAsia="Times New Roman"/>
          <w:b/>
          <w:bCs/>
          <w:lang w:val="it-IT"/>
        </w:rPr>
        <w:t>Tabella</w:t>
      </w:r>
      <w:r w:rsidR="00DB2C01" w:rsidRPr="00C35766">
        <w:rPr>
          <w:rFonts w:eastAsia="Times New Roman"/>
          <w:b/>
          <w:bCs/>
          <w:lang w:val="it-IT"/>
        </w:rPr>
        <w:t xml:space="preserve"> </w:t>
      </w:r>
      <w:r w:rsidR="003456B7" w:rsidRPr="00C35766">
        <w:rPr>
          <w:rFonts w:eastAsia="Times New Roman"/>
          <w:b/>
          <w:bCs/>
          <w:lang w:val="it-IT"/>
        </w:rPr>
        <w:t>12</w:t>
      </w:r>
    </w:p>
    <w:p w14:paraId="75E0DCA2" w14:textId="77777777" w:rsidR="00953B2E" w:rsidRPr="00C35766" w:rsidRDefault="005F0C19">
      <w:pPr>
        <w:pStyle w:val="a3"/>
        <w:ind w:leftChars="550" w:left="1210" w:rightChars="550" w:right="1210"/>
        <w:jc w:val="center"/>
        <w:rPr>
          <w:b/>
          <w:lang w:val="it-IT"/>
        </w:rPr>
      </w:pPr>
      <w:r w:rsidRPr="00C35766">
        <w:rPr>
          <w:rFonts w:eastAsia="Times New Roman"/>
          <w:b/>
          <w:bCs/>
          <w:lang w:val="it-IT"/>
        </w:rPr>
        <w:t>Risposte di efficacia in uno studio controllato con placebo sulla spondilite anchilosante – Studio I Riduzione dei segni e dei sintomi</w:t>
      </w:r>
    </w:p>
    <w:p w14:paraId="4E7D318E" w14:textId="77777777" w:rsidR="00953B2E" w:rsidRPr="00C35766" w:rsidRDefault="00953B2E">
      <w:pPr>
        <w:pStyle w:val="a3"/>
        <w:jc w:val="center"/>
        <w:rPr>
          <w:b/>
          <w:lang w:val="it-IT"/>
        </w:rPr>
      </w:pPr>
    </w:p>
    <w:tbl>
      <w:tblPr>
        <w:tblStyle w:val="ac"/>
        <w:tblW w:w="0" w:type="auto"/>
        <w:jc w:val="center"/>
        <w:tblLook w:val="04A0" w:firstRow="1" w:lastRow="0" w:firstColumn="1" w:lastColumn="0" w:noHBand="0" w:noVBand="1"/>
      </w:tblPr>
      <w:tblGrid>
        <w:gridCol w:w="2436"/>
        <w:gridCol w:w="2437"/>
        <w:gridCol w:w="2438"/>
      </w:tblGrid>
      <w:tr w:rsidR="00953B2E" w:rsidRPr="00C35766" w14:paraId="6895A46E" w14:textId="77777777" w:rsidTr="00B3291C">
        <w:trPr>
          <w:jc w:val="center"/>
        </w:trPr>
        <w:tc>
          <w:tcPr>
            <w:tcW w:w="2436" w:type="dxa"/>
          </w:tcPr>
          <w:p w14:paraId="33E2F46C" w14:textId="77777777" w:rsidR="00953B2E" w:rsidRPr="00C35766" w:rsidRDefault="005F0C19">
            <w:pPr>
              <w:spacing w:before="11"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Risposta</w:t>
            </w:r>
          </w:p>
        </w:tc>
        <w:tc>
          <w:tcPr>
            <w:tcW w:w="2436" w:type="dxa"/>
          </w:tcPr>
          <w:p w14:paraId="24C792ED" w14:textId="77777777" w:rsidR="00953B2E" w:rsidRPr="00C35766" w:rsidRDefault="005F0C19">
            <w:pPr>
              <w:spacing w:before="11"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Placebo</w:t>
            </w:r>
          </w:p>
          <w:p w14:paraId="175C50B6" w14:textId="77777777" w:rsidR="00953B2E" w:rsidRPr="00C35766" w:rsidRDefault="005F0C19">
            <w:pPr>
              <w:spacing w:before="11"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N=107</w:t>
            </w:r>
          </w:p>
        </w:tc>
        <w:tc>
          <w:tcPr>
            <w:tcW w:w="2438" w:type="dxa"/>
          </w:tcPr>
          <w:p w14:paraId="4B911BF3" w14:textId="77777777" w:rsidR="00953B2E" w:rsidRPr="00C35766" w:rsidRDefault="005F0C19">
            <w:pPr>
              <w:spacing w:before="11"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Adalimumab</w:t>
            </w:r>
          </w:p>
          <w:p w14:paraId="18EA1E35" w14:textId="77777777" w:rsidR="00953B2E" w:rsidRPr="00C35766" w:rsidRDefault="005F0C19">
            <w:pPr>
              <w:spacing w:before="11"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N=208</w:t>
            </w:r>
          </w:p>
        </w:tc>
      </w:tr>
      <w:tr w:rsidR="00953B2E" w:rsidRPr="00C35766" w14:paraId="4B9C5DEE" w14:textId="77777777" w:rsidTr="00B3291C">
        <w:trPr>
          <w:jc w:val="center"/>
        </w:trPr>
        <w:tc>
          <w:tcPr>
            <w:tcW w:w="2436" w:type="dxa"/>
          </w:tcPr>
          <w:p w14:paraId="4FD1ED3F" w14:textId="77777777" w:rsidR="00953B2E" w:rsidRPr="00C35766" w:rsidRDefault="005F0C19">
            <w:pPr>
              <w:spacing w:before="11" w:line="240" w:lineRule="exact"/>
              <w:rPr>
                <w:rFonts w:ascii="Times New Roman" w:hAnsi="Times New Roman" w:cs="Times New Roman"/>
                <w:lang w:eastAsia="ko-KR"/>
              </w:rPr>
            </w:pPr>
            <w:r w:rsidRPr="00C35766">
              <w:rPr>
                <w:rFonts w:ascii="Times New Roman" w:eastAsia="Times New Roman" w:hAnsi="Times New Roman" w:cs="Times New Roman"/>
                <w:spacing w:val="-1"/>
                <w:lang w:val="it-IT"/>
              </w:rPr>
              <w:t>ASAS</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 xml:space="preserve"> 20</w:t>
            </w:r>
          </w:p>
        </w:tc>
        <w:tc>
          <w:tcPr>
            <w:tcW w:w="2437" w:type="dxa"/>
          </w:tcPr>
          <w:p w14:paraId="43876932" w14:textId="77777777" w:rsidR="00953B2E" w:rsidRPr="00C35766" w:rsidRDefault="00953B2E">
            <w:pPr>
              <w:spacing w:before="11" w:line="240" w:lineRule="exact"/>
              <w:rPr>
                <w:rFonts w:ascii="Times New Roman" w:hAnsi="Times New Roman" w:cs="Times New Roman"/>
                <w:lang w:eastAsia="ko-KR"/>
              </w:rPr>
            </w:pPr>
          </w:p>
        </w:tc>
        <w:tc>
          <w:tcPr>
            <w:tcW w:w="2437" w:type="dxa"/>
          </w:tcPr>
          <w:p w14:paraId="3CDB7ECD" w14:textId="77777777" w:rsidR="00953B2E" w:rsidRPr="00C35766" w:rsidRDefault="00953B2E">
            <w:pPr>
              <w:spacing w:before="11" w:line="240" w:lineRule="exact"/>
              <w:rPr>
                <w:rFonts w:ascii="Times New Roman" w:hAnsi="Times New Roman" w:cs="Times New Roman"/>
                <w:lang w:eastAsia="ko-KR"/>
              </w:rPr>
            </w:pPr>
          </w:p>
        </w:tc>
      </w:tr>
      <w:tr w:rsidR="00953B2E" w:rsidRPr="00C35766" w14:paraId="659FB0AF" w14:textId="77777777" w:rsidTr="00B3291C">
        <w:trPr>
          <w:jc w:val="center"/>
        </w:trPr>
        <w:tc>
          <w:tcPr>
            <w:tcW w:w="2436" w:type="dxa"/>
          </w:tcPr>
          <w:p w14:paraId="48CC5D09" w14:textId="77777777" w:rsidR="00953B2E" w:rsidRPr="00C35766" w:rsidRDefault="005F0C19" w:rsidP="00B3291C">
            <w:pPr>
              <w:spacing w:before="11" w:line="240" w:lineRule="exact"/>
              <w:ind w:leftChars="144" w:left="317"/>
              <w:rPr>
                <w:rFonts w:ascii="Times New Roman" w:hAnsi="Times New Roman" w:cs="Times New Roman"/>
              </w:rPr>
            </w:pPr>
            <w:r w:rsidRPr="00C35766">
              <w:rPr>
                <w:rFonts w:ascii="Times New Roman" w:eastAsia="Times New Roman" w:hAnsi="Times New Roman" w:cs="Times New Roman"/>
                <w:lang w:val="it-IT"/>
              </w:rPr>
              <w:t>Settimana 2</w:t>
            </w:r>
          </w:p>
        </w:tc>
        <w:tc>
          <w:tcPr>
            <w:tcW w:w="2436" w:type="dxa"/>
          </w:tcPr>
          <w:p w14:paraId="6319F97C"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16%</w:t>
            </w:r>
          </w:p>
        </w:tc>
        <w:tc>
          <w:tcPr>
            <w:tcW w:w="2438" w:type="dxa"/>
          </w:tcPr>
          <w:p w14:paraId="7684F45E"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42%***</w:t>
            </w:r>
          </w:p>
        </w:tc>
      </w:tr>
      <w:tr w:rsidR="00953B2E" w:rsidRPr="00C35766" w14:paraId="7381C1FA" w14:textId="77777777" w:rsidTr="00B3291C">
        <w:trPr>
          <w:jc w:val="center"/>
        </w:trPr>
        <w:tc>
          <w:tcPr>
            <w:tcW w:w="2436" w:type="dxa"/>
          </w:tcPr>
          <w:p w14:paraId="3A4A1133" w14:textId="77777777" w:rsidR="00953B2E" w:rsidRPr="00C35766" w:rsidRDefault="005F0C19" w:rsidP="00B3291C">
            <w:pPr>
              <w:spacing w:before="11" w:line="240" w:lineRule="exact"/>
              <w:ind w:leftChars="144" w:left="317"/>
              <w:rPr>
                <w:rFonts w:ascii="Times New Roman" w:hAnsi="Times New Roman" w:cs="Times New Roman"/>
              </w:rPr>
            </w:pPr>
            <w:r w:rsidRPr="00C35766">
              <w:rPr>
                <w:rFonts w:ascii="Times New Roman" w:eastAsia="Times New Roman" w:hAnsi="Times New Roman" w:cs="Times New Roman"/>
                <w:lang w:val="it-IT"/>
              </w:rPr>
              <w:t>Settimana 12</w:t>
            </w:r>
          </w:p>
        </w:tc>
        <w:tc>
          <w:tcPr>
            <w:tcW w:w="2436" w:type="dxa"/>
          </w:tcPr>
          <w:p w14:paraId="4682B362"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21%</w:t>
            </w:r>
          </w:p>
        </w:tc>
        <w:tc>
          <w:tcPr>
            <w:tcW w:w="2438" w:type="dxa"/>
          </w:tcPr>
          <w:p w14:paraId="1F2898FC"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58%***</w:t>
            </w:r>
          </w:p>
        </w:tc>
      </w:tr>
      <w:tr w:rsidR="00953B2E" w:rsidRPr="00C35766" w14:paraId="099ADEFF" w14:textId="77777777" w:rsidTr="00B3291C">
        <w:trPr>
          <w:jc w:val="center"/>
        </w:trPr>
        <w:tc>
          <w:tcPr>
            <w:tcW w:w="2436" w:type="dxa"/>
          </w:tcPr>
          <w:p w14:paraId="53FB8A22" w14:textId="77777777" w:rsidR="00953B2E" w:rsidRPr="00C35766" w:rsidRDefault="005F0C19" w:rsidP="00B3291C">
            <w:pPr>
              <w:spacing w:before="11" w:line="240" w:lineRule="exact"/>
              <w:ind w:leftChars="144" w:left="317"/>
              <w:rPr>
                <w:rFonts w:ascii="Times New Roman" w:hAnsi="Times New Roman" w:cs="Times New Roman"/>
              </w:rPr>
            </w:pPr>
            <w:r w:rsidRPr="00C35766">
              <w:rPr>
                <w:rFonts w:ascii="Times New Roman" w:eastAsia="Times New Roman" w:hAnsi="Times New Roman" w:cs="Times New Roman"/>
                <w:lang w:val="it-IT"/>
              </w:rPr>
              <w:t>Settimana 24</w:t>
            </w:r>
          </w:p>
        </w:tc>
        <w:tc>
          <w:tcPr>
            <w:tcW w:w="2436" w:type="dxa"/>
          </w:tcPr>
          <w:p w14:paraId="73EF0CFF"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19%</w:t>
            </w:r>
          </w:p>
        </w:tc>
        <w:tc>
          <w:tcPr>
            <w:tcW w:w="2438" w:type="dxa"/>
          </w:tcPr>
          <w:p w14:paraId="34D279E4"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51%***</w:t>
            </w:r>
          </w:p>
        </w:tc>
      </w:tr>
      <w:tr w:rsidR="00953B2E" w:rsidRPr="00C35766" w14:paraId="2D8270F1" w14:textId="77777777" w:rsidTr="00B3291C">
        <w:trPr>
          <w:jc w:val="center"/>
        </w:trPr>
        <w:tc>
          <w:tcPr>
            <w:tcW w:w="2436" w:type="dxa"/>
          </w:tcPr>
          <w:p w14:paraId="156994D6" w14:textId="77777777" w:rsidR="00953B2E" w:rsidRPr="00C35766" w:rsidRDefault="005F0C19">
            <w:pPr>
              <w:spacing w:before="11" w:line="240" w:lineRule="exact"/>
              <w:rPr>
                <w:rFonts w:ascii="Times New Roman" w:hAnsi="Times New Roman" w:cs="Times New Roman"/>
              </w:rPr>
            </w:pPr>
            <w:r w:rsidRPr="00C35766">
              <w:rPr>
                <w:rFonts w:ascii="Times New Roman" w:eastAsia="Times New Roman" w:hAnsi="Times New Roman" w:cs="Times New Roman"/>
                <w:spacing w:val="-1"/>
                <w:lang w:val="it-IT"/>
              </w:rPr>
              <w:t>ASAS 50</w:t>
            </w:r>
          </w:p>
        </w:tc>
        <w:tc>
          <w:tcPr>
            <w:tcW w:w="2436" w:type="dxa"/>
          </w:tcPr>
          <w:p w14:paraId="0E7F9210" w14:textId="77777777" w:rsidR="00953B2E" w:rsidRPr="00C35766" w:rsidRDefault="00953B2E">
            <w:pPr>
              <w:spacing w:before="11" w:line="240" w:lineRule="exact"/>
              <w:rPr>
                <w:rFonts w:ascii="Times New Roman" w:hAnsi="Times New Roman" w:cs="Times New Roman"/>
              </w:rPr>
            </w:pPr>
          </w:p>
        </w:tc>
        <w:tc>
          <w:tcPr>
            <w:tcW w:w="2438" w:type="dxa"/>
          </w:tcPr>
          <w:p w14:paraId="4F132BC1" w14:textId="77777777" w:rsidR="00953B2E" w:rsidRPr="00C35766" w:rsidRDefault="00953B2E">
            <w:pPr>
              <w:spacing w:before="11" w:line="240" w:lineRule="exact"/>
              <w:rPr>
                <w:rFonts w:ascii="Times New Roman" w:hAnsi="Times New Roman" w:cs="Times New Roman"/>
              </w:rPr>
            </w:pPr>
          </w:p>
        </w:tc>
      </w:tr>
      <w:tr w:rsidR="00953B2E" w:rsidRPr="00C35766" w14:paraId="5B6D8F53" w14:textId="77777777" w:rsidTr="00B3291C">
        <w:trPr>
          <w:jc w:val="center"/>
        </w:trPr>
        <w:tc>
          <w:tcPr>
            <w:tcW w:w="2436" w:type="dxa"/>
          </w:tcPr>
          <w:p w14:paraId="0033A1A0" w14:textId="77777777" w:rsidR="00953B2E" w:rsidRPr="00C35766" w:rsidRDefault="005F0C19" w:rsidP="00B3291C">
            <w:pPr>
              <w:spacing w:before="11" w:line="240" w:lineRule="exact"/>
              <w:ind w:leftChars="144" w:left="317"/>
              <w:rPr>
                <w:rFonts w:ascii="Times New Roman" w:hAnsi="Times New Roman" w:cs="Times New Roman"/>
              </w:rPr>
            </w:pPr>
            <w:r w:rsidRPr="00C35766">
              <w:rPr>
                <w:rFonts w:ascii="Times New Roman" w:eastAsia="Times New Roman" w:hAnsi="Times New Roman" w:cs="Times New Roman"/>
                <w:lang w:val="it-IT"/>
              </w:rPr>
              <w:t>Settimana 2</w:t>
            </w:r>
          </w:p>
        </w:tc>
        <w:tc>
          <w:tcPr>
            <w:tcW w:w="2436" w:type="dxa"/>
          </w:tcPr>
          <w:p w14:paraId="57CC22F5"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3%</w:t>
            </w:r>
          </w:p>
        </w:tc>
        <w:tc>
          <w:tcPr>
            <w:tcW w:w="2438" w:type="dxa"/>
          </w:tcPr>
          <w:p w14:paraId="4D65F4CF" w14:textId="77777777" w:rsidR="00953B2E" w:rsidRPr="00C35766" w:rsidRDefault="005F0C19">
            <w:pPr>
              <w:spacing w:before="11" w:line="240" w:lineRule="exact"/>
              <w:jc w:val="center"/>
              <w:rPr>
                <w:rFonts w:ascii="Times New Roman" w:hAnsi="Times New Roman" w:cs="Times New Roman"/>
              </w:rPr>
            </w:pPr>
            <w:r w:rsidRPr="00C35766">
              <w:rPr>
                <w:rFonts w:ascii="Times New Roman" w:eastAsia="Times New Roman" w:hAnsi="Times New Roman" w:cs="Times New Roman"/>
                <w:lang w:val="it-IT"/>
              </w:rPr>
              <w:t>16%***</w:t>
            </w:r>
          </w:p>
        </w:tc>
      </w:tr>
      <w:tr w:rsidR="00953B2E" w:rsidRPr="00C35766" w14:paraId="69BF4860" w14:textId="77777777" w:rsidTr="00B3291C">
        <w:trPr>
          <w:jc w:val="center"/>
        </w:trPr>
        <w:tc>
          <w:tcPr>
            <w:tcW w:w="2436" w:type="dxa"/>
          </w:tcPr>
          <w:p w14:paraId="15205319"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12</w:t>
            </w:r>
          </w:p>
        </w:tc>
        <w:tc>
          <w:tcPr>
            <w:tcW w:w="2436" w:type="dxa"/>
          </w:tcPr>
          <w:p w14:paraId="1420A7CC"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10%</w:t>
            </w:r>
          </w:p>
        </w:tc>
        <w:tc>
          <w:tcPr>
            <w:tcW w:w="2438" w:type="dxa"/>
          </w:tcPr>
          <w:p w14:paraId="43D1FC0D"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38%***</w:t>
            </w:r>
          </w:p>
        </w:tc>
      </w:tr>
      <w:tr w:rsidR="00953B2E" w:rsidRPr="00C35766" w14:paraId="3477D48F" w14:textId="77777777" w:rsidTr="00B3291C">
        <w:trPr>
          <w:jc w:val="center"/>
        </w:trPr>
        <w:tc>
          <w:tcPr>
            <w:tcW w:w="2436" w:type="dxa"/>
          </w:tcPr>
          <w:p w14:paraId="6A4879EB"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24</w:t>
            </w:r>
          </w:p>
        </w:tc>
        <w:tc>
          <w:tcPr>
            <w:tcW w:w="2436" w:type="dxa"/>
          </w:tcPr>
          <w:p w14:paraId="797A0D8D"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11%</w:t>
            </w:r>
          </w:p>
        </w:tc>
        <w:tc>
          <w:tcPr>
            <w:tcW w:w="2438" w:type="dxa"/>
          </w:tcPr>
          <w:p w14:paraId="5A66CA9D"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35%***</w:t>
            </w:r>
          </w:p>
        </w:tc>
      </w:tr>
      <w:tr w:rsidR="00953B2E" w:rsidRPr="00C35766" w14:paraId="0DCBF288" w14:textId="77777777" w:rsidTr="00B3291C">
        <w:trPr>
          <w:jc w:val="center"/>
        </w:trPr>
        <w:tc>
          <w:tcPr>
            <w:tcW w:w="2436" w:type="dxa"/>
          </w:tcPr>
          <w:p w14:paraId="74223E86" w14:textId="77777777" w:rsidR="00953B2E" w:rsidRPr="00C35766" w:rsidRDefault="005F0C19">
            <w:pPr>
              <w:spacing w:before="11" w:line="240"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ASAS 70</w:t>
            </w:r>
          </w:p>
        </w:tc>
        <w:tc>
          <w:tcPr>
            <w:tcW w:w="2436" w:type="dxa"/>
          </w:tcPr>
          <w:p w14:paraId="60C58CF2" w14:textId="77777777" w:rsidR="00953B2E" w:rsidRPr="00C35766" w:rsidRDefault="00953B2E">
            <w:pPr>
              <w:spacing w:before="11" w:line="240" w:lineRule="exact"/>
              <w:rPr>
                <w:rFonts w:ascii="Times New Roman" w:eastAsia="Times New Roman" w:hAnsi="Times New Roman" w:cs="Times New Roman"/>
              </w:rPr>
            </w:pPr>
          </w:p>
        </w:tc>
        <w:tc>
          <w:tcPr>
            <w:tcW w:w="2438" w:type="dxa"/>
          </w:tcPr>
          <w:p w14:paraId="15BCF9E8" w14:textId="77777777" w:rsidR="00953B2E" w:rsidRPr="00C35766" w:rsidRDefault="00953B2E">
            <w:pPr>
              <w:spacing w:before="11" w:line="240" w:lineRule="exact"/>
              <w:rPr>
                <w:rFonts w:ascii="Times New Roman" w:eastAsia="Times New Roman" w:hAnsi="Times New Roman" w:cs="Times New Roman"/>
              </w:rPr>
            </w:pPr>
          </w:p>
        </w:tc>
      </w:tr>
      <w:tr w:rsidR="00953B2E" w:rsidRPr="00C35766" w14:paraId="17B36E7F" w14:textId="77777777" w:rsidTr="00B3291C">
        <w:trPr>
          <w:jc w:val="center"/>
        </w:trPr>
        <w:tc>
          <w:tcPr>
            <w:tcW w:w="2436" w:type="dxa"/>
          </w:tcPr>
          <w:p w14:paraId="6423F630" w14:textId="77777777" w:rsidR="00953B2E" w:rsidRPr="00C35766" w:rsidRDefault="005F0C19" w:rsidP="00B3291C">
            <w:pPr>
              <w:spacing w:before="11" w:line="240" w:lineRule="exact"/>
              <w:ind w:leftChars="144" w:left="317"/>
              <w:rPr>
                <w:rFonts w:ascii="Times New Roman" w:eastAsia="Times New Roman" w:hAnsi="Times New Roman" w:cs="Times New Roman"/>
                <w:spacing w:val="-1"/>
              </w:rPr>
            </w:pPr>
            <w:r w:rsidRPr="00C35766">
              <w:rPr>
                <w:rFonts w:ascii="Times New Roman" w:eastAsia="Times New Roman" w:hAnsi="Times New Roman" w:cs="Times New Roman"/>
                <w:lang w:val="it-IT"/>
              </w:rPr>
              <w:t>Settimana 2</w:t>
            </w:r>
          </w:p>
        </w:tc>
        <w:tc>
          <w:tcPr>
            <w:tcW w:w="2436" w:type="dxa"/>
          </w:tcPr>
          <w:p w14:paraId="52A884C6"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w:t>
            </w:r>
          </w:p>
        </w:tc>
        <w:tc>
          <w:tcPr>
            <w:tcW w:w="2438" w:type="dxa"/>
          </w:tcPr>
          <w:p w14:paraId="25FA8B01"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7%**</w:t>
            </w:r>
          </w:p>
        </w:tc>
      </w:tr>
      <w:tr w:rsidR="00953B2E" w:rsidRPr="00C35766" w14:paraId="4C7178DD" w14:textId="77777777" w:rsidTr="00B3291C">
        <w:trPr>
          <w:jc w:val="center"/>
        </w:trPr>
        <w:tc>
          <w:tcPr>
            <w:tcW w:w="2436" w:type="dxa"/>
          </w:tcPr>
          <w:p w14:paraId="59A2BC67"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12</w:t>
            </w:r>
          </w:p>
        </w:tc>
        <w:tc>
          <w:tcPr>
            <w:tcW w:w="2436" w:type="dxa"/>
          </w:tcPr>
          <w:p w14:paraId="53229315"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5%</w:t>
            </w:r>
          </w:p>
        </w:tc>
        <w:tc>
          <w:tcPr>
            <w:tcW w:w="2438" w:type="dxa"/>
          </w:tcPr>
          <w:p w14:paraId="70717A65"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23%***</w:t>
            </w:r>
          </w:p>
        </w:tc>
      </w:tr>
      <w:tr w:rsidR="00953B2E" w:rsidRPr="00C35766" w14:paraId="15697737" w14:textId="77777777" w:rsidTr="00B3291C">
        <w:trPr>
          <w:jc w:val="center"/>
        </w:trPr>
        <w:tc>
          <w:tcPr>
            <w:tcW w:w="2436" w:type="dxa"/>
          </w:tcPr>
          <w:p w14:paraId="3836A003"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24</w:t>
            </w:r>
          </w:p>
        </w:tc>
        <w:tc>
          <w:tcPr>
            <w:tcW w:w="2436" w:type="dxa"/>
          </w:tcPr>
          <w:p w14:paraId="22A551E2"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8%</w:t>
            </w:r>
          </w:p>
        </w:tc>
        <w:tc>
          <w:tcPr>
            <w:tcW w:w="2438" w:type="dxa"/>
          </w:tcPr>
          <w:p w14:paraId="3B4306D2"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24%***</w:t>
            </w:r>
          </w:p>
        </w:tc>
      </w:tr>
      <w:tr w:rsidR="00953B2E" w:rsidRPr="00C35766" w14:paraId="25DF13BB" w14:textId="77777777" w:rsidTr="00B3291C">
        <w:trPr>
          <w:jc w:val="center"/>
        </w:trPr>
        <w:tc>
          <w:tcPr>
            <w:tcW w:w="2436" w:type="dxa"/>
          </w:tcPr>
          <w:p w14:paraId="0A0F330E" w14:textId="77777777" w:rsidR="00953B2E" w:rsidRPr="00C35766" w:rsidRDefault="00953B2E">
            <w:pPr>
              <w:spacing w:before="11" w:line="240" w:lineRule="exact"/>
              <w:rPr>
                <w:rFonts w:ascii="Times New Roman" w:eastAsia="Times New Roman" w:hAnsi="Times New Roman" w:cs="Times New Roman"/>
              </w:rPr>
            </w:pPr>
          </w:p>
        </w:tc>
        <w:tc>
          <w:tcPr>
            <w:tcW w:w="2436" w:type="dxa"/>
          </w:tcPr>
          <w:p w14:paraId="04264ACD" w14:textId="77777777" w:rsidR="00953B2E" w:rsidRPr="00C35766" w:rsidRDefault="00953B2E">
            <w:pPr>
              <w:spacing w:before="11" w:line="240" w:lineRule="exact"/>
              <w:rPr>
                <w:rFonts w:ascii="Times New Roman" w:eastAsia="Times New Roman" w:hAnsi="Times New Roman" w:cs="Times New Roman"/>
              </w:rPr>
            </w:pPr>
          </w:p>
        </w:tc>
        <w:tc>
          <w:tcPr>
            <w:tcW w:w="2438" w:type="dxa"/>
          </w:tcPr>
          <w:p w14:paraId="4C103C1D" w14:textId="77777777" w:rsidR="00953B2E" w:rsidRPr="00C35766" w:rsidRDefault="00953B2E">
            <w:pPr>
              <w:spacing w:before="11" w:line="240" w:lineRule="exact"/>
              <w:rPr>
                <w:rFonts w:ascii="Times New Roman" w:eastAsia="Times New Roman" w:hAnsi="Times New Roman" w:cs="Times New Roman"/>
              </w:rPr>
            </w:pPr>
          </w:p>
        </w:tc>
      </w:tr>
      <w:tr w:rsidR="00953B2E" w:rsidRPr="00C35766" w14:paraId="20D01EFB" w14:textId="77777777" w:rsidTr="00B3291C">
        <w:trPr>
          <w:jc w:val="center"/>
        </w:trPr>
        <w:tc>
          <w:tcPr>
            <w:tcW w:w="2436" w:type="dxa"/>
          </w:tcPr>
          <w:p w14:paraId="7A04B5B0" w14:textId="77777777" w:rsidR="00953B2E" w:rsidRPr="00C35766" w:rsidRDefault="005F0C19">
            <w:pPr>
              <w:spacing w:before="11" w:line="240"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BASDAI</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 xml:space="preserve"> 50</w:t>
            </w:r>
          </w:p>
        </w:tc>
        <w:tc>
          <w:tcPr>
            <w:tcW w:w="2436" w:type="dxa"/>
          </w:tcPr>
          <w:p w14:paraId="21BB0917" w14:textId="77777777" w:rsidR="00953B2E" w:rsidRPr="00C35766" w:rsidRDefault="00953B2E">
            <w:pPr>
              <w:spacing w:before="11" w:line="240" w:lineRule="exact"/>
              <w:rPr>
                <w:rFonts w:ascii="Times New Roman" w:eastAsia="Times New Roman" w:hAnsi="Times New Roman" w:cs="Times New Roman"/>
              </w:rPr>
            </w:pPr>
          </w:p>
        </w:tc>
        <w:tc>
          <w:tcPr>
            <w:tcW w:w="2438" w:type="dxa"/>
          </w:tcPr>
          <w:p w14:paraId="1F587D6A" w14:textId="77777777" w:rsidR="00953B2E" w:rsidRPr="00C35766" w:rsidRDefault="00953B2E">
            <w:pPr>
              <w:spacing w:before="11" w:line="240" w:lineRule="exact"/>
              <w:rPr>
                <w:rFonts w:ascii="Times New Roman" w:eastAsia="Times New Roman" w:hAnsi="Times New Roman" w:cs="Times New Roman"/>
              </w:rPr>
            </w:pPr>
          </w:p>
        </w:tc>
      </w:tr>
      <w:tr w:rsidR="00953B2E" w:rsidRPr="00C35766" w14:paraId="258218FF" w14:textId="77777777" w:rsidTr="00B3291C">
        <w:trPr>
          <w:jc w:val="center"/>
        </w:trPr>
        <w:tc>
          <w:tcPr>
            <w:tcW w:w="2436" w:type="dxa"/>
          </w:tcPr>
          <w:p w14:paraId="6B4143FF" w14:textId="77777777" w:rsidR="00953B2E" w:rsidRPr="00C35766" w:rsidRDefault="005F0C19" w:rsidP="00B3291C">
            <w:pPr>
              <w:spacing w:before="11" w:line="240" w:lineRule="exact"/>
              <w:ind w:leftChars="144" w:left="317"/>
              <w:rPr>
                <w:rFonts w:ascii="Times New Roman" w:eastAsia="Times New Roman" w:hAnsi="Times New Roman" w:cs="Times New Roman"/>
                <w:spacing w:val="-1"/>
              </w:rPr>
            </w:pPr>
            <w:r w:rsidRPr="00C35766">
              <w:rPr>
                <w:rFonts w:ascii="Times New Roman" w:eastAsia="Times New Roman" w:hAnsi="Times New Roman" w:cs="Times New Roman"/>
                <w:lang w:val="it-IT"/>
              </w:rPr>
              <w:t>Settimana 2</w:t>
            </w:r>
          </w:p>
        </w:tc>
        <w:tc>
          <w:tcPr>
            <w:tcW w:w="2436" w:type="dxa"/>
          </w:tcPr>
          <w:p w14:paraId="41DA6C0C"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4%</w:t>
            </w:r>
          </w:p>
        </w:tc>
        <w:tc>
          <w:tcPr>
            <w:tcW w:w="2438" w:type="dxa"/>
          </w:tcPr>
          <w:p w14:paraId="736FDD1A"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20%***</w:t>
            </w:r>
          </w:p>
        </w:tc>
      </w:tr>
      <w:tr w:rsidR="00953B2E" w:rsidRPr="00C35766" w14:paraId="6326AD0F" w14:textId="77777777" w:rsidTr="00B3291C">
        <w:trPr>
          <w:jc w:val="center"/>
        </w:trPr>
        <w:tc>
          <w:tcPr>
            <w:tcW w:w="2436" w:type="dxa"/>
          </w:tcPr>
          <w:p w14:paraId="0B05AD81"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12</w:t>
            </w:r>
          </w:p>
        </w:tc>
        <w:tc>
          <w:tcPr>
            <w:tcW w:w="2436" w:type="dxa"/>
          </w:tcPr>
          <w:p w14:paraId="73DDF08C"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16%</w:t>
            </w:r>
          </w:p>
        </w:tc>
        <w:tc>
          <w:tcPr>
            <w:tcW w:w="2438" w:type="dxa"/>
          </w:tcPr>
          <w:p w14:paraId="24621E07"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45%***</w:t>
            </w:r>
          </w:p>
        </w:tc>
      </w:tr>
      <w:tr w:rsidR="00953B2E" w:rsidRPr="00C35766" w14:paraId="49DCF077" w14:textId="77777777" w:rsidTr="00B3291C">
        <w:trPr>
          <w:jc w:val="center"/>
        </w:trPr>
        <w:tc>
          <w:tcPr>
            <w:tcW w:w="2436" w:type="dxa"/>
          </w:tcPr>
          <w:p w14:paraId="5DCA1355" w14:textId="77777777" w:rsidR="00953B2E" w:rsidRPr="00C35766" w:rsidRDefault="005F0C19" w:rsidP="00B3291C">
            <w:pPr>
              <w:spacing w:before="11" w:line="240" w:lineRule="exact"/>
              <w:ind w:leftChars="144" w:left="317"/>
              <w:rPr>
                <w:rFonts w:ascii="Times New Roman" w:eastAsia="Times New Roman" w:hAnsi="Times New Roman" w:cs="Times New Roman"/>
              </w:rPr>
            </w:pPr>
            <w:r w:rsidRPr="00C35766">
              <w:rPr>
                <w:rFonts w:ascii="Times New Roman" w:eastAsia="Times New Roman" w:hAnsi="Times New Roman" w:cs="Times New Roman"/>
                <w:lang w:val="it-IT"/>
              </w:rPr>
              <w:t>Settimana 24</w:t>
            </w:r>
          </w:p>
        </w:tc>
        <w:tc>
          <w:tcPr>
            <w:tcW w:w="2436" w:type="dxa"/>
          </w:tcPr>
          <w:p w14:paraId="2C547986"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15%</w:t>
            </w:r>
          </w:p>
        </w:tc>
        <w:tc>
          <w:tcPr>
            <w:tcW w:w="2438" w:type="dxa"/>
          </w:tcPr>
          <w:p w14:paraId="3FC6D4C2" w14:textId="77777777" w:rsidR="00953B2E" w:rsidRPr="00C35766" w:rsidRDefault="005F0C19">
            <w:pPr>
              <w:spacing w:before="1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42%***</w:t>
            </w:r>
          </w:p>
        </w:tc>
      </w:tr>
    </w:tbl>
    <w:p w14:paraId="3C01E4D7" w14:textId="31F91DC4" w:rsidR="00953B2E" w:rsidRPr="00C35766" w:rsidRDefault="005F0C19" w:rsidP="00146E60">
      <w:pPr>
        <w:pStyle w:val="a3"/>
        <w:ind w:leftChars="500" w:left="1100"/>
        <w:rPr>
          <w:lang w:val="pt-BR"/>
        </w:rPr>
      </w:pPr>
      <w:r w:rsidRPr="00C35766">
        <w:rPr>
          <w:rFonts w:eastAsia="Times New Roman"/>
          <w:lang w:val="it-IT"/>
        </w:rPr>
        <w:lastRenderedPageBreak/>
        <w:t>***, ** Statisticamente significativa a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&lt;</w:t>
      </w:r>
      <w:r w:rsidR="000F35BA" w:rsidRPr="00C35766">
        <w:rPr>
          <w:rFonts w:eastAsia="Times New Roman"/>
          <w:lang w:val="it-IT"/>
        </w:rPr>
        <w:t xml:space="preserve"> </w:t>
      </w:r>
      <w:r w:rsidRPr="00C35766">
        <w:rPr>
          <w:rFonts w:eastAsia="Times New Roman"/>
          <w:lang w:val="it-IT"/>
        </w:rPr>
        <w:t>0,01 per tutti i valori messi a confronto tra adalimumab e placebo alla settimana 2, 12 e 24</w:t>
      </w:r>
    </w:p>
    <w:p w14:paraId="2FB4DD41" w14:textId="77777777" w:rsidR="00953B2E" w:rsidRPr="00C35766" w:rsidRDefault="005F0C19" w:rsidP="00146E60">
      <w:pPr>
        <w:pStyle w:val="a3"/>
        <w:ind w:leftChars="500" w:left="1100"/>
        <w:rPr>
          <w:lang w:val="it-IT"/>
        </w:rPr>
      </w:pPr>
      <w:r w:rsidRPr="00C35766">
        <w:rPr>
          <w:rFonts w:eastAsia="Times New Roman"/>
          <w:position w:val="8"/>
          <w:vertAlign w:val="superscript"/>
          <w:lang w:val="it-IT"/>
        </w:rPr>
        <w:t>a</w:t>
      </w:r>
      <w:r w:rsidRPr="00C35766">
        <w:rPr>
          <w:rFonts w:eastAsia="Times New Roman"/>
          <w:position w:val="8"/>
          <w:lang w:val="it-IT"/>
        </w:rPr>
        <w:t xml:space="preserve"> Valutazioni della spondilite anchilosante</w:t>
      </w:r>
    </w:p>
    <w:p w14:paraId="4898D596" w14:textId="77777777" w:rsidR="00953B2E" w:rsidRPr="00C35766" w:rsidRDefault="005F0C19" w:rsidP="00146E60">
      <w:pPr>
        <w:pStyle w:val="a3"/>
        <w:ind w:leftChars="500" w:left="1100"/>
        <w:rPr>
          <w:lang w:val="it-IT"/>
        </w:rPr>
      </w:pPr>
      <w:r w:rsidRPr="00C35766">
        <w:rPr>
          <w:rFonts w:eastAsia="Times New Roman"/>
          <w:position w:val="8"/>
          <w:vertAlign w:val="superscript"/>
          <w:lang w:val="it-IT"/>
        </w:rPr>
        <w:t>b</w:t>
      </w:r>
      <w:r w:rsidRPr="00C35766">
        <w:rPr>
          <w:rFonts w:eastAsia="Times New Roman"/>
          <w:position w:val="8"/>
          <w:lang w:val="it-IT"/>
        </w:rPr>
        <w:t xml:space="preserve"> Bath Ankylosing Spondylitis Disease Activity Index</w:t>
      </w:r>
    </w:p>
    <w:p w14:paraId="2A46C691" w14:textId="77777777" w:rsidR="00953B2E" w:rsidRPr="00C35766" w:rsidRDefault="00953B2E">
      <w:pPr>
        <w:spacing w:before="17" w:line="240" w:lineRule="exact"/>
        <w:rPr>
          <w:rFonts w:ascii="Times New Roman" w:hAnsi="Times New Roman" w:cs="Times New Roman"/>
          <w:sz w:val="24"/>
          <w:lang w:val="it-IT"/>
        </w:rPr>
      </w:pPr>
    </w:p>
    <w:p w14:paraId="783C71CD" w14:textId="77777777" w:rsidR="00953B2E" w:rsidRPr="00C35766" w:rsidRDefault="005F0C19">
      <w:pPr>
        <w:pStyle w:val="a3"/>
        <w:rPr>
          <w:lang w:val="it-IT"/>
        </w:rPr>
      </w:pPr>
      <w:r w:rsidRPr="00C35766">
        <w:rPr>
          <w:rFonts w:eastAsia="Times New Roman"/>
          <w:lang w:val="it-IT"/>
        </w:rPr>
        <w:t>I pazienti trattati con adalimumab hanno manifestato un miglioramento significativamente più elevato alla settimana 12 che è stato mantenuto per tutta la durata della terapia fino alla settimana 24 sia nell’SF36 che nel Questionario sulla qualità della vita della spondilite anchilosante (ASQoL).</w:t>
      </w:r>
    </w:p>
    <w:p w14:paraId="41E6D077" w14:textId="77777777" w:rsidR="00953B2E" w:rsidRPr="00C35766" w:rsidRDefault="00953B2E">
      <w:pPr>
        <w:pStyle w:val="a3"/>
        <w:rPr>
          <w:sz w:val="24"/>
          <w:lang w:val="it-IT"/>
        </w:rPr>
      </w:pPr>
    </w:p>
    <w:p w14:paraId="4ED83CF9" w14:textId="77777777" w:rsidR="00953B2E" w:rsidRPr="00C35766" w:rsidRDefault="005F0C19">
      <w:pPr>
        <w:pStyle w:val="a3"/>
        <w:rPr>
          <w:lang w:val="it-IT"/>
        </w:rPr>
      </w:pPr>
      <w:r w:rsidRPr="00C35766">
        <w:rPr>
          <w:rFonts w:eastAsia="Times New Roman"/>
          <w:lang w:val="it-IT"/>
        </w:rPr>
        <w:t>Tendenze simili (non tutte statisticamente significative) sono state osservate in uno studio AS II più piccolo, randomizzato, in doppio cieco, controllato con placebo, condotto su 82 pazienti adulti affetti da spondilite anchilosante attiva.</w:t>
      </w:r>
    </w:p>
    <w:p w14:paraId="58A7EAD5" w14:textId="77777777" w:rsidR="00953B2E" w:rsidRPr="00C35766" w:rsidRDefault="00953B2E">
      <w:pPr>
        <w:pStyle w:val="a3"/>
        <w:rPr>
          <w:i/>
          <w:spacing w:val="-1"/>
          <w:u w:val="single" w:color="000000"/>
          <w:lang w:val="it-IT"/>
        </w:rPr>
      </w:pPr>
    </w:p>
    <w:p w14:paraId="3CE8C712" w14:textId="77777777" w:rsidR="00953B2E" w:rsidRPr="00C35766" w:rsidRDefault="005F0C19">
      <w:pPr>
        <w:pStyle w:val="a3"/>
        <w:keepNext/>
        <w:rPr>
          <w:lang w:val="it-IT"/>
        </w:rPr>
      </w:pPr>
      <w:r w:rsidRPr="00C35766">
        <w:rPr>
          <w:rFonts w:eastAsia="Times New Roman"/>
          <w:i/>
          <w:iCs/>
          <w:spacing w:val="-1"/>
          <w:u w:val="single" w:color="000000"/>
          <w:lang w:val="it-IT"/>
        </w:rPr>
        <w:t>Spondiloartrite assiale senza evidenza radiografica di SA</w:t>
      </w:r>
    </w:p>
    <w:p w14:paraId="4929C146" w14:textId="77777777" w:rsidR="00953B2E" w:rsidRPr="00C35766" w:rsidRDefault="00953B2E">
      <w:pPr>
        <w:pStyle w:val="a3"/>
        <w:rPr>
          <w:sz w:val="18"/>
          <w:lang w:val="it-IT"/>
        </w:rPr>
      </w:pPr>
    </w:p>
    <w:p w14:paraId="61E87C0F" w14:textId="77777777" w:rsidR="00953B2E" w:rsidRPr="00C35766" w:rsidRDefault="005F0C19">
      <w:pPr>
        <w:pStyle w:val="a3"/>
        <w:rPr>
          <w:lang w:val="it-IT"/>
        </w:rPr>
      </w:pPr>
      <w:r w:rsidRPr="00C35766">
        <w:rPr>
          <w:rFonts w:eastAsia="Times New Roman"/>
          <w:lang w:val="it-IT"/>
        </w:rPr>
        <w:t>La sicurezza e l’efficacia di adalimumab sono state determinate in due studi randomizzati, in doppio cieco, controllati verso placebo, in pazienti con spondiloartrite assiale non radiografica (non-radiographic axial spondyloarthritis, nr-axSpA). Nello studio nr-axSpA I sono stati valutati pazienti con nr-axSpA attiva. Lo studio nr-axSpA II era uno studio di interruzione del trattamento in pazienti con nr-axSpA attiva che avevano ottenuto la remissione durante il trattamento in aperto con adalimumab.</w:t>
      </w:r>
    </w:p>
    <w:p w14:paraId="2EEC3F4A" w14:textId="77777777" w:rsidR="00953B2E" w:rsidRPr="00C35766" w:rsidRDefault="00953B2E">
      <w:pPr>
        <w:pStyle w:val="a3"/>
        <w:rPr>
          <w:sz w:val="24"/>
          <w:szCs w:val="24"/>
          <w:lang w:val="it-IT"/>
        </w:rPr>
      </w:pPr>
    </w:p>
    <w:p w14:paraId="3844CCAE" w14:textId="77777777" w:rsidR="00953B2E" w:rsidRPr="00C35766" w:rsidRDefault="005F0C19">
      <w:pPr>
        <w:pStyle w:val="a3"/>
        <w:rPr>
          <w:lang w:val="it-IT"/>
        </w:rPr>
      </w:pPr>
      <w:r w:rsidRPr="00C35766">
        <w:rPr>
          <w:rFonts w:eastAsia="Times New Roman"/>
          <w:spacing w:val="-1"/>
          <w:lang w:val="it-IT"/>
        </w:rPr>
        <w:t>Studio nr-axSpA I</w:t>
      </w:r>
    </w:p>
    <w:p w14:paraId="426CFE09" w14:textId="77777777" w:rsidR="00953B2E" w:rsidRPr="00C35766" w:rsidRDefault="00953B2E">
      <w:pPr>
        <w:pStyle w:val="a3"/>
        <w:rPr>
          <w:sz w:val="24"/>
          <w:szCs w:val="24"/>
          <w:lang w:val="it-IT"/>
        </w:rPr>
      </w:pPr>
    </w:p>
    <w:p w14:paraId="6A5A7C67" w14:textId="77777777" w:rsidR="00953B2E" w:rsidRPr="00C35766" w:rsidRDefault="005F0C19">
      <w:pPr>
        <w:pStyle w:val="a3"/>
        <w:rPr>
          <w:lang w:val="it-IT"/>
        </w:rPr>
      </w:pPr>
      <w:r w:rsidRPr="00C35766">
        <w:rPr>
          <w:rFonts w:eastAsia="Times New Roman"/>
          <w:lang w:val="it-IT"/>
        </w:rPr>
        <w:t>Nello studio nr-axSpA I, adalimumab, somministrato alla dose di 40 mg a settimane alterne, è stato valutato in 185 pazienti con nr-axSpA attiva in uno studio randomizzato di 12 settimane in doppio cieco controllato con placebo (il valore medio basale dell’attività della malattia [Bath Ankylosing Spondylitis Disease Activity Index (BASDAI)] è stato di 6,4 per i pazienti trattati con adalimumab e di 6,5 per quelli trattati con placebo) che hanno avuto una risposta inadeguata a, o una intolleranza a, uno o più FANS, o una controindicazione ai FANS.</w:t>
      </w:r>
    </w:p>
    <w:p w14:paraId="2C637328" w14:textId="77777777" w:rsidR="00953B2E" w:rsidRPr="00C35766" w:rsidRDefault="00953B2E">
      <w:pPr>
        <w:pStyle w:val="a3"/>
        <w:rPr>
          <w:sz w:val="24"/>
          <w:szCs w:val="24"/>
          <w:lang w:val="it-IT"/>
        </w:rPr>
      </w:pPr>
    </w:p>
    <w:p w14:paraId="7E45830B" w14:textId="72F8880F" w:rsidR="00953B2E" w:rsidRPr="00C35766" w:rsidRDefault="005F0C19">
      <w:pPr>
        <w:pStyle w:val="a3"/>
        <w:rPr>
          <w:lang w:val="it-IT"/>
        </w:rPr>
      </w:pPr>
      <w:r w:rsidRPr="00C35766">
        <w:rPr>
          <w:rFonts w:eastAsia="Times New Roman"/>
          <w:lang w:val="it-IT"/>
        </w:rPr>
        <w:t xml:space="preserve">Trentatre pazienti (18%) </w:t>
      </w:r>
      <w:r w:rsidR="00DA79B2" w:rsidRPr="00C35766">
        <w:rPr>
          <w:rFonts w:eastAsia="Times New Roman"/>
          <w:lang w:val="it-IT"/>
        </w:rPr>
        <w:t>erano</w:t>
      </w:r>
      <w:r w:rsidRPr="00C35766">
        <w:rPr>
          <w:rFonts w:eastAsia="Times New Roman"/>
          <w:lang w:val="it-IT"/>
        </w:rPr>
        <w:t xml:space="preserve"> trattati contemporaneamente con farmaci anti-reumatici modificanti la malattia, e 146 pazienti (79%) con FANS al basale. Il periodo in doppio cieco è stato seguito da un periodo in aperto durante il quale i pazienti hanno ricevuto adalimumab 40 mg a settimane alterne per via sottocutanea per un periodo fino a 144 settimane. Nei pazienti trattati con adalimumab i risultati della settimana 12 hanno dimostrato un miglioramento statisticamente significativo dei segni e dei sintomi della nr-axSpA attiva rispetto al placebo (Tabella </w:t>
      </w:r>
      <w:r w:rsidR="003456B7" w:rsidRPr="00C35766">
        <w:rPr>
          <w:rFonts w:eastAsia="Times New Roman"/>
          <w:lang w:val="it-IT"/>
        </w:rPr>
        <w:t>13</w:t>
      </w:r>
      <w:r w:rsidRPr="00C35766">
        <w:rPr>
          <w:rFonts w:eastAsia="Times New Roman"/>
          <w:lang w:val="it-IT"/>
        </w:rPr>
        <w:t>).</w:t>
      </w:r>
    </w:p>
    <w:p w14:paraId="4BC14211" w14:textId="77777777" w:rsidR="00953B2E" w:rsidRPr="00C35766" w:rsidRDefault="00953B2E">
      <w:pPr>
        <w:pStyle w:val="a3"/>
        <w:rPr>
          <w:sz w:val="24"/>
          <w:szCs w:val="24"/>
          <w:lang w:val="it-IT"/>
        </w:rPr>
      </w:pPr>
    </w:p>
    <w:p w14:paraId="501076CB" w14:textId="438893A6" w:rsidR="00953B2E" w:rsidRPr="00C35766" w:rsidRDefault="005F0C19">
      <w:pPr>
        <w:pStyle w:val="a3"/>
        <w:jc w:val="center"/>
        <w:rPr>
          <w:b/>
          <w:lang w:val="es-ES"/>
        </w:rPr>
      </w:pPr>
      <w:r w:rsidRPr="00C35766">
        <w:rPr>
          <w:rFonts w:eastAsia="Times New Roman"/>
          <w:b/>
          <w:bCs/>
          <w:lang w:val="it-IT"/>
        </w:rPr>
        <w:t xml:space="preserve">Tabella </w:t>
      </w:r>
      <w:r w:rsidR="003456B7" w:rsidRPr="00C35766">
        <w:rPr>
          <w:rFonts w:eastAsia="Times New Roman"/>
          <w:b/>
          <w:bCs/>
          <w:lang w:val="it-IT"/>
        </w:rPr>
        <w:t>13</w:t>
      </w:r>
    </w:p>
    <w:p w14:paraId="22AA23D0" w14:textId="77777777" w:rsidR="00953B2E" w:rsidRDefault="005F0C19">
      <w:pPr>
        <w:pStyle w:val="a3"/>
        <w:jc w:val="center"/>
        <w:rPr>
          <w:rFonts w:eastAsia="Times New Roman"/>
          <w:b/>
          <w:bCs/>
          <w:lang w:val="it-IT"/>
        </w:rPr>
      </w:pPr>
      <w:r w:rsidRPr="00C35766">
        <w:rPr>
          <w:rFonts w:eastAsia="Times New Roman"/>
          <w:b/>
          <w:bCs/>
          <w:lang w:val="it-IT"/>
        </w:rPr>
        <w:t>Risposta di efficacia nello studio controllato con placebo nr-axSpA I</w:t>
      </w:r>
    </w:p>
    <w:p w14:paraId="2760B2EB" w14:textId="77777777" w:rsidR="005A5DEF" w:rsidRPr="00C35766" w:rsidRDefault="005A5DEF">
      <w:pPr>
        <w:pStyle w:val="a3"/>
        <w:jc w:val="center"/>
        <w:rPr>
          <w:b/>
          <w:lang w:val="es-ES"/>
        </w:rPr>
      </w:pPr>
    </w:p>
    <w:tbl>
      <w:tblPr>
        <w:tblStyle w:val="ac"/>
        <w:tblW w:w="0" w:type="auto"/>
        <w:tblCellMar>
          <w:top w:w="57" w:type="dxa"/>
          <w:bottom w:w="57" w:type="dxa"/>
        </w:tblCellMar>
        <w:tblLook w:val="04A0" w:firstRow="1" w:lastRow="0" w:firstColumn="1" w:lastColumn="0" w:noHBand="0" w:noVBand="1"/>
      </w:tblPr>
      <w:tblGrid>
        <w:gridCol w:w="4466"/>
        <w:gridCol w:w="1856"/>
        <w:gridCol w:w="3168"/>
      </w:tblGrid>
      <w:tr w:rsidR="00953B2E" w:rsidRPr="00C35766" w14:paraId="685BB9AE" w14:textId="77777777" w:rsidTr="00933A6C">
        <w:tc>
          <w:tcPr>
            <w:tcW w:w="4531" w:type="dxa"/>
            <w:vAlign w:val="center"/>
          </w:tcPr>
          <w:p w14:paraId="742CA2C6" w14:textId="77777777" w:rsidR="00953B2E" w:rsidRPr="00C35766" w:rsidRDefault="005F0C19" w:rsidP="00933A6C">
            <w:pPr>
              <w:spacing w:line="240" w:lineRule="exact"/>
              <w:jc w:val="center"/>
              <w:rPr>
                <w:rFonts w:ascii="Times New Roman" w:hAnsi="Times New Roman" w:cs="Times New Roman"/>
                <w:b/>
                <w:lang w:val="it-IT"/>
              </w:rPr>
            </w:pPr>
            <w:r w:rsidRPr="00C35766">
              <w:rPr>
                <w:rFonts w:ascii="Times New Roman" w:eastAsia="Times New Roman" w:hAnsi="Times New Roman" w:cs="Times New Roman"/>
                <w:b/>
                <w:bCs/>
                <w:lang w:val="it-IT" w:eastAsia="ko-KR"/>
              </w:rPr>
              <w:t>Doppio cieco</w:t>
            </w:r>
          </w:p>
          <w:p w14:paraId="6F6D7951" w14:textId="77777777" w:rsidR="00953B2E" w:rsidRPr="00C35766" w:rsidRDefault="005F0C19" w:rsidP="00933A6C">
            <w:pPr>
              <w:spacing w:line="240" w:lineRule="exact"/>
              <w:jc w:val="center"/>
              <w:rPr>
                <w:rFonts w:ascii="Times New Roman" w:hAnsi="Times New Roman" w:cs="Times New Roman"/>
                <w:b/>
                <w:lang w:val="it-IT"/>
              </w:rPr>
            </w:pPr>
            <w:r w:rsidRPr="00C35766">
              <w:rPr>
                <w:rFonts w:ascii="Times New Roman" w:eastAsia="Times New Roman" w:hAnsi="Times New Roman" w:cs="Times New Roman"/>
                <w:b/>
                <w:bCs/>
                <w:lang w:val="it-IT" w:eastAsia="ko-KR"/>
              </w:rPr>
              <w:t>Risposta alla settimana 12</w:t>
            </w:r>
          </w:p>
        </w:tc>
        <w:tc>
          <w:tcPr>
            <w:tcW w:w="1875" w:type="dxa"/>
            <w:vAlign w:val="center"/>
          </w:tcPr>
          <w:p w14:paraId="55D40E23" w14:textId="77777777" w:rsidR="00953B2E" w:rsidRPr="00C35766" w:rsidRDefault="005F0C19" w:rsidP="00933A6C">
            <w:pPr>
              <w:spacing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Placebo</w:t>
            </w:r>
          </w:p>
          <w:p w14:paraId="432F3C57" w14:textId="77777777" w:rsidR="00953B2E" w:rsidRPr="00C35766" w:rsidRDefault="005F0C19" w:rsidP="00933A6C">
            <w:pPr>
              <w:spacing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N=94</w:t>
            </w:r>
          </w:p>
        </w:tc>
        <w:tc>
          <w:tcPr>
            <w:tcW w:w="3204" w:type="dxa"/>
            <w:vAlign w:val="center"/>
          </w:tcPr>
          <w:p w14:paraId="062AB777" w14:textId="77777777" w:rsidR="00953B2E" w:rsidRPr="00C35766" w:rsidRDefault="005F0C19" w:rsidP="00933A6C">
            <w:pPr>
              <w:spacing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Adalimumab</w:t>
            </w:r>
          </w:p>
          <w:p w14:paraId="2FCD0C40" w14:textId="77777777" w:rsidR="00953B2E" w:rsidRPr="00C35766" w:rsidRDefault="005F0C19" w:rsidP="00933A6C">
            <w:pPr>
              <w:spacing w:line="240" w:lineRule="exact"/>
              <w:jc w:val="center"/>
              <w:rPr>
                <w:rFonts w:ascii="Times New Roman" w:hAnsi="Times New Roman" w:cs="Times New Roman"/>
                <w:b/>
                <w:lang w:eastAsia="ko-KR"/>
              </w:rPr>
            </w:pPr>
            <w:r w:rsidRPr="00C35766">
              <w:rPr>
                <w:rFonts w:ascii="Times New Roman" w:eastAsia="Times New Roman" w:hAnsi="Times New Roman" w:cs="Times New Roman"/>
                <w:b/>
                <w:bCs/>
                <w:lang w:val="it-IT" w:eastAsia="ko-KR"/>
              </w:rPr>
              <w:t>N=91</w:t>
            </w:r>
          </w:p>
        </w:tc>
      </w:tr>
      <w:tr w:rsidR="00953B2E" w:rsidRPr="00C35766" w14:paraId="64711AFA" w14:textId="77777777" w:rsidTr="00933A6C">
        <w:tc>
          <w:tcPr>
            <w:tcW w:w="4531" w:type="dxa"/>
          </w:tcPr>
          <w:p w14:paraId="21EF3E86" w14:textId="77777777" w:rsidR="00953B2E" w:rsidRPr="00C35766" w:rsidRDefault="005F0C19" w:rsidP="00933A6C">
            <w:pPr>
              <w:spacing w:before="100" w:beforeAutospacing="1" w:line="240" w:lineRule="exact"/>
              <w:rPr>
                <w:rFonts w:ascii="Times New Roman" w:hAnsi="Times New Roman" w:cs="Times New Roman"/>
              </w:rPr>
            </w:pPr>
            <w:r w:rsidRPr="00C35766">
              <w:rPr>
                <w:rFonts w:ascii="Times New Roman" w:eastAsia="Times New Roman" w:hAnsi="Times New Roman" w:cs="Times New Roman"/>
                <w:spacing w:val="-1"/>
                <w:lang w:val="it-IT"/>
              </w:rPr>
              <w:t>ASAS</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 xml:space="preserve"> 40</w:t>
            </w:r>
          </w:p>
        </w:tc>
        <w:tc>
          <w:tcPr>
            <w:tcW w:w="1875" w:type="dxa"/>
            <w:vAlign w:val="center"/>
          </w:tcPr>
          <w:p w14:paraId="723E6D3F" w14:textId="77777777" w:rsidR="00953B2E" w:rsidRPr="00C35766" w:rsidRDefault="005F0C19" w:rsidP="00933A6C">
            <w:pPr>
              <w:spacing w:before="100" w:beforeAutospacing="1" w:line="240" w:lineRule="exact"/>
              <w:jc w:val="center"/>
              <w:rPr>
                <w:rFonts w:ascii="Times New Roman" w:hAnsi="Times New Roman" w:cs="Times New Roman"/>
              </w:rPr>
            </w:pPr>
            <w:r w:rsidRPr="00C35766">
              <w:rPr>
                <w:rFonts w:ascii="Times New Roman" w:eastAsia="Times New Roman" w:hAnsi="Times New Roman" w:cs="Times New Roman"/>
                <w:lang w:val="it-IT"/>
              </w:rPr>
              <w:t>15%</w:t>
            </w:r>
          </w:p>
        </w:tc>
        <w:tc>
          <w:tcPr>
            <w:tcW w:w="3204" w:type="dxa"/>
            <w:vAlign w:val="center"/>
          </w:tcPr>
          <w:p w14:paraId="5FF21088" w14:textId="77777777" w:rsidR="00953B2E" w:rsidRPr="00C35766" w:rsidRDefault="005F0C19" w:rsidP="00933A6C">
            <w:pPr>
              <w:spacing w:before="100" w:beforeAutospacing="1" w:line="240" w:lineRule="exact"/>
              <w:jc w:val="center"/>
              <w:rPr>
                <w:rFonts w:ascii="Times New Roman" w:hAnsi="Times New Roman" w:cs="Times New Roman"/>
              </w:rPr>
            </w:pPr>
            <w:r w:rsidRPr="00C35766">
              <w:rPr>
                <w:rFonts w:ascii="Times New Roman" w:eastAsia="Times New Roman" w:hAnsi="Times New Roman" w:cs="Times New Roman"/>
                <w:lang w:val="it-IT"/>
              </w:rPr>
              <w:t>36%***</w:t>
            </w:r>
          </w:p>
        </w:tc>
      </w:tr>
      <w:tr w:rsidR="00953B2E" w:rsidRPr="00C35766" w14:paraId="7B75819E" w14:textId="77777777" w:rsidTr="00933A6C">
        <w:tc>
          <w:tcPr>
            <w:tcW w:w="4531" w:type="dxa"/>
          </w:tcPr>
          <w:p w14:paraId="6224E666"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spacing w:val="-1"/>
                <w:lang w:val="it-IT"/>
              </w:rPr>
              <w:t>ASAS 20</w:t>
            </w:r>
          </w:p>
        </w:tc>
        <w:tc>
          <w:tcPr>
            <w:tcW w:w="1875" w:type="dxa"/>
            <w:vAlign w:val="center"/>
          </w:tcPr>
          <w:p w14:paraId="3CA7C161"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31%</w:t>
            </w:r>
          </w:p>
        </w:tc>
        <w:tc>
          <w:tcPr>
            <w:tcW w:w="3204" w:type="dxa"/>
            <w:vAlign w:val="center"/>
          </w:tcPr>
          <w:p w14:paraId="0AB2766A"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r>
      <w:tr w:rsidR="00953B2E" w:rsidRPr="00C35766" w14:paraId="00BB8098" w14:textId="77777777" w:rsidTr="00933A6C">
        <w:tc>
          <w:tcPr>
            <w:tcW w:w="4531" w:type="dxa"/>
          </w:tcPr>
          <w:p w14:paraId="65FA84AE"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spacing w:val="-1"/>
                <w:lang w:val="it-IT"/>
              </w:rPr>
              <w:t>ASAS 5/6</w:t>
            </w:r>
          </w:p>
        </w:tc>
        <w:tc>
          <w:tcPr>
            <w:tcW w:w="1875" w:type="dxa"/>
            <w:vAlign w:val="center"/>
          </w:tcPr>
          <w:p w14:paraId="56C0F1D5"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6%</w:t>
            </w:r>
          </w:p>
        </w:tc>
        <w:tc>
          <w:tcPr>
            <w:tcW w:w="3204" w:type="dxa"/>
            <w:vAlign w:val="center"/>
          </w:tcPr>
          <w:p w14:paraId="430A646D"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31%***</w:t>
            </w:r>
          </w:p>
        </w:tc>
      </w:tr>
      <w:tr w:rsidR="00953B2E" w:rsidRPr="00C35766" w14:paraId="5725F139" w14:textId="77777777" w:rsidTr="00933A6C">
        <w:tc>
          <w:tcPr>
            <w:tcW w:w="4531" w:type="dxa"/>
          </w:tcPr>
          <w:p w14:paraId="3440F646"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spacing w:val="-1"/>
                <w:lang w:val="it-IT"/>
              </w:rPr>
              <w:t>ASAS Remissione parziale</w:t>
            </w:r>
          </w:p>
        </w:tc>
        <w:tc>
          <w:tcPr>
            <w:tcW w:w="1875" w:type="dxa"/>
            <w:vAlign w:val="center"/>
          </w:tcPr>
          <w:p w14:paraId="3B34B7F8"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5%</w:t>
            </w:r>
          </w:p>
        </w:tc>
        <w:tc>
          <w:tcPr>
            <w:tcW w:w="3204" w:type="dxa"/>
            <w:vAlign w:val="center"/>
          </w:tcPr>
          <w:p w14:paraId="70827095"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16%*</w:t>
            </w:r>
          </w:p>
        </w:tc>
      </w:tr>
      <w:tr w:rsidR="00953B2E" w:rsidRPr="00C35766" w14:paraId="25058400" w14:textId="77777777" w:rsidTr="00933A6C">
        <w:tc>
          <w:tcPr>
            <w:tcW w:w="4531" w:type="dxa"/>
          </w:tcPr>
          <w:p w14:paraId="65A40387"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spacing w:val="-1"/>
                <w:lang w:val="it-IT"/>
              </w:rPr>
              <w:t>BASDAI</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 xml:space="preserve"> 50</w:t>
            </w:r>
          </w:p>
        </w:tc>
        <w:tc>
          <w:tcPr>
            <w:tcW w:w="1875" w:type="dxa"/>
            <w:vAlign w:val="center"/>
          </w:tcPr>
          <w:p w14:paraId="60283A7E"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15%</w:t>
            </w:r>
          </w:p>
        </w:tc>
        <w:tc>
          <w:tcPr>
            <w:tcW w:w="3204" w:type="dxa"/>
            <w:vAlign w:val="center"/>
          </w:tcPr>
          <w:p w14:paraId="0258D58F"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35%**</w:t>
            </w:r>
          </w:p>
        </w:tc>
      </w:tr>
      <w:tr w:rsidR="00953B2E" w:rsidRPr="00C35766" w14:paraId="17104BDF" w14:textId="77777777" w:rsidTr="00933A6C">
        <w:tc>
          <w:tcPr>
            <w:tcW w:w="4531" w:type="dxa"/>
          </w:tcPr>
          <w:p w14:paraId="5FA5BE8E"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spacing w:val="-1"/>
                <w:lang w:val="it-IT"/>
              </w:rPr>
              <w:t>ASDAS</w:t>
            </w:r>
            <w:r w:rsidRPr="00C35766">
              <w:rPr>
                <w:rFonts w:ascii="Times New Roman" w:eastAsia="Times New Roman" w:hAnsi="Times New Roman" w:cs="Times New Roman"/>
                <w:spacing w:val="-1"/>
                <w:vertAlign w:val="superscript"/>
                <w:lang w:val="it-IT"/>
              </w:rPr>
              <w:t>c,d,e</w:t>
            </w:r>
          </w:p>
        </w:tc>
        <w:tc>
          <w:tcPr>
            <w:tcW w:w="1875" w:type="dxa"/>
            <w:vAlign w:val="center"/>
          </w:tcPr>
          <w:p w14:paraId="748C3429"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spacing w:val="-4"/>
                <w:lang w:val="it-IT"/>
              </w:rPr>
              <w:t>-0,3</w:t>
            </w:r>
          </w:p>
        </w:tc>
        <w:tc>
          <w:tcPr>
            <w:tcW w:w="3204" w:type="dxa"/>
            <w:vAlign w:val="center"/>
          </w:tcPr>
          <w:p w14:paraId="41B9FC49" w14:textId="6040BD22" w:rsidR="00953B2E" w:rsidRPr="00C35766" w:rsidRDefault="005F0C19" w:rsidP="00933A6C">
            <w:pPr>
              <w:spacing w:before="100" w:beforeAutospacing="1" w:line="240" w:lineRule="exact"/>
              <w:jc w:val="center"/>
              <w:rPr>
                <w:rFonts w:ascii="Times New Roman" w:eastAsia="Times New Roman" w:hAnsi="Times New Roman" w:cs="Times New Roman"/>
                <w:spacing w:val="-1"/>
              </w:rPr>
            </w:pPr>
            <w:r w:rsidRPr="00C35766">
              <w:rPr>
                <w:rFonts w:ascii="Times New Roman" w:eastAsia="Times New Roman" w:hAnsi="Times New Roman" w:cs="Times New Roman"/>
                <w:spacing w:val="-4"/>
                <w:lang w:val="it-IT"/>
              </w:rPr>
              <w:t>-1</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0***</w:t>
            </w:r>
          </w:p>
        </w:tc>
      </w:tr>
      <w:tr w:rsidR="00953B2E" w:rsidRPr="00C35766" w14:paraId="00F40C27" w14:textId="77777777" w:rsidTr="00933A6C">
        <w:tc>
          <w:tcPr>
            <w:tcW w:w="4531" w:type="dxa"/>
          </w:tcPr>
          <w:p w14:paraId="673B6B33" w14:textId="77777777" w:rsidR="00953B2E" w:rsidRPr="00C35766" w:rsidRDefault="005F0C19" w:rsidP="00933A6C">
            <w:pPr>
              <w:spacing w:before="100" w:beforeAutospacing="1" w:line="240" w:lineRule="exact"/>
              <w:rPr>
                <w:rFonts w:ascii="Times New Roman" w:eastAsia="Times New Roman" w:hAnsi="Times New Roman" w:cs="Times New Roman"/>
                <w:spacing w:val="-1"/>
                <w:position w:val="-7"/>
              </w:rPr>
            </w:pPr>
            <w:r w:rsidRPr="00C35766">
              <w:rPr>
                <w:rFonts w:ascii="Times New Roman" w:eastAsia="Times New Roman" w:hAnsi="Times New Roman" w:cs="Times New Roman"/>
                <w:spacing w:val="-1"/>
                <w:lang w:val="it-IT"/>
              </w:rPr>
              <w:t>ASDAS malattia inattiva</w:t>
            </w:r>
          </w:p>
        </w:tc>
        <w:tc>
          <w:tcPr>
            <w:tcW w:w="1875" w:type="dxa"/>
            <w:vAlign w:val="center"/>
          </w:tcPr>
          <w:p w14:paraId="6D8C5E6A" w14:textId="77777777"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lang w:val="it-IT"/>
              </w:rPr>
              <w:t>4%</w:t>
            </w:r>
          </w:p>
        </w:tc>
        <w:tc>
          <w:tcPr>
            <w:tcW w:w="3204" w:type="dxa"/>
            <w:vAlign w:val="center"/>
          </w:tcPr>
          <w:p w14:paraId="3D0EEF03" w14:textId="77777777"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lang w:val="it-IT"/>
              </w:rPr>
              <w:t>24%***</w:t>
            </w:r>
          </w:p>
        </w:tc>
      </w:tr>
      <w:tr w:rsidR="00953B2E" w:rsidRPr="00C35766" w14:paraId="111644BD" w14:textId="77777777" w:rsidTr="00933A6C">
        <w:tc>
          <w:tcPr>
            <w:tcW w:w="4531" w:type="dxa"/>
          </w:tcPr>
          <w:p w14:paraId="2D82E147" w14:textId="77777777" w:rsidR="00953B2E" w:rsidRPr="00C35766" w:rsidRDefault="005F0C19" w:rsidP="00933A6C">
            <w:pPr>
              <w:spacing w:before="100" w:beforeAutospacing="1" w:line="240" w:lineRule="exact"/>
              <w:rPr>
                <w:rFonts w:ascii="Times New Roman" w:eastAsia="Times New Roman" w:hAnsi="Times New Roman" w:cs="Times New Roman"/>
                <w:spacing w:val="-1"/>
              </w:rPr>
            </w:pPr>
            <w:r w:rsidRPr="00C35766">
              <w:rPr>
                <w:rFonts w:ascii="Times New Roman" w:eastAsia="Times New Roman" w:hAnsi="Times New Roman" w:cs="Times New Roman"/>
                <w:lang w:val="it-IT"/>
              </w:rPr>
              <w:lastRenderedPageBreak/>
              <w:t>hs-CRP</w:t>
            </w:r>
            <w:r w:rsidRPr="00C35766">
              <w:rPr>
                <w:rFonts w:ascii="Times New Roman" w:eastAsia="Times New Roman" w:hAnsi="Times New Roman" w:cs="Times New Roman"/>
                <w:vertAlign w:val="superscript"/>
                <w:lang w:val="it-IT"/>
              </w:rPr>
              <w:t>d,f,g</w:t>
            </w:r>
          </w:p>
        </w:tc>
        <w:tc>
          <w:tcPr>
            <w:tcW w:w="1875" w:type="dxa"/>
            <w:vAlign w:val="center"/>
          </w:tcPr>
          <w:p w14:paraId="1109219C" w14:textId="7777777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spacing w:val="-4"/>
                <w:lang w:val="it-IT"/>
              </w:rPr>
              <w:t>-0,3</w:t>
            </w:r>
          </w:p>
        </w:tc>
        <w:tc>
          <w:tcPr>
            <w:tcW w:w="3204" w:type="dxa"/>
            <w:vAlign w:val="center"/>
          </w:tcPr>
          <w:p w14:paraId="265B2139" w14:textId="2EA49D37" w:rsidR="00953B2E" w:rsidRPr="00C35766" w:rsidRDefault="005F0C19" w:rsidP="00933A6C">
            <w:pPr>
              <w:spacing w:before="100" w:beforeAutospacing="1" w:line="240" w:lineRule="exact"/>
              <w:jc w:val="center"/>
              <w:rPr>
                <w:rFonts w:ascii="Times New Roman" w:eastAsia="Times New Roman" w:hAnsi="Times New Roman" w:cs="Times New Roman"/>
              </w:rPr>
            </w:pPr>
            <w:r w:rsidRPr="00C35766">
              <w:rPr>
                <w:rFonts w:ascii="Times New Roman" w:eastAsia="Times New Roman" w:hAnsi="Times New Roman" w:cs="Times New Roman"/>
                <w:spacing w:val="-4"/>
                <w:lang w:val="it-IT"/>
              </w:rPr>
              <w:t>-4</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7***</w:t>
            </w:r>
          </w:p>
        </w:tc>
      </w:tr>
      <w:tr w:rsidR="00953B2E" w:rsidRPr="00C35766" w14:paraId="37C5CC9E" w14:textId="77777777" w:rsidTr="00933A6C">
        <w:tc>
          <w:tcPr>
            <w:tcW w:w="4531" w:type="dxa"/>
          </w:tcPr>
          <w:p w14:paraId="1E57CB42" w14:textId="77777777" w:rsidR="00953B2E" w:rsidRPr="00C35766" w:rsidRDefault="005F0C19" w:rsidP="00933A6C">
            <w:pPr>
              <w:spacing w:before="100" w:beforeAutospacing="1" w:line="240" w:lineRule="exact"/>
              <w:rPr>
                <w:rFonts w:ascii="Times New Roman" w:hAnsi="Times New Roman" w:cs="Times New Roman"/>
                <w:lang w:val="it-IT"/>
              </w:rPr>
            </w:pPr>
            <w:r w:rsidRPr="00C35766">
              <w:rPr>
                <w:rFonts w:ascii="Times New Roman" w:eastAsia="Times New Roman" w:hAnsi="Times New Roman" w:cs="Times New Roman"/>
                <w:spacing w:val="-1"/>
                <w:lang w:val="it-IT"/>
              </w:rPr>
              <w:t>SPARCC</w:t>
            </w:r>
            <w:r w:rsidRPr="00C35766">
              <w:rPr>
                <w:rFonts w:ascii="Times New Roman" w:eastAsia="Times New Roman" w:hAnsi="Times New Roman" w:cs="Times New Roman"/>
                <w:spacing w:val="-1"/>
                <w:vertAlign w:val="superscript"/>
                <w:lang w:val="it-IT"/>
              </w:rPr>
              <w:t>h</w:t>
            </w:r>
            <w:r w:rsidRPr="00C35766">
              <w:rPr>
                <w:rFonts w:ascii="Times New Roman" w:eastAsia="Times New Roman" w:hAnsi="Times New Roman" w:cs="Times New Roman"/>
                <w:spacing w:val="-1"/>
                <w:lang w:val="it-IT"/>
              </w:rPr>
              <w:t xml:space="preserve"> RM articolazioni sacroiliache </w:t>
            </w:r>
            <w:r w:rsidRPr="00C35766">
              <w:rPr>
                <w:rFonts w:ascii="Times New Roman" w:eastAsia="Times New Roman" w:hAnsi="Times New Roman" w:cs="Times New Roman"/>
                <w:spacing w:val="-1"/>
                <w:vertAlign w:val="superscript"/>
                <w:lang w:val="it-IT"/>
              </w:rPr>
              <w:t>d, i</w:t>
            </w:r>
            <w:r w:rsidRPr="00C35766">
              <w:rPr>
                <w:rFonts w:ascii="Times New Roman" w:eastAsia="Times New Roman" w:hAnsi="Times New Roman" w:cs="Times New Roman"/>
                <w:spacing w:val="-1"/>
                <w:lang w:val="it-IT"/>
              </w:rPr>
              <w:t xml:space="preserve"> </w:t>
            </w:r>
          </w:p>
        </w:tc>
        <w:tc>
          <w:tcPr>
            <w:tcW w:w="1875" w:type="dxa"/>
            <w:vAlign w:val="center"/>
          </w:tcPr>
          <w:p w14:paraId="291D74D6" w14:textId="7C3014FA"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spacing w:val="-4"/>
                <w:lang w:val="it-IT"/>
              </w:rPr>
              <w:t>-0</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6</w:t>
            </w:r>
          </w:p>
        </w:tc>
        <w:tc>
          <w:tcPr>
            <w:tcW w:w="3204" w:type="dxa"/>
            <w:vAlign w:val="center"/>
          </w:tcPr>
          <w:p w14:paraId="6A180D5E" w14:textId="5BA1BE65"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spacing w:val="-4"/>
                <w:lang w:val="it-IT"/>
              </w:rPr>
              <w:t>-3</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2**</w:t>
            </w:r>
          </w:p>
        </w:tc>
      </w:tr>
      <w:tr w:rsidR="00953B2E" w:rsidRPr="00C35766" w14:paraId="1737404F" w14:textId="77777777" w:rsidTr="00933A6C">
        <w:tc>
          <w:tcPr>
            <w:tcW w:w="4531" w:type="dxa"/>
          </w:tcPr>
          <w:p w14:paraId="3A479620" w14:textId="77777777" w:rsidR="00953B2E" w:rsidRPr="00C35766" w:rsidRDefault="005F0C19" w:rsidP="00933A6C">
            <w:pPr>
              <w:spacing w:before="100" w:beforeAutospacing="1" w:line="240" w:lineRule="exact"/>
              <w:rPr>
                <w:rFonts w:ascii="Times New Roman" w:hAnsi="Times New Roman" w:cs="Times New Roman"/>
                <w:spacing w:val="-1"/>
                <w:lang w:val="it-IT"/>
              </w:rPr>
            </w:pPr>
            <w:r w:rsidRPr="00C35766">
              <w:rPr>
                <w:rFonts w:ascii="Times New Roman" w:eastAsia="Times New Roman" w:hAnsi="Times New Roman" w:cs="Times New Roman"/>
                <w:spacing w:val="-1"/>
                <w:lang w:val="it-IT"/>
              </w:rPr>
              <w:t>SPARCC RM colonna vertebrale</w:t>
            </w:r>
            <w:r w:rsidRPr="00C35766">
              <w:rPr>
                <w:rFonts w:ascii="Times New Roman" w:eastAsia="Times New Roman" w:hAnsi="Times New Roman" w:cs="Times New Roman"/>
                <w:spacing w:val="-1"/>
                <w:vertAlign w:val="superscript"/>
                <w:lang w:val="it-IT"/>
              </w:rPr>
              <w:t>d, j</w:t>
            </w:r>
          </w:p>
        </w:tc>
        <w:tc>
          <w:tcPr>
            <w:tcW w:w="1875" w:type="dxa"/>
            <w:vAlign w:val="center"/>
          </w:tcPr>
          <w:p w14:paraId="67572376" w14:textId="67120108"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spacing w:val="-4"/>
                <w:lang w:val="it-IT"/>
              </w:rPr>
              <w:t>-0</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2</w:t>
            </w:r>
          </w:p>
        </w:tc>
        <w:tc>
          <w:tcPr>
            <w:tcW w:w="3204" w:type="dxa"/>
            <w:vAlign w:val="center"/>
          </w:tcPr>
          <w:p w14:paraId="14F85DE8" w14:textId="38BE6FAA" w:rsidR="00953B2E" w:rsidRPr="00C35766" w:rsidRDefault="005F0C19" w:rsidP="00933A6C">
            <w:pPr>
              <w:spacing w:before="100" w:beforeAutospacing="1" w:line="240" w:lineRule="exact"/>
              <w:jc w:val="center"/>
              <w:rPr>
                <w:rFonts w:ascii="Times New Roman" w:eastAsia="Times New Roman" w:hAnsi="Times New Roman" w:cs="Times New Roman"/>
                <w:spacing w:val="-4"/>
              </w:rPr>
            </w:pPr>
            <w:r w:rsidRPr="00C35766">
              <w:rPr>
                <w:rFonts w:ascii="Times New Roman" w:eastAsia="Times New Roman" w:hAnsi="Times New Roman" w:cs="Times New Roman"/>
                <w:spacing w:val="-4"/>
                <w:lang w:val="it-IT"/>
              </w:rPr>
              <w:t>-1</w:t>
            </w:r>
            <w:r w:rsidR="0071062D" w:rsidRPr="00C35766">
              <w:rPr>
                <w:rFonts w:ascii="Times New Roman" w:eastAsia="Times New Roman" w:hAnsi="Times New Roman" w:cs="Times New Roman"/>
                <w:spacing w:val="-4"/>
                <w:lang w:val="it-IT"/>
              </w:rPr>
              <w:t>,</w:t>
            </w:r>
            <w:r w:rsidRPr="00C35766">
              <w:rPr>
                <w:rFonts w:ascii="Times New Roman" w:eastAsia="Times New Roman" w:hAnsi="Times New Roman" w:cs="Times New Roman"/>
                <w:spacing w:val="-4"/>
                <w:lang w:val="it-IT"/>
              </w:rPr>
              <w:t>8**</w:t>
            </w:r>
          </w:p>
        </w:tc>
      </w:tr>
    </w:tbl>
    <w:p w14:paraId="3DAAE4ED" w14:textId="77777777" w:rsidR="00953B2E" w:rsidRPr="00C35766" w:rsidRDefault="005F0C19">
      <w:pPr>
        <w:pStyle w:val="a3"/>
        <w:rPr>
          <w:lang w:val="it-IT"/>
        </w:rPr>
      </w:pPr>
      <w:r w:rsidRPr="00C35766">
        <w:rPr>
          <w:rFonts w:eastAsia="Times New Roman"/>
          <w:position w:val="8"/>
          <w:vertAlign w:val="superscript"/>
          <w:lang w:val="it-IT"/>
        </w:rPr>
        <w:t xml:space="preserve">a </w:t>
      </w:r>
      <w:r w:rsidRPr="00C35766">
        <w:rPr>
          <w:rFonts w:eastAsia="Times New Roman"/>
          <w:position w:val="8"/>
          <w:lang w:val="it-IT"/>
        </w:rPr>
        <w:t>Valutazione della Società internazionale per la spondiloartrite (Assessment of SpondyloArthritis international Society)</w:t>
      </w:r>
    </w:p>
    <w:p w14:paraId="601D23D9" w14:textId="77777777" w:rsidR="00953B2E" w:rsidRPr="00C35766" w:rsidRDefault="005F0C19">
      <w:pPr>
        <w:pStyle w:val="a3"/>
      </w:pPr>
      <w:r w:rsidRPr="00C35766">
        <w:rPr>
          <w:position w:val="8"/>
          <w:vertAlign w:val="superscript"/>
        </w:rPr>
        <w:t>b</w:t>
      </w:r>
      <w:r w:rsidRPr="00C35766">
        <w:rPr>
          <w:position w:val="8"/>
        </w:rPr>
        <w:t xml:space="preserve"> Bath Ankylosing Spondylitis Disease Activity Index</w:t>
      </w:r>
    </w:p>
    <w:p w14:paraId="58F52E2C" w14:textId="77777777" w:rsidR="00953B2E" w:rsidRPr="00C35766" w:rsidRDefault="005F0C19">
      <w:pPr>
        <w:pStyle w:val="a3"/>
        <w:rPr>
          <w:lang w:val="it-IT"/>
        </w:rPr>
      </w:pPr>
      <w:r w:rsidRPr="00C35766">
        <w:rPr>
          <w:rFonts w:eastAsia="Times New Roman"/>
          <w:position w:val="8"/>
          <w:vertAlign w:val="superscript"/>
          <w:lang w:val="it-IT"/>
        </w:rPr>
        <w:t xml:space="preserve">c </w:t>
      </w:r>
      <w:r w:rsidRPr="00C35766">
        <w:rPr>
          <w:rFonts w:eastAsia="Times New Roman"/>
          <w:position w:val="8"/>
          <w:lang w:val="it-IT"/>
        </w:rPr>
        <w:t>Punteggio di attività di malattia della spondilite anchilosante (Ankylosing Spondylitis Disease Activity Score)</w:t>
      </w:r>
    </w:p>
    <w:p w14:paraId="50F92EDE" w14:textId="77777777" w:rsidR="00953B2E" w:rsidRPr="00C35766" w:rsidRDefault="005F0C19">
      <w:pPr>
        <w:pStyle w:val="a3"/>
        <w:rPr>
          <w:lang w:val="it-IT"/>
        </w:rPr>
      </w:pPr>
      <w:r w:rsidRPr="00C35766">
        <w:rPr>
          <w:rFonts w:eastAsia="Times New Roman"/>
          <w:position w:val="8"/>
          <w:vertAlign w:val="superscript"/>
          <w:lang w:val="it-IT"/>
        </w:rPr>
        <w:t>d</w:t>
      </w:r>
      <w:r w:rsidRPr="00C35766">
        <w:rPr>
          <w:rFonts w:eastAsia="Times New Roman"/>
          <w:position w:val="8"/>
          <w:lang w:val="it-IT"/>
        </w:rPr>
        <w:t xml:space="preserve"> deviazione media rispetto al basale</w:t>
      </w:r>
    </w:p>
    <w:p w14:paraId="0287CF2C" w14:textId="77777777" w:rsidR="00953B2E" w:rsidRPr="00C35766" w:rsidRDefault="005F0C19">
      <w:pPr>
        <w:pStyle w:val="a3"/>
        <w:rPr>
          <w:lang w:val="pt-BR"/>
        </w:rPr>
      </w:pPr>
      <w:r w:rsidRPr="00C35766">
        <w:rPr>
          <w:rFonts w:eastAsia="Times New Roman"/>
          <w:position w:val="8"/>
          <w:vertAlign w:val="superscript"/>
          <w:lang w:val="it-IT"/>
        </w:rPr>
        <w:t>e</w:t>
      </w:r>
      <w:r w:rsidRPr="00C35766">
        <w:rPr>
          <w:rFonts w:eastAsia="Times New Roman"/>
          <w:position w:val="8"/>
          <w:lang w:val="it-IT"/>
        </w:rPr>
        <w:t xml:space="preserve"> n=91 placebo e n=87 adalimumab</w:t>
      </w:r>
    </w:p>
    <w:p w14:paraId="2F237A44" w14:textId="7CCEABD7" w:rsidR="00953B2E" w:rsidRPr="00C35766" w:rsidRDefault="005F0C19">
      <w:pPr>
        <w:pStyle w:val="a3"/>
      </w:pPr>
      <w:r w:rsidRPr="00C35766">
        <w:rPr>
          <w:position w:val="8"/>
          <w:vertAlign w:val="superscript"/>
        </w:rPr>
        <w:t>f</w:t>
      </w:r>
      <w:r w:rsidRPr="00C35766">
        <w:rPr>
          <w:position w:val="8"/>
        </w:rPr>
        <w:t xml:space="preserve"> high sensitivity C-Reactive Protein (mg/</w:t>
      </w:r>
      <w:r w:rsidR="00DA79B2" w:rsidRPr="004F0B2E">
        <w:rPr>
          <w:rFonts w:eastAsia="Times New Roman"/>
          <w:position w:val="8"/>
          <w:lang w:val="en-GB"/>
        </w:rPr>
        <w:t>L</w:t>
      </w:r>
      <w:r w:rsidRPr="00C35766">
        <w:rPr>
          <w:position w:val="8"/>
        </w:rPr>
        <w:t>)</w:t>
      </w:r>
    </w:p>
    <w:p w14:paraId="7F164DC8" w14:textId="77777777" w:rsidR="00953B2E" w:rsidRPr="00C35766" w:rsidRDefault="005F0C19">
      <w:pPr>
        <w:pStyle w:val="a3"/>
        <w:rPr>
          <w:lang w:val="pt-BR"/>
        </w:rPr>
      </w:pPr>
      <w:r w:rsidRPr="00C35766">
        <w:rPr>
          <w:position w:val="8"/>
          <w:vertAlign w:val="superscript"/>
        </w:rPr>
        <w:t>g</w:t>
      </w:r>
      <w:r w:rsidRPr="00C35766">
        <w:rPr>
          <w:position w:val="8"/>
        </w:rPr>
        <w:t xml:space="preserve"> n=73 placebo e n=70 adalimumab</w:t>
      </w:r>
    </w:p>
    <w:p w14:paraId="15B2E2A7" w14:textId="77777777" w:rsidR="00953B2E" w:rsidRPr="00C35766" w:rsidRDefault="005F0C19">
      <w:pPr>
        <w:pStyle w:val="a3"/>
      </w:pPr>
      <w:r w:rsidRPr="00C35766">
        <w:rPr>
          <w:position w:val="8"/>
          <w:vertAlign w:val="superscript"/>
        </w:rPr>
        <w:t>h</w:t>
      </w:r>
      <w:r w:rsidRPr="00C35766">
        <w:rPr>
          <w:position w:val="8"/>
        </w:rPr>
        <w:t xml:space="preserve"> Spondyloarthritis Research Consortium of Canada</w:t>
      </w:r>
    </w:p>
    <w:p w14:paraId="0AADD0DA" w14:textId="77777777" w:rsidR="00953B2E" w:rsidRPr="00C35766" w:rsidRDefault="005F0C19">
      <w:pPr>
        <w:pStyle w:val="a3"/>
        <w:rPr>
          <w:lang w:val="pt-BR"/>
        </w:rPr>
      </w:pPr>
      <w:r w:rsidRPr="00C35766">
        <w:rPr>
          <w:rFonts w:eastAsia="Times New Roman"/>
          <w:position w:val="8"/>
          <w:vertAlign w:val="superscript"/>
          <w:lang w:val="it-IT"/>
        </w:rPr>
        <w:t>i</w:t>
      </w:r>
      <w:r w:rsidRPr="00C35766">
        <w:rPr>
          <w:rFonts w:eastAsia="Times New Roman"/>
          <w:position w:val="8"/>
          <w:lang w:val="it-IT"/>
        </w:rPr>
        <w:t xml:space="preserve"> n=84 placebo e adalimumab</w:t>
      </w:r>
    </w:p>
    <w:p w14:paraId="4931E6CE" w14:textId="77777777" w:rsidR="00953B2E" w:rsidRPr="00C35766" w:rsidRDefault="005F0C19">
      <w:pPr>
        <w:pStyle w:val="a3"/>
        <w:rPr>
          <w:lang w:val="pt-BR"/>
        </w:rPr>
      </w:pPr>
      <w:r w:rsidRPr="00C35766">
        <w:rPr>
          <w:rFonts w:eastAsia="Times New Roman"/>
          <w:position w:val="8"/>
          <w:vertAlign w:val="superscript"/>
          <w:lang w:val="it-IT"/>
        </w:rPr>
        <w:t xml:space="preserve">j </w:t>
      </w:r>
      <w:r w:rsidRPr="00C35766">
        <w:rPr>
          <w:rFonts w:eastAsia="Times New Roman"/>
          <w:position w:val="8"/>
          <w:lang w:val="it-IT"/>
        </w:rPr>
        <w:t>n=82 placebo e n=85 adalimumab</w:t>
      </w:r>
    </w:p>
    <w:p w14:paraId="1A703BBD" w14:textId="39B6D941" w:rsidR="00953B2E" w:rsidRPr="00C35766" w:rsidRDefault="005F0C19">
      <w:pPr>
        <w:pStyle w:val="a3"/>
        <w:ind w:left="990" w:hangingChars="450" w:hanging="990"/>
        <w:rPr>
          <w:lang w:val="pt-BR"/>
        </w:rPr>
      </w:pPr>
      <w:r w:rsidRPr="00C35766">
        <w:rPr>
          <w:rFonts w:eastAsia="Times New Roman"/>
          <w:lang w:val="it-IT"/>
        </w:rPr>
        <w:t>***, ** Statisticamente significativa a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&lt;</w:t>
      </w:r>
      <w:r w:rsidR="000F35BA" w:rsidRPr="00C35766">
        <w:rPr>
          <w:rFonts w:eastAsia="Times New Roman"/>
          <w:lang w:val="it-IT"/>
        </w:rPr>
        <w:t xml:space="preserve"> </w:t>
      </w:r>
      <w:r w:rsidRPr="00C35766">
        <w:rPr>
          <w:rFonts w:eastAsia="Times New Roman"/>
          <w:lang w:val="it-IT"/>
        </w:rPr>
        <w:t>0,01, e &lt;</w:t>
      </w:r>
      <w:r w:rsidR="000F35BA" w:rsidRPr="00C35766">
        <w:rPr>
          <w:rFonts w:eastAsia="Times New Roman"/>
          <w:lang w:val="it-IT"/>
        </w:rPr>
        <w:t xml:space="preserve"> </w:t>
      </w:r>
      <w:r w:rsidRPr="00C35766">
        <w:rPr>
          <w:rFonts w:eastAsia="Times New Roman"/>
          <w:lang w:val="it-IT"/>
        </w:rPr>
        <w:t>0,05, per tutti i</w:t>
      </w:r>
      <w:r w:rsidR="0071062D" w:rsidRPr="00C35766">
        <w:rPr>
          <w:rFonts w:eastAsia="Times New Roman"/>
          <w:lang w:val="it-IT"/>
        </w:rPr>
        <w:t xml:space="preserve"> </w:t>
      </w:r>
      <w:r w:rsidRPr="00C35766">
        <w:rPr>
          <w:rFonts w:eastAsia="Times New Roman"/>
          <w:lang w:val="it-IT"/>
        </w:rPr>
        <w:t>valori messi a confronto tra adalimumab e placebo</w:t>
      </w:r>
    </w:p>
    <w:p w14:paraId="5EB07F66" w14:textId="77777777" w:rsidR="00953B2E" w:rsidRPr="00C35766" w:rsidRDefault="00953B2E">
      <w:pPr>
        <w:spacing w:before="14" w:line="240" w:lineRule="exact"/>
        <w:rPr>
          <w:rFonts w:ascii="Times New Roman" w:hAnsi="Times New Roman" w:cs="Times New Roman"/>
          <w:sz w:val="24"/>
          <w:szCs w:val="24"/>
          <w:lang w:val="pt-BR"/>
        </w:rPr>
      </w:pPr>
    </w:p>
    <w:p w14:paraId="34145FAC" w14:textId="77777777" w:rsidR="00953B2E" w:rsidRPr="00C35766" w:rsidRDefault="005F0C19">
      <w:pPr>
        <w:pStyle w:val="a3"/>
        <w:rPr>
          <w:lang w:val="pt-BR"/>
        </w:rPr>
      </w:pPr>
      <w:r w:rsidRPr="00C35766">
        <w:rPr>
          <w:rFonts w:eastAsia="Times New Roman"/>
          <w:lang w:val="it-IT"/>
        </w:rPr>
        <w:t>Nell’estensione in aperto, il miglioramento dei segni e sintomi è stato mantenuto con la terapia con adalimumab fino alla settimana 156.</w:t>
      </w:r>
    </w:p>
    <w:p w14:paraId="0CA70761" w14:textId="77777777" w:rsidR="00953B2E" w:rsidRPr="00C35766" w:rsidRDefault="00953B2E">
      <w:pPr>
        <w:spacing w:before="11" w:line="240" w:lineRule="exact"/>
        <w:rPr>
          <w:rFonts w:ascii="Times New Roman" w:hAnsi="Times New Roman" w:cs="Times New Roman"/>
          <w:sz w:val="24"/>
          <w:szCs w:val="24"/>
          <w:lang w:val="pt-BR"/>
        </w:rPr>
      </w:pPr>
    </w:p>
    <w:p w14:paraId="7ED2C90F" w14:textId="77777777" w:rsidR="00953B2E" w:rsidRPr="00C35766" w:rsidRDefault="005F0C19">
      <w:pPr>
        <w:pStyle w:val="a3"/>
        <w:rPr>
          <w:lang w:val="pt-BR"/>
        </w:rPr>
      </w:pPr>
      <w:r w:rsidRPr="00C35766">
        <w:rPr>
          <w:rFonts w:eastAsia="Times New Roman"/>
          <w:lang w:val="it-IT"/>
        </w:rPr>
        <w:t>Inibizione dell’infiammazione</w:t>
      </w:r>
    </w:p>
    <w:p w14:paraId="777846D2" w14:textId="77777777" w:rsidR="00953B2E" w:rsidRPr="00C35766" w:rsidRDefault="00953B2E">
      <w:pPr>
        <w:spacing w:before="13" w:line="240" w:lineRule="exact"/>
        <w:rPr>
          <w:rFonts w:ascii="Times New Roman" w:hAnsi="Times New Roman" w:cs="Times New Roman"/>
          <w:sz w:val="24"/>
          <w:szCs w:val="24"/>
          <w:lang w:val="pt-BR"/>
        </w:rPr>
      </w:pPr>
    </w:p>
    <w:p w14:paraId="5C41E897" w14:textId="77777777" w:rsidR="00953B2E" w:rsidRPr="00C35766" w:rsidRDefault="005F0C19">
      <w:pPr>
        <w:pStyle w:val="a3"/>
        <w:rPr>
          <w:lang w:val="pt-BR"/>
        </w:rPr>
      </w:pPr>
      <w:r w:rsidRPr="00C35766">
        <w:rPr>
          <w:rFonts w:eastAsia="Times New Roman"/>
          <w:lang w:val="it-IT"/>
        </w:rPr>
        <w:t>Un miglioramento significativo dei segni dell’infiammazione, come mostrato dai livelli di hs-PCR e dai segni alla RM sia per le articolazioni sacroiliache sia per la colonna vertebrale, è stato mantenuto nei pazienti trattati con adalimumab rispettivamente fino alla settimana 156 e la settimana 104.</w:t>
      </w:r>
    </w:p>
    <w:p w14:paraId="6784BDE6" w14:textId="77777777" w:rsidR="00953B2E" w:rsidRPr="00C35766" w:rsidRDefault="00953B2E">
      <w:pPr>
        <w:spacing w:before="11" w:line="240" w:lineRule="exact"/>
        <w:rPr>
          <w:rFonts w:ascii="Times New Roman" w:hAnsi="Times New Roman" w:cs="Times New Roman"/>
          <w:sz w:val="24"/>
          <w:szCs w:val="24"/>
          <w:lang w:val="pt-BR"/>
        </w:rPr>
      </w:pPr>
    </w:p>
    <w:p w14:paraId="6A76009C" w14:textId="77777777" w:rsidR="00953B2E" w:rsidRPr="00C35766" w:rsidRDefault="005F0C19">
      <w:pPr>
        <w:pStyle w:val="a3"/>
        <w:rPr>
          <w:lang w:val="pt-BR"/>
        </w:rPr>
      </w:pPr>
      <w:r w:rsidRPr="00C35766">
        <w:rPr>
          <w:rFonts w:eastAsia="Times New Roman"/>
          <w:lang w:val="it-IT"/>
        </w:rPr>
        <w:t>Qualità della vita e funzionalità fisica</w:t>
      </w:r>
    </w:p>
    <w:p w14:paraId="4C025BA1" w14:textId="77777777" w:rsidR="00953B2E" w:rsidRPr="00C35766" w:rsidRDefault="00953B2E">
      <w:pPr>
        <w:spacing w:before="1" w:line="180" w:lineRule="exact"/>
        <w:rPr>
          <w:rFonts w:ascii="Times New Roman" w:hAnsi="Times New Roman" w:cs="Times New Roman"/>
          <w:sz w:val="18"/>
          <w:szCs w:val="18"/>
          <w:lang w:val="pt-BR"/>
        </w:rPr>
      </w:pPr>
    </w:p>
    <w:p w14:paraId="11820C1A" w14:textId="557C4459" w:rsidR="00953B2E" w:rsidRPr="00C35766" w:rsidRDefault="005F0C19">
      <w:pPr>
        <w:pStyle w:val="a3"/>
        <w:rPr>
          <w:lang w:val="it-IT"/>
        </w:rPr>
      </w:pPr>
      <w:r w:rsidRPr="00C35766">
        <w:rPr>
          <w:rFonts w:eastAsia="Times New Roman"/>
          <w:lang w:val="it-IT"/>
        </w:rPr>
        <w:t>La qualità di vita correlata allo stato di salute e la funzionalità fisica sono state valutate utilizzando i questionari HAQ-S e SF-36. Adalimumab ha dimostrato, alla settimana 12, un miglioramento dal basale maggiore in misura statisticamente significativa rispetto al placebo nel punteggio dell’HAQ-S totale e nel Physical Component Score (PCS) dell’SF-36. Un miglioramento della qualità di vita correlata alla salute e della funzionalità fisica è stato mantenuto durante l’estensione in aperto fino alla settimana 156.</w:t>
      </w:r>
    </w:p>
    <w:p w14:paraId="45170867" w14:textId="77777777" w:rsidR="00953B2E" w:rsidRPr="00C35766" w:rsidRDefault="00953B2E">
      <w:pPr>
        <w:spacing w:before="13" w:line="240" w:lineRule="exact"/>
        <w:rPr>
          <w:rFonts w:ascii="Times New Roman" w:hAnsi="Times New Roman" w:cs="Times New Roman"/>
          <w:sz w:val="24"/>
          <w:szCs w:val="24"/>
          <w:lang w:val="it-IT"/>
        </w:rPr>
      </w:pPr>
    </w:p>
    <w:p w14:paraId="1FAA31C9" w14:textId="77777777" w:rsidR="00953B2E" w:rsidRPr="00C35766" w:rsidRDefault="005F0C19">
      <w:pPr>
        <w:pStyle w:val="a3"/>
        <w:rPr>
          <w:lang w:val="it-IT"/>
        </w:rPr>
      </w:pPr>
      <w:r w:rsidRPr="00C35766">
        <w:rPr>
          <w:rFonts w:eastAsia="Times New Roman"/>
          <w:spacing w:val="-1"/>
          <w:lang w:val="it-IT"/>
        </w:rPr>
        <w:t>Studio nr-axSpA II</w:t>
      </w:r>
    </w:p>
    <w:p w14:paraId="5F44A1BE" w14:textId="77777777" w:rsidR="00953B2E" w:rsidRPr="00C35766" w:rsidRDefault="00953B2E">
      <w:pPr>
        <w:spacing w:before="14" w:line="240" w:lineRule="exact"/>
        <w:rPr>
          <w:rFonts w:ascii="Times New Roman" w:hAnsi="Times New Roman" w:cs="Times New Roman"/>
          <w:sz w:val="24"/>
          <w:szCs w:val="24"/>
          <w:lang w:val="it-IT"/>
        </w:rPr>
      </w:pPr>
    </w:p>
    <w:p w14:paraId="66FDD8ED" w14:textId="77777777" w:rsidR="00953B2E" w:rsidRPr="00C35766" w:rsidRDefault="005F0C19">
      <w:pPr>
        <w:pStyle w:val="a3"/>
        <w:rPr>
          <w:lang w:val="it-IT"/>
        </w:rPr>
      </w:pPr>
      <w:r w:rsidRPr="00C35766">
        <w:rPr>
          <w:rFonts w:eastAsia="Times New Roman"/>
          <w:lang w:val="it-IT"/>
        </w:rPr>
        <w:t xml:space="preserve">Seicentosettantatre (673) pazienti con nr-axSpA attiva (attività media di malattia al basale [mean baseline disease activity, BASDAI] pari a 7,0) e risposta inadeguata a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2 FANS, oppure intolleranza o controindicazione ai FANS, sono stati arruolati nel periodo in aperto dello studio nr-axSpA II, durante il quale hanno ricevuto adalimumab 40 mg a settimane alterne per 28 settimane.</w:t>
      </w:r>
    </w:p>
    <w:p w14:paraId="3377F34F" w14:textId="77777777" w:rsidR="00953B2E" w:rsidRPr="00C35766" w:rsidRDefault="00953B2E">
      <w:pPr>
        <w:pStyle w:val="a3"/>
        <w:rPr>
          <w:lang w:val="it-IT"/>
        </w:rPr>
      </w:pPr>
    </w:p>
    <w:p w14:paraId="1BBDF72B" w14:textId="77777777" w:rsidR="00953B2E" w:rsidRPr="00C35766" w:rsidRDefault="005F0C19">
      <w:pPr>
        <w:pStyle w:val="a3"/>
        <w:rPr>
          <w:lang w:val="it-IT"/>
        </w:rPr>
      </w:pPr>
      <w:r w:rsidRPr="00C35766">
        <w:rPr>
          <w:rFonts w:eastAsia="Times New Roman"/>
          <w:lang w:val="it-IT"/>
        </w:rPr>
        <w:t>Questi pazienti presentavano anche evidenza obiettiva di infiammazione alle articolazioni sacroiliache o alla colonna vertebrale alla RM o una hs-PCR elevata. I pazienti che avevano ottenuto una remissione duratura per almeno 12 settimane (N=305) (ASDAS &lt; 1,3 alle settimane 16, 20, 24 e 28) durante il periodo in aperto sono stati quindi randomizzati a proseguire il trattamento con adalimumab 40 mg a settimane alterne (N=152) o a ricevere un placebo (N=153) per altre 40 settimane in uno studio in doppio cieco, controllato verso placebo (durata complessiva dello studio: 68 settimane). I soggetti che presentavano esacerbazioni durante il periodo in doppio cieco potevano ricorrere ad adalimumab 40 mg a settimane alterne come terapia di salvataggio per almeno 12 settimane.</w:t>
      </w:r>
    </w:p>
    <w:p w14:paraId="61BFDB73" w14:textId="77777777" w:rsidR="00953B2E" w:rsidRPr="00C35766" w:rsidRDefault="00953B2E">
      <w:pPr>
        <w:spacing w:before="14" w:line="240" w:lineRule="exact"/>
        <w:rPr>
          <w:rFonts w:ascii="Times New Roman" w:hAnsi="Times New Roman" w:cs="Times New Roman"/>
          <w:sz w:val="24"/>
          <w:szCs w:val="24"/>
          <w:lang w:val="it-IT"/>
        </w:rPr>
      </w:pPr>
    </w:p>
    <w:p w14:paraId="1852B8C6" w14:textId="2517187D" w:rsidR="00953B2E" w:rsidRPr="00C35766" w:rsidRDefault="005F0C19">
      <w:pPr>
        <w:pStyle w:val="a3"/>
        <w:rPr>
          <w:lang w:val="it-IT"/>
        </w:rPr>
      </w:pPr>
      <w:r w:rsidRPr="00C35766">
        <w:rPr>
          <w:rFonts w:eastAsia="Times New Roman"/>
          <w:lang w:val="it-IT"/>
        </w:rPr>
        <w:lastRenderedPageBreak/>
        <w:t>L’endpoint primario di efficacia era la percentuale di pazienti senza esacerbazioni alla settimana 68 dello studio. La riacutizzazione è stata definita come ASDAS ≥ 2,1 a due visite consecutive a distanza di quattro settimane. Una percentuale maggiore di pazienti che ricevevano adalimumab non ha presentato riacutizzazioni della malattia durante il periodo in doppio cieco in confronto a quelli che ricevevano il placebo (70,4% vs. 47,1%,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(Figura 1).</w:t>
      </w:r>
    </w:p>
    <w:p w14:paraId="38875048" w14:textId="77777777" w:rsidR="00953B2E" w:rsidRPr="00C35766" w:rsidRDefault="00953B2E">
      <w:pPr>
        <w:spacing w:before="2" w:line="260" w:lineRule="exact"/>
        <w:rPr>
          <w:rFonts w:ascii="Times New Roman" w:hAnsi="Times New Roman" w:cs="Times New Roman"/>
          <w:sz w:val="26"/>
          <w:szCs w:val="26"/>
          <w:lang w:val="it-IT"/>
        </w:rPr>
      </w:pPr>
    </w:p>
    <w:p w14:paraId="3A1FB785" w14:textId="4E061A24" w:rsidR="00953B2E" w:rsidRPr="00C35766" w:rsidRDefault="005F0C19" w:rsidP="00787805">
      <w:pPr>
        <w:pStyle w:val="a3"/>
        <w:keepNext/>
        <w:jc w:val="center"/>
        <w:rPr>
          <w:b/>
          <w:lang w:val="it-IT"/>
        </w:rPr>
      </w:pPr>
      <w:r w:rsidRPr="00C35766">
        <w:rPr>
          <w:rFonts w:eastAsia="Times New Roman"/>
          <w:b/>
          <w:bCs/>
          <w:lang w:val="it-IT"/>
        </w:rPr>
        <w:t>Figura 1: Curve di Kaplan-Meier che riassumono il tempo alla riacutizzazione nello studio nr-axSpA II</w:t>
      </w:r>
    </w:p>
    <w:p w14:paraId="6DD0293A" w14:textId="5D159C60" w:rsidR="00953B2E" w:rsidRPr="00C35766" w:rsidRDefault="00F51B72">
      <w:pPr>
        <w:ind w:left="675" w:right="10920"/>
        <w:rPr>
          <w:rFonts w:ascii="Times New Roman" w:eastAsia="Times New Roman" w:hAnsi="Times New Roman" w:cs="Times New Roman"/>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261" behindDoc="0" locked="0" layoutInCell="1" allowOverlap="1" wp14:anchorId="7A1A98C1" wp14:editId="6BFC4209">
                <wp:simplePos x="0" y="0"/>
                <wp:positionH relativeFrom="column">
                  <wp:posOffset>462280</wp:posOffset>
                </wp:positionH>
                <wp:positionV relativeFrom="paragraph">
                  <wp:posOffset>2700020</wp:posOffset>
                </wp:positionV>
                <wp:extent cx="436880" cy="273997"/>
                <wp:effectExtent l="0" t="0" r="1270" b="0"/>
                <wp:wrapNone/>
                <wp:docPr id="21" name="Text Box 21"/>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8A5E3" w14:textId="77777777" w:rsidR="00D97785" w:rsidRPr="00146E60" w:rsidRDefault="00D97785">
                            <w:pPr>
                              <w:rPr>
                                <w:rFonts w:ascii="Arial" w:hAnsi="Arial" w:cs="Arial"/>
                                <w:sz w:val="14"/>
                                <w:szCs w:val="16"/>
                              </w:rPr>
                            </w:pPr>
                            <w:r w:rsidRPr="00146E60">
                              <w:rPr>
                                <w:rFonts w:ascii="Arial" w:eastAsia="Times New Roman" w:hAnsi="Arial" w:cs="Arial"/>
                                <w:sz w:val="14"/>
                                <w:szCs w:val="16"/>
                                <w:lang w:val="it-IT"/>
                              </w:rPr>
                              <w:t>P</w:t>
                            </w:r>
                          </w:p>
                          <w:p w14:paraId="1BE0B528" w14:textId="77777777" w:rsidR="00D97785" w:rsidRPr="00146E60" w:rsidRDefault="00D97785">
                            <w:pPr>
                              <w:rPr>
                                <w:rFonts w:ascii="Arial" w:hAnsi="Arial" w:cs="Arial"/>
                                <w:sz w:val="14"/>
                                <w:szCs w:val="16"/>
                              </w:rPr>
                            </w:pPr>
                            <w:r w:rsidRPr="00146E60">
                              <w:rPr>
                                <w:rFonts w:ascii="Arial" w:eastAsia="Times New Roman" w:hAnsi="Arial" w:cs="Arial"/>
                                <w:sz w:val="14"/>
                                <w:szCs w:val="16"/>
                                <w:lang w:val="it-I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7A1A98C1" id="_x0000_t202" coordsize="21600,21600" o:spt="202" path="m,l,21600r21600,l21600,xe">
                <v:stroke joinstyle="miter"/>
                <v:path gradientshapeok="t" o:connecttype="rect"/>
              </v:shapetype>
              <v:shape id="Text Box 21" o:spid="_x0000_s1026" type="#_x0000_t202" style="position:absolute;left:0;text-align:left;margin-left:36.4pt;margin-top:212.6pt;width:34.4pt;height:21.5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" fillcolor="white [3212]" stroked="f" strokeweight=".5pt">
                <v:textbox inset="0,0,0,0">
                  <w:txbxContent>
                    <w:p w14:paraId="1858A5E3" w14:textId="77777777" w:rsidR="00D97785" w:rsidRPr="00146E60" w:rsidRDefault="00D97785">
                      <w:pPr>
                        <w:rPr>
                          <w:rFonts w:ascii="Arial" w:hAnsi="Arial" w:cs="Arial"/>
                          <w:sz w:val="14"/>
                          <w:szCs w:val="16"/>
                        </w:rPr>
                      </w:pPr>
                      <w:r w:rsidRPr="00146E60">
                        <w:rPr>
                          <w:rFonts w:ascii="Arial" w:eastAsia="Times New Roman" w:hAnsi="Arial" w:cs="Arial"/>
                          <w:sz w:val="14"/>
                          <w:szCs w:val="16"/>
                          <w:lang w:val="it-IT"/>
                        </w:rPr>
                        <w:t>P</w:t>
                      </w:r>
                    </w:p>
                    <w:p w14:paraId="1BE0B528" w14:textId="77777777" w:rsidR="00D97785" w:rsidRPr="00146E60" w:rsidRDefault="00D97785">
                      <w:pPr>
                        <w:rPr>
                          <w:rFonts w:ascii="Arial" w:hAnsi="Arial" w:cs="Arial"/>
                          <w:sz w:val="14"/>
                          <w:szCs w:val="16"/>
                        </w:rPr>
                      </w:pPr>
                      <w:r w:rsidRPr="00146E60">
                        <w:rPr>
                          <w:rFonts w:ascii="Arial" w:eastAsia="Times New Roman" w:hAnsi="Arial" w:cs="Arial"/>
                          <w:sz w:val="14"/>
                          <w:szCs w:val="16"/>
                          <w:lang w:val="it-IT"/>
                        </w:rPr>
                        <w:t>A</w:t>
                      </w:r>
                    </w:p>
                  </w:txbxContent>
                </v:textbox>
              </v:shape>
            </w:pict>
          </mc:Fallback>
        </mc:AlternateContent>
      </w:r>
      <w:r w:rsidR="00BB50EF"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241" behindDoc="1" locked="0" layoutInCell="1" allowOverlap="1" wp14:anchorId="77D541E4" wp14:editId="6FBD2BDC">
                <wp:simplePos x="0" y="0"/>
                <wp:positionH relativeFrom="page">
                  <wp:posOffset>967740</wp:posOffset>
                </wp:positionH>
                <wp:positionV relativeFrom="paragraph">
                  <wp:posOffset>300990</wp:posOffset>
                </wp:positionV>
                <wp:extent cx="342900" cy="1804670"/>
                <wp:effectExtent l="0" t="0" r="0" b="5080"/>
                <wp:wrapNone/>
                <wp:docPr id="3900" name="Text Box 3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80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D74CC" w14:textId="77777777" w:rsidR="00D97785" w:rsidRDefault="00D97785">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it-IT"/>
                              </w:rPr>
                              <w:t>PROBABILITÀ DI ASSENZA DI RIACUTIZZAZIONE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541E4" id="Text Box 3915" o:spid="_x0000_s1027" type="#_x0000_t202" style="position:absolute;left:0;text-align:left;margin-left:76.2pt;margin-top:23.7pt;width:27pt;height:142.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" filled="f" stroked="f">
                <v:textbox style="layout-flow:vertical;mso-layout-flow-alt:bottom-to-top" inset="0,0,0,0">
                  <w:txbxContent>
                    <w:p w14:paraId="6E6D74CC" w14:textId="77777777" w:rsidR="00D97785" w:rsidRDefault="00D97785">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it-IT"/>
                        </w:rPr>
                        <w:t>PROBABILITÀ DI ASSENZA DI RIACUTIZZAZIONE</w:t>
                      </w:r>
                    </w:p>
                  </w:txbxContent>
                </v:textbox>
                <w10:wrap anchorx="page"/>
              </v:shape>
            </w:pict>
          </mc:Fallback>
        </mc:AlternateContent>
      </w:r>
      <w:r w:rsidR="00BB50EF" w:rsidRPr="00C35766">
        <w:rPr>
          <w:rFonts w:ascii="Times New Roman" w:hAnsi="Times New Roman" w:cs="Times New Roman"/>
          <w:b/>
          <w:noProof/>
          <w:lang w:eastAsia="ko-KR"/>
        </w:rPr>
        <mc:AlternateContent>
          <mc:Choice Requires="wps">
            <w:drawing>
              <wp:anchor distT="0" distB="0" distL="114300" distR="114300" simplePos="0" relativeHeight="251658260" behindDoc="0" locked="0" layoutInCell="1" allowOverlap="1" wp14:anchorId="1D29F584" wp14:editId="67D13F6B">
                <wp:simplePos x="0" y="0"/>
                <wp:positionH relativeFrom="column">
                  <wp:posOffset>439420</wp:posOffset>
                </wp:positionH>
                <wp:positionV relativeFrom="paragraph">
                  <wp:posOffset>64770</wp:posOffset>
                </wp:positionV>
                <wp:extent cx="139700" cy="23050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39700" cy="2305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78B47"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1,0</w:t>
                            </w:r>
                          </w:p>
                          <w:p w14:paraId="09C6E15D"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0,9</w:t>
                            </w:r>
                          </w:p>
                          <w:p w14:paraId="2DC05399"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0,8</w:t>
                            </w:r>
                          </w:p>
                          <w:p w14:paraId="4653F1DE"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0,7</w:t>
                            </w:r>
                          </w:p>
                          <w:p w14:paraId="1D72B0F6"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0,6</w:t>
                            </w:r>
                          </w:p>
                          <w:p w14:paraId="53FB82A4"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0,5</w:t>
                            </w:r>
                          </w:p>
                          <w:p w14:paraId="72CFAD09"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0,4</w:t>
                            </w:r>
                          </w:p>
                          <w:p w14:paraId="242E1BD8"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0,3</w:t>
                            </w:r>
                          </w:p>
                          <w:p w14:paraId="17EF04C3"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0,2</w:t>
                            </w:r>
                          </w:p>
                          <w:p w14:paraId="479677C5"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0,1</w:t>
                            </w:r>
                          </w:p>
                          <w:p w14:paraId="727D8C9E"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D29F584" id="Text Box 20" o:spid="_x0000_s1028" type="#_x0000_t202" style="position:absolute;left:0;text-align:left;margin-left:34.6pt;margin-top:5.1pt;width:11pt;height:181.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" fillcolor="white [3212]" stroked="f" strokeweight=".5pt">
                <v:textbox inset="0,0,0,0">
                  <w:txbxContent>
                    <w:p w14:paraId="0D978B47"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1,0</w:t>
                      </w:r>
                    </w:p>
                    <w:p w14:paraId="09C6E15D"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0,9</w:t>
                      </w:r>
                    </w:p>
                    <w:p w14:paraId="2DC05399"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0,8</w:t>
                      </w:r>
                    </w:p>
                    <w:p w14:paraId="4653F1DE"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0,7</w:t>
                      </w:r>
                    </w:p>
                    <w:p w14:paraId="1D72B0F6"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0,6</w:t>
                      </w:r>
                    </w:p>
                    <w:p w14:paraId="53FB82A4"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0,5</w:t>
                      </w:r>
                    </w:p>
                    <w:p w14:paraId="72CFAD09"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0,4</w:t>
                      </w:r>
                    </w:p>
                    <w:p w14:paraId="242E1BD8"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0,3</w:t>
                      </w:r>
                    </w:p>
                    <w:p w14:paraId="17EF04C3"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0,2</w:t>
                      </w:r>
                    </w:p>
                    <w:p w14:paraId="479677C5"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0,1</w:t>
                      </w:r>
                    </w:p>
                    <w:p w14:paraId="727D8C9E" w14:textId="77777777" w:rsidR="00D97785" w:rsidRDefault="00D97785">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it-IT"/>
                        </w:rPr>
                        <w:t>0,0</w:t>
                      </w:r>
                    </w:p>
                  </w:txbxContent>
                </v:textbox>
              </v:shape>
            </w:pict>
          </mc:Fallback>
        </mc:AlternateContent>
      </w:r>
      <w:r w:rsidR="005F0C19" w:rsidRPr="00C35766">
        <w:rPr>
          <w:rFonts w:ascii="Times New Roman" w:hAnsi="Times New Roman" w:cs="Times New Roman"/>
          <w:noProof/>
          <w:lang w:eastAsia="ko-KR"/>
        </w:rPr>
        <w:drawing>
          <wp:inline distT="0" distB="0" distL="0" distR="0" wp14:anchorId="00398117" wp14:editId="6A109B9F">
            <wp:extent cx="5605060" cy="3241963"/>
            <wp:effectExtent l="0" t="0" r="0" b="0"/>
            <wp:docPr id="85"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9891"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628568" cy="3255560"/>
                    </a:xfrm>
                    <a:prstGeom prst="rect">
                      <a:avLst/>
                    </a:prstGeom>
                    <a:noFill/>
                    <a:ln>
                      <a:noFill/>
                    </a:ln>
                  </pic:spPr>
                </pic:pic>
              </a:graphicData>
            </a:graphic>
          </wp:inline>
        </w:drawing>
      </w:r>
    </w:p>
    <w:p w14:paraId="65CA93F3" w14:textId="77777777" w:rsidR="00953B2E" w:rsidRPr="00C35766" w:rsidRDefault="005F0C19">
      <w:pPr>
        <w:spacing w:before="8"/>
        <w:ind w:left="4309" w:right="3834"/>
        <w:jc w:val="center"/>
        <w:rPr>
          <w:rFonts w:ascii="Times New Roman" w:eastAsia="Times New Roman" w:hAnsi="Times New Roman" w:cs="Times New Roman"/>
          <w:sz w:val="20"/>
          <w:szCs w:val="20"/>
          <w:lang w:val="pt-BR"/>
        </w:rPr>
      </w:pPr>
      <w:r w:rsidRPr="00C35766">
        <w:rPr>
          <w:rFonts w:ascii="Times New Roman" w:eastAsia="Times New Roman" w:hAnsi="Times New Roman" w:cs="Times New Roman"/>
          <w:b/>
          <w:bCs/>
          <w:sz w:val="20"/>
          <w:szCs w:val="20"/>
          <w:lang w:val="it-IT"/>
        </w:rPr>
        <w:t>TEMPO (SETTIMANE)</w:t>
      </w:r>
    </w:p>
    <w:p w14:paraId="279AB11D" w14:textId="77777777" w:rsidR="00953B2E" w:rsidRPr="00C35766" w:rsidRDefault="005F0C19">
      <w:pPr>
        <w:tabs>
          <w:tab w:val="left" w:pos="3742"/>
          <w:tab w:val="left" w:pos="4625"/>
          <w:tab w:val="left" w:pos="5256"/>
          <w:tab w:val="left" w:pos="6195"/>
        </w:tabs>
        <w:spacing w:line="226" w:lineRule="exact"/>
        <w:ind w:left="1918"/>
        <w:rPr>
          <w:rFonts w:ascii="Times New Roman" w:eastAsia="Times New Roman" w:hAnsi="Times New Roman" w:cs="Times New Roman"/>
          <w:sz w:val="20"/>
          <w:szCs w:val="20"/>
          <w:lang w:val="pt-BR"/>
        </w:rPr>
      </w:pPr>
      <w:r w:rsidRPr="00C35766">
        <w:rPr>
          <w:rFonts w:ascii="Times New Roman" w:eastAsiaTheme="minorHAnsi" w:hAnsi="Times New Roman" w:cs="Times New Roman"/>
          <w:noProof/>
          <w:lang w:eastAsia="ko-KR"/>
        </w:rPr>
        <mc:AlternateContent>
          <mc:Choice Requires="wpg">
            <w:drawing>
              <wp:anchor distT="0" distB="0" distL="114300" distR="114300" simplePos="0" relativeHeight="251658240" behindDoc="1" locked="0" layoutInCell="1" allowOverlap="1" wp14:anchorId="36BD4D9D" wp14:editId="051C03F5">
                <wp:simplePos x="0" y="0"/>
                <wp:positionH relativeFrom="page">
                  <wp:posOffset>2773680</wp:posOffset>
                </wp:positionH>
                <wp:positionV relativeFrom="paragraph">
                  <wp:posOffset>70485</wp:posOffset>
                </wp:positionV>
                <wp:extent cx="401955" cy="59055"/>
                <wp:effectExtent l="1905" t="0" r="5715" b="0"/>
                <wp:wrapNone/>
                <wp:docPr id="3885" name="Group 3899"/>
                <wp:cNvGraphicFramePr/>
                <a:graphic xmlns:a="http://schemas.openxmlformats.org/drawingml/2006/main">
                  <a:graphicData uri="http://schemas.microsoft.com/office/word/2010/wordprocessingGroup">
                    <wpg:wgp>
                      <wpg:cNvGrpSpPr/>
                      <wpg:grpSpPr>
                        <a:xfrm>
                          <a:off x="0" y="0"/>
                          <a:ext cx="401955" cy="59055"/>
                          <a:chOff x="4368" y="111"/>
                          <a:chExt cx="633" cy="93"/>
                        </a:xfrm>
                      </wpg:grpSpPr>
                      <wpg:grpSp>
                        <wpg:cNvPr id="3886" name="Group 3912"/>
                        <wpg:cNvGrpSpPr/>
                        <wpg:grpSpPr>
                          <a:xfrm>
                            <a:off x="4392" y="134"/>
                            <a:ext cx="46" cy="46"/>
                            <a:chOff x="4392" y="134"/>
                            <a:chExt cx="46" cy="46"/>
                          </a:xfrm>
                        </wpg:grpSpPr>
                        <wps:wsp>
                          <wps:cNvPr id="3887" name="Freeform 3913"/>
                          <wps:cNvSpPr/>
                          <wps:spPr bwMode="auto">
                            <a:xfrm>
                              <a:off x="4392" y="134"/>
                              <a:ext cx="46" cy="46"/>
                            </a:xfrm>
                            <a:custGeom>
                              <a:avLst/>
                              <a:gdLst>
                                <a:gd name="T0" fmla="+- 0 4392 4392"/>
                                <a:gd name="T1" fmla="*/ T0 w 46"/>
                                <a:gd name="T2" fmla="+- 0 157 134"/>
                                <a:gd name="T3" fmla="*/ 157 h 46"/>
                                <a:gd name="T4" fmla="+- 0 4438 439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88" name="Group 3910"/>
                        <wpg:cNvGrpSpPr/>
                        <wpg:grpSpPr>
                          <a:xfrm>
                            <a:off x="4481" y="134"/>
                            <a:ext cx="46" cy="46"/>
                            <a:chOff x="4481" y="134"/>
                            <a:chExt cx="46" cy="46"/>
                          </a:xfrm>
                        </wpg:grpSpPr>
                        <wps:wsp>
                          <wps:cNvPr id="3889" name="Freeform 3911"/>
                          <wps:cNvSpPr/>
                          <wps:spPr bwMode="auto">
                            <a:xfrm>
                              <a:off x="4481" y="134"/>
                              <a:ext cx="46" cy="46"/>
                            </a:xfrm>
                            <a:custGeom>
                              <a:avLst/>
                              <a:gdLst>
                                <a:gd name="T0" fmla="+- 0 4481 4481"/>
                                <a:gd name="T1" fmla="*/ T0 w 46"/>
                                <a:gd name="T2" fmla="+- 0 157 134"/>
                                <a:gd name="T3" fmla="*/ 157 h 46"/>
                                <a:gd name="T4" fmla="+- 0 4526 448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0" name="Group 3908"/>
                        <wpg:cNvGrpSpPr/>
                        <wpg:grpSpPr>
                          <a:xfrm>
                            <a:off x="4572" y="134"/>
                            <a:ext cx="46" cy="46"/>
                            <a:chOff x="4572" y="134"/>
                            <a:chExt cx="46" cy="46"/>
                          </a:xfrm>
                        </wpg:grpSpPr>
                        <wps:wsp>
                          <wps:cNvPr id="3891" name="Freeform 3909"/>
                          <wps:cNvSpPr/>
                          <wps:spPr bwMode="auto">
                            <a:xfrm>
                              <a:off x="4572" y="134"/>
                              <a:ext cx="46" cy="46"/>
                            </a:xfrm>
                            <a:custGeom>
                              <a:avLst/>
                              <a:gdLst>
                                <a:gd name="T0" fmla="+- 0 4572 4572"/>
                                <a:gd name="T1" fmla="*/ T0 w 46"/>
                                <a:gd name="T2" fmla="+- 0 157 134"/>
                                <a:gd name="T3" fmla="*/ 157 h 46"/>
                                <a:gd name="T4" fmla="+- 0 4618 457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2" name="Group 3906"/>
                        <wpg:cNvGrpSpPr/>
                        <wpg:grpSpPr>
                          <a:xfrm>
                            <a:off x="4661" y="134"/>
                            <a:ext cx="46" cy="46"/>
                            <a:chOff x="4661" y="134"/>
                            <a:chExt cx="46" cy="46"/>
                          </a:xfrm>
                        </wpg:grpSpPr>
                        <wps:wsp>
                          <wps:cNvPr id="3893" name="Freeform 3907"/>
                          <wps:cNvSpPr/>
                          <wps:spPr bwMode="auto">
                            <a:xfrm>
                              <a:off x="4661" y="134"/>
                              <a:ext cx="46" cy="46"/>
                            </a:xfrm>
                            <a:custGeom>
                              <a:avLst/>
                              <a:gdLst>
                                <a:gd name="T0" fmla="+- 0 4661 4661"/>
                                <a:gd name="T1" fmla="*/ T0 w 46"/>
                                <a:gd name="T2" fmla="+- 0 157 134"/>
                                <a:gd name="T3" fmla="*/ 157 h 46"/>
                                <a:gd name="T4" fmla="+- 0 4706 466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4" name="Group 3904"/>
                        <wpg:cNvGrpSpPr/>
                        <wpg:grpSpPr>
                          <a:xfrm>
                            <a:off x="4752" y="134"/>
                            <a:ext cx="46" cy="46"/>
                            <a:chOff x="4752" y="134"/>
                            <a:chExt cx="46" cy="46"/>
                          </a:xfrm>
                        </wpg:grpSpPr>
                        <wps:wsp>
                          <wps:cNvPr id="3895" name="Freeform 3905"/>
                          <wps:cNvSpPr/>
                          <wps:spPr bwMode="auto">
                            <a:xfrm>
                              <a:off x="4752" y="134"/>
                              <a:ext cx="46" cy="46"/>
                            </a:xfrm>
                            <a:custGeom>
                              <a:avLst/>
                              <a:gdLst>
                                <a:gd name="T0" fmla="+- 0 4752 4752"/>
                                <a:gd name="T1" fmla="*/ T0 w 46"/>
                                <a:gd name="T2" fmla="+- 0 157 134"/>
                                <a:gd name="T3" fmla="*/ 157 h 46"/>
                                <a:gd name="T4" fmla="+- 0 4798 475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6" name="Group 3902"/>
                        <wpg:cNvGrpSpPr/>
                        <wpg:grpSpPr>
                          <a:xfrm>
                            <a:off x="4841" y="134"/>
                            <a:ext cx="46" cy="46"/>
                            <a:chOff x="4841" y="134"/>
                            <a:chExt cx="46" cy="46"/>
                          </a:xfrm>
                        </wpg:grpSpPr>
                        <wps:wsp>
                          <wps:cNvPr id="3897" name="Freeform 3903"/>
                          <wps:cNvSpPr/>
                          <wps:spPr bwMode="auto">
                            <a:xfrm>
                              <a:off x="4841" y="134"/>
                              <a:ext cx="46" cy="46"/>
                            </a:xfrm>
                            <a:custGeom>
                              <a:avLst/>
                              <a:gdLst>
                                <a:gd name="T0" fmla="+- 0 4841 4841"/>
                                <a:gd name="T1" fmla="*/ T0 w 46"/>
                                <a:gd name="T2" fmla="+- 0 157 134"/>
                                <a:gd name="T3" fmla="*/ 157 h 46"/>
                                <a:gd name="T4" fmla="+- 0 4886 484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8" name="Group 3900"/>
                        <wpg:cNvGrpSpPr/>
                        <wpg:grpSpPr>
                          <a:xfrm>
                            <a:off x="4932" y="134"/>
                            <a:ext cx="46" cy="46"/>
                            <a:chOff x="4932" y="134"/>
                            <a:chExt cx="46" cy="46"/>
                          </a:xfrm>
                        </wpg:grpSpPr>
                        <wps:wsp>
                          <wps:cNvPr id="3899" name="Freeform 3901"/>
                          <wps:cNvSpPr/>
                          <wps:spPr bwMode="auto">
                            <a:xfrm>
                              <a:off x="4932" y="134"/>
                              <a:ext cx="46" cy="46"/>
                            </a:xfrm>
                            <a:custGeom>
                              <a:avLst/>
                              <a:gdLst>
                                <a:gd name="T0" fmla="+- 0 4932 4932"/>
                                <a:gd name="T1" fmla="*/ T0 w 46"/>
                                <a:gd name="T2" fmla="+- 0 157 134"/>
                                <a:gd name="T3" fmla="*/ 157 h 46"/>
                                <a:gd name="T4" fmla="+- 0 4978 493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14:sizeRelH relativeFrom="page">
                  <wp14:pctWidth>0</wp14:pctWidth>
                </wp14:sizeRelH>
                <wp14:sizeRelV relativeFrom="page">
                  <wp14:pctHeight>0</wp14:pctHeight>
                </wp14:sizeRelV>
              </wp:anchor>
            </w:drawing>
          </mc:Choice>
          <mc:Fallback>
            <w:pict>
              <v:group w14:anchorId="344FB61D" id="Group 3899" o:spid="_x0000_s1026" style="position:absolute;margin-left:218.4pt;margin-top:5.55pt;width:31.65pt;height:4.65pt;z-index:-251660288;mso-position-horizontal-relative:page" coordorigin="4368,111" coordsize="63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">
                <v:group id="Group 3912" o:spid="_x0000_s1027" style="position:absolute;left:4392;top:134;width:46;height:46" coordorigin="439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">
                  <v:shape id="Freeform 3913" o:spid="_x0000_s1028" style="position:absolute;left:439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" path="m,23r46,e" filled="f" strokecolor="#585858" strokeweight="2.38pt">
                    <v:path arrowok="t" o:connecttype="custom" o:connectlocs="0,157;46,157" o:connectangles="0,0"/>
                  </v:shape>
                </v:group>
                <v:group id="Group 3910" o:spid="_x0000_s1029" style="position:absolute;left:4481;top:134;width:46;height:46" coordorigin="448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">
                  <v:shape id="Freeform 3911" o:spid="_x0000_s1030" style="position:absolute;left:448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" path="m,23r45,e" filled="f" strokecolor="#585858" strokeweight="2.38pt">
                    <v:path arrowok="t" o:connecttype="custom" o:connectlocs="0,157;45,157" o:connectangles="0,0"/>
                  </v:shape>
                </v:group>
                <v:group id="Group 3908" o:spid="_x0000_s1031" style="position:absolute;left:4572;top:134;width:46;height:46" coordorigin="457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">
                  <v:shape id="Freeform 3909" o:spid="_x0000_s1032" style="position:absolute;left:457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" path="m,23r46,e" filled="f" strokecolor="#585858" strokeweight="2.38pt">
                    <v:path arrowok="t" o:connecttype="custom" o:connectlocs="0,157;46,157" o:connectangles="0,0"/>
                  </v:shape>
                </v:group>
                <v:group id="Group 3906" o:spid="_x0000_s1033" style="position:absolute;left:4661;top:134;width:46;height:46" coordorigin="466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">
                  <v:shape id="Freeform 3907" o:spid="_x0000_s1034" style="position:absolute;left:466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" path="m,23r45,e" filled="f" strokecolor="#585858" strokeweight="2.38pt">
                    <v:path arrowok="t" o:connecttype="custom" o:connectlocs="0,157;45,157" o:connectangles="0,0"/>
                  </v:shape>
                </v:group>
                <v:group id="Group 3904" o:spid="_x0000_s1035" style="position:absolute;left:4752;top:134;width:46;height:46" coordorigin="475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V8xwAAAN0AAAAPAAAAZHJzL2Rvd25yZXYueG1sRI9Pa8JA&#10;FMTvBb/D8oTedBNtRaOriNTSgwj+AfH2yD6TYPZtyK5J/PbdgtDjMDO/YRarzpSiodoVlhXEwwgE&#10;cWp1wZmC82k7mIJ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F8EJXzHAAAA3QAA&#10;AA8AAAAAAAAAAAAAAAAABwIAAGRycy9kb3ducmV2LnhtbFBLBQYAAAAAAwADALcAAAD7AgAAAAA=&#10;">
                  <v:shape id="Freeform 3905" o:spid="_x0000_s1036" style="position:absolute;left:475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" path="m,23r46,e" filled="f" strokecolor="#585858" strokeweight="2.38pt">
                    <v:path arrowok="t" o:connecttype="custom" o:connectlocs="0,157;46,157" o:connectangles="0,0"/>
                  </v:shape>
                </v:group>
                <v:group id="Group 3902" o:spid="_x0000_s1037" style="position:absolute;left:4841;top:134;width:46;height:46" coordorigin="484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6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Mx/B6E56AXDwBAAD//wMAUEsBAi0AFAAGAAgAAAAhANvh9svuAAAAhQEAABMAAAAAAAAA&#10;AAAAAAAAAAAAAFtDb250ZW50X1R5cGVzXS54bWxQSwECLQAUAAYACAAAACEAWvQsW78AAAAVAQAA&#10;CwAAAAAAAAAAAAAAAAAfAQAAX3JlbHMvLnJlbHNQSwECLQAUAAYACAAAACEAwJoekMYAAADdAAAA&#10;DwAAAAAAAAAAAAAAAAAHAgAAZHJzL2Rvd25yZXYueG1sUEsFBgAAAAADAAMAtwAAAPoCAAAAAA==&#10;">
                  <v:shape id="Freeform 3903" o:spid="_x0000_s1038" style="position:absolute;left:484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" path="m,23r45,e" filled="f" strokecolor="#585858" strokeweight="2.38pt">
                    <v:path arrowok="t" o:connecttype="custom" o:connectlocs="0,157;45,157" o:connectangles="0,0"/>
                  </v:shape>
                </v:group>
                <v:group id="Group 3900" o:spid="_x0000_s1039" style="position:absolute;left:4932;top:134;width:46;height:46" coordorigin="493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">
                  <v:shape id="Freeform 3901" o:spid="_x0000_s1040" style="position:absolute;left:493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" path="m,23r46,e" filled="f" strokecolor="#585858" strokeweight="2.38pt">
                    <v:path arrowok="t" o:connecttype="custom" o:connectlocs="0,157;46,157" o:connectangles="0,0"/>
                  </v:shape>
                </v:group>
                <w10:wrap anchorx="page"/>
              </v:group>
            </w:pict>
          </mc:Fallback>
        </mc:AlternateContent>
      </w:r>
      <w:r w:rsidRPr="00C35766">
        <w:rPr>
          <w:rFonts w:ascii="Times New Roman" w:eastAsia="Times New Roman" w:hAnsi="Times New Roman" w:cs="Times New Roman"/>
          <w:spacing w:val="1"/>
          <w:sz w:val="20"/>
          <w:szCs w:val="20"/>
          <w:lang w:val="it-IT"/>
        </w:rPr>
        <w:t>Trattamento</w:t>
      </w:r>
      <w:r w:rsidRPr="00C35766">
        <w:rPr>
          <w:rFonts w:ascii="Times New Roman" w:eastAsia="Times New Roman" w:hAnsi="Times New Roman" w:cs="Times New Roman"/>
          <w:spacing w:val="1"/>
          <w:sz w:val="20"/>
          <w:szCs w:val="20"/>
          <w:lang w:val="it-IT"/>
        </w:rPr>
        <w:tab/>
        <w:t>Placebo</w:t>
      </w:r>
      <w:r w:rsidRPr="00C35766">
        <w:rPr>
          <w:rFonts w:ascii="Times New Roman" w:eastAsia="Times New Roman" w:hAnsi="Times New Roman" w:cs="Times New Roman"/>
          <w:spacing w:val="1"/>
          <w:sz w:val="20"/>
          <w:szCs w:val="20"/>
          <w:lang w:val="it-IT"/>
        </w:rPr>
        <w:tab/>
      </w:r>
      <w:r w:rsidRPr="00C35766">
        <w:rPr>
          <w:rFonts w:ascii="Times New Roman" w:eastAsia="Times New Roman" w:hAnsi="Times New Roman" w:cs="Times New Roman"/>
          <w:spacing w:val="1"/>
          <w:sz w:val="20"/>
          <w:szCs w:val="20"/>
          <w:u w:val="thick"/>
          <w:lang w:val="it-IT"/>
        </w:rPr>
        <w:tab/>
      </w:r>
      <w:r w:rsidRPr="00C35766">
        <w:rPr>
          <w:rFonts w:ascii="Times New Roman" w:eastAsia="Times New Roman" w:hAnsi="Times New Roman" w:cs="Times New Roman"/>
          <w:spacing w:val="1"/>
          <w:sz w:val="20"/>
          <w:szCs w:val="20"/>
          <w:lang w:val="it-IT"/>
        </w:rPr>
        <w:t>adalimumab</w:t>
      </w:r>
      <w:r w:rsidRPr="00C35766">
        <w:rPr>
          <w:rFonts w:ascii="Times New Roman" w:eastAsia="Times New Roman" w:hAnsi="Times New Roman" w:cs="Times New Roman"/>
          <w:spacing w:val="1"/>
          <w:sz w:val="20"/>
          <w:szCs w:val="20"/>
          <w:lang w:val="it-IT"/>
        </w:rPr>
        <w:tab/>
      </w:r>
      <w:r w:rsidRPr="00C35766">
        <w:rPr>
          <w:rFonts w:ascii="Times New Roman" w:eastAsia="Times New Roman" w:hAnsi="Times New Roman" w:cs="Times New Roman"/>
          <w:spacing w:val="1"/>
          <w:sz w:val="20"/>
          <w:szCs w:val="20"/>
          <w:lang w:val="it-IT"/>
        </w:rPr>
        <w:tab/>
        <w:t>∆ Censurato</w:t>
      </w:r>
    </w:p>
    <w:p w14:paraId="74896539" w14:textId="77777777" w:rsidR="00953B2E" w:rsidRPr="00C35766" w:rsidRDefault="00953B2E">
      <w:pPr>
        <w:spacing w:before="11" w:line="240" w:lineRule="exact"/>
        <w:rPr>
          <w:rFonts w:ascii="Times New Roman" w:hAnsi="Times New Roman" w:cs="Times New Roman"/>
          <w:sz w:val="24"/>
          <w:szCs w:val="24"/>
          <w:lang w:val="pt-BR"/>
        </w:rPr>
      </w:pPr>
    </w:p>
    <w:p w14:paraId="55FD24AE" w14:textId="77777777" w:rsidR="00953B2E" w:rsidRPr="00C35766" w:rsidRDefault="005F0C19">
      <w:pPr>
        <w:pStyle w:val="a3"/>
        <w:rPr>
          <w:lang w:val="pt-BR"/>
        </w:rPr>
      </w:pPr>
      <w:r w:rsidRPr="00C35766">
        <w:rPr>
          <w:rFonts w:eastAsia="Times New Roman"/>
          <w:lang w:val="it-IT"/>
        </w:rPr>
        <w:t>Nota: P = Placebo (numero a rischio (riacutizzato)); A = Adalimumab (numero a rischio (riacutizzato)).</w:t>
      </w:r>
    </w:p>
    <w:p w14:paraId="6B75137B" w14:textId="77777777" w:rsidR="00953B2E" w:rsidRPr="00C35766" w:rsidRDefault="00953B2E">
      <w:pPr>
        <w:spacing w:before="17" w:line="240" w:lineRule="exact"/>
        <w:rPr>
          <w:rFonts w:ascii="Times New Roman" w:hAnsi="Times New Roman" w:cs="Times New Roman"/>
          <w:sz w:val="24"/>
          <w:szCs w:val="24"/>
          <w:lang w:val="pt-BR"/>
        </w:rPr>
      </w:pPr>
    </w:p>
    <w:p w14:paraId="05794196" w14:textId="77777777" w:rsidR="00953B2E" w:rsidRPr="00C35766" w:rsidRDefault="005F0C19">
      <w:pPr>
        <w:pStyle w:val="a3"/>
        <w:rPr>
          <w:lang w:val="pt-BR"/>
        </w:rPr>
      </w:pPr>
      <w:r w:rsidRPr="00C35766">
        <w:rPr>
          <w:rFonts w:eastAsia="Times New Roman"/>
          <w:spacing w:val="1"/>
          <w:lang w:val="it-IT"/>
        </w:rPr>
        <w:t xml:space="preserve">Tra i 68 pazienti che presentavano riacutizzazioni nel gruppo assegnato all’interruzione del trattamento, 65 hanno completato 12 settimane di terapia di salvataggio con adalimumab, e 37 di questi (56,9%) hanno raggiunto nuovamente la remissione (ASDAS &lt; 1,3) </w:t>
      </w:r>
      <w:r w:rsidRPr="00C35766">
        <w:rPr>
          <w:rFonts w:eastAsia="Times New Roman"/>
          <w:lang w:val="it-IT"/>
        </w:rPr>
        <w:t>12 settimane dopo la ripresa del trattamento in aperto.</w:t>
      </w:r>
    </w:p>
    <w:p w14:paraId="17D5BA30" w14:textId="77777777" w:rsidR="00953B2E" w:rsidRPr="00C35766" w:rsidRDefault="00953B2E">
      <w:pPr>
        <w:spacing w:before="11" w:line="240" w:lineRule="exact"/>
        <w:rPr>
          <w:rFonts w:ascii="Times New Roman" w:hAnsi="Times New Roman" w:cs="Times New Roman"/>
          <w:sz w:val="24"/>
          <w:szCs w:val="24"/>
          <w:lang w:val="pt-BR"/>
        </w:rPr>
      </w:pPr>
    </w:p>
    <w:p w14:paraId="7D547ABB" w14:textId="38495AD5" w:rsidR="00953B2E" w:rsidRDefault="005F0C19">
      <w:pPr>
        <w:pStyle w:val="a3"/>
        <w:rPr>
          <w:rFonts w:eastAsia="Times New Roman"/>
          <w:spacing w:val="-2"/>
          <w:lang w:val="it-IT"/>
        </w:rPr>
      </w:pPr>
      <w:r w:rsidRPr="00C35766">
        <w:rPr>
          <w:rFonts w:eastAsia="Times New Roman"/>
          <w:spacing w:val="-2"/>
          <w:lang w:val="it-IT"/>
        </w:rPr>
        <w:t>Entro la settimana 68, i pazienti che ricevevano un trattamento continuo con adalimumab hanno presentato un miglioramento dei segni e sintomi di nr-axSpA attiva maggiore, in misura statisticamente significativa, in confronto ai pazienti assegnati all’interruzione del trattamento durante il periodo in doppio cieco dello studio (Tabella 1</w:t>
      </w:r>
      <w:r w:rsidR="00B90373" w:rsidRPr="00C35766">
        <w:rPr>
          <w:rFonts w:eastAsia="Times New Roman"/>
          <w:spacing w:val="-2"/>
          <w:lang w:val="it-IT"/>
        </w:rPr>
        <w:t>4</w:t>
      </w:r>
      <w:r w:rsidRPr="00C35766">
        <w:rPr>
          <w:rFonts w:eastAsia="Times New Roman"/>
          <w:spacing w:val="-2"/>
          <w:lang w:val="it-IT"/>
        </w:rPr>
        <w:t>5).</w:t>
      </w:r>
    </w:p>
    <w:p w14:paraId="712E64C8" w14:textId="77777777" w:rsidR="00F51B72" w:rsidRPr="00C35766" w:rsidRDefault="00F51B72">
      <w:pPr>
        <w:pStyle w:val="a3"/>
        <w:rPr>
          <w:lang w:val="pt-BR"/>
        </w:rPr>
      </w:pPr>
    </w:p>
    <w:p w14:paraId="5B8DC519" w14:textId="69951168"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14</w:t>
      </w:r>
    </w:p>
    <w:p w14:paraId="68CF3861" w14:textId="77777777" w:rsidR="00953B2E" w:rsidRPr="00C35766" w:rsidRDefault="005F0C19">
      <w:pPr>
        <w:pStyle w:val="a3"/>
        <w:jc w:val="center"/>
        <w:rPr>
          <w:b/>
          <w:lang w:val="it-IT"/>
        </w:rPr>
      </w:pPr>
      <w:r w:rsidRPr="00C35766">
        <w:rPr>
          <w:rFonts w:eastAsia="Times New Roman"/>
          <w:b/>
          <w:bCs/>
          <w:lang w:val="it-IT"/>
        </w:rPr>
        <w:t>Risposta di efficacia nel periodo controllato verso placebo dello studio nr-axSpA II</w:t>
      </w:r>
    </w:p>
    <w:p w14:paraId="70B2DB72" w14:textId="77777777" w:rsidR="00953B2E" w:rsidRPr="00C35766" w:rsidRDefault="00953B2E">
      <w:pPr>
        <w:spacing w:before="11" w:line="240" w:lineRule="exact"/>
        <w:rPr>
          <w:rFonts w:ascii="Times New Roman" w:hAnsi="Times New Roman" w:cs="Times New Roman"/>
          <w:sz w:val="24"/>
          <w:lang w:val="it-IT"/>
        </w:rPr>
      </w:pPr>
    </w:p>
    <w:tbl>
      <w:tblPr>
        <w:tblStyle w:val="TableNormal1"/>
        <w:tblW w:w="0" w:type="auto"/>
        <w:tblInd w:w="110" w:type="dxa"/>
        <w:tblLayout w:type="fixed"/>
        <w:tblLook w:val="01E0" w:firstRow="1" w:lastRow="1" w:firstColumn="1" w:lastColumn="1" w:noHBand="0" w:noVBand="0"/>
      </w:tblPr>
      <w:tblGrid>
        <w:gridCol w:w="5772"/>
        <w:gridCol w:w="1745"/>
        <w:gridCol w:w="1891"/>
      </w:tblGrid>
      <w:tr w:rsidR="00953B2E" w:rsidRPr="00C35766" w14:paraId="63FC5936"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18998812" w14:textId="0607298E" w:rsidR="00953B2E" w:rsidRPr="00C35766" w:rsidRDefault="005F0C19">
            <w:pPr>
              <w:pStyle w:val="TableParagraph"/>
              <w:spacing w:before="3" w:line="252" w:lineRule="exact"/>
              <w:ind w:left="63" w:right="785"/>
              <w:rPr>
                <w:rFonts w:ascii="Times New Roman" w:hAnsi="Times New Roman" w:cs="Times New Roman"/>
                <w:lang w:val="it-IT"/>
              </w:rPr>
            </w:pPr>
            <w:r w:rsidRPr="00C35766">
              <w:rPr>
                <w:rFonts w:ascii="Times New Roman" w:eastAsia="Times New Roman" w:hAnsi="Times New Roman" w:cs="Times New Roman"/>
                <w:b/>
                <w:bCs/>
                <w:spacing w:val="-1"/>
                <w:lang w:val="it-IT"/>
              </w:rPr>
              <w:t>Doppio cieco Risposta alla Settimana 68</w:t>
            </w:r>
          </w:p>
        </w:tc>
        <w:tc>
          <w:tcPr>
            <w:tcW w:w="1745" w:type="dxa"/>
            <w:tcBorders>
              <w:top w:val="single" w:sz="5" w:space="0" w:color="000000"/>
              <w:left w:val="single" w:sz="5" w:space="0" w:color="000000"/>
              <w:bottom w:val="single" w:sz="5" w:space="0" w:color="000000"/>
              <w:right w:val="single" w:sz="5" w:space="0" w:color="000000"/>
            </w:tcBorders>
          </w:tcPr>
          <w:p w14:paraId="74456BD9" w14:textId="77777777" w:rsidR="001345CF" w:rsidRPr="00C35766" w:rsidRDefault="005F0C19">
            <w:pPr>
              <w:pStyle w:val="TableParagraph"/>
              <w:spacing w:before="2" w:line="230" w:lineRule="exact"/>
              <w:ind w:left="587" w:right="31" w:hanging="56"/>
              <w:rPr>
                <w:rFonts w:ascii="Times New Roman" w:eastAsia="Times New Roman" w:hAnsi="Times New Roman" w:cs="Times New Roman"/>
                <w:b/>
                <w:bCs/>
                <w:w w:val="95"/>
                <w:lang w:val="it-IT"/>
              </w:rPr>
            </w:pPr>
            <w:r w:rsidRPr="00C35766">
              <w:rPr>
                <w:rFonts w:ascii="Times New Roman" w:eastAsia="Times New Roman" w:hAnsi="Times New Roman" w:cs="Times New Roman"/>
                <w:b/>
                <w:bCs/>
                <w:w w:val="95"/>
                <w:lang w:val="it-IT"/>
              </w:rPr>
              <w:t>Placebo</w:t>
            </w:r>
          </w:p>
          <w:p w14:paraId="5505E47E" w14:textId="16C9B546" w:rsidR="00953B2E" w:rsidRPr="00C35766" w:rsidRDefault="005F0C19">
            <w:pPr>
              <w:pStyle w:val="TableParagraph"/>
              <w:spacing w:before="2" w:line="230" w:lineRule="exact"/>
              <w:ind w:left="587" w:right="31" w:hanging="56"/>
              <w:rPr>
                <w:rFonts w:ascii="Times New Roman" w:eastAsia="Times New Roman" w:hAnsi="Times New Roman" w:cs="Times New Roman"/>
              </w:rPr>
            </w:pPr>
            <w:r w:rsidRPr="00C35766">
              <w:rPr>
                <w:rFonts w:ascii="Times New Roman" w:eastAsia="Times New Roman" w:hAnsi="Times New Roman" w:cs="Times New Roman"/>
                <w:b/>
                <w:bCs/>
                <w:w w:val="95"/>
                <w:lang w:val="it-IT"/>
              </w:rPr>
              <w:t>N=153</w:t>
            </w:r>
          </w:p>
        </w:tc>
        <w:tc>
          <w:tcPr>
            <w:tcW w:w="1891" w:type="dxa"/>
            <w:tcBorders>
              <w:top w:val="single" w:sz="5" w:space="0" w:color="000000"/>
              <w:left w:val="single" w:sz="5" w:space="0" w:color="000000"/>
              <w:bottom w:val="single" w:sz="5" w:space="0" w:color="000000"/>
              <w:right w:val="single" w:sz="5" w:space="0" w:color="000000"/>
            </w:tcBorders>
          </w:tcPr>
          <w:p w14:paraId="38BF2D31" w14:textId="77777777" w:rsidR="001345CF" w:rsidRPr="00C35766" w:rsidRDefault="005F0C19">
            <w:pPr>
              <w:pStyle w:val="TableParagraph"/>
              <w:spacing w:before="2" w:line="230" w:lineRule="exact"/>
              <w:ind w:left="113" w:right="113"/>
              <w:jc w:val="center"/>
              <w:rPr>
                <w:rFonts w:ascii="Times New Roman" w:eastAsia="Times New Roman" w:hAnsi="Times New Roman" w:cs="Times New Roman"/>
                <w:b/>
                <w:bCs/>
                <w:w w:val="95"/>
                <w:lang w:val="it-IT"/>
              </w:rPr>
            </w:pPr>
            <w:r w:rsidRPr="00C35766">
              <w:rPr>
                <w:rFonts w:ascii="Times New Roman" w:eastAsia="Times New Roman" w:hAnsi="Times New Roman" w:cs="Times New Roman"/>
                <w:b/>
                <w:bCs/>
                <w:w w:val="95"/>
                <w:lang w:val="it-IT"/>
              </w:rPr>
              <w:t>Adalimumab</w:t>
            </w:r>
          </w:p>
          <w:p w14:paraId="5E1B9A53" w14:textId="533C06E2" w:rsidR="00953B2E" w:rsidRPr="00C35766" w:rsidRDefault="005F0C19">
            <w:pPr>
              <w:pStyle w:val="TableParagraph"/>
              <w:spacing w:before="2" w:line="230" w:lineRule="exact"/>
              <w:ind w:left="113" w:right="113"/>
              <w:jc w:val="center"/>
              <w:rPr>
                <w:rFonts w:ascii="Times New Roman" w:eastAsia="Times New Roman" w:hAnsi="Times New Roman" w:cs="Times New Roman"/>
              </w:rPr>
            </w:pPr>
            <w:r w:rsidRPr="00C35766">
              <w:rPr>
                <w:rFonts w:ascii="Times New Roman" w:eastAsia="Times New Roman" w:hAnsi="Times New Roman" w:cs="Times New Roman"/>
                <w:b/>
                <w:bCs/>
                <w:w w:val="95"/>
                <w:lang w:val="it-IT"/>
              </w:rPr>
              <w:t>N=152</w:t>
            </w:r>
          </w:p>
        </w:tc>
      </w:tr>
      <w:tr w:rsidR="00953B2E" w:rsidRPr="00C35766" w14:paraId="252C94FA"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62F75E82" w14:textId="77777777" w:rsidR="00953B2E" w:rsidRPr="00C35766" w:rsidRDefault="005F0C19">
            <w:pPr>
              <w:pStyle w:val="TableParagraph"/>
              <w:spacing w:line="248" w:lineRule="exact"/>
              <w:ind w:left="63" w:right="3592"/>
              <w:rPr>
                <w:rFonts w:ascii="Times New Roman" w:eastAsia="Times New Roman" w:hAnsi="Times New Roman" w:cs="Times New Roman"/>
              </w:rPr>
            </w:pPr>
            <w:r w:rsidRPr="00C35766">
              <w:rPr>
                <w:rFonts w:ascii="Times New Roman" w:eastAsia="Times New Roman" w:hAnsi="Times New Roman" w:cs="Times New Roman"/>
                <w:spacing w:val="-1"/>
                <w:lang w:val="it-IT"/>
              </w:rPr>
              <w:t>ASAS</w:t>
            </w:r>
            <w:r w:rsidRPr="00C35766">
              <w:rPr>
                <w:rFonts w:ascii="Times New Roman" w:eastAsia="Times New Roman" w:hAnsi="Times New Roman" w:cs="Times New Roman"/>
                <w:spacing w:val="-1"/>
                <w:vertAlign w:val="superscript"/>
                <w:lang w:val="it-IT"/>
              </w:rPr>
              <w:t xml:space="preserve">a,b </w:t>
            </w:r>
            <w:r w:rsidRPr="00C35766">
              <w:rPr>
                <w:rFonts w:ascii="Times New Roman" w:eastAsia="Times New Roman" w:hAnsi="Times New Roman" w:cs="Times New Roman"/>
                <w:spacing w:val="-1"/>
                <w:lang w:val="it-IT"/>
              </w:rPr>
              <w:t>20</w:t>
            </w:r>
          </w:p>
        </w:tc>
        <w:tc>
          <w:tcPr>
            <w:tcW w:w="1745" w:type="dxa"/>
            <w:tcBorders>
              <w:top w:val="single" w:sz="5" w:space="0" w:color="000000"/>
              <w:left w:val="single" w:sz="5" w:space="0" w:color="000000"/>
              <w:bottom w:val="single" w:sz="5" w:space="0" w:color="000000"/>
              <w:right w:val="single" w:sz="5" w:space="0" w:color="000000"/>
            </w:tcBorders>
          </w:tcPr>
          <w:p w14:paraId="46F17EA9" w14:textId="77777777" w:rsidR="00953B2E" w:rsidRPr="00C35766" w:rsidRDefault="005F0C19">
            <w:pPr>
              <w:pStyle w:val="TableParagraph"/>
              <w:spacing w:line="248" w:lineRule="exact"/>
              <w:ind w:left="563" w:right="561"/>
              <w:jc w:val="center"/>
              <w:rPr>
                <w:rFonts w:ascii="Times New Roman" w:eastAsia="Times New Roman" w:hAnsi="Times New Roman" w:cs="Times New Roman"/>
              </w:rPr>
            </w:pPr>
            <w:r w:rsidRPr="00C35766">
              <w:rPr>
                <w:rFonts w:ascii="Times New Roman" w:eastAsia="Times New Roman" w:hAnsi="Times New Roman" w:cs="Times New Roman"/>
                <w:lang w:val="it-IT"/>
              </w:rPr>
              <w:t>47,1%</w:t>
            </w:r>
          </w:p>
        </w:tc>
        <w:tc>
          <w:tcPr>
            <w:tcW w:w="1891" w:type="dxa"/>
            <w:tcBorders>
              <w:top w:val="single" w:sz="5" w:space="0" w:color="000000"/>
              <w:left w:val="single" w:sz="5" w:space="0" w:color="000000"/>
              <w:bottom w:val="single" w:sz="5" w:space="0" w:color="000000"/>
              <w:right w:val="single" w:sz="5" w:space="0" w:color="000000"/>
            </w:tcBorders>
          </w:tcPr>
          <w:p w14:paraId="399506A4" w14:textId="77777777" w:rsidR="00953B2E" w:rsidRPr="00C35766" w:rsidRDefault="005F0C19">
            <w:pPr>
              <w:pStyle w:val="TableParagraph"/>
              <w:spacing w:line="248" w:lineRule="exact"/>
              <w:ind w:left="491"/>
              <w:rPr>
                <w:rFonts w:ascii="Times New Roman" w:eastAsia="Times New Roman" w:hAnsi="Times New Roman" w:cs="Times New Roman"/>
              </w:rPr>
            </w:pPr>
            <w:r w:rsidRPr="00C35766">
              <w:rPr>
                <w:rFonts w:ascii="Times New Roman" w:eastAsia="Times New Roman" w:hAnsi="Times New Roman" w:cs="Times New Roman"/>
                <w:spacing w:val="-1"/>
                <w:lang w:val="it-IT"/>
              </w:rPr>
              <w:t>70,4%***</w:t>
            </w:r>
          </w:p>
        </w:tc>
      </w:tr>
      <w:tr w:rsidR="00953B2E" w:rsidRPr="00C35766" w14:paraId="5D1EE478"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3A5BF4AA" w14:textId="77777777" w:rsidR="00953B2E" w:rsidRPr="00C35766" w:rsidRDefault="005F0C19">
            <w:pPr>
              <w:pStyle w:val="TableParagraph"/>
              <w:spacing w:line="246" w:lineRule="exact"/>
              <w:ind w:left="63" w:right="3592"/>
              <w:rPr>
                <w:rFonts w:ascii="Times New Roman" w:eastAsia="Times New Roman" w:hAnsi="Times New Roman" w:cs="Times New Roman"/>
              </w:rPr>
            </w:pPr>
            <w:r w:rsidRPr="00C35766">
              <w:rPr>
                <w:rFonts w:ascii="Times New Roman" w:eastAsia="Times New Roman" w:hAnsi="Times New Roman" w:cs="Times New Roman"/>
                <w:spacing w:val="-1"/>
                <w:lang w:val="it-IT"/>
              </w:rPr>
              <w:t>ASAS</w:t>
            </w:r>
            <w:r w:rsidRPr="00C35766">
              <w:rPr>
                <w:rFonts w:ascii="Times New Roman" w:eastAsia="Times New Roman" w:hAnsi="Times New Roman" w:cs="Times New Roman"/>
                <w:spacing w:val="-1"/>
                <w:vertAlign w:val="superscript"/>
                <w:lang w:val="it-IT"/>
              </w:rPr>
              <w:t xml:space="preserve">a,b </w:t>
            </w:r>
            <w:r w:rsidRPr="00C35766">
              <w:rPr>
                <w:rFonts w:ascii="Times New Roman" w:eastAsia="Times New Roman" w:hAnsi="Times New Roman" w:cs="Times New Roman"/>
                <w:spacing w:val="-1"/>
                <w:lang w:val="it-IT"/>
              </w:rPr>
              <w:t>40</w:t>
            </w:r>
          </w:p>
        </w:tc>
        <w:tc>
          <w:tcPr>
            <w:tcW w:w="1745" w:type="dxa"/>
            <w:tcBorders>
              <w:top w:val="single" w:sz="5" w:space="0" w:color="000000"/>
              <w:left w:val="single" w:sz="5" w:space="0" w:color="000000"/>
              <w:bottom w:val="single" w:sz="5" w:space="0" w:color="000000"/>
              <w:right w:val="single" w:sz="5" w:space="0" w:color="000000"/>
            </w:tcBorders>
          </w:tcPr>
          <w:p w14:paraId="74C60049" w14:textId="77777777" w:rsidR="00953B2E" w:rsidRPr="00C35766" w:rsidRDefault="005F0C19">
            <w:pPr>
              <w:pStyle w:val="TableParagraph"/>
              <w:spacing w:line="246" w:lineRule="exact"/>
              <w:ind w:left="563" w:right="561"/>
              <w:jc w:val="center"/>
              <w:rPr>
                <w:rFonts w:ascii="Times New Roman" w:eastAsia="Times New Roman" w:hAnsi="Times New Roman" w:cs="Times New Roman"/>
              </w:rPr>
            </w:pPr>
            <w:r w:rsidRPr="00C35766">
              <w:rPr>
                <w:rFonts w:ascii="Times New Roman" w:eastAsia="Times New Roman" w:hAnsi="Times New Roman" w:cs="Times New Roman"/>
                <w:lang w:val="it-IT"/>
              </w:rPr>
              <w:t>45,8%</w:t>
            </w:r>
          </w:p>
        </w:tc>
        <w:tc>
          <w:tcPr>
            <w:tcW w:w="1891" w:type="dxa"/>
            <w:tcBorders>
              <w:top w:val="single" w:sz="5" w:space="0" w:color="000000"/>
              <w:left w:val="single" w:sz="5" w:space="0" w:color="000000"/>
              <w:bottom w:val="single" w:sz="5" w:space="0" w:color="000000"/>
              <w:right w:val="single" w:sz="5" w:space="0" w:color="000000"/>
            </w:tcBorders>
          </w:tcPr>
          <w:p w14:paraId="6B05EB40" w14:textId="77777777" w:rsidR="00953B2E" w:rsidRPr="00C35766" w:rsidRDefault="005F0C19">
            <w:pPr>
              <w:pStyle w:val="TableParagraph"/>
              <w:spacing w:line="246" w:lineRule="exact"/>
              <w:ind w:left="491"/>
              <w:rPr>
                <w:rFonts w:ascii="Times New Roman" w:eastAsia="Times New Roman" w:hAnsi="Times New Roman" w:cs="Times New Roman"/>
              </w:rPr>
            </w:pPr>
            <w:r w:rsidRPr="00C35766">
              <w:rPr>
                <w:rFonts w:ascii="Times New Roman" w:eastAsia="Times New Roman" w:hAnsi="Times New Roman" w:cs="Times New Roman"/>
                <w:spacing w:val="-1"/>
                <w:lang w:val="it-IT"/>
              </w:rPr>
              <w:t>65.8%***</w:t>
            </w:r>
          </w:p>
        </w:tc>
      </w:tr>
      <w:tr w:rsidR="00953B2E" w:rsidRPr="00C35766" w14:paraId="50C6970B"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052FB0EE" w14:textId="77777777" w:rsidR="00953B2E" w:rsidRPr="00C35766" w:rsidRDefault="005F0C19">
            <w:pPr>
              <w:pStyle w:val="TableParagraph"/>
              <w:spacing w:line="246" w:lineRule="exact"/>
              <w:ind w:left="63"/>
              <w:rPr>
                <w:rFonts w:ascii="Times New Roman" w:eastAsia="Times New Roman" w:hAnsi="Times New Roman" w:cs="Times New Roman"/>
              </w:rPr>
            </w:pPr>
            <w:r w:rsidRPr="00C35766">
              <w:rPr>
                <w:rFonts w:ascii="Times New Roman" w:eastAsia="Times New Roman" w:hAnsi="Times New Roman" w:cs="Times New Roman"/>
                <w:spacing w:val="-1"/>
                <w:lang w:val="it-IT"/>
              </w:rPr>
              <w:t>ASAS</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 xml:space="preserve"> remissione parziale</w:t>
            </w:r>
          </w:p>
        </w:tc>
        <w:tc>
          <w:tcPr>
            <w:tcW w:w="1745" w:type="dxa"/>
            <w:tcBorders>
              <w:top w:val="single" w:sz="5" w:space="0" w:color="000000"/>
              <w:left w:val="single" w:sz="5" w:space="0" w:color="000000"/>
              <w:bottom w:val="single" w:sz="5" w:space="0" w:color="000000"/>
              <w:right w:val="single" w:sz="5" w:space="0" w:color="000000"/>
            </w:tcBorders>
          </w:tcPr>
          <w:p w14:paraId="11A34C11" w14:textId="77777777" w:rsidR="00953B2E" w:rsidRPr="00C35766" w:rsidRDefault="005F0C19">
            <w:pPr>
              <w:pStyle w:val="TableParagraph"/>
              <w:spacing w:line="246" w:lineRule="exact"/>
              <w:ind w:left="563" w:right="561"/>
              <w:jc w:val="center"/>
              <w:rPr>
                <w:rFonts w:ascii="Times New Roman" w:eastAsia="Times New Roman" w:hAnsi="Times New Roman" w:cs="Times New Roman"/>
              </w:rPr>
            </w:pPr>
            <w:r w:rsidRPr="00C35766">
              <w:rPr>
                <w:rFonts w:ascii="Times New Roman" w:eastAsia="Times New Roman" w:hAnsi="Times New Roman" w:cs="Times New Roman"/>
                <w:lang w:val="it-IT"/>
              </w:rPr>
              <w:t>26,8%</w:t>
            </w:r>
          </w:p>
        </w:tc>
        <w:tc>
          <w:tcPr>
            <w:tcW w:w="1891" w:type="dxa"/>
            <w:tcBorders>
              <w:top w:val="single" w:sz="5" w:space="0" w:color="000000"/>
              <w:left w:val="single" w:sz="5" w:space="0" w:color="000000"/>
              <w:bottom w:val="single" w:sz="5" w:space="0" w:color="000000"/>
              <w:right w:val="single" w:sz="5" w:space="0" w:color="000000"/>
            </w:tcBorders>
          </w:tcPr>
          <w:p w14:paraId="40A9E518" w14:textId="77777777" w:rsidR="00953B2E" w:rsidRPr="00C35766" w:rsidRDefault="005F0C19">
            <w:pPr>
              <w:pStyle w:val="TableParagraph"/>
              <w:spacing w:line="246" w:lineRule="exact"/>
              <w:ind w:left="546"/>
              <w:rPr>
                <w:rFonts w:ascii="Times New Roman" w:eastAsia="Times New Roman" w:hAnsi="Times New Roman" w:cs="Times New Roman"/>
              </w:rPr>
            </w:pPr>
            <w:r w:rsidRPr="00C35766">
              <w:rPr>
                <w:rFonts w:ascii="Times New Roman" w:eastAsia="Times New Roman" w:hAnsi="Times New Roman" w:cs="Times New Roman"/>
                <w:spacing w:val="-1"/>
                <w:lang w:val="it-IT"/>
              </w:rPr>
              <w:t>42,1%**</w:t>
            </w:r>
          </w:p>
        </w:tc>
      </w:tr>
      <w:tr w:rsidR="00953B2E" w:rsidRPr="00C35766" w14:paraId="4CC7A090"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6D9D6C37" w14:textId="77777777" w:rsidR="00953B2E" w:rsidRPr="00C35766" w:rsidRDefault="005F0C19">
            <w:pPr>
              <w:pStyle w:val="TableParagraph"/>
              <w:spacing w:line="246" w:lineRule="exact"/>
              <w:ind w:left="63"/>
              <w:rPr>
                <w:rFonts w:ascii="Times New Roman" w:eastAsia="Times New Roman" w:hAnsi="Times New Roman" w:cs="Times New Roman"/>
              </w:rPr>
            </w:pPr>
            <w:r w:rsidRPr="00C35766">
              <w:rPr>
                <w:rFonts w:ascii="Times New Roman" w:eastAsia="Times New Roman" w:hAnsi="Times New Roman" w:cs="Times New Roman"/>
                <w:spacing w:val="-1"/>
                <w:lang w:val="it-IT"/>
              </w:rPr>
              <w:t>ASDAS</w:t>
            </w:r>
            <w:r w:rsidRPr="00C35766">
              <w:rPr>
                <w:rFonts w:ascii="Times New Roman" w:eastAsia="Times New Roman" w:hAnsi="Times New Roman" w:cs="Times New Roman"/>
                <w:spacing w:val="-1"/>
                <w:vertAlign w:val="superscript"/>
                <w:lang w:val="it-IT"/>
              </w:rPr>
              <w:t>c</w:t>
            </w:r>
            <w:r w:rsidRPr="00C35766">
              <w:rPr>
                <w:rFonts w:ascii="Times New Roman" w:eastAsia="Times New Roman" w:hAnsi="Times New Roman" w:cs="Times New Roman"/>
                <w:spacing w:val="-1"/>
                <w:lang w:val="it-IT"/>
              </w:rPr>
              <w:t xml:space="preserve"> malattia inattiva</w:t>
            </w:r>
          </w:p>
        </w:tc>
        <w:tc>
          <w:tcPr>
            <w:tcW w:w="1745" w:type="dxa"/>
            <w:tcBorders>
              <w:top w:val="single" w:sz="5" w:space="0" w:color="000000"/>
              <w:left w:val="single" w:sz="5" w:space="0" w:color="000000"/>
              <w:bottom w:val="single" w:sz="5" w:space="0" w:color="000000"/>
              <w:right w:val="single" w:sz="5" w:space="0" w:color="000000"/>
            </w:tcBorders>
          </w:tcPr>
          <w:p w14:paraId="4B4D7769" w14:textId="77777777" w:rsidR="00953B2E" w:rsidRPr="00C35766" w:rsidRDefault="005F0C19">
            <w:pPr>
              <w:pStyle w:val="TableParagraph"/>
              <w:spacing w:line="246" w:lineRule="exact"/>
              <w:ind w:left="563" w:right="561"/>
              <w:jc w:val="center"/>
              <w:rPr>
                <w:rFonts w:ascii="Times New Roman" w:eastAsia="Times New Roman" w:hAnsi="Times New Roman" w:cs="Times New Roman"/>
              </w:rPr>
            </w:pPr>
            <w:r w:rsidRPr="00C35766">
              <w:rPr>
                <w:rFonts w:ascii="Times New Roman" w:eastAsia="Times New Roman" w:hAnsi="Times New Roman" w:cs="Times New Roman"/>
                <w:lang w:val="it-IT"/>
              </w:rPr>
              <w:t>33,3%</w:t>
            </w:r>
          </w:p>
        </w:tc>
        <w:tc>
          <w:tcPr>
            <w:tcW w:w="1891" w:type="dxa"/>
            <w:tcBorders>
              <w:top w:val="single" w:sz="5" w:space="0" w:color="000000"/>
              <w:left w:val="single" w:sz="5" w:space="0" w:color="000000"/>
              <w:bottom w:val="single" w:sz="5" w:space="0" w:color="000000"/>
              <w:right w:val="single" w:sz="5" w:space="0" w:color="000000"/>
            </w:tcBorders>
          </w:tcPr>
          <w:p w14:paraId="75EAD3AE" w14:textId="77777777" w:rsidR="00953B2E" w:rsidRPr="00C35766" w:rsidRDefault="005F0C19">
            <w:pPr>
              <w:pStyle w:val="TableParagraph"/>
              <w:spacing w:line="246" w:lineRule="exact"/>
              <w:ind w:left="491"/>
              <w:rPr>
                <w:rFonts w:ascii="Times New Roman" w:eastAsia="Times New Roman" w:hAnsi="Times New Roman" w:cs="Times New Roman"/>
              </w:rPr>
            </w:pPr>
            <w:r w:rsidRPr="00C35766">
              <w:rPr>
                <w:rFonts w:ascii="Times New Roman" w:eastAsia="Times New Roman" w:hAnsi="Times New Roman" w:cs="Times New Roman"/>
                <w:spacing w:val="-1"/>
                <w:lang w:val="it-IT"/>
              </w:rPr>
              <w:t>57,2%***</w:t>
            </w:r>
          </w:p>
        </w:tc>
      </w:tr>
      <w:tr w:rsidR="00953B2E" w:rsidRPr="00C35766" w14:paraId="357A8757" w14:textId="77777777" w:rsidTr="00B3291C">
        <w:tc>
          <w:tcPr>
            <w:tcW w:w="5772" w:type="dxa"/>
            <w:tcBorders>
              <w:top w:val="single" w:sz="5" w:space="0" w:color="000000"/>
              <w:left w:val="single" w:sz="5" w:space="0" w:color="000000"/>
              <w:bottom w:val="single" w:sz="5" w:space="0" w:color="000000"/>
              <w:right w:val="single" w:sz="5" w:space="0" w:color="000000"/>
            </w:tcBorders>
          </w:tcPr>
          <w:p w14:paraId="216792F3" w14:textId="77777777" w:rsidR="00953B2E" w:rsidRPr="00C35766" w:rsidRDefault="005F0C19" w:rsidP="00C0539A">
            <w:pPr>
              <w:pStyle w:val="TableParagraph"/>
              <w:spacing w:line="246" w:lineRule="exact"/>
              <w:ind w:left="63" w:right="2619"/>
              <w:rPr>
                <w:rFonts w:ascii="Times New Roman" w:eastAsia="Times New Roman" w:hAnsi="Times New Roman" w:cs="Times New Roman"/>
              </w:rPr>
            </w:pPr>
            <w:r w:rsidRPr="00C35766">
              <w:rPr>
                <w:rFonts w:ascii="Times New Roman" w:eastAsia="Times New Roman" w:hAnsi="Times New Roman" w:cs="Times New Roman"/>
                <w:spacing w:val="-1"/>
                <w:lang w:val="it-IT"/>
              </w:rPr>
              <w:t>Riacutizzazione parziale</w:t>
            </w:r>
            <w:r w:rsidRPr="00C35766">
              <w:rPr>
                <w:rFonts w:ascii="Times New Roman" w:hAnsi="Times New Roman" w:cs="Times New Roman"/>
                <w:spacing w:val="-1"/>
                <w:vertAlign w:val="superscript"/>
                <w:lang w:val="it-IT"/>
              </w:rPr>
              <w:t>d</w:t>
            </w:r>
          </w:p>
        </w:tc>
        <w:tc>
          <w:tcPr>
            <w:tcW w:w="1745" w:type="dxa"/>
            <w:tcBorders>
              <w:top w:val="single" w:sz="5" w:space="0" w:color="000000"/>
              <w:left w:val="single" w:sz="5" w:space="0" w:color="000000"/>
              <w:bottom w:val="single" w:sz="5" w:space="0" w:color="000000"/>
              <w:right w:val="single" w:sz="5" w:space="0" w:color="000000"/>
            </w:tcBorders>
          </w:tcPr>
          <w:p w14:paraId="1D7D3791" w14:textId="77777777" w:rsidR="00953B2E" w:rsidRPr="00C35766" w:rsidRDefault="005F0C19">
            <w:pPr>
              <w:pStyle w:val="TableParagraph"/>
              <w:spacing w:line="246" w:lineRule="exact"/>
              <w:ind w:left="563" w:right="561"/>
              <w:jc w:val="center"/>
              <w:rPr>
                <w:rFonts w:ascii="Times New Roman" w:eastAsia="Times New Roman" w:hAnsi="Times New Roman" w:cs="Times New Roman"/>
              </w:rPr>
            </w:pPr>
            <w:r w:rsidRPr="00C35766">
              <w:rPr>
                <w:rFonts w:ascii="Times New Roman" w:eastAsia="Times New Roman" w:hAnsi="Times New Roman" w:cs="Times New Roman"/>
                <w:lang w:val="it-IT"/>
              </w:rPr>
              <w:t>64,1%</w:t>
            </w:r>
          </w:p>
        </w:tc>
        <w:tc>
          <w:tcPr>
            <w:tcW w:w="1891" w:type="dxa"/>
            <w:tcBorders>
              <w:top w:val="single" w:sz="5" w:space="0" w:color="000000"/>
              <w:left w:val="single" w:sz="5" w:space="0" w:color="000000"/>
              <w:bottom w:val="single" w:sz="5" w:space="0" w:color="000000"/>
              <w:right w:val="single" w:sz="5" w:space="0" w:color="000000"/>
            </w:tcBorders>
          </w:tcPr>
          <w:p w14:paraId="67C96D7F" w14:textId="77777777" w:rsidR="00953B2E" w:rsidRPr="00C35766" w:rsidRDefault="005F0C19">
            <w:pPr>
              <w:pStyle w:val="TableParagraph"/>
              <w:spacing w:line="246" w:lineRule="exact"/>
              <w:ind w:left="491"/>
              <w:rPr>
                <w:rFonts w:ascii="Times New Roman" w:eastAsia="Times New Roman" w:hAnsi="Times New Roman" w:cs="Times New Roman"/>
              </w:rPr>
            </w:pPr>
            <w:r w:rsidRPr="00C35766">
              <w:rPr>
                <w:rFonts w:ascii="Times New Roman" w:eastAsia="Times New Roman" w:hAnsi="Times New Roman" w:cs="Times New Roman"/>
                <w:spacing w:val="-1"/>
                <w:lang w:val="it-IT"/>
              </w:rPr>
              <w:t>40,8%***</w:t>
            </w:r>
          </w:p>
        </w:tc>
      </w:tr>
    </w:tbl>
    <w:p w14:paraId="38A6E527" w14:textId="77777777" w:rsidR="00953B2E" w:rsidRPr="00C35766" w:rsidRDefault="005F0C19" w:rsidP="00146E60">
      <w:pPr>
        <w:pStyle w:val="a3"/>
        <w:ind w:leftChars="100" w:left="220"/>
        <w:rPr>
          <w:lang w:val="it-IT"/>
        </w:rPr>
      </w:pPr>
      <w:r w:rsidRPr="00C35766">
        <w:rPr>
          <w:rFonts w:eastAsia="Times New Roman"/>
          <w:position w:val="8"/>
          <w:vertAlign w:val="superscript"/>
          <w:lang w:val="it-IT"/>
        </w:rPr>
        <w:lastRenderedPageBreak/>
        <w:t xml:space="preserve">a </w:t>
      </w:r>
      <w:r w:rsidRPr="00C35766">
        <w:rPr>
          <w:rFonts w:eastAsia="Times New Roman"/>
          <w:position w:val="8"/>
          <w:lang w:val="it-IT"/>
        </w:rPr>
        <w:t>Valutazione della Società internazionale per la spondiloartrite (Assessment of SpondyloArthritis international Society)</w:t>
      </w:r>
    </w:p>
    <w:p w14:paraId="75B1ED1F" w14:textId="77777777" w:rsidR="00953B2E" w:rsidRPr="00C35766" w:rsidRDefault="005F0C19" w:rsidP="00146E60">
      <w:pPr>
        <w:pStyle w:val="a3"/>
        <w:ind w:leftChars="100" w:left="220"/>
        <w:rPr>
          <w:lang w:val="pt-BR"/>
        </w:rPr>
      </w:pPr>
      <w:r w:rsidRPr="00C35766">
        <w:rPr>
          <w:rFonts w:eastAsia="Times New Roman"/>
          <w:position w:val="8"/>
          <w:vertAlign w:val="superscript"/>
          <w:lang w:val="it-IT"/>
        </w:rPr>
        <w:t xml:space="preserve">b </w:t>
      </w:r>
      <w:r w:rsidRPr="00C35766">
        <w:rPr>
          <w:rFonts w:eastAsia="Times New Roman"/>
          <w:position w:val="8"/>
          <w:lang w:val="it-IT"/>
        </w:rPr>
        <w:t>Il basale è definito come basale in aperto quando i pazienti presentano malattia attiva.</w:t>
      </w:r>
    </w:p>
    <w:p w14:paraId="45E2A3F0" w14:textId="77777777" w:rsidR="00953B2E" w:rsidRPr="00C35766" w:rsidRDefault="005F0C19" w:rsidP="00146E60">
      <w:pPr>
        <w:pStyle w:val="a3"/>
        <w:ind w:leftChars="100" w:left="220"/>
        <w:rPr>
          <w:lang w:val="pt-BR"/>
        </w:rPr>
      </w:pPr>
      <w:r w:rsidRPr="00C35766">
        <w:rPr>
          <w:rFonts w:eastAsia="Times New Roman"/>
          <w:position w:val="8"/>
          <w:vertAlign w:val="superscript"/>
          <w:lang w:val="it-IT"/>
        </w:rPr>
        <w:t xml:space="preserve">c </w:t>
      </w:r>
      <w:r w:rsidRPr="00C35766">
        <w:rPr>
          <w:rFonts w:eastAsia="Times New Roman"/>
          <w:position w:val="8"/>
          <w:lang w:val="it-IT"/>
        </w:rPr>
        <w:t>Punteggio di attività di malattia della spondilite anchilosante (Ankylosing Spondylitis Disease Activity Score)</w:t>
      </w:r>
    </w:p>
    <w:p w14:paraId="22B81AC3" w14:textId="77777777" w:rsidR="00953B2E" w:rsidRPr="00C35766" w:rsidRDefault="005F0C19" w:rsidP="00146E60">
      <w:pPr>
        <w:pStyle w:val="a3"/>
        <w:ind w:leftChars="100" w:left="220"/>
        <w:rPr>
          <w:lang w:val="pt-BR"/>
        </w:rPr>
      </w:pPr>
      <w:r w:rsidRPr="00C35766">
        <w:rPr>
          <w:rFonts w:eastAsia="Times New Roman"/>
          <w:position w:val="8"/>
          <w:vertAlign w:val="superscript"/>
          <w:lang w:val="it-IT"/>
        </w:rPr>
        <w:t>d</w:t>
      </w:r>
      <w:r w:rsidRPr="00C35766">
        <w:rPr>
          <w:rFonts w:eastAsia="Times New Roman"/>
          <w:position w:val="8"/>
          <w:sz w:val="14"/>
          <w:szCs w:val="14"/>
          <w:lang w:val="it-IT"/>
        </w:rPr>
        <w:t xml:space="preserve"> </w:t>
      </w:r>
      <w:r w:rsidRPr="00C35766">
        <w:rPr>
          <w:rFonts w:eastAsia="Times New Roman"/>
          <w:position w:val="8"/>
          <w:lang w:val="it-IT"/>
        </w:rPr>
        <w:t>La riacutizzazione parziale è definita come ASDAS ≥ 1,3 ma &lt; 2,1 a 2 visite consecutive.</w:t>
      </w:r>
    </w:p>
    <w:p w14:paraId="0BE765E3" w14:textId="757EDFFD" w:rsidR="00953B2E" w:rsidRPr="00C35766" w:rsidRDefault="005F0C19" w:rsidP="00146E60">
      <w:pPr>
        <w:pStyle w:val="a3"/>
        <w:ind w:leftChars="100" w:left="990" w:hangingChars="350" w:hanging="770"/>
        <w:rPr>
          <w:lang w:val="pt-BR"/>
        </w:rPr>
      </w:pPr>
      <w:r w:rsidRPr="00C35766">
        <w:rPr>
          <w:rFonts w:eastAsia="Times New Roman"/>
          <w:lang w:val="it-IT"/>
        </w:rPr>
        <w:t>***, ** Statisticamente significativo, rispettivamente, con p &lt;</w:t>
      </w:r>
      <w:r w:rsidR="000F35BA" w:rsidRPr="00C35766">
        <w:rPr>
          <w:rFonts w:eastAsia="Times New Roman"/>
          <w:lang w:val="it-IT"/>
        </w:rPr>
        <w:t xml:space="preserve"> </w:t>
      </w:r>
      <w:r w:rsidRPr="00C35766">
        <w:rPr>
          <w:rFonts w:eastAsia="Times New Roman"/>
          <w:lang w:val="it-IT"/>
        </w:rPr>
        <w:t>0,001 e &lt;</w:t>
      </w:r>
      <w:r w:rsidR="000F35BA" w:rsidRPr="00C35766">
        <w:rPr>
          <w:rFonts w:eastAsia="Times New Roman"/>
          <w:lang w:val="it-IT"/>
        </w:rPr>
        <w:t xml:space="preserve"> </w:t>
      </w:r>
      <w:r w:rsidRPr="00C35766">
        <w:rPr>
          <w:rFonts w:eastAsia="Times New Roman"/>
          <w:lang w:val="it-IT"/>
        </w:rPr>
        <w:t>0,01 per tutti i confronti tra adalimumab e placebo.</w:t>
      </w:r>
    </w:p>
    <w:p w14:paraId="473C6E09" w14:textId="77777777" w:rsidR="00953B2E" w:rsidRPr="00C35766" w:rsidRDefault="00953B2E">
      <w:pPr>
        <w:pStyle w:val="a3"/>
        <w:rPr>
          <w:lang w:val="pt-BR"/>
        </w:rPr>
      </w:pPr>
    </w:p>
    <w:p w14:paraId="74562E6D" w14:textId="77777777" w:rsidR="00953B2E" w:rsidRPr="00C35766" w:rsidRDefault="005F0C19">
      <w:pPr>
        <w:pStyle w:val="a3"/>
        <w:rPr>
          <w:rFonts w:eastAsia="Times New Roman"/>
          <w:lang w:val="pt-BR"/>
        </w:rPr>
      </w:pPr>
      <w:r w:rsidRPr="00C35766">
        <w:rPr>
          <w:rFonts w:eastAsia="Times New Roman"/>
          <w:i/>
          <w:iCs/>
          <w:spacing w:val="-1"/>
          <w:lang w:val="it-IT"/>
        </w:rPr>
        <w:t>Artrite psoriasica</w:t>
      </w:r>
    </w:p>
    <w:p w14:paraId="293FFFAA" w14:textId="77777777" w:rsidR="00953B2E" w:rsidRPr="00C35766" w:rsidRDefault="00953B2E">
      <w:pPr>
        <w:pStyle w:val="a3"/>
        <w:rPr>
          <w:sz w:val="24"/>
          <w:szCs w:val="24"/>
          <w:lang w:val="pt-BR"/>
        </w:rPr>
      </w:pPr>
    </w:p>
    <w:p w14:paraId="173FDE2C" w14:textId="71ACC46F" w:rsidR="00953B2E" w:rsidRPr="00C35766" w:rsidRDefault="005F0C19">
      <w:pPr>
        <w:pStyle w:val="a3"/>
        <w:rPr>
          <w:lang w:val="it-IT"/>
        </w:rPr>
      </w:pPr>
      <w:r w:rsidRPr="00C35766">
        <w:rPr>
          <w:rFonts w:eastAsia="Times New Roman"/>
          <w:lang w:val="it-IT"/>
        </w:rPr>
        <w:t xml:space="preserve">Adalimumab, somministrato alla dose di 40 mg a settimane alterne, è stato studiato in pazienti affetti da artrite psoriasica attiva di grado </w:t>
      </w:r>
      <w:r w:rsidR="00995F69" w:rsidRPr="00C35766">
        <w:rPr>
          <w:rFonts w:eastAsia="Times New Roman"/>
          <w:lang w:val="it-IT"/>
        </w:rPr>
        <w:t xml:space="preserve">da </w:t>
      </w:r>
      <w:r w:rsidRPr="00C35766">
        <w:rPr>
          <w:rFonts w:eastAsia="Times New Roman"/>
          <w:lang w:val="it-IT"/>
        </w:rPr>
        <w:t>moderato</w:t>
      </w:r>
      <w:r w:rsidR="00995F69" w:rsidRPr="00C35766">
        <w:rPr>
          <w:rFonts w:eastAsia="Times New Roman"/>
          <w:lang w:val="it-IT"/>
        </w:rPr>
        <w:t xml:space="preserve"> a severo </w:t>
      </w:r>
      <w:r w:rsidRPr="00C35766">
        <w:rPr>
          <w:rFonts w:eastAsia="Times New Roman"/>
          <w:lang w:val="it-IT"/>
        </w:rPr>
        <w:t>in due studi controllati con placebo, gli studi PsA I e II. Nel corso dello studio PsA I della durata di 24 settimane, sono stati trattati 313 pazienti adulti che avevano una risposta inadeguata alla terapia con farmaci antinfiammatori non steroidei e di questi, circa il 50% stava assumendo metotressato. Nel corso dello studio PsA II della durata di 12 settimane, sono stati trattati 100 pazienti che avevano una risposta inadeguata alla terapia con DMARD. A conclusione di entrambi gli studi, 383 pazienti sono stati arruolati in uno studio di estensione in aperto ed hanno ricevuto adalimumab 40 mg a settimane alterne.</w:t>
      </w:r>
    </w:p>
    <w:p w14:paraId="083B076B" w14:textId="77777777" w:rsidR="00953B2E" w:rsidRPr="00C35766" w:rsidRDefault="00953B2E">
      <w:pPr>
        <w:pStyle w:val="a3"/>
        <w:rPr>
          <w:sz w:val="24"/>
          <w:szCs w:val="24"/>
          <w:lang w:val="it-IT"/>
        </w:rPr>
      </w:pPr>
    </w:p>
    <w:p w14:paraId="5B9847A5" w14:textId="77777777" w:rsidR="00953B2E" w:rsidRPr="00C35766" w:rsidRDefault="005F0C19">
      <w:pPr>
        <w:pStyle w:val="a3"/>
        <w:rPr>
          <w:lang w:val="it-IT"/>
        </w:rPr>
      </w:pPr>
      <w:r w:rsidRPr="00C35766">
        <w:rPr>
          <w:rFonts w:eastAsia="Times New Roman"/>
          <w:lang w:val="it-IT"/>
        </w:rPr>
        <w:t>A causa del numero limitato di pazienti studiati, non vi è sufficiente evidenza dell’efficacia di adalimumab in pazienti affetti da artrite psoriasica simil-spondilite anchilosante.</w:t>
      </w:r>
    </w:p>
    <w:p w14:paraId="7C01727C" w14:textId="77777777" w:rsidR="00953B2E" w:rsidRPr="00C35766" w:rsidRDefault="00953B2E">
      <w:pPr>
        <w:spacing w:before="17" w:line="240" w:lineRule="exact"/>
        <w:rPr>
          <w:rFonts w:ascii="Times New Roman" w:hAnsi="Times New Roman" w:cs="Times New Roman"/>
          <w:sz w:val="24"/>
          <w:szCs w:val="24"/>
          <w:lang w:val="it-IT"/>
        </w:rPr>
      </w:pPr>
    </w:p>
    <w:p w14:paraId="5E91EE50" w14:textId="40E0FEBE" w:rsidR="00953B2E" w:rsidRPr="00C35766" w:rsidRDefault="005F0C19">
      <w:pPr>
        <w:pStyle w:val="a3"/>
        <w:jc w:val="center"/>
        <w:rPr>
          <w:b/>
          <w:lang w:val="es-ES"/>
        </w:rPr>
      </w:pPr>
      <w:r w:rsidRPr="00C35766">
        <w:rPr>
          <w:rFonts w:eastAsia="Times New Roman"/>
          <w:b/>
          <w:bCs/>
          <w:lang w:val="it-IT"/>
        </w:rPr>
        <w:t xml:space="preserve">Tabella </w:t>
      </w:r>
      <w:r w:rsidR="00B90373" w:rsidRPr="00C35766">
        <w:rPr>
          <w:rFonts w:eastAsia="Times New Roman"/>
          <w:b/>
          <w:bCs/>
          <w:lang w:val="it-IT"/>
        </w:rPr>
        <w:t>15</w:t>
      </w:r>
    </w:p>
    <w:p w14:paraId="36819AB5" w14:textId="04705679" w:rsidR="00953B2E" w:rsidRDefault="005F0C19">
      <w:pPr>
        <w:pStyle w:val="a3"/>
        <w:jc w:val="center"/>
        <w:rPr>
          <w:rFonts w:eastAsia="Times New Roman"/>
          <w:b/>
          <w:bCs/>
          <w:lang w:val="it-IT"/>
        </w:rPr>
      </w:pPr>
      <w:r w:rsidRPr="00C35766">
        <w:rPr>
          <w:rFonts w:eastAsia="Times New Roman"/>
          <w:b/>
          <w:bCs/>
          <w:lang w:val="it-IT"/>
        </w:rPr>
        <w:t>Risposte ACR in studi controllati con placebo nei casi di artrite psoriasica (percentuale di pazienti)</w:t>
      </w:r>
    </w:p>
    <w:p w14:paraId="349822F1" w14:textId="77777777" w:rsidR="00A842FF" w:rsidRPr="00C35766" w:rsidRDefault="00A842FF">
      <w:pPr>
        <w:pStyle w:val="a3"/>
        <w:jc w:val="center"/>
        <w:rPr>
          <w:b/>
          <w:lang w:val="es-ES"/>
        </w:rPr>
      </w:pPr>
    </w:p>
    <w:tbl>
      <w:tblPr>
        <w:tblStyle w:val="ac"/>
        <w:tblW w:w="0" w:type="auto"/>
        <w:jc w:val="center"/>
        <w:tblLook w:val="04A0" w:firstRow="1" w:lastRow="0" w:firstColumn="1" w:lastColumn="0" w:noHBand="0" w:noVBand="1"/>
      </w:tblPr>
      <w:tblGrid>
        <w:gridCol w:w="1902"/>
        <w:gridCol w:w="1495"/>
        <w:gridCol w:w="1365"/>
        <w:gridCol w:w="1458"/>
        <w:gridCol w:w="1558"/>
      </w:tblGrid>
      <w:tr w:rsidR="00953B2E" w:rsidRPr="00C35766" w14:paraId="43CD957F" w14:textId="77777777" w:rsidTr="00A842FF">
        <w:trPr>
          <w:trHeight w:val="397"/>
          <w:jc w:val="center"/>
        </w:trPr>
        <w:tc>
          <w:tcPr>
            <w:tcW w:w="1902" w:type="dxa"/>
          </w:tcPr>
          <w:p w14:paraId="2518D3EB" w14:textId="77777777" w:rsidR="00953B2E" w:rsidRPr="00146E60" w:rsidRDefault="00953B2E">
            <w:pPr>
              <w:spacing w:before="11" w:line="240" w:lineRule="exact"/>
              <w:jc w:val="center"/>
              <w:rPr>
                <w:rFonts w:ascii="Times New Roman" w:hAnsi="Times New Roman" w:cs="Times New Roman"/>
                <w:lang w:val="es-ES"/>
              </w:rPr>
            </w:pPr>
          </w:p>
        </w:tc>
        <w:tc>
          <w:tcPr>
            <w:tcW w:w="2860" w:type="dxa"/>
            <w:gridSpan w:val="2"/>
          </w:tcPr>
          <w:p w14:paraId="4486A0C2" w14:textId="5378F06F" w:rsidR="00953B2E" w:rsidRPr="00146E60" w:rsidRDefault="005F0C19">
            <w:pPr>
              <w:spacing w:before="11" w:line="240" w:lineRule="exact"/>
              <w:jc w:val="center"/>
              <w:rPr>
                <w:rFonts w:ascii="Times New Roman" w:hAnsi="Times New Roman" w:cs="Times New Roman"/>
              </w:rPr>
            </w:pPr>
            <w:r w:rsidRPr="00146E60">
              <w:rPr>
                <w:rFonts w:ascii="Times New Roman" w:eastAsia="Times New Roman" w:hAnsi="Times New Roman" w:cs="Times New Roman"/>
                <w:bCs/>
                <w:spacing w:val="-1"/>
                <w:lang w:val="it-IT"/>
              </w:rPr>
              <w:t>Studio PsA I</w:t>
            </w:r>
          </w:p>
        </w:tc>
        <w:tc>
          <w:tcPr>
            <w:tcW w:w="3016" w:type="dxa"/>
            <w:gridSpan w:val="2"/>
          </w:tcPr>
          <w:p w14:paraId="7BD209C4" w14:textId="25128B5B" w:rsidR="00953B2E" w:rsidRPr="00146E60" w:rsidRDefault="005F0C19">
            <w:pPr>
              <w:spacing w:before="11" w:line="240" w:lineRule="exact"/>
              <w:jc w:val="center"/>
              <w:rPr>
                <w:rFonts w:ascii="Times New Roman" w:hAnsi="Times New Roman" w:cs="Times New Roman"/>
              </w:rPr>
            </w:pPr>
            <w:r w:rsidRPr="00146E60">
              <w:rPr>
                <w:rFonts w:ascii="Times New Roman" w:eastAsia="Times New Roman" w:hAnsi="Times New Roman" w:cs="Times New Roman"/>
                <w:bCs/>
                <w:spacing w:val="-1"/>
                <w:lang w:val="it-IT"/>
              </w:rPr>
              <w:t>Studio PsA II</w:t>
            </w:r>
          </w:p>
        </w:tc>
      </w:tr>
      <w:tr w:rsidR="00953B2E" w:rsidRPr="00C35766" w14:paraId="4A26AB29" w14:textId="77777777" w:rsidTr="00146E60">
        <w:trPr>
          <w:jc w:val="center"/>
        </w:trPr>
        <w:tc>
          <w:tcPr>
            <w:tcW w:w="1902" w:type="dxa"/>
            <w:tcBorders>
              <w:bottom w:val="single" w:sz="4" w:space="0" w:color="auto"/>
            </w:tcBorders>
          </w:tcPr>
          <w:p w14:paraId="40ECF530"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Risposta</w:t>
            </w:r>
          </w:p>
        </w:tc>
        <w:tc>
          <w:tcPr>
            <w:tcW w:w="1495" w:type="dxa"/>
            <w:tcBorders>
              <w:bottom w:val="single" w:sz="4" w:space="0" w:color="auto"/>
            </w:tcBorders>
          </w:tcPr>
          <w:p w14:paraId="5D871A49"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Placebo</w:t>
            </w:r>
          </w:p>
          <w:p w14:paraId="23085948"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N=162</w:t>
            </w:r>
          </w:p>
        </w:tc>
        <w:tc>
          <w:tcPr>
            <w:tcW w:w="1365" w:type="dxa"/>
            <w:tcBorders>
              <w:bottom w:val="single" w:sz="4" w:space="0" w:color="auto"/>
            </w:tcBorders>
          </w:tcPr>
          <w:p w14:paraId="1255F52D"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Adalimumab</w:t>
            </w:r>
          </w:p>
          <w:p w14:paraId="06AB86E8"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N=151</w:t>
            </w:r>
          </w:p>
        </w:tc>
        <w:tc>
          <w:tcPr>
            <w:tcW w:w="1458" w:type="dxa"/>
            <w:tcBorders>
              <w:bottom w:val="single" w:sz="4" w:space="0" w:color="auto"/>
            </w:tcBorders>
          </w:tcPr>
          <w:p w14:paraId="7D6337A9"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Placebo</w:t>
            </w:r>
          </w:p>
          <w:p w14:paraId="625B563D"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N=49</w:t>
            </w:r>
          </w:p>
        </w:tc>
        <w:tc>
          <w:tcPr>
            <w:tcW w:w="1545" w:type="dxa"/>
            <w:tcBorders>
              <w:bottom w:val="single" w:sz="4" w:space="0" w:color="auto"/>
            </w:tcBorders>
          </w:tcPr>
          <w:p w14:paraId="65084823" w14:textId="61ACAC03"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Adalimumab</w:t>
            </w:r>
          </w:p>
          <w:p w14:paraId="09C448BA" w14:textId="77777777" w:rsidR="00953B2E" w:rsidRPr="00146E60" w:rsidRDefault="005F0C19">
            <w:pPr>
              <w:spacing w:before="11" w:line="240" w:lineRule="exact"/>
              <w:jc w:val="center"/>
              <w:rPr>
                <w:rFonts w:ascii="Times New Roman" w:hAnsi="Times New Roman" w:cs="Times New Roman"/>
                <w:lang w:eastAsia="ko-KR"/>
              </w:rPr>
            </w:pPr>
            <w:r w:rsidRPr="00146E60">
              <w:rPr>
                <w:rFonts w:ascii="Times New Roman" w:eastAsia="Times New Roman" w:hAnsi="Times New Roman" w:cs="Times New Roman"/>
                <w:bCs/>
                <w:lang w:val="it-IT" w:eastAsia="ko-KR"/>
              </w:rPr>
              <w:t>N=51</w:t>
            </w:r>
          </w:p>
        </w:tc>
      </w:tr>
      <w:tr w:rsidR="00953B2E" w:rsidRPr="00C35766" w14:paraId="31A1EBAC" w14:textId="77777777" w:rsidTr="00146E60">
        <w:trPr>
          <w:jc w:val="center"/>
        </w:trPr>
        <w:tc>
          <w:tcPr>
            <w:tcW w:w="1902" w:type="dxa"/>
            <w:tcBorders>
              <w:top w:val="single" w:sz="4" w:space="0" w:color="auto"/>
              <w:left w:val="single" w:sz="4" w:space="0" w:color="auto"/>
              <w:bottom w:val="nil"/>
              <w:right w:val="single" w:sz="4" w:space="0" w:color="auto"/>
            </w:tcBorders>
          </w:tcPr>
          <w:p w14:paraId="48812873" w14:textId="77777777" w:rsidR="00953B2E" w:rsidRPr="00C35766" w:rsidRDefault="005F0C19">
            <w:pPr>
              <w:spacing w:before="11" w:line="240" w:lineRule="exact"/>
              <w:rPr>
                <w:rFonts w:ascii="Times New Roman" w:hAnsi="Times New Roman" w:cs="Times New Roman"/>
                <w:lang w:eastAsia="ko-KR"/>
              </w:rPr>
            </w:pPr>
            <w:r w:rsidRPr="00C35766">
              <w:rPr>
                <w:rFonts w:ascii="Times New Roman" w:eastAsia="Times New Roman" w:hAnsi="Times New Roman" w:cs="Times New Roman"/>
                <w:lang w:val="it-IT" w:eastAsia="ko-KR"/>
              </w:rPr>
              <w:t>ACR 20</w:t>
            </w:r>
          </w:p>
        </w:tc>
        <w:tc>
          <w:tcPr>
            <w:tcW w:w="1495" w:type="dxa"/>
            <w:tcBorders>
              <w:top w:val="single" w:sz="4" w:space="0" w:color="auto"/>
              <w:left w:val="single" w:sz="4" w:space="0" w:color="auto"/>
              <w:bottom w:val="nil"/>
              <w:right w:val="single" w:sz="4" w:space="0" w:color="auto"/>
            </w:tcBorders>
          </w:tcPr>
          <w:p w14:paraId="1DF9947A" w14:textId="77777777" w:rsidR="00953B2E" w:rsidRPr="00C35766" w:rsidRDefault="00953B2E">
            <w:pPr>
              <w:spacing w:before="11" w:line="240" w:lineRule="exact"/>
              <w:rPr>
                <w:rFonts w:ascii="Times New Roman" w:hAnsi="Times New Roman" w:cs="Times New Roman"/>
                <w:lang w:eastAsia="ko-KR"/>
              </w:rPr>
            </w:pPr>
          </w:p>
        </w:tc>
        <w:tc>
          <w:tcPr>
            <w:tcW w:w="1365" w:type="dxa"/>
            <w:tcBorders>
              <w:top w:val="single" w:sz="4" w:space="0" w:color="auto"/>
              <w:left w:val="single" w:sz="4" w:space="0" w:color="auto"/>
              <w:bottom w:val="nil"/>
              <w:right w:val="single" w:sz="4" w:space="0" w:color="auto"/>
            </w:tcBorders>
          </w:tcPr>
          <w:p w14:paraId="0AC1D7DA" w14:textId="77777777" w:rsidR="00953B2E" w:rsidRPr="00C35766" w:rsidRDefault="00953B2E">
            <w:pPr>
              <w:spacing w:before="11" w:line="240" w:lineRule="exact"/>
              <w:rPr>
                <w:rFonts w:ascii="Times New Roman" w:hAnsi="Times New Roman" w:cs="Times New Roman"/>
              </w:rPr>
            </w:pPr>
          </w:p>
        </w:tc>
        <w:tc>
          <w:tcPr>
            <w:tcW w:w="1458" w:type="dxa"/>
            <w:tcBorders>
              <w:top w:val="single" w:sz="4" w:space="0" w:color="auto"/>
              <w:left w:val="single" w:sz="4" w:space="0" w:color="auto"/>
              <w:bottom w:val="nil"/>
              <w:right w:val="single" w:sz="4" w:space="0" w:color="auto"/>
            </w:tcBorders>
          </w:tcPr>
          <w:p w14:paraId="49827D44" w14:textId="77777777" w:rsidR="00953B2E" w:rsidRPr="00C35766" w:rsidRDefault="00953B2E">
            <w:pPr>
              <w:spacing w:before="11" w:line="240" w:lineRule="exact"/>
              <w:rPr>
                <w:rFonts w:ascii="Times New Roman" w:hAnsi="Times New Roman" w:cs="Times New Roman"/>
              </w:rPr>
            </w:pPr>
          </w:p>
        </w:tc>
        <w:tc>
          <w:tcPr>
            <w:tcW w:w="1545" w:type="dxa"/>
            <w:tcBorders>
              <w:top w:val="single" w:sz="4" w:space="0" w:color="auto"/>
              <w:left w:val="single" w:sz="4" w:space="0" w:color="auto"/>
              <w:bottom w:val="nil"/>
              <w:right w:val="single" w:sz="4" w:space="0" w:color="auto"/>
            </w:tcBorders>
          </w:tcPr>
          <w:p w14:paraId="2E0C86F3" w14:textId="77777777" w:rsidR="00953B2E" w:rsidRPr="00C35766" w:rsidRDefault="00953B2E">
            <w:pPr>
              <w:spacing w:before="11" w:line="240" w:lineRule="exact"/>
              <w:rPr>
                <w:rFonts w:ascii="Times New Roman" w:hAnsi="Times New Roman" w:cs="Times New Roman"/>
              </w:rPr>
            </w:pPr>
          </w:p>
        </w:tc>
      </w:tr>
      <w:tr w:rsidR="00953B2E" w:rsidRPr="00C35766" w14:paraId="71F97FE4" w14:textId="77777777" w:rsidTr="00146E60">
        <w:trPr>
          <w:jc w:val="center"/>
        </w:trPr>
        <w:tc>
          <w:tcPr>
            <w:tcW w:w="1902" w:type="dxa"/>
            <w:tcBorders>
              <w:top w:val="nil"/>
              <w:left w:val="single" w:sz="4" w:space="0" w:color="auto"/>
              <w:bottom w:val="nil"/>
              <w:right w:val="single" w:sz="4" w:space="0" w:color="auto"/>
            </w:tcBorders>
          </w:tcPr>
          <w:p w14:paraId="2BDB05B2" w14:textId="77777777" w:rsidR="00953B2E" w:rsidRPr="00C35766" w:rsidRDefault="005F0C19">
            <w:pPr>
              <w:spacing w:before="11" w:line="240" w:lineRule="exact"/>
              <w:jc w:val="right"/>
              <w:rPr>
                <w:rFonts w:ascii="Times New Roman" w:hAnsi="Times New Roman" w:cs="Times New Roman"/>
                <w:lang w:eastAsia="ko-KR"/>
              </w:rPr>
            </w:pPr>
            <w:r w:rsidRPr="00C35766">
              <w:rPr>
                <w:rFonts w:ascii="Times New Roman" w:eastAsia="Times New Roman" w:hAnsi="Times New Roman" w:cs="Times New Roman"/>
                <w:lang w:val="it-IT" w:eastAsia="ko-KR"/>
              </w:rPr>
              <w:t>Settimana 12</w:t>
            </w:r>
          </w:p>
        </w:tc>
        <w:tc>
          <w:tcPr>
            <w:tcW w:w="1495" w:type="dxa"/>
            <w:tcBorders>
              <w:top w:val="nil"/>
              <w:left w:val="single" w:sz="4" w:space="0" w:color="auto"/>
              <w:bottom w:val="nil"/>
              <w:right w:val="single" w:sz="4" w:space="0" w:color="auto"/>
            </w:tcBorders>
          </w:tcPr>
          <w:p w14:paraId="0C7639D6"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14%</w:t>
            </w:r>
          </w:p>
        </w:tc>
        <w:tc>
          <w:tcPr>
            <w:tcW w:w="1365" w:type="dxa"/>
            <w:tcBorders>
              <w:top w:val="nil"/>
              <w:left w:val="single" w:sz="4" w:space="0" w:color="auto"/>
              <w:bottom w:val="nil"/>
              <w:right w:val="single" w:sz="4" w:space="0" w:color="auto"/>
            </w:tcBorders>
          </w:tcPr>
          <w:p w14:paraId="2E9574C0"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58%***</w:t>
            </w:r>
          </w:p>
        </w:tc>
        <w:tc>
          <w:tcPr>
            <w:tcW w:w="1458" w:type="dxa"/>
            <w:tcBorders>
              <w:top w:val="nil"/>
              <w:left w:val="single" w:sz="4" w:space="0" w:color="auto"/>
              <w:bottom w:val="nil"/>
              <w:right w:val="single" w:sz="4" w:space="0" w:color="auto"/>
            </w:tcBorders>
          </w:tcPr>
          <w:p w14:paraId="36ACB175"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16%</w:t>
            </w:r>
          </w:p>
        </w:tc>
        <w:tc>
          <w:tcPr>
            <w:tcW w:w="1545" w:type="dxa"/>
            <w:tcBorders>
              <w:top w:val="nil"/>
              <w:left w:val="single" w:sz="4" w:space="0" w:color="auto"/>
              <w:bottom w:val="nil"/>
              <w:right w:val="single" w:sz="4" w:space="0" w:color="auto"/>
            </w:tcBorders>
          </w:tcPr>
          <w:p w14:paraId="1A20A8D4"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39%*</w:t>
            </w:r>
          </w:p>
        </w:tc>
      </w:tr>
      <w:tr w:rsidR="00953B2E" w:rsidRPr="00C35766" w14:paraId="63A8A20D" w14:textId="77777777" w:rsidTr="00146E60">
        <w:trPr>
          <w:jc w:val="center"/>
        </w:trPr>
        <w:tc>
          <w:tcPr>
            <w:tcW w:w="1902" w:type="dxa"/>
            <w:tcBorders>
              <w:top w:val="nil"/>
              <w:left w:val="single" w:sz="4" w:space="0" w:color="auto"/>
              <w:bottom w:val="nil"/>
              <w:right w:val="single" w:sz="4" w:space="0" w:color="auto"/>
            </w:tcBorders>
          </w:tcPr>
          <w:p w14:paraId="0BAC347C" w14:textId="77777777" w:rsidR="00953B2E" w:rsidRPr="00C35766" w:rsidRDefault="005F0C19">
            <w:pPr>
              <w:spacing w:before="11" w:line="240" w:lineRule="exact"/>
              <w:jc w:val="right"/>
              <w:rPr>
                <w:rFonts w:ascii="Times New Roman" w:hAnsi="Times New Roman" w:cs="Times New Roman"/>
                <w:lang w:eastAsia="ko-KR"/>
              </w:rPr>
            </w:pPr>
            <w:r w:rsidRPr="00C35766">
              <w:rPr>
                <w:rFonts w:ascii="Times New Roman" w:eastAsia="Times New Roman" w:hAnsi="Times New Roman" w:cs="Times New Roman"/>
                <w:lang w:val="it-IT" w:eastAsia="ko-KR"/>
              </w:rPr>
              <w:t>Settimana 24</w:t>
            </w:r>
          </w:p>
        </w:tc>
        <w:tc>
          <w:tcPr>
            <w:tcW w:w="1495" w:type="dxa"/>
            <w:tcBorders>
              <w:top w:val="nil"/>
              <w:left w:val="single" w:sz="4" w:space="0" w:color="auto"/>
              <w:bottom w:val="nil"/>
              <w:right w:val="single" w:sz="4" w:space="0" w:color="auto"/>
            </w:tcBorders>
          </w:tcPr>
          <w:p w14:paraId="686626D3"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15%</w:t>
            </w:r>
          </w:p>
        </w:tc>
        <w:tc>
          <w:tcPr>
            <w:tcW w:w="1365" w:type="dxa"/>
            <w:tcBorders>
              <w:top w:val="nil"/>
              <w:left w:val="single" w:sz="4" w:space="0" w:color="auto"/>
              <w:bottom w:val="nil"/>
              <w:right w:val="single" w:sz="4" w:space="0" w:color="auto"/>
            </w:tcBorders>
          </w:tcPr>
          <w:p w14:paraId="31EC6C2E"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57%***</w:t>
            </w:r>
          </w:p>
        </w:tc>
        <w:tc>
          <w:tcPr>
            <w:tcW w:w="1458" w:type="dxa"/>
            <w:tcBorders>
              <w:top w:val="nil"/>
              <w:left w:val="single" w:sz="4" w:space="0" w:color="auto"/>
              <w:bottom w:val="nil"/>
              <w:right w:val="single" w:sz="4" w:space="0" w:color="auto"/>
            </w:tcBorders>
          </w:tcPr>
          <w:p w14:paraId="55FF0065"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c>
          <w:tcPr>
            <w:tcW w:w="1545" w:type="dxa"/>
            <w:tcBorders>
              <w:top w:val="nil"/>
              <w:left w:val="single" w:sz="4" w:space="0" w:color="auto"/>
              <w:bottom w:val="nil"/>
              <w:right w:val="single" w:sz="4" w:space="0" w:color="auto"/>
            </w:tcBorders>
          </w:tcPr>
          <w:p w14:paraId="32BEFACF"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r>
      <w:tr w:rsidR="00953B2E" w:rsidRPr="00C35766" w14:paraId="41205355" w14:textId="77777777" w:rsidTr="00146E60">
        <w:trPr>
          <w:jc w:val="center"/>
        </w:trPr>
        <w:tc>
          <w:tcPr>
            <w:tcW w:w="1902" w:type="dxa"/>
            <w:tcBorders>
              <w:top w:val="nil"/>
              <w:left w:val="single" w:sz="4" w:space="0" w:color="auto"/>
              <w:bottom w:val="nil"/>
              <w:right w:val="single" w:sz="4" w:space="0" w:color="auto"/>
            </w:tcBorders>
          </w:tcPr>
          <w:p w14:paraId="575DB82B" w14:textId="77777777" w:rsidR="00953B2E" w:rsidRPr="00C35766" w:rsidRDefault="005F0C19">
            <w:pPr>
              <w:spacing w:before="11" w:line="240" w:lineRule="exact"/>
              <w:rPr>
                <w:rFonts w:ascii="Times New Roman" w:hAnsi="Times New Roman" w:cs="Times New Roman"/>
                <w:lang w:eastAsia="ko-KR"/>
              </w:rPr>
            </w:pPr>
            <w:r w:rsidRPr="00C35766">
              <w:rPr>
                <w:rFonts w:ascii="Times New Roman" w:eastAsia="Times New Roman" w:hAnsi="Times New Roman" w:cs="Times New Roman"/>
                <w:lang w:val="it-IT" w:eastAsia="ko-KR"/>
              </w:rPr>
              <w:t>ACR 50</w:t>
            </w:r>
          </w:p>
        </w:tc>
        <w:tc>
          <w:tcPr>
            <w:tcW w:w="1495" w:type="dxa"/>
            <w:tcBorders>
              <w:top w:val="nil"/>
              <w:left w:val="single" w:sz="4" w:space="0" w:color="auto"/>
              <w:bottom w:val="nil"/>
              <w:right w:val="single" w:sz="4" w:space="0" w:color="auto"/>
            </w:tcBorders>
          </w:tcPr>
          <w:p w14:paraId="416F3598" w14:textId="77777777" w:rsidR="00953B2E" w:rsidRPr="00C35766" w:rsidRDefault="00953B2E">
            <w:pPr>
              <w:spacing w:before="11" w:line="240" w:lineRule="exact"/>
              <w:jc w:val="center"/>
              <w:rPr>
                <w:rFonts w:ascii="Times New Roman" w:hAnsi="Times New Roman" w:cs="Times New Roman"/>
              </w:rPr>
            </w:pPr>
          </w:p>
        </w:tc>
        <w:tc>
          <w:tcPr>
            <w:tcW w:w="1365" w:type="dxa"/>
            <w:tcBorders>
              <w:top w:val="nil"/>
              <w:left w:val="single" w:sz="4" w:space="0" w:color="auto"/>
              <w:bottom w:val="nil"/>
              <w:right w:val="single" w:sz="4" w:space="0" w:color="auto"/>
            </w:tcBorders>
          </w:tcPr>
          <w:p w14:paraId="6267D83E" w14:textId="77777777" w:rsidR="00953B2E" w:rsidRPr="00C35766" w:rsidRDefault="00953B2E">
            <w:pPr>
              <w:spacing w:before="11" w:line="240" w:lineRule="exact"/>
              <w:jc w:val="center"/>
              <w:rPr>
                <w:rFonts w:ascii="Times New Roman" w:hAnsi="Times New Roman" w:cs="Times New Roman"/>
              </w:rPr>
            </w:pPr>
          </w:p>
        </w:tc>
        <w:tc>
          <w:tcPr>
            <w:tcW w:w="1458" w:type="dxa"/>
            <w:tcBorders>
              <w:top w:val="nil"/>
              <w:left w:val="single" w:sz="4" w:space="0" w:color="auto"/>
              <w:bottom w:val="nil"/>
              <w:right w:val="single" w:sz="4" w:space="0" w:color="auto"/>
            </w:tcBorders>
          </w:tcPr>
          <w:p w14:paraId="44DF9C10" w14:textId="77777777" w:rsidR="00953B2E" w:rsidRPr="00C35766" w:rsidRDefault="00953B2E">
            <w:pPr>
              <w:spacing w:before="11" w:line="240" w:lineRule="exact"/>
              <w:jc w:val="center"/>
              <w:rPr>
                <w:rFonts w:ascii="Times New Roman" w:hAnsi="Times New Roman" w:cs="Times New Roman"/>
              </w:rPr>
            </w:pPr>
          </w:p>
        </w:tc>
        <w:tc>
          <w:tcPr>
            <w:tcW w:w="1545" w:type="dxa"/>
            <w:tcBorders>
              <w:top w:val="nil"/>
              <w:left w:val="single" w:sz="4" w:space="0" w:color="auto"/>
              <w:bottom w:val="nil"/>
              <w:right w:val="single" w:sz="4" w:space="0" w:color="auto"/>
            </w:tcBorders>
          </w:tcPr>
          <w:p w14:paraId="5172EDF9" w14:textId="77777777" w:rsidR="00953B2E" w:rsidRPr="00C35766" w:rsidRDefault="00953B2E">
            <w:pPr>
              <w:spacing w:before="11" w:line="240" w:lineRule="exact"/>
              <w:jc w:val="center"/>
              <w:rPr>
                <w:rFonts w:ascii="Times New Roman" w:hAnsi="Times New Roman" w:cs="Times New Roman"/>
              </w:rPr>
            </w:pPr>
          </w:p>
        </w:tc>
      </w:tr>
      <w:tr w:rsidR="00953B2E" w:rsidRPr="00C35766" w14:paraId="287BFBB9" w14:textId="77777777" w:rsidTr="00146E60">
        <w:trPr>
          <w:jc w:val="center"/>
        </w:trPr>
        <w:tc>
          <w:tcPr>
            <w:tcW w:w="1902" w:type="dxa"/>
            <w:tcBorders>
              <w:top w:val="nil"/>
              <w:left w:val="single" w:sz="4" w:space="0" w:color="auto"/>
              <w:bottom w:val="nil"/>
              <w:right w:val="single" w:sz="4" w:space="0" w:color="auto"/>
            </w:tcBorders>
          </w:tcPr>
          <w:p w14:paraId="1029B09C" w14:textId="77777777" w:rsidR="00953B2E" w:rsidRPr="00C35766" w:rsidRDefault="005F0C19">
            <w:pPr>
              <w:spacing w:before="11" w:line="240" w:lineRule="exact"/>
              <w:jc w:val="right"/>
              <w:rPr>
                <w:rFonts w:ascii="Times New Roman" w:hAnsi="Times New Roman" w:cs="Times New Roman"/>
              </w:rPr>
            </w:pPr>
            <w:r w:rsidRPr="00C35766">
              <w:rPr>
                <w:rFonts w:ascii="Times New Roman" w:eastAsia="Times New Roman" w:hAnsi="Times New Roman" w:cs="Times New Roman"/>
                <w:lang w:val="it-IT" w:eastAsia="ko-KR"/>
              </w:rPr>
              <w:t>Settimana 12</w:t>
            </w:r>
          </w:p>
        </w:tc>
        <w:tc>
          <w:tcPr>
            <w:tcW w:w="1495" w:type="dxa"/>
            <w:tcBorders>
              <w:top w:val="nil"/>
              <w:left w:val="single" w:sz="4" w:space="0" w:color="auto"/>
              <w:bottom w:val="nil"/>
              <w:right w:val="single" w:sz="4" w:space="0" w:color="auto"/>
            </w:tcBorders>
          </w:tcPr>
          <w:p w14:paraId="2A690426"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4%</w:t>
            </w:r>
          </w:p>
        </w:tc>
        <w:tc>
          <w:tcPr>
            <w:tcW w:w="1365" w:type="dxa"/>
            <w:tcBorders>
              <w:top w:val="nil"/>
              <w:left w:val="single" w:sz="4" w:space="0" w:color="auto"/>
              <w:bottom w:val="nil"/>
              <w:right w:val="single" w:sz="4" w:space="0" w:color="auto"/>
            </w:tcBorders>
          </w:tcPr>
          <w:p w14:paraId="19D0F77B"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36%***</w:t>
            </w:r>
          </w:p>
        </w:tc>
        <w:tc>
          <w:tcPr>
            <w:tcW w:w="1458" w:type="dxa"/>
            <w:tcBorders>
              <w:top w:val="nil"/>
              <w:left w:val="single" w:sz="4" w:space="0" w:color="auto"/>
              <w:bottom w:val="nil"/>
              <w:right w:val="single" w:sz="4" w:space="0" w:color="auto"/>
            </w:tcBorders>
          </w:tcPr>
          <w:p w14:paraId="00B2DCB7"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2%</w:t>
            </w:r>
          </w:p>
        </w:tc>
        <w:tc>
          <w:tcPr>
            <w:tcW w:w="1545" w:type="dxa"/>
            <w:tcBorders>
              <w:top w:val="nil"/>
              <w:left w:val="single" w:sz="4" w:space="0" w:color="auto"/>
              <w:bottom w:val="nil"/>
              <w:right w:val="single" w:sz="4" w:space="0" w:color="auto"/>
            </w:tcBorders>
          </w:tcPr>
          <w:p w14:paraId="68CA0057"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25%***</w:t>
            </w:r>
          </w:p>
        </w:tc>
      </w:tr>
      <w:tr w:rsidR="00953B2E" w:rsidRPr="00C35766" w14:paraId="56540D1B" w14:textId="77777777" w:rsidTr="00146E60">
        <w:trPr>
          <w:jc w:val="center"/>
        </w:trPr>
        <w:tc>
          <w:tcPr>
            <w:tcW w:w="1902" w:type="dxa"/>
            <w:tcBorders>
              <w:top w:val="nil"/>
              <w:left w:val="single" w:sz="4" w:space="0" w:color="auto"/>
              <w:bottom w:val="nil"/>
              <w:right w:val="single" w:sz="4" w:space="0" w:color="auto"/>
            </w:tcBorders>
          </w:tcPr>
          <w:p w14:paraId="3774BFA6" w14:textId="77777777" w:rsidR="00953B2E" w:rsidRPr="00C35766" w:rsidRDefault="005F0C19">
            <w:pPr>
              <w:spacing w:before="11" w:line="240" w:lineRule="exact"/>
              <w:jc w:val="right"/>
              <w:rPr>
                <w:rFonts w:ascii="Times New Roman" w:hAnsi="Times New Roman" w:cs="Times New Roman"/>
              </w:rPr>
            </w:pPr>
            <w:r w:rsidRPr="00C35766">
              <w:rPr>
                <w:rFonts w:ascii="Times New Roman" w:eastAsia="Times New Roman" w:hAnsi="Times New Roman" w:cs="Times New Roman"/>
                <w:lang w:val="it-IT" w:eastAsia="ko-KR"/>
              </w:rPr>
              <w:t>Settimana 24</w:t>
            </w:r>
          </w:p>
        </w:tc>
        <w:tc>
          <w:tcPr>
            <w:tcW w:w="1495" w:type="dxa"/>
            <w:tcBorders>
              <w:top w:val="nil"/>
              <w:left w:val="single" w:sz="4" w:space="0" w:color="auto"/>
              <w:bottom w:val="nil"/>
              <w:right w:val="single" w:sz="4" w:space="0" w:color="auto"/>
            </w:tcBorders>
          </w:tcPr>
          <w:p w14:paraId="14E91C2C"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6%</w:t>
            </w:r>
          </w:p>
        </w:tc>
        <w:tc>
          <w:tcPr>
            <w:tcW w:w="1365" w:type="dxa"/>
            <w:tcBorders>
              <w:top w:val="nil"/>
              <w:left w:val="single" w:sz="4" w:space="0" w:color="auto"/>
              <w:bottom w:val="nil"/>
              <w:right w:val="single" w:sz="4" w:space="0" w:color="auto"/>
            </w:tcBorders>
          </w:tcPr>
          <w:p w14:paraId="4DEA87CB"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39%***</w:t>
            </w:r>
          </w:p>
        </w:tc>
        <w:tc>
          <w:tcPr>
            <w:tcW w:w="1458" w:type="dxa"/>
            <w:tcBorders>
              <w:top w:val="nil"/>
              <w:left w:val="single" w:sz="4" w:space="0" w:color="auto"/>
              <w:bottom w:val="nil"/>
              <w:right w:val="single" w:sz="4" w:space="0" w:color="auto"/>
            </w:tcBorders>
          </w:tcPr>
          <w:p w14:paraId="39685F59"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c>
          <w:tcPr>
            <w:tcW w:w="1545" w:type="dxa"/>
            <w:tcBorders>
              <w:top w:val="nil"/>
              <w:left w:val="single" w:sz="4" w:space="0" w:color="auto"/>
              <w:bottom w:val="nil"/>
              <w:right w:val="single" w:sz="4" w:space="0" w:color="auto"/>
            </w:tcBorders>
          </w:tcPr>
          <w:p w14:paraId="741EA2AF"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r>
      <w:tr w:rsidR="00953B2E" w:rsidRPr="00C35766" w14:paraId="7FF2690A" w14:textId="77777777" w:rsidTr="00146E60">
        <w:trPr>
          <w:jc w:val="center"/>
        </w:trPr>
        <w:tc>
          <w:tcPr>
            <w:tcW w:w="1902" w:type="dxa"/>
            <w:tcBorders>
              <w:top w:val="nil"/>
              <w:left w:val="single" w:sz="4" w:space="0" w:color="auto"/>
              <w:bottom w:val="nil"/>
              <w:right w:val="single" w:sz="4" w:space="0" w:color="auto"/>
            </w:tcBorders>
          </w:tcPr>
          <w:p w14:paraId="7187B69F" w14:textId="77777777" w:rsidR="00953B2E" w:rsidRPr="00C35766" w:rsidRDefault="005F0C19">
            <w:pPr>
              <w:spacing w:before="11" w:line="240" w:lineRule="exact"/>
              <w:rPr>
                <w:rFonts w:ascii="Times New Roman" w:hAnsi="Times New Roman" w:cs="Times New Roman"/>
                <w:lang w:eastAsia="ko-KR"/>
              </w:rPr>
            </w:pPr>
            <w:r w:rsidRPr="00C35766">
              <w:rPr>
                <w:rFonts w:ascii="Times New Roman" w:eastAsia="Times New Roman" w:hAnsi="Times New Roman" w:cs="Times New Roman"/>
                <w:lang w:val="it-IT" w:eastAsia="ko-KR"/>
              </w:rPr>
              <w:t>ACR 70</w:t>
            </w:r>
          </w:p>
        </w:tc>
        <w:tc>
          <w:tcPr>
            <w:tcW w:w="1495" w:type="dxa"/>
            <w:tcBorders>
              <w:top w:val="nil"/>
              <w:left w:val="single" w:sz="4" w:space="0" w:color="auto"/>
              <w:bottom w:val="nil"/>
              <w:right w:val="single" w:sz="4" w:space="0" w:color="auto"/>
            </w:tcBorders>
          </w:tcPr>
          <w:p w14:paraId="7E75EE97" w14:textId="77777777" w:rsidR="00953B2E" w:rsidRPr="00C35766" w:rsidRDefault="00953B2E">
            <w:pPr>
              <w:spacing w:before="11" w:line="240" w:lineRule="exact"/>
              <w:jc w:val="center"/>
              <w:rPr>
                <w:rFonts w:ascii="Times New Roman" w:hAnsi="Times New Roman" w:cs="Times New Roman"/>
              </w:rPr>
            </w:pPr>
          </w:p>
        </w:tc>
        <w:tc>
          <w:tcPr>
            <w:tcW w:w="1365" w:type="dxa"/>
            <w:tcBorders>
              <w:top w:val="nil"/>
              <w:left w:val="single" w:sz="4" w:space="0" w:color="auto"/>
              <w:bottom w:val="nil"/>
              <w:right w:val="single" w:sz="4" w:space="0" w:color="auto"/>
            </w:tcBorders>
          </w:tcPr>
          <w:p w14:paraId="0D4F0860" w14:textId="77777777" w:rsidR="00953B2E" w:rsidRPr="00C35766" w:rsidRDefault="00953B2E">
            <w:pPr>
              <w:spacing w:before="11" w:line="240" w:lineRule="exact"/>
              <w:jc w:val="center"/>
              <w:rPr>
                <w:rFonts w:ascii="Times New Roman" w:hAnsi="Times New Roman" w:cs="Times New Roman"/>
              </w:rPr>
            </w:pPr>
          </w:p>
        </w:tc>
        <w:tc>
          <w:tcPr>
            <w:tcW w:w="1458" w:type="dxa"/>
            <w:tcBorders>
              <w:top w:val="nil"/>
              <w:left w:val="single" w:sz="4" w:space="0" w:color="auto"/>
              <w:bottom w:val="nil"/>
              <w:right w:val="single" w:sz="4" w:space="0" w:color="auto"/>
            </w:tcBorders>
          </w:tcPr>
          <w:p w14:paraId="2C01058C" w14:textId="77777777" w:rsidR="00953B2E" w:rsidRPr="00C35766" w:rsidRDefault="00953B2E">
            <w:pPr>
              <w:spacing w:before="11" w:line="240" w:lineRule="exact"/>
              <w:jc w:val="center"/>
              <w:rPr>
                <w:rFonts w:ascii="Times New Roman" w:hAnsi="Times New Roman" w:cs="Times New Roman"/>
              </w:rPr>
            </w:pPr>
          </w:p>
        </w:tc>
        <w:tc>
          <w:tcPr>
            <w:tcW w:w="1545" w:type="dxa"/>
            <w:tcBorders>
              <w:top w:val="nil"/>
              <w:left w:val="single" w:sz="4" w:space="0" w:color="auto"/>
              <w:bottom w:val="nil"/>
              <w:right w:val="single" w:sz="4" w:space="0" w:color="auto"/>
            </w:tcBorders>
          </w:tcPr>
          <w:p w14:paraId="3E3E87F4" w14:textId="77777777" w:rsidR="00953B2E" w:rsidRPr="00C35766" w:rsidRDefault="00953B2E">
            <w:pPr>
              <w:spacing w:before="11" w:line="240" w:lineRule="exact"/>
              <w:jc w:val="center"/>
              <w:rPr>
                <w:rFonts w:ascii="Times New Roman" w:hAnsi="Times New Roman" w:cs="Times New Roman"/>
              </w:rPr>
            </w:pPr>
          </w:p>
        </w:tc>
      </w:tr>
      <w:tr w:rsidR="00953B2E" w:rsidRPr="00C35766" w14:paraId="6766D79E" w14:textId="77777777" w:rsidTr="00146E60">
        <w:trPr>
          <w:jc w:val="center"/>
        </w:trPr>
        <w:tc>
          <w:tcPr>
            <w:tcW w:w="1902" w:type="dxa"/>
            <w:tcBorders>
              <w:top w:val="nil"/>
              <w:left w:val="single" w:sz="4" w:space="0" w:color="auto"/>
              <w:bottom w:val="nil"/>
              <w:right w:val="single" w:sz="4" w:space="0" w:color="auto"/>
            </w:tcBorders>
          </w:tcPr>
          <w:p w14:paraId="11B496D4" w14:textId="77777777" w:rsidR="00953B2E" w:rsidRPr="00C35766" w:rsidRDefault="005F0C19">
            <w:pPr>
              <w:spacing w:before="11" w:line="240" w:lineRule="exact"/>
              <w:jc w:val="right"/>
              <w:rPr>
                <w:rFonts w:ascii="Times New Roman" w:hAnsi="Times New Roman" w:cs="Times New Roman"/>
                <w:lang w:eastAsia="ko-KR"/>
              </w:rPr>
            </w:pPr>
            <w:r w:rsidRPr="00C35766">
              <w:rPr>
                <w:rFonts w:ascii="Times New Roman" w:eastAsia="Times New Roman" w:hAnsi="Times New Roman" w:cs="Times New Roman"/>
                <w:lang w:val="it-IT" w:eastAsia="ko-KR"/>
              </w:rPr>
              <w:t>Settimana 12</w:t>
            </w:r>
          </w:p>
        </w:tc>
        <w:tc>
          <w:tcPr>
            <w:tcW w:w="1495" w:type="dxa"/>
            <w:tcBorders>
              <w:top w:val="nil"/>
              <w:left w:val="single" w:sz="4" w:space="0" w:color="auto"/>
              <w:bottom w:val="nil"/>
              <w:right w:val="single" w:sz="4" w:space="0" w:color="auto"/>
            </w:tcBorders>
          </w:tcPr>
          <w:p w14:paraId="580AEF99"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w:t>
            </w:r>
          </w:p>
        </w:tc>
        <w:tc>
          <w:tcPr>
            <w:tcW w:w="1365" w:type="dxa"/>
            <w:tcBorders>
              <w:top w:val="nil"/>
              <w:left w:val="single" w:sz="4" w:space="0" w:color="auto"/>
              <w:bottom w:val="nil"/>
              <w:right w:val="single" w:sz="4" w:space="0" w:color="auto"/>
            </w:tcBorders>
          </w:tcPr>
          <w:p w14:paraId="36969D58"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20%***</w:t>
            </w:r>
          </w:p>
        </w:tc>
        <w:tc>
          <w:tcPr>
            <w:tcW w:w="1458" w:type="dxa"/>
            <w:tcBorders>
              <w:top w:val="nil"/>
              <w:left w:val="single" w:sz="4" w:space="0" w:color="auto"/>
              <w:bottom w:val="nil"/>
              <w:right w:val="single" w:sz="4" w:space="0" w:color="auto"/>
            </w:tcBorders>
          </w:tcPr>
          <w:p w14:paraId="4B1F0DDD"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0%</w:t>
            </w:r>
          </w:p>
        </w:tc>
        <w:tc>
          <w:tcPr>
            <w:tcW w:w="1545" w:type="dxa"/>
            <w:tcBorders>
              <w:top w:val="nil"/>
              <w:left w:val="single" w:sz="4" w:space="0" w:color="auto"/>
              <w:bottom w:val="nil"/>
              <w:right w:val="single" w:sz="4" w:space="0" w:color="auto"/>
            </w:tcBorders>
          </w:tcPr>
          <w:p w14:paraId="0163A969"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14%*</w:t>
            </w:r>
          </w:p>
        </w:tc>
      </w:tr>
      <w:tr w:rsidR="00953B2E" w:rsidRPr="00C35766" w14:paraId="343159D0" w14:textId="77777777" w:rsidTr="00146E60">
        <w:trPr>
          <w:jc w:val="center"/>
        </w:trPr>
        <w:tc>
          <w:tcPr>
            <w:tcW w:w="1902" w:type="dxa"/>
            <w:tcBorders>
              <w:top w:val="nil"/>
              <w:left w:val="single" w:sz="4" w:space="0" w:color="auto"/>
              <w:bottom w:val="single" w:sz="4" w:space="0" w:color="auto"/>
              <w:right w:val="single" w:sz="4" w:space="0" w:color="auto"/>
            </w:tcBorders>
          </w:tcPr>
          <w:p w14:paraId="6F6AA442" w14:textId="77777777" w:rsidR="00953B2E" w:rsidRPr="00C35766" w:rsidRDefault="005F0C19">
            <w:pPr>
              <w:spacing w:before="11" w:line="240" w:lineRule="exact"/>
              <w:jc w:val="right"/>
              <w:rPr>
                <w:rFonts w:ascii="Times New Roman" w:hAnsi="Times New Roman" w:cs="Times New Roman"/>
                <w:lang w:eastAsia="ko-KR"/>
              </w:rPr>
            </w:pPr>
            <w:r w:rsidRPr="00C35766">
              <w:rPr>
                <w:rFonts w:ascii="Times New Roman" w:eastAsia="Times New Roman" w:hAnsi="Times New Roman" w:cs="Times New Roman"/>
                <w:lang w:val="it-IT" w:eastAsia="ko-KR"/>
              </w:rPr>
              <w:t>Settimana 24</w:t>
            </w:r>
          </w:p>
        </w:tc>
        <w:tc>
          <w:tcPr>
            <w:tcW w:w="1495" w:type="dxa"/>
            <w:tcBorders>
              <w:top w:val="nil"/>
              <w:left w:val="single" w:sz="4" w:space="0" w:color="auto"/>
              <w:bottom w:val="single" w:sz="4" w:space="0" w:color="auto"/>
              <w:right w:val="single" w:sz="4" w:space="0" w:color="auto"/>
            </w:tcBorders>
          </w:tcPr>
          <w:p w14:paraId="692C77CD"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1%</w:t>
            </w:r>
          </w:p>
        </w:tc>
        <w:tc>
          <w:tcPr>
            <w:tcW w:w="1365" w:type="dxa"/>
            <w:tcBorders>
              <w:top w:val="nil"/>
              <w:left w:val="single" w:sz="4" w:space="0" w:color="auto"/>
              <w:bottom w:val="single" w:sz="4" w:space="0" w:color="auto"/>
              <w:right w:val="single" w:sz="4" w:space="0" w:color="auto"/>
            </w:tcBorders>
          </w:tcPr>
          <w:p w14:paraId="69FCEF2D"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23%***</w:t>
            </w:r>
          </w:p>
        </w:tc>
        <w:tc>
          <w:tcPr>
            <w:tcW w:w="1458" w:type="dxa"/>
            <w:tcBorders>
              <w:top w:val="nil"/>
              <w:left w:val="single" w:sz="4" w:space="0" w:color="auto"/>
              <w:bottom w:val="single" w:sz="4" w:space="0" w:color="auto"/>
              <w:right w:val="single" w:sz="4" w:space="0" w:color="auto"/>
            </w:tcBorders>
          </w:tcPr>
          <w:p w14:paraId="27708D48"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c>
          <w:tcPr>
            <w:tcW w:w="1545" w:type="dxa"/>
            <w:tcBorders>
              <w:top w:val="nil"/>
              <w:left w:val="single" w:sz="4" w:space="0" w:color="auto"/>
              <w:bottom w:val="single" w:sz="4" w:space="0" w:color="auto"/>
              <w:right w:val="single" w:sz="4" w:space="0" w:color="auto"/>
            </w:tcBorders>
          </w:tcPr>
          <w:p w14:paraId="23E8C745" w14:textId="77777777" w:rsidR="00953B2E" w:rsidRPr="00C35766" w:rsidRDefault="005F0C19">
            <w:pPr>
              <w:spacing w:before="11" w:line="240" w:lineRule="exact"/>
              <w:jc w:val="center"/>
              <w:rPr>
                <w:rFonts w:ascii="Times New Roman" w:hAnsi="Times New Roman" w:cs="Times New Roman"/>
                <w:lang w:eastAsia="ko-KR"/>
              </w:rPr>
            </w:pPr>
            <w:r w:rsidRPr="00C35766">
              <w:rPr>
                <w:rFonts w:ascii="Times New Roman" w:eastAsia="Times New Roman" w:hAnsi="Times New Roman" w:cs="Times New Roman"/>
                <w:lang w:val="it-IT" w:eastAsia="ko-KR"/>
              </w:rPr>
              <w:t>N/A</w:t>
            </w:r>
          </w:p>
        </w:tc>
      </w:tr>
    </w:tbl>
    <w:p w14:paraId="644F5FCB" w14:textId="7DD075D8" w:rsidR="00953B2E" w:rsidRPr="00C35766" w:rsidRDefault="005F0C19" w:rsidP="00146E60">
      <w:pPr>
        <w:pStyle w:val="a3"/>
        <w:ind w:leftChars="400" w:left="880"/>
        <w:rPr>
          <w:lang w:val="it-IT"/>
        </w:rPr>
      </w:pPr>
      <w:r w:rsidRPr="00C35766">
        <w:rPr>
          <w:rFonts w:eastAsia="Times New Roman"/>
          <w:lang w:val="it-IT"/>
        </w:rPr>
        <w:t>***</w:t>
      </w:r>
      <w:r w:rsidRPr="00C35766">
        <w:rPr>
          <w:rFonts w:eastAsia="Times New Roman"/>
          <w:lang w:val="it-IT"/>
        </w:rPr>
        <w:tab/>
        <w:t>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per tutti i confronti tra adalimumab e placebo</w:t>
      </w:r>
    </w:p>
    <w:p w14:paraId="59F09A4C" w14:textId="3AEBD47E" w:rsidR="00F51B72" w:rsidRDefault="005F0C19" w:rsidP="00146E60">
      <w:pPr>
        <w:pStyle w:val="a3"/>
        <w:ind w:leftChars="400" w:left="880"/>
        <w:rPr>
          <w:rFonts w:eastAsia="Times New Roman"/>
          <w:lang w:val="it-IT"/>
        </w:rPr>
      </w:pPr>
      <w:r w:rsidRPr="00C35766">
        <w:rPr>
          <w:rFonts w:eastAsia="Times New Roman"/>
          <w:lang w:val="it-IT"/>
        </w:rPr>
        <w:t>*</w:t>
      </w:r>
      <w:r w:rsidRPr="00C35766">
        <w:rPr>
          <w:rFonts w:eastAsia="Times New Roman"/>
          <w:lang w:val="it-IT"/>
        </w:rPr>
        <w:tab/>
        <w:t>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0,05 per tutti i confronti tra adalimumab e placebo</w:t>
      </w:r>
      <w:r w:rsidR="00F575EE" w:rsidRPr="00C35766">
        <w:rPr>
          <w:rFonts w:eastAsia="Times New Roman"/>
          <w:lang w:val="it-IT"/>
        </w:rPr>
        <w:t>.</w:t>
      </w:r>
    </w:p>
    <w:p w14:paraId="541AE9C7" w14:textId="1A98BB8B" w:rsidR="00953B2E" w:rsidRPr="00C35766" w:rsidRDefault="005F0C19" w:rsidP="00146E60">
      <w:pPr>
        <w:pStyle w:val="a3"/>
        <w:ind w:leftChars="400" w:left="880"/>
        <w:rPr>
          <w:lang w:val="it-IT"/>
        </w:rPr>
      </w:pPr>
      <w:r w:rsidRPr="00C35766">
        <w:rPr>
          <w:rFonts w:eastAsia="Times New Roman"/>
          <w:lang w:val="it-IT"/>
        </w:rPr>
        <w:t>N/A non applicabile</w:t>
      </w:r>
    </w:p>
    <w:p w14:paraId="27875AE0" w14:textId="77777777" w:rsidR="00953B2E" w:rsidRPr="00C35766" w:rsidRDefault="00953B2E">
      <w:pPr>
        <w:spacing w:before="6" w:line="170" w:lineRule="exact"/>
        <w:rPr>
          <w:rFonts w:ascii="Times New Roman" w:hAnsi="Times New Roman" w:cs="Times New Roman"/>
          <w:sz w:val="17"/>
          <w:lang w:val="it-IT"/>
        </w:rPr>
      </w:pPr>
    </w:p>
    <w:p w14:paraId="0EB60637" w14:textId="77777777" w:rsidR="00953B2E" w:rsidRPr="00C35766" w:rsidRDefault="005F0C19">
      <w:pPr>
        <w:pStyle w:val="a3"/>
        <w:rPr>
          <w:lang w:val="it-IT"/>
        </w:rPr>
      </w:pPr>
      <w:r w:rsidRPr="00C35766">
        <w:rPr>
          <w:rFonts w:eastAsia="Times New Roman"/>
          <w:lang w:val="it-IT"/>
        </w:rPr>
        <w:t>Le risposte ACR nello studio PsA I sono state simili con e senza terapia concomitante con metotressato. Le risposte ACR nello studio di estensione in aperto sono state mantenute fino a 136 settimane.</w:t>
      </w:r>
    </w:p>
    <w:p w14:paraId="7819205A" w14:textId="77777777" w:rsidR="00953B2E" w:rsidRPr="00C35766" w:rsidRDefault="00953B2E">
      <w:pPr>
        <w:pStyle w:val="a3"/>
        <w:rPr>
          <w:lang w:val="it-IT"/>
        </w:rPr>
      </w:pPr>
    </w:p>
    <w:p w14:paraId="76FB1B9F" w14:textId="77777777" w:rsidR="00953B2E" w:rsidRPr="00C35766" w:rsidRDefault="005F0C19">
      <w:pPr>
        <w:pStyle w:val="a3"/>
        <w:rPr>
          <w:lang w:val="it-IT"/>
        </w:rPr>
      </w:pPr>
      <w:r w:rsidRPr="00C35766">
        <w:rPr>
          <w:rFonts w:eastAsia="Times New Roman"/>
          <w:lang w:val="it-IT"/>
        </w:rPr>
        <w:t>Negli studi sull’artrite psoriasica sono state valutate le modifiche radiologiche. Sono state eseguite radiografie delle mani, dei polsi e dei piedi al basale e alla settimana 24, durante la fase in doppio cieco, quando i pazienti erano trattati con adalimumab o con placebo, e alla settimana 48, quando tutti i pazienti erano trattati con adalimumab in aperto. È stato utilizzato l’indice totale di Sharp modificato (mTSS) che includeva le articolazioni distali interfalangee (cioè diverso dall’indice totale di Sharp utilizzato per l’artrite reumatoide).</w:t>
      </w:r>
    </w:p>
    <w:p w14:paraId="1A5F9794" w14:textId="77777777" w:rsidR="00953B2E" w:rsidRPr="00C35766" w:rsidRDefault="00953B2E">
      <w:pPr>
        <w:spacing w:before="17" w:line="240" w:lineRule="exact"/>
        <w:rPr>
          <w:rFonts w:ascii="Times New Roman" w:hAnsi="Times New Roman" w:cs="Times New Roman"/>
          <w:sz w:val="24"/>
          <w:szCs w:val="24"/>
          <w:lang w:val="it-IT"/>
        </w:rPr>
      </w:pPr>
    </w:p>
    <w:p w14:paraId="6046C322" w14:textId="5CAAFA94" w:rsidR="00953B2E" w:rsidRPr="00C35766" w:rsidRDefault="005F0C19">
      <w:pPr>
        <w:pStyle w:val="a3"/>
        <w:rPr>
          <w:lang w:val="it-IT"/>
        </w:rPr>
      </w:pPr>
      <w:r w:rsidRPr="00C35766">
        <w:rPr>
          <w:rFonts w:eastAsia="Times New Roman"/>
          <w:lang w:val="it-IT"/>
        </w:rPr>
        <w:lastRenderedPageBreak/>
        <w:t>Il trattamento con adalimumab, in confronto al trattamento con placebo, ha ridotto la percentuale di progressione del danno articolare periferico, come rilevato dalle variazioni dell’indice totale di Sharp modificato rispetto al basale (media ± DS) 0,8 ±2,5 nel gruppo placebo (alla settimana 24) rispetto a 0,0 ± 1,9 (p</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0,001) nel gruppo adalimumab (alla settimana 48).</w:t>
      </w:r>
    </w:p>
    <w:p w14:paraId="15B8DC4D" w14:textId="77777777" w:rsidR="00953B2E" w:rsidRPr="00C35766" w:rsidRDefault="00953B2E">
      <w:pPr>
        <w:spacing w:before="11" w:line="240" w:lineRule="exact"/>
        <w:rPr>
          <w:rFonts w:ascii="Times New Roman" w:hAnsi="Times New Roman" w:cs="Times New Roman"/>
          <w:sz w:val="24"/>
          <w:szCs w:val="24"/>
          <w:lang w:val="it-IT"/>
        </w:rPr>
      </w:pPr>
    </w:p>
    <w:p w14:paraId="6FE82D7E" w14:textId="77777777" w:rsidR="00953B2E" w:rsidRPr="00C35766" w:rsidRDefault="005F0C19">
      <w:pPr>
        <w:pStyle w:val="a3"/>
        <w:rPr>
          <w:lang w:val="it-IT"/>
        </w:rPr>
      </w:pPr>
      <w:r w:rsidRPr="00C35766">
        <w:rPr>
          <w:rFonts w:eastAsia="Times New Roman"/>
          <w:lang w:val="it-IT"/>
        </w:rPr>
        <w:t>Nei pazienti trattati con adalimumab senza progressione del danno radiologico dal basale alla settimana 48 (n=102), l’84% ha continuato a non mostrare alcuna progressione del danno radiologico nelle 144 settimane di trattamento.</w:t>
      </w:r>
    </w:p>
    <w:p w14:paraId="39262B77" w14:textId="77777777" w:rsidR="00953B2E" w:rsidRPr="00C35766" w:rsidRDefault="00953B2E">
      <w:pPr>
        <w:pStyle w:val="a3"/>
        <w:rPr>
          <w:lang w:val="it-IT"/>
        </w:rPr>
      </w:pPr>
    </w:p>
    <w:p w14:paraId="085E5544" w14:textId="77777777" w:rsidR="00953B2E" w:rsidRPr="00C35766" w:rsidRDefault="005F0C19">
      <w:pPr>
        <w:pStyle w:val="a3"/>
        <w:rPr>
          <w:lang w:val="it-IT"/>
        </w:rPr>
      </w:pPr>
      <w:r w:rsidRPr="00C35766">
        <w:rPr>
          <w:rFonts w:eastAsia="Times New Roman"/>
          <w:lang w:val="it-IT"/>
        </w:rPr>
        <w:t>I pazienti trattati con adalimumab hanno dimostrato un miglioramento statisticamente significativo della funzionalità fisica alla settimana 24 rispetto ai pazienti trattati con placebo, come valutato dall’HAQ e dallo Short Form Health Survey (SF-36). Il miglioramento della funzionalità fisica è continuato fino alla settimana 136 nello studio di estensione in aperto.</w:t>
      </w:r>
    </w:p>
    <w:p w14:paraId="25F9CDCC" w14:textId="77777777" w:rsidR="00953B2E" w:rsidRPr="00C35766" w:rsidRDefault="00953B2E">
      <w:pPr>
        <w:pStyle w:val="a3"/>
        <w:rPr>
          <w:sz w:val="24"/>
          <w:szCs w:val="24"/>
          <w:lang w:val="it-IT"/>
        </w:rPr>
      </w:pPr>
    </w:p>
    <w:p w14:paraId="7B58D882" w14:textId="77777777" w:rsidR="00953B2E" w:rsidRPr="00C35766" w:rsidRDefault="005F0C19">
      <w:pPr>
        <w:pStyle w:val="a3"/>
        <w:rPr>
          <w:rFonts w:eastAsia="Times New Roman"/>
          <w:lang w:val="it-IT"/>
        </w:rPr>
      </w:pPr>
      <w:r w:rsidRPr="00C35766">
        <w:rPr>
          <w:rFonts w:eastAsia="Times New Roman"/>
          <w:i/>
          <w:iCs/>
          <w:spacing w:val="-1"/>
          <w:lang w:val="it-IT"/>
        </w:rPr>
        <w:t>Psoriasi</w:t>
      </w:r>
    </w:p>
    <w:p w14:paraId="1A76E56B" w14:textId="77777777" w:rsidR="00953B2E" w:rsidRPr="00C35766" w:rsidRDefault="00953B2E">
      <w:pPr>
        <w:pStyle w:val="a3"/>
        <w:rPr>
          <w:sz w:val="24"/>
          <w:szCs w:val="24"/>
          <w:lang w:val="it-IT"/>
        </w:rPr>
      </w:pPr>
    </w:p>
    <w:p w14:paraId="5E4C0CD1" w14:textId="0BF8D81B" w:rsidR="00953B2E" w:rsidRPr="00C35766" w:rsidRDefault="005F0C19">
      <w:pPr>
        <w:pStyle w:val="a3"/>
        <w:rPr>
          <w:lang w:val="it-IT"/>
        </w:rPr>
      </w:pPr>
      <w:r w:rsidRPr="00C35766">
        <w:rPr>
          <w:rFonts w:eastAsia="Times New Roman"/>
          <w:lang w:val="it-IT"/>
        </w:rPr>
        <w:t>La sicurezza e l’efficacia di adalimumab sono state studiate nei pazienti adulti affetti da psoriasi cronica a placche (BSA</w:t>
      </w:r>
      <w:r w:rsidR="00995F69" w:rsidRPr="00C35766">
        <w:rPr>
          <w:rFonts w:eastAsia="Times New Roman"/>
          <w:lang w:val="it-IT"/>
        </w:rPr>
        <w:t xml:space="preserve"> coinvolta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10% e Psoriasis Area and Severity Index (PASI)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12 o</w:t>
      </w:r>
      <w:r w:rsidR="00995F69" w:rsidRPr="00C35766">
        <w:rPr>
          <w:rFonts w:eastAsia="Times New Roman"/>
          <w:lang w:val="it-IT"/>
        </w:rPr>
        <w:t xml:space="preserv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10), i quali erano candidati alla terapia sistemica o alla fototerapia, durante gli studi randomizzati in doppio cieco. Il 73% dei pazienti arruolati negli studi I e II sulla psoriasi erano stati precedentemente sottoposti a terapia sistemica o fototerapia. La sicurezza e l’efficacia di adalimumab sono state studiate anche nei pazienti adulti affetti da psoriasi cronica a placche da moderata a severa con concomitante psoriasi localizzata alla mano e/o al piede, i quali erano candidati alla terapia sistemica in uno studio randomizzato in doppio cieco (studio di fase III sulla psoriasi).</w:t>
      </w:r>
    </w:p>
    <w:p w14:paraId="26948AB0" w14:textId="77777777" w:rsidR="00953B2E" w:rsidRPr="00C35766" w:rsidRDefault="00953B2E">
      <w:pPr>
        <w:pStyle w:val="a3"/>
        <w:rPr>
          <w:lang w:val="it-IT"/>
        </w:rPr>
      </w:pPr>
    </w:p>
    <w:p w14:paraId="2B9956D5" w14:textId="77777777" w:rsidR="00953B2E" w:rsidRPr="00C35766" w:rsidRDefault="005F0C19">
      <w:pPr>
        <w:pStyle w:val="a3"/>
        <w:rPr>
          <w:lang w:val="it-IT"/>
        </w:rPr>
      </w:pPr>
      <w:r w:rsidRPr="00C35766">
        <w:rPr>
          <w:rFonts w:eastAsia="Times New Roman"/>
          <w:lang w:val="it-IT"/>
        </w:rPr>
        <w:t xml:space="preserve">Lo studio I sulla psoriasi (REVEAL) ha valutato 1.212 pazienti entro tre periodi di trattamento. Nel corso del periodo A, ai pazienti è stato somministrato placebo o adalimumab a una dose iniziale di 80 mg, seguita da una dose di 40 mg, a settimane alterne, somministrata a partire dalla settimana successiva all’assunzione della dose iniziale. Dopo 16 settimane di terapia, i pazienti che hanno ottenuto almeno una risposta PASI 75 (in cui il punteggio PASI ha registrato un miglioramento pari ad almeno il 75% del valore al basale) sono stati ammessi al periodo B ed hanno ricevuto una dose di adalimumab pari a 40 mg, a settimane alterne, in aperto. I pazienti che hanno mantenuto una risposta </w:t>
      </w:r>
      <w:r w:rsidRPr="00C35766">
        <w:rPr>
          <w:rFonts w:eastAsia="Symbol"/>
          <w:lang w:val="it-IT"/>
        </w:rPr>
        <w:sym w:font="Symbol" w:char="F0B3"/>
      </w:r>
      <w:r w:rsidRPr="00C35766">
        <w:rPr>
          <w:rFonts w:eastAsia="Times New Roman"/>
          <w:lang w:val="it-IT"/>
        </w:rPr>
        <w:t>PASI 75 alla settimana 33 e che erano stati inizialmente randomizzati per la terapia attiva nel corso del periodo A sono stati nuovamente randomizzati nel periodo C a ricevere 40 mg di adalimumab a settimane alterne, o placebo per un ulteriore periodo di 19 settimane. In tutti i gruppi di trattamento il punteggio PASI medio al basale è risultato pari a 18,9 ed il punteggio relativo al Physician’s Global Assessment (PGA) è risultato di grado da “moderato” (53% dei soggetti inclusi) a “severo” (41%) fino a “molto severo” (6%).</w:t>
      </w:r>
    </w:p>
    <w:p w14:paraId="34A4FB80" w14:textId="77777777" w:rsidR="00953B2E" w:rsidRPr="00C35766" w:rsidRDefault="00953B2E">
      <w:pPr>
        <w:spacing w:before="14" w:line="240" w:lineRule="exact"/>
        <w:rPr>
          <w:rFonts w:ascii="Times New Roman" w:hAnsi="Times New Roman" w:cs="Times New Roman"/>
          <w:sz w:val="24"/>
          <w:szCs w:val="24"/>
          <w:lang w:val="it-IT"/>
        </w:rPr>
      </w:pPr>
    </w:p>
    <w:p w14:paraId="38513A56" w14:textId="6BF6AA21" w:rsidR="00953B2E" w:rsidRPr="00C35766" w:rsidRDefault="005F0C19">
      <w:pPr>
        <w:pStyle w:val="a3"/>
        <w:rPr>
          <w:lang w:val="es-ES"/>
        </w:rPr>
      </w:pPr>
      <w:r w:rsidRPr="00C35766">
        <w:rPr>
          <w:rFonts w:eastAsia="Times New Roman"/>
          <w:lang w:val="it-IT"/>
        </w:rPr>
        <w:t xml:space="preserve">Lo studio II sulla psoriasi (CHAMPION) ha paragonato l’efficacia e la sicurezza di adalimumab </w:t>
      </w:r>
      <w:r w:rsidRPr="00C35766">
        <w:rPr>
          <w:lang w:val="it-IT"/>
        </w:rPr>
        <w:t>rispetto</w:t>
      </w:r>
      <w:r w:rsidRPr="00C35766">
        <w:rPr>
          <w:rFonts w:eastAsia="Times New Roman"/>
          <w:lang w:val="it-IT"/>
        </w:rPr>
        <w:t xml:space="preserve"> al metotressato e al placebo in 271 pazienti. Per un periodo di 16 settimane, i pazienti hanno ricevuto placebo, o metotressato con una dose iniziale pari a 7,5 mg successivamente elevata fino alla settimana 12 e con un massimo di 25 mg, o adalimumab alla dose iniziale di 80 mg seguita dalla dose di 40 mg somministrata a settimane alterne (a iniziare dalla settimana successiva all’assunzione della dose iniziale). Non sono disponibili dati che mettano a confronto adalimumab e metotressato oltre le 16 settimane di terapia. Nei pazienti trattati con metotressato che hanno raggiunto una risposta </w:t>
      </w:r>
      <w:r w:rsidRPr="00C35766">
        <w:rPr>
          <w:rFonts w:eastAsia="Symbol"/>
          <w:lang w:val="it-IT"/>
        </w:rPr>
        <w:sym w:font="Symbol" w:char="F0B3"/>
      </w:r>
      <w:r w:rsidRPr="00C35766">
        <w:rPr>
          <w:rFonts w:eastAsia="Times New Roman"/>
          <w:lang w:val="it-IT"/>
        </w:rPr>
        <w:t>PASI 50 alla settimana 8 e/o alla settimana 12, non sono stati effettuati incrementi della dose. In tutti i gruppi di trattamento, il punteggio PASI al basale medio è risultato pari a 19,7 ed il punteggio PGA al basale è risultato da “lieve” (&lt;</w:t>
      </w:r>
      <w:r w:rsidR="000F35BA" w:rsidRPr="00C35766">
        <w:rPr>
          <w:rFonts w:eastAsia="Times New Roman"/>
          <w:lang w:val="it-IT"/>
        </w:rPr>
        <w:t xml:space="preserve"> </w:t>
      </w:r>
      <w:r w:rsidRPr="00C35766">
        <w:rPr>
          <w:rFonts w:eastAsia="Times New Roman"/>
          <w:lang w:val="it-IT"/>
        </w:rPr>
        <w:t>1%) a “moderato” (48%) a “severo” (46%) a “molto severo” (6%).</w:t>
      </w:r>
    </w:p>
    <w:p w14:paraId="1F37D11B" w14:textId="77777777" w:rsidR="00953B2E" w:rsidRPr="00C35766" w:rsidRDefault="00953B2E">
      <w:pPr>
        <w:spacing w:before="17" w:line="240" w:lineRule="exact"/>
        <w:rPr>
          <w:rFonts w:ascii="Times New Roman" w:hAnsi="Times New Roman" w:cs="Times New Roman"/>
          <w:sz w:val="24"/>
          <w:szCs w:val="24"/>
          <w:lang w:val="es-ES"/>
        </w:rPr>
      </w:pPr>
    </w:p>
    <w:p w14:paraId="3B5DC6CF" w14:textId="30165793" w:rsidR="00953B2E" w:rsidRPr="00C35766" w:rsidRDefault="005F0C19">
      <w:pPr>
        <w:pStyle w:val="a3"/>
        <w:rPr>
          <w:lang w:val="es-ES"/>
        </w:rPr>
      </w:pPr>
      <w:r w:rsidRPr="00C35766">
        <w:rPr>
          <w:rFonts w:eastAsia="Times New Roman"/>
          <w:lang w:val="it-IT"/>
        </w:rPr>
        <w:t xml:space="preserve">I pazienti che hanno partecipato a tutti gli studi di </w:t>
      </w:r>
      <w:r w:rsidR="00CB3E81" w:rsidRPr="00C35766">
        <w:rPr>
          <w:rFonts w:eastAsia="Times New Roman"/>
          <w:lang w:val="it-IT"/>
        </w:rPr>
        <w:t>fase</w:t>
      </w:r>
      <w:r w:rsidRPr="00C35766">
        <w:rPr>
          <w:rFonts w:eastAsia="Times New Roman"/>
          <w:lang w:val="it-IT"/>
        </w:rPr>
        <w:t xml:space="preserve"> 2 e </w:t>
      </w:r>
      <w:r w:rsidR="00CB3E81" w:rsidRPr="00C35766">
        <w:rPr>
          <w:rFonts w:eastAsia="Times New Roman"/>
          <w:lang w:val="it-IT"/>
        </w:rPr>
        <w:t>fase</w:t>
      </w:r>
      <w:r w:rsidRPr="00C35766">
        <w:rPr>
          <w:rFonts w:eastAsia="Times New Roman"/>
          <w:lang w:val="it-IT"/>
        </w:rPr>
        <w:t xml:space="preserve"> 3 sulla psoriasi sono stati considerati idonei ad essere arruolati in uno studio di estensione in aperto, dove adalimumab è stato somministrato per un periodo aggiuntivo di almeno 108 settimane.</w:t>
      </w:r>
    </w:p>
    <w:p w14:paraId="17A0D06A" w14:textId="77777777" w:rsidR="00953B2E" w:rsidRPr="00C35766" w:rsidRDefault="00953B2E">
      <w:pPr>
        <w:spacing w:before="14" w:line="240" w:lineRule="exact"/>
        <w:rPr>
          <w:rFonts w:ascii="Times New Roman" w:hAnsi="Times New Roman" w:cs="Times New Roman"/>
          <w:sz w:val="24"/>
          <w:szCs w:val="24"/>
          <w:lang w:val="es-ES"/>
        </w:rPr>
      </w:pPr>
    </w:p>
    <w:p w14:paraId="0F68247D" w14:textId="2905EDE8" w:rsidR="00953B2E" w:rsidRPr="00C35766" w:rsidRDefault="005F0C19">
      <w:pPr>
        <w:pStyle w:val="a3"/>
        <w:rPr>
          <w:lang w:val="es-ES"/>
        </w:rPr>
      </w:pPr>
      <w:r w:rsidRPr="00C35766">
        <w:rPr>
          <w:rFonts w:eastAsia="Times New Roman"/>
          <w:lang w:val="it-IT"/>
        </w:rPr>
        <w:lastRenderedPageBreak/>
        <w:t xml:space="preserve">Negli studi I e II sulla psoriasi, l’endpoint primario è stato rappresentato dalla percentuale di pazienti che ha ottenuto una risposta PASI 75 rispetto al valore basale alla settimana 16 (vedere Tabelle </w:t>
      </w:r>
      <w:r w:rsidR="00B90373" w:rsidRPr="00C35766">
        <w:rPr>
          <w:rFonts w:eastAsia="Times New Roman"/>
          <w:lang w:val="it-IT"/>
        </w:rPr>
        <w:t xml:space="preserve">16 </w:t>
      </w:r>
      <w:r w:rsidRPr="00C35766">
        <w:rPr>
          <w:rFonts w:eastAsia="Times New Roman"/>
          <w:lang w:val="it-IT"/>
        </w:rPr>
        <w:t xml:space="preserve">e </w:t>
      </w:r>
      <w:r w:rsidR="00B90373" w:rsidRPr="00C35766">
        <w:rPr>
          <w:rFonts w:eastAsia="Times New Roman"/>
          <w:lang w:val="it-IT"/>
        </w:rPr>
        <w:t>17</w:t>
      </w:r>
      <w:r w:rsidRPr="00C35766">
        <w:rPr>
          <w:rFonts w:eastAsia="Times New Roman"/>
          <w:lang w:val="it-IT"/>
        </w:rPr>
        <w:t>).</w:t>
      </w:r>
    </w:p>
    <w:p w14:paraId="50973AF7" w14:textId="77777777" w:rsidR="005A5DEF" w:rsidRPr="00C35766" w:rsidRDefault="005A5DEF">
      <w:pPr>
        <w:rPr>
          <w:rFonts w:ascii="Times New Roman" w:hAnsi="Times New Roman" w:cs="Times New Roman"/>
          <w:b/>
          <w:lang w:val="es-ES"/>
        </w:rPr>
      </w:pPr>
    </w:p>
    <w:p w14:paraId="782925EB" w14:textId="6384B46C"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16</w:t>
      </w:r>
    </w:p>
    <w:p w14:paraId="5DA09577" w14:textId="77777777" w:rsidR="00953B2E" w:rsidRPr="00C35766" w:rsidRDefault="005F0C19">
      <w:pPr>
        <w:pStyle w:val="a3"/>
        <w:jc w:val="center"/>
        <w:rPr>
          <w:b/>
          <w:lang w:val="it-IT"/>
        </w:rPr>
      </w:pPr>
      <w:r w:rsidRPr="00C35766">
        <w:rPr>
          <w:rFonts w:eastAsia="Times New Roman"/>
          <w:b/>
          <w:bCs/>
          <w:lang w:val="it-IT"/>
        </w:rPr>
        <w:t>Studio I sulla psoriasi (REVEAL) - Risultati relativi all’efficacia alla settimana 16</w:t>
      </w: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953B2E" w:rsidRPr="00C35766" w14:paraId="3947CDD0" w14:textId="77777777" w:rsidTr="00B3291C">
        <w:tc>
          <w:tcPr>
            <w:tcW w:w="2625" w:type="dxa"/>
            <w:tcBorders>
              <w:top w:val="single" w:sz="5" w:space="0" w:color="000000"/>
              <w:left w:val="single" w:sz="5" w:space="0" w:color="000000"/>
              <w:bottom w:val="single" w:sz="5" w:space="0" w:color="000000"/>
              <w:right w:val="single" w:sz="5" w:space="0" w:color="000000"/>
            </w:tcBorders>
          </w:tcPr>
          <w:p w14:paraId="7492E20D" w14:textId="77777777" w:rsidR="00953B2E" w:rsidRPr="00C35766" w:rsidRDefault="00953B2E">
            <w:pPr>
              <w:rPr>
                <w:rFonts w:ascii="Times New Roman" w:hAnsi="Times New Roman" w:cs="Times New Roman"/>
                <w:lang w:val="it-IT"/>
              </w:rPr>
            </w:pPr>
          </w:p>
        </w:tc>
        <w:tc>
          <w:tcPr>
            <w:tcW w:w="1701" w:type="dxa"/>
            <w:tcBorders>
              <w:top w:val="single" w:sz="5" w:space="0" w:color="000000"/>
              <w:left w:val="single" w:sz="5" w:space="0" w:color="000000"/>
              <w:bottom w:val="single" w:sz="5" w:space="0" w:color="000000"/>
              <w:right w:val="single" w:sz="5" w:space="0" w:color="000000"/>
            </w:tcBorders>
          </w:tcPr>
          <w:p w14:paraId="41F6F52C" w14:textId="77777777" w:rsidR="00953B2E" w:rsidRPr="00C35766" w:rsidRDefault="005F0C19">
            <w:pPr>
              <w:pStyle w:val="TableParagraph"/>
              <w:spacing w:before="3" w:line="252" w:lineRule="exact"/>
              <w:ind w:left="498" w:right="433" w:hanging="60"/>
              <w:jc w:val="both"/>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 xml:space="preserve">Placebo N=398 </w:t>
            </w:r>
          </w:p>
          <w:p w14:paraId="3A287AEB" w14:textId="77777777" w:rsidR="00953B2E" w:rsidRPr="00C35766" w:rsidRDefault="005F0C19">
            <w:pPr>
              <w:pStyle w:val="TableParagraph"/>
              <w:spacing w:before="3" w:line="252" w:lineRule="exact"/>
              <w:ind w:left="498" w:right="433" w:hanging="60"/>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w:t>
            </w:r>
          </w:p>
        </w:tc>
        <w:tc>
          <w:tcPr>
            <w:tcW w:w="2801" w:type="dxa"/>
            <w:tcBorders>
              <w:top w:val="single" w:sz="5" w:space="0" w:color="000000"/>
              <w:left w:val="single" w:sz="5" w:space="0" w:color="000000"/>
              <w:bottom w:val="single" w:sz="5" w:space="0" w:color="000000"/>
              <w:right w:val="single" w:sz="5" w:space="0" w:color="000000"/>
            </w:tcBorders>
          </w:tcPr>
          <w:p w14:paraId="3E004C5C" w14:textId="77777777" w:rsidR="00953B2E" w:rsidRPr="00C35766" w:rsidRDefault="005F0C19">
            <w:pPr>
              <w:pStyle w:val="TableParagraph"/>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Adalimumab 40 mg a settimane alterne </w:t>
            </w:r>
          </w:p>
          <w:p w14:paraId="2C7E27BC" w14:textId="77777777" w:rsidR="00953B2E" w:rsidRPr="00C35766" w:rsidRDefault="005F0C19">
            <w:pPr>
              <w:pStyle w:val="TableParagraph"/>
              <w:spacing w:before="3" w:line="252" w:lineRule="exact"/>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N=814 </w:t>
            </w:r>
          </w:p>
          <w:p w14:paraId="7EC7279E" w14:textId="77777777" w:rsidR="00953B2E" w:rsidRPr="00C35766" w:rsidRDefault="005F0C19">
            <w:pPr>
              <w:pStyle w:val="TableParagraph"/>
              <w:spacing w:before="3" w:line="252" w:lineRule="exact"/>
              <w:ind w:left="277" w:right="271"/>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953B2E" w:rsidRPr="00C35766" w14:paraId="65354591" w14:textId="77777777" w:rsidTr="00B3291C">
        <w:tc>
          <w:tcPr>
            <w:tcW w:w="2625" w:type="dxa"/>
            <w:tcBorders>
              <w:top w:val="single" w:sz="5" w:space="0" w:color="000000"/>
              <w:left w:val="single" w:sz="5" w:space="0" w:color="000000"/>
              <w:bottom w:val="single" w:sz="5" w:space="0" w:color="000000"/>
              <w:right w:val="single" w:sz="5" w:space="0" w:color="000000"/>
            </w:tcBorders>
          </w:tcPr>
          <w:p w14:paraId="12AF7051" w14:textId="77777777" w:rsidR="00953B2E" w:rsidRPr="00C35766" w:rsidRDefault="005F0C19">
            <w:pPr>
              <w:pStyle w:val="TableParagraph"/>
              <w:spacing w:line="267" w:lineRule="exact"/>
              <w:ind w:left="320"/>
              <w:rPr>
                <w:rFonts w:ascii="Times New Roman" w:eastAsia="Times New Roman" w:hAnsi="Times New Roman" w:cs="Times New Roman"/>
              </w:rPr>
            </w:pPr>
            <w:r w:rsidRPr="00C35766">
              <w:rPr>
                <w:rFonts w:ascii="Times New Roman" w:eastAsia="Symbol" w:hAnsi="Times New Roman" w:cs="Times New Roman"/>
                <w:b/>
                <w:bCs/>
                <w:lang w:val="it-IT"/>
              </w:rPr>
              <w:sym w:font="Symbol" w:char="F0B3"/>
            </w:r>
            <w:r w:rsidRPr="00C35766">
              <w:rPr>
                <w:rFonts w:ascii="Times New Roman" w:eastAsia="Symbol" w:hAnsi="Times New Roman" w:cs="Times New Roman"/>
                <w:b/>
                <w:bCs/>
                <w:lang w:val="it-IT"/>
              </w:rPr>
              <w:sym w:font="Symbol" w:char="F020"/>
            </w:r>
            <w:r w:rsidRPr="00C35766">
              <w:rPr>
                <w:rFonts w:ascii="Times New Roman" w:eastAsia="Times New Roman" w:hAnsi="Times New Roman" w:cs="Times New Roman"/>
                <w:b/>
                <w:bCs/>
                <w:lang w:val="it-IT"/>
              </w:rPr>
              <w:t>PASI 75</w:t>
            </w:r>
            <w:r w:rsidRPr="00C35766">
              <w:rPr>
                <w:rFonts w:ascii="Times New Roman" w:eastAsia="Times New Roman" w:hAnsi="Times New Roman" w:cs="Times New Roman"/>
                <w:b/>
                <w:bCs/>
                <w:vertAlign w:val="superscript"/>
                <w:lang w:val="it-IT"/>
              </w:rPr>
              <w:t>a</w:t>
            </w:r>
          </w:p>
        </w:tc>
        <w:tc>
          <w:tcPr>
            <w:tcW w:w="1701" w:type="dxa"/>
            <w:tcBorders>
              <w:top w:val="single" w:sz="5" w:space="0" w:color="000000"/>
              <w:left w:val="single" w:sz="5" w:space="0" w:color="000000"/>
              <w:bottom w:val="single" w:sz="5" w:space="0" w:color="000000"/>
              <w:right w:val="single" w:sz="5" w:space="0" w:color="000000"/>
            </w:tcBorders>
          </w:tcPr>
          <w:p w14:paraId="6F749F67" w14:textId="77777777" w:rsidR="00953B2E" w:rsidRPr="00C35766" w:rsidRDefault="005F0C19">
            <w:pPr>
              <w:pStyle w:val="TableParagraph"/>
              <w:spacing w:line="246" w:lineRule="exact"/>
              <w:ind w:left="457"/>
              <w:rPr>
                <w:rFonts w:ascii="Times New Roman" w:eastAsia="Times New Roman" w:hAnsi="Times New Roman" w:cs="Times New Roman"/>
              </w:rPr>
            </w:pPr>
            <w:r w:rsidRPr="00C35766">
              <w:rPr>
                <w:rFonts w:ascii="Times New Roman" w:eastAsia="Times New Roman" w:hAnsi="Times New Roman" w:cs="Times New Roman"/>
                <w:spacing w:val="-1"/>
                <w:lang w:val="it-IT"/>
              </w:rPr>
              <w:t>26 (6,5)</w:t>
            </w:r>
          </w:p>
        </w:tc>
        <w:tc>
          <w:tcPr>
            <w:tcW w:w="2801" w:type="dxa"/>
            <w:tcBorders>
              <w:top w:val="single" w:sz="5" w:space="0" w:color="000000"/>
              <w:left w:val="single" w:sz="5" w:space="0" w:color="000000"/>
              <w:bottom w:val="single" w:sz="5" w:space="0" w:color="000000"/>
              <w:right w:val="single" w:sz="5" w:space="0" w:color="000000"/>
            </w:tcBorders>
          </w:tcPr>
          <w:p w14:paraId="6814134C" w14:textId="77777777" w:rsidR="00953B2E" w:rsidRPr="00C35766" w:rsidRDefault="005F0C19">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578 (70,9)</w:t>
            </w:r>
            <w:r w:rsidRPr="00C35766">
              <w:rPr>
                <w:rFonts w:ascii="Times New Roman" w:eastAsia="Times New Roman" w:hAnsi="Times New Roman" w:cs="Times New Roman"/>
                <w:spacing w:val="-1"/>
                <w:vertAlign w:val="superscript"/>
                <w:lang w:val="it-IT"/>
              </w:rPr>
              <w:t>b</w:t>
            </w:r>
          </w:p>
        </w:tc>
      </w:tr>
      <w:tr w:rsidR="00953B2E" w:rsidRPr="00C35766" w14:paraId="23F52EAF" w14:textId="77777777" w:rsidTr="00B3291C">
        <w:tc>
          <w:tcPr>
            <w:tcW w:w="2625" w:type="dxa"/>
            <w:tcBorders>
              <w:top w:val="single" w:sz="5" w:space="0" w:color="000000"/>
              <w:left w:val="single" w:sz="5" w:space="0" w:color="000000"/>
              <w:bottom w:val="single" w:sz="5" w:space="0" w:color="000000"/>
              <w:right w:val="single" w:sz="5" w:space="0" w:color="000000"/>
            </w:tcBorders>
          </w:tcPr>
          <w:p w14:paraId="47BAA849" w14:textId="77777777" w:rsidR="00953B2E" w:rsidRPr="00C35766" w:rsidRDefault="005F0C19">
            <w:pPr>
              <w:pStyle w:val="TableParagraph"/>
              <w:spacing w:line="251"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t>PASI 100</w:t>
            </w:r>
          </w:p>
        </w:tc>
        <w:tc>
          <w:tcPr>
            <w:tcW w:w="1701" w:type="dxa"/>
            <w:tcBorders>
              <w:top w:val="single" w:sz="5" w:space="0" w:color="000000"/>
              <w:left w:val="single" w:sz="5" w:space="0" w:color="000000"/>
              <w:bottom w:val="single" w:sz="5" w:space="0" w:color="000000"/>
              <w:right w:val="single" w:sz="5" w:space="0" w:color="000000"/>
            </w:tcBorders>
          </w:tcPr>
          <w:p w14:paraId="5ED6E5D7" w14:textId="77777777" w:rsidR="00953B2E" w:rsidRPr="00C35766" w:rsidRDefault="005F0C19">
            <w:pPr>
              <w:pStyle w:val="TableParagraph"/>
              <w:spacing w:line="246" w:lineRule="exact"/>
              <w:ind w:left="512"/>
              <w:rPr>
                <w:rFonts w:ascii="Times New Roman" w:eastAsia="Times New Roman" w:hAnsi="Times New Roman" w:cs="Times New Roman"/>
              </w:rPr>
            </w:pPr>
            <w:r w:rsidRPr="00C35766">
              <w:rPr>
                <w:rFonts w:ascii="Times New Roman" w:eastAsia="Times New Roman" w:hAnsi="Times New Roman" w:cs="Times New Roman"/>
                <w:lang w:val="it-IT"/>
              </w:rPr>
              <w:t>3 (0,8)</w:t>
            </w:r>
          </w:p>
        </w:tc>
        <w:tc>
          <w:tcPr>
            <w:tcW w:w="2801" w:type="dxa"/>
            <w:tcBorders>
              <w:top w:val="single" w:sz="5" w:space="0" w:color="000000"/>
              <w:left w:val="single" w:sz="5" w:space="0" w:color="000000"/>
              <w:bottom w:val="single" w:sz="5" w:space="0" w:color="000000"/>
              <w:right w:val="single" w:sz="5" w:space="0" w:color="000000"/>
            </w:tcBorders>
          </w:tcPr>
          <w:p w14:paraId="753C4377" w14:textId="77777777" w:rsidR="00953B2E" w:rsidRPr="00C35766" w:rsidRDefault="005F0C19">
            <w:pPr>
              <w:pStyle w:val="TableParagraph"/>
              <w:spacing w:line="246" w:lineRule="exact"/>
              <w:ind w:left="678"/>
              <w:rPr>
                <w:rFonts w:ascii="Times New Roman" w:eastAsia="Times New Roman" w:hAnsi="Times New Roman" w:cs="Times New Roman"/>
                <w:vertAlign w:val="superscript"/>
              </w:rPr>
            </w:pPr>
            <w:r w:rsidRPr="00C35766">
              <w:rPr>
                <w:rFonts w:ascii="Times New Roman" w:eastAsia="Times New Roman" w:hAnsi="Times New Roman" w:cs="Times New Roman"/>
                <w:spacing w:val="-1"/>
                <w:lang w:val="it-IT"/>
              </w:rPr>
              <w:t>163 (20,0)</w:t>
            </w:r>
            <w:r w:rsidRPr="00C35766">
              <w:rPr>
                <w:rFonts w:ascii="Times New Roman" w:hAnsi="Times New Roman" w:cs="Times New Roman"/>
                <w:spacing w:val="-1"/>
                <w:vertAlign w:val="superscript"/>
                <w:lang w:val="it-IT"/>
              </w:rPr>
              <w:t>b</w:t>
            </w:r>
          </w:p>
        </w:tc>
      </w:tr>
      <w:tr w:rsidR="00953B2E" w:rsidRPr="00C35766" w14:paraId="17E3CB98" w14:textId="77777777" w:rsidTr="00B3291C">
        <w:tc>
          <w:tcPr>
            <w:tcW w:w="2625" w:type="dxa"/>
            <w:tcBorders>
              <w:top w:val="single" w:sz="5" w:space="0" w:color="000000"/>
              <w:left w:val="single" w:sz="5" w:space="0" w:color="000000"/>
              <w:bottom w:val="single" w:sz="5" w:space="0" w:color="000000"/>
              <w:right w:val="single" w:sz="5" w:space="0" w:color="000000"/>
            </w:tcBorders>
          </w:tcPr>
          <w:p w14:paraId="100CAC32" w14:textId="77777777" w:rsidR="00953B2E" w:rsidRPr="00C35766" w:rsidRDefault="005F0C19">
            <w:pPr>
              <w:pStyle w:val="TableParagraph"/>
              <w:spacing w:line="250"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t>PGA: Guarigione/Marcato miglioramento</w:t>
            </w:r>
          </w:p>
        </w:tc>
        <w:tc>
          <w:tcPr>
            <w:tcW w:w="1701" w:type="dxa"/>
            <w:tcBorders>
              <w:top w:val="single" w:sz="5" w:space="0" w:color="000000"/>
              <w:left w:val="single" w:sz="5" w:space="0" w:color="000000"/>
              <w:bottom w:val="single" w:sz="5" w:space="0" w:color="000000"/>
              <w:right w:val="single" w:sz="5" w:space="0" w:color="000000"/>
            </w:tcBorders>
          </w:tcPr>
          <w:p w14:paraId="5136AB9E" w14:textId="77777777" w:rsidR="00953B2E" w:rsidRPr="00C35766" w:rsidRDefault="005F0C19">
            <w:pPr>
              <w:pStyle w:val="TableParagraph"/>
              <w:spacing w:line="246" w:lineRule="exact"/>
              <w:ind w:left="457"/>
              <w:rPr>
                <w:rFonts w:ascii="Times New Roman" w:eastAsia="Times New Roman" w:hAnsi="Times New Roman" w:cs="Times New Roman"/>
              </w:rPr>
            </w:pPr>
            <w:r w:rsidRPr="00C35766">
              <w:rPr>
                <w:rFonts w:ascii="Times New Roman" w:eastAsia="Times New Roman" w:hAnsi="Times New Roman" w:cs="Times New Roman"/>
                <w:spacing w:val="-1"/>
                <w:lang w:val="it-IT"/>
              </w:rPr>
              <w:t>17 (4,3)</w:t>
            </w:r>
          </w:p>
        </w:tc>
        <w:tc>
          <w:tcPr>
            <w:tcW w:w="2801" w:type="dxa"/>
            <w:tcBorders>
              <w:top w:val="single" w:sz="5" w:space="0" w:color="000000"/>
              <w:left w:val="single" w:sz="5" w:space="0" w:color="000000"/>
              <w:bottom w:val="single" w:sz="5" w:space="0" w:color="000000"/>
              <w:right w:val="single" w:sz="5" w:space="0" w:color="000000"/>
            </w:tcBorders>
          </w:tcPr>
          <w:p w14:paraId="3962A1BE" w14:textId="77777777" w:rsidR="00953B2E" w:rsidRPr="00C35766" w:rsidRDefault="005F0C19">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506 (62,2)</w:t>
            </w:r>
            <w:r w:rsidRPr="00C35766">
              <w:rPr>
                <w:rFonts w:ascii="Times New Roman" w:eastAsia="Times New Roman" w:hAnsi="Times New Roman" w:cs="Times New Roman"/>
                <w:spacing w:val="-1"/>
                <w:vertAlign w:val="superscript"/>
                <w:lang w:val="it-IT"/>
              </w:rPr>
              <w:t>b</w:t>
            </w:r>
          </w:p>
        </w:tc>
      </w:tr>
      <w:tr w:rsidR="00953B2E" w:rsidRPr="00C35766" w14:paraId="3B2E175C" w14:textId="77777777" w:rsidTr="00B3291C">
        <w:tc>
          <w:tcPr>
            <w:tcW w:w="7127" w:type="dxa"/>
            <w:gridSpan w:val="3"/>
            <w:tcBorders>
              <w:top w:val="single" w:sz="5" w:space="0" w:color="000000"/>
              <w:left w:val="single" w:sz="5" w:space="0" w:color="000000"/>
              <w:bottom w:val="single" w:sz="5" w:space="0" w:color="000000"/>
              <w:right w:val="single" w:sz="5" w:space="0" w:color="000000"/>
            </w:tcBorders>
          </w:tcPr>
          <w:p w14:paraId="19064A55" w14:textId="642A787E" w:rsidR="00953B2E" w:rsidRPr="00C35766" w:rsidRDefault="005F0C19">
            <w:pPr>
              <w:pStyle w:val="TableParagraph"/>
              <w:ind w:left="102"/>
              <w:rPr>
                <w:rFonts w:ascii="Times New Roman" w:eastAsia="Times New Roman" w:hAnsi="Times New Roman" w:cs="Times New Roman"/>
                <w:position w:val="8"/>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La percentuale di pazienti che ha ottenuto una risposta PASI 75 è stata calcolata sotto forma di centre-adjusted rate</w:t>
            </w:r>
          </w:p>
          <w:p w14:paraId="215E56A1" w14:textId="669D2535" w:rsidR="00953B2E" w:rsidRPr="00C35766" w:rsidRDefault="005F0C19">
            <w:pPr>
              <w:pStyle w:val="TableParagraph"/>
              <w:ind w:left="102"/>
              <w:rPr>
                <w:rFonts w:ascii="Times New Roman" w:hAnsi="Times New Roman" w:cs="Times New Roman"/>
                <w:position w:val="8"/>
              </w:rPr>
            </w:pPr>
            <w:r w:rsidRPr="00C35766">
              <w:rPr>
                <w:rFonts w:ascii="Times New Roman" w:hAnsi="Times New Roman" w:cs="Times New Roman"/>
                <w:position w:val="8"/>
                <w:vertAlign w:val="superscript"/>
              </w:rPr>
              <w:t xml:space="preserve">b </w:t>
            </w:r>
            <w:r w:rsidRPr="00C35766">
              <w:rPr>
                <w:rFonts w:ascii="Times New Roman" w:hAnsi="Times New Roman" w:cs="Times New Roman"/>
                <w:position w:val="8"/>
              </w:rPr>
              <w:t>p &lt;</w:t>
            </w:r>
            <w:r w:rsidR="000F35BA" w:rsidRPr="00C35766">
              <w:rPr>
                <w:rFonts w:ascii="Times New Roman" w:hAnsi="Times New Roman" w:cs="Times New Roman"/>
                <w:position w:val="8"/>
              </w:rPr>
              <w:t xml:space="preserve"> </w:t>
            </w:r>
            <w:r w:rsidRPr="00C35766">
              <w:rPr>
                <w:rFonts w:ascii="Times New Roman" w:hAnsi="Times New Roman" w:cs="Times New Roman"/>
                <w:position w:val="8"/>
              </w:rPr>
              <w:t xml:space="preserve">0,001, adalimumab </w:t>
            </w:r>
            <w:r w:rsidR="00CB3E81" w:rsidRPr="00C35766">
              <w:rPr>
                <w:rFonts w:ascii="Times New Roman" w:eastAsia="Times New Roman" w:hAnsi="Times New Roman" w:cs="Times New Roman"/>
                <w:position w:val="8"/>
              </w:rPr>
              <w:t xml:space="preserve">vs. </w:t>
            </w:r>
            <w:r w:rsidRPr="00C35766">
              <w:rPr>
                <w:rFonts w:ascii="Times New Roman" w:hAnsi="Times New Roman" w:cs="Times New Roman"/>
                <w:position w:val="8"/>
              </w:rPr>
              <w:t>placebo</w:t>
            </w:r>
          </w:p>
        </w:tc>
      </w:tr>
    </w:tbl>
    <w:p w14:paraId="7242F917" w14:textId="77777777" w:rsidR="00953B2E" w:rsidRPr="00BD232C" w:rsidRDefault="00953B2E">
      <w:pPr>
        <w:spacing w:line="110" w:lineRule="exact"/>
        <w:rPr>
          <w:rFonts w:ascii="Times New Roman" w:hAnsi="Times New Roman" w:cs="Times New Roman"/>
          <w:sz w:val="11"/>
          <w:szCs w:val="11"/>
        </w:rPr>
      </w:pPr>
    </w:p>
    <w:p w14:paraId="0E5ACAF0" w14:textId="77777777" w:rsidR="00953B2E" w:rsidRPr="00BD232C" w:rsidRDefault="00953B2E">
      <w:pPr>
        <w:spacing w:before="3" w:line="170" w:lineRule="exact"/>
        <w:rPr>
          <w:rFonts w:ascii="Times New Roman" w:hAnsi="Times New Roman" w:cs="Times New Roman"/>
          <w:sz w:val="17"/>
          <w:szCs w:val="17"/>
        </w:rPr>
      </w:pPr>
    </w:p>
    <w:p w14:paraId="4C281C19" w14:textId="750A7696"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17</w:t>
      </w:r>
    </w:p>
    <w:p w14:paraId="39CACCCA" w14:textId="77777777" w:rsidR="00953B2E" w:rsidRDefault="005F0C19">
      <w:pPr>
        <w:pStyle w:val="a3"/>
        <w:jc w:val="center"/>
        <w:rPr>
          <w:rFonts w:eastAsia="Times New Roman"/>
          <w:b/>
          <w:bCs/>
          <w:lang w:val="it-IT"/>
        </w:rPr>
      </w:pPr>
      <w:r w:rsidRPr="00C35766">
        <w:rPr>
          <w:rFonts w:eastAsia="Times New Roman"/>
          <w:b/>
          <w:bCs/>
          <w:lang w:val="it-IT"/>
        </w:rPr>
        <w:t>Studio II sulla psoriasi (CHAMPION) - Risultati relativi all’efficacia alla settimana 16</w:t>
      </w:r>
    </w:p>
    <w:p w14:paraId="16D2F7BF" w14:textId="77777777" w:rsidR="005A5DEF" w:rsidRPr="00C35766" w:rsidRDefault="005A5DEF">
      <w:pPr>
        <w:pStyle w:val="a3"/>
        <w:jc w:val="center"/>
        <w:rPr>
          <w:b/>
          <w:lang w:val="it-IT"/>
        </w:rPr>
      </w:pP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953B2E" w:rsidRPr="00C35766" w14:paraId="3DE99547" w14:textId="77777777">
        <w:tc>
          <w:tcPr>
            <w:tcW w:w="2294" w:type="dxa"/>
            <w:vAlign w:val="center"/>
          </w:tcPr>
          <w:p w14:paraId="341F35D4" w14:textId="77777777" w:rsidR="00953B2E" w:rsidRPr="00C35766" w:rsidRDefault="00953B2E">
            <w:pPr>
              <w:pStyle w:val="a3"/>
              <w:rPr>
                <w:lang w:val="it-IT"/>
              </w:rPr>
            </w:pPr>
          </w:p>
        </w:tc>
        <w:tc>
          <w:tcPr>
            <w:tcW w:w="2197" w:type="dxa"/>
            <w:vAlign w:val="center"/>
          </w:tcPr>
          <w:p w14:paraId="2C60D4B1" w14:textId="77777777" w:rsidR="00953B2E" w:rsidRPr="00C35766" w:rsidRDefault="005F0C19">
            <w:pPr>
              <w:pStyle w:val="TableParagraph"/>
              <w:spacing w:before="4"/>
              <w:ind w:left="459" w:right="459"/>
              <w:jc w:val="center"/>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Placebo N=53</w:t>
            </w:r>
          </w:p>
          <w:p w14:paraId="19CC5981" w14:textId="77777777" w:rsidR="00953B2E" w:rsidRPr="00C35766" w:rsidRDefault="005F0C19">
            <w:pPr>
              <w:pStyle w:val="TableParagraph"/>
              <w:spacing w:before="4"/>
              <w:ind w:left="459" w:right="459"/>
              <w:jc w:val="center"/>
              <w:rPr>
                <w:rFonts w:ascii="Times New Roman" w:hAnsi="Times New Roman" w:cs="Times New Roman"/>
                <w:b/>
              </w:rPr>
            </w:pPr>
            <w:r w:rsidRPr="00C35766">
              <w:rPr>
                <w:rFonts w:ascii="Times New Roman" w:eastAsia="Times New Roman" w:hAnsi="Times New Roman" w:cs="Times New Roman"/>
                <w:b/>
                <w:bCs/>
                <w:lang w:val="it-IT"/>
              </w:rPr>
              <w:t>n (%)</w:t>
            </w:r>
          </w:p>
        </w:tc>
        <w:tc>
          <w:tcPr>
            <w:tcW w:w="2197" w:type="dxa"/>
            <w:vAlign w:val="center"/>
          </w:tcPr>
          <w:p w14:paraId="4F925D1D" w14:textId="77777777" w:rsidR="00953B2E" w:rsidRPr="00C35766" w:rsidRDefault="005F0C19">
            <w:pPr>
              <w:pStyle w:val="a3"/>
              <w:jc w:val="center"/>
              <w:rPr>
                <w:b/>
              </w:rPr>
            </w:pPr>
            <w:r w:rsidRPr="00C35766">
              <w:rPr>
                <w:rFonts w:eastAsia="Times New Roman"/>
                <w:b/>
                <w:bCs/>
                <w:lang w:val="it-IT"/>
              </w:rPr>
              <w:t>MTX</w:t>
            </w:r>
          </w:p>
          <w:p w14:paraId="3D0B04AA" w14:textId="77777777" w:rsidR="00953B2E" w:rsidRPr="00C35766" w:rsidRDefault="005F0C19">
            <w:pPr>
              <w:pStyle w:val="a3"/>
              <w:jc w:val="center"/>
              <w:rPr>
                <w:b/>
              </w:rPr>
            </w:pPr>
            <w:r w:rsidRPr="00C35766">
              <w:rPr>
                <w:rFonts w:eastAsia="Times New Roman"/>
                <w:b/>
                <w:bCs/>
                <w:lang w:val="it-IT"/>
              </w:rPr>
              <w:t>N=110</w:t>
            </w:r>
          </w:p>
          <w:p w14:paraId="6ABED382" w14:textId="77777777" w:rsidR="00953B2E" w:rsidRPr="00C35766" w:rsidRDefault="005F0C19">
            <w:pPr>
              <w:pStyle w:val="a3"/>
              <w:jc w:val="center"/>
            </w:pPr>
            <w:r w:rsidRPr="00C35766">
              <w:rPr>
                <w:rFonts w:eastAsia="Times New Roman"/>
                <w:b/>
                <w:bCs/>
                <w:lang w:val="it-IT"/>
              </w:rPr>
              <w:t>n (%)</w:t>
            </w:r>
          </w:p>
        </w:tc>
        <w:tc>
          <w:tcPr>
            <w:tcW w:w="2751" w:type="dxa"/>
            <w:vAlign w:val="center"/>
          </w:tcPr>
          <w:p w14:paraId="35C515B1" w14:textId="77777777" w:rsidR="00953B2E" w:rsidRPr="00C35766" w:rsidRDefault="005F0C19">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Adalimumab 40 mg a settimane alterne</w:t>
            </w:r>
          </w:p>
          <w:p w14:paraId="64DDFD9E" w14:textId="77777777" w:rsidR="00953B2E" w:rsidRPr="00C35766" w:rsidRDefault="005F0C19">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N=108</w:t>
            </w:r>
          </w:p>
          <w:p w14:paraId="335779D4" w14:textId="77777777" w:rsidR="00953B2E" w:rsidRPr="00C35766" w:rsidRDefault="005F0C19">
            <w:pPr>
              <w:pStyle w:val="TableParagraph"/>
              <w:spacing w:before="4"/>
              <w:ind w:left="113" w:right="113"/>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953B2E" w:rsidRPr="00C35766" w14:paraId="309FA1F9" w14:textId="77777777">
        <w:tc>
          <w:tcPr>
            <w:tcW w:w="2294" w:type="dxa"/>
          </w:tcPr>
          <w:p w14:paraId="4510A7C6" w14:textId="77777777" w:rsidR="00953B2E" w:rsidRPr="00C35766" w:rsidRDefault="005F0C19">
            <w:pPr>
              <w:pStyle w:val="a3"/>
              <w:rPr>
                <w:b/>
              </w:rPr>
            </w:pPr>
            <w:r w:rsidRPr="00C35766">
              <w:rPr>
                <w:rFonts w:eastAsia="Symbol"/>
                <w:b/>
                <w:lang w:val="it-IT"/>
              </w:rPr>
              <w:sym w:font="Symbol" w:char="F0B3"/>
            </w:r>
            <w:r w:rsidRPr="00C35766">
              <w:rPr>
                <w:rFonts w:eastAsia="Symbol"/>
                <w:b/>
                <w:lang w:val="it-IT"/>
              </w:rPr>
              <w:sym w:font="Symbol" w:char="F020"/>
            </w:r>
            <w:r w:rsidRPr="00C35766">
              <w:rPr>
                <w:rFonts w:eastAsia="Times New Roman"/>
                <w:b/>
                <w:lang w:val="it-IT"/>
              </w:rPr>
              <w:t>PASI 75</w:t>
            </w:r>
          </w:p>
        </w:tc>
        <w:tc>
          <w:tcPr>
            <w:tcW w:w="2197" w:type="dxa"/>
          </w:tcPr>
          <w:p w14:paraId="2B012EBF" w14:textId="77777777" w:rsidR="00953B2E" w:rsidRPr="00C35766" w:rsidRDefault="005F0C19">
            <w:pPr>
              <w:pStyle w:val="a3"/>
              <w:jc w:val="center"/>
              <w:rPr>
                <w:b/>
              </w:rPr>
            </w:pPr>
            <w:r w:rsidRPr="00C35766">
              <w:rPr>
                <w:rFonts w:eastAsia="Times New Roman"/>
                <w:lang w:val="it-IT"/>
              </w:rPr>
              <w:t>10 (18,9)</w:t>
            </w:r>
          </w:p>
        </w:tc>
        <w:tc>
          <w:tcPr>
            <w:tcW w:w="2197" w:type="dxa"/>
          </w:tcPr>
          <w:p w14:paraId="676B2ABA" w14:textId="77777777" w:rsidR="00953B2E" w:rsidRPr="00C35766" w:rsidRDefault="005F0C19">
            <w:pPr>
              <w:pStyle w:val="a3"/>
              <w:jc w:val="center"/>
              <w:rPr>
                <w:b/>
              </w:rPr>
            </w:pPr>
            <w:r w:rsidRPr="00C35766">
              <w:rPr>
                <w:rFonts w:eastAsia="Times New Roman"/>
                <w:lang w:val="it-IT"/>
              </w:rPr>
              <w:t>39 (35,5)</w:t>
            </w:r>
          </w:p>
        </w:tc>
        <w:tc>
          <w:tcPr>
            <w:tcW w:w="2751" w:type="dxa"/>
          </w:tcPr>
          <w:p w14:paraId="15531D81" w14:textId="77777777" w:rsidR="00953B2E" w:rsidRPr="00C35766" w:rsidRDefault="005F0C19">
            <w:pPr>
              <w:pStyle w:val="a3"/>
              <w:jc w:val="center"/>
              <w:rPr>
                <w:b/>
              </w:rPr>
            </w:pPr>
            <w:r w:rsidRPr="00C35766">
              <w:rPr>
                <w:rFonts w:eastAsia="Times New Roman"/>
                <w:spacing w:val="-1"/>
                <w:lang w:val="it-IT"/>
              </w:rPr>
              <w:t xml:space="preserve">86 (79,6) </w:t>
            </w:r>
            <w:r w:rsidRPr="00C35766">
              <w:rPr>
                <w:rFonts w:eastAsia="Times New Roman"/>
                <w:spacing w:val="-1"/>
                <w:vertAlign w:val="superscript"/>
                <w:lang w:val="it-IT"/>
              </w:rPr>
              <w:t>a, b</w:t>
            </w:r>
          </w:p>
        </w:tc>
      </w:tr>
      <w:tr w:rsidR="00953B2E" w:rsidRPr="00C35766" w14:paraId="26E7D5AC" w14:textId="77777777">
        <w:tc>
          <w:tcPr>
            <w:tcW w:w="2294" w:type="dxa"/>
          </w:tcPr>
          <w:p w14:paraId="7715AB90" w14:textId="77777777" w:rsidR="00953B2E" w:rsidRPr="00C35766" w:rsidRDefault="005F0C19">
            <w:pPr>
              <w:pStyle w:val="a3"/>
              <w:rPr>
                <w:b/>
              </w:rPr>
            </w:pPr>
            <w:r w:rsidRPr="00C35766">
              <w:rPr>
                <w:rFonts w:eastAsia="Times New Roman"/>
                <w:b/>
                <w:lang w:val="it-IT"/>
              </w:rPr>
              <w:t>PASI 100</w:t>
            </w:r>
          </w:p>
        </w:tc>
        <w:tc>
          <w:tcPr>
            <w:tcW w:w="2197" w:type="dxa"/>
          </w:tcPr>
          <w:p w14:paraId="1563B8EA" w14:textId="77777777" w:rsidR="00953B2E" w:rsidRPr="00C35766" w:rsidRDefault="005F0C19">
            <w:pPr>
              <w:pStyle w:val="a3"/>
              <w:jc w:val="center"/>
              <w:rPr>
                <w:b/>
              </w:rPr>
            </w:pPr>
            <w:r w:rsidRPr="00C35766">
              <w:rPr>
                <w:rFonts w:eastAsia="Times New Roman"/>
                <w:lang w:val="it-IT"/>
              </w:rPr>
              <w:t>1 (1,9)</w:t>
            </w:r>
          </w:p>
        </w:tc>
        <w:tc>
          <w:tcPr>
            <w:tcW w:w="2197" w:type="dxa"/>
          </w:tcPr>
          <w:p w14:paraId="2DB99764" w14:textId="77777777" w:rsidR="00953B2E" w:rsidRPr="00C35766" w:rsidRDefault="005F0C19">
            <w:pPr>
              <w:pStyle w:val="a3"/>
              <w:jc w:val="center"/>
              <w:rPr>
                <w:b/>
              </w:rPr>
            </w:pPr>
            <w:r w:rsidRPr="00C35766">
              <w:rPr>
                <w:rFonts w:eastAsia="Times New Roman"/>
                <w:lang w:val="it-IT"/>
              </w:rPr>
              <w:t>8 (7,3)</w:t>
            </w:r>
          </w:p>
        </w:tc>
        <w:tc>
          <w:tcPr>
            <w:tcW w:w="2751" w:type="dxa"/>
          </w:tcPr>
          <w:p w14:paraId="43F19B83" w14:textId="77777777" w:rsidR="00953B2E" w:rsidRPr="00C35766" w:rsidRDefault="005F0C19">
            <w:pPr>
              <w:pStyle w:val="a3"/>
              <w:jc w:val="center"/>
              <w:rPr>
                <w:b/>
              </w:rPr>
            </w:pPr>
            <w:r w:rsidRPr="00C35766">
              <w:rPr>
                <w:rFonts w:eastAsia="Times New Roman"/>
                <w:spacing w:val="-1"/>
                <w:lang w:val="it-IT"/>
              </w:rPr>
              <w:t xml:space="preserve">18 (16,7) </w:t>
            </w:r>
            <w:r w:rsidRPr="00C35766">
              <w:rPr>
                <w:rFonts w:eastAsia="Times New Roman"/>
                <w:spacing w:val="-1"/>
                <w:vertAlign w:val="superscript"/>
                <w:lang w:val="it-IT"/>
              </w:rPr>
              <w:t>c, d</w:t>
            </w:r>
          </w:p>
        </w:tc>
      </w:tr>
      <w:tr w:rsidR="00953B2E" w:rsidRPr="00C35766" w14:paraId="0B4A58CF" w14:textId="77777777">
        <w:tc>
          <w:tcPr>
            <w:tcW w:w="2294" w:type="dxa"/>
          </w:tcPr>
          <w:p w14:paraId="26FCDC3C" w14:textId="77777777" w:rsidR="00953B2E" w:rsidRPr="00C35766" w:rsidRDefault="005F0C19">
            <w:pPr>
              <w:pStyle w:val="TableParagraph"/>
              <w:rPr>
                <w:rFonts w:ascii="Times New Roman" w:hAnsi="Times New Roman" w:cs="Times New Roman"/>
                <w:b/>
              </w:rPr>
            </w:pPr>
            <w:r w:rsidRPr="00C35766">
              <w:rPr>
                <w:rFonts w:ascii="Times New Roman" w:eastAsia="Times New Roman" w:hAnsi="Times New Roman" w:cs="Times New Roman"/>
                <w:b/>
                <w:bCs/>
                <w:lang w:val="it-IT"/>
              </w:rPr>
              <w:t>PGA: Guarigione/Marcato miglioramento</w:t>
            </w:r>
          </w:p>
        </w:tc>
        <w:tc>
          <w:tcPr>
            <w:tcW w:w="2197" w:type="dxa"/>
          </w:tcPr>
          <w:p w14:paraId="4D99BED7" w14:textId="77777777" w:rsidR="00953B2E" w:rsidRPr="00C35766" w:rsidRDefault="005F0C19">
            <w:pPr>
              <w:pStyle w:val="a3"/>
              <w:jc w:val="center"/>
              <w:rPr>
                <w:b/>
              </w:rPr>
            </w:pPr>
            <w:r w:rsidRPr="00C35766">
              <w:rPr>
                <w:rFonts w:eastAsia="Times New Roman"/>
                <w:lang w:val="it-IT"/>
              </w:rPr>
              <w:t>6 (11,3)</w:t>
            </w:r>
          </w:p>
        </w:tc>
        <w:tc>
          <w:tcPr>
            <w:tcW w:w="2197" w:type="dxa"/>
          </w:tcPr>
          <w:p w14:paraId="1E3B1E2A" w14:textId="77777777" w:rsidR="00953B2E" w:rsidRPr="00C35766" w:rsidRDefault="005F0C19">
            <w:pPr>
              <w:pStyle w:val="a3"/>
              <w:jc w:val="center"/>
              <w:rPr>
                <w:b/>
              </w:rPr>
            </w:pPr>
            <w:r w:rsidRPr="00C35766">
              <w:rPr>
                <w:rFonts w:eastAsia="Times New Roman"/>
                <w:lang w:val="it-IT"/>
              </w:rPr>
              <w:t>33 (30,0)</w:t>
            </w:r>
          </w:p>
        </w:tc>
        <w:tc>
          <w:tcPr>
            <w:tcW w:w="2751" w:type="dxa"/>
          </w:tcPr>
          <w:p w14:paraId="5D0105DA" w14:textId="77777777" w:rsidR="00953B2E" w:rsidRPr="00C35766" w:rsidRDefault="005F0C19">
            <w:pPr>
              <w:pStyle w:val="a3"/>
              <w:jc w:val="center"/>
              <w:rPr>
                <w:b/>
              </w:rPr>
            </w:pPr>
            <w:r w:rsidRPr="00C35766">
              <w:rPr>
                <w:rFonts w:eastAsia="Times New Roman"/>
                <w:spacing w:val="-1"/>
                <w:lang w:val="it-IT"/>
              </w:rPr>
              <w:t xml:space="preserve">79 (73,1) </w:t>
            </w:r>
            <w:r w:rsidRPr="00C35766">
              <w:rPr>
                <w:rFonts w:eastAsia="Times New Roman"/>
                <w:spacing w:val="-1"/>
                <w:vertAlign w:val="superscript"/>
                <w:lang w:val="it-IT"/>
              </w:rPr>
              <w:t>a, b</w:t>
            </w:r>
          </w:p>
        </w:tc>
      </w:tr>
      <w:tr w:rsidR="00953B2E" w:rsidRPr="006501B3" w14:paraId="2241E2E1" w14:textId="77777777">
        <w:tc>
          <w:tcPr>
            <w:tcW w:w="9439" w:type="dxa"/>
            <w:gridSpan w:val="4"/>
          </w:tcPr>
          <w:p w14:paraId="3E3DC428" w14:textId="06C264AC" w:rsidR="00953B2E" w:rsidRPr="00C35766" w:rsidRDefault="005F0C19">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 xml:space="preserve">a </w:t>
            </w:r>
            <w:r w:rsidRPr="00C35766">
              <w:rPr>
                <w:rFonts w:ascii="Times New Roman" w:hAnsi="Times New Roman" w:cs="Times New Roman"/>
                <w:position w:val="8"/>
              </w:rPr>
              <w:t>p &lt;</w:t>
            </w:r>
            <w:r w:rsidR="000F35BA" w:rsidRPr="00C35766">
              <w:rPr>
                <w:rFonts w:ascii="Times New Roman" w:hAnsi="Times New Roman" w:cs="Times New Roman"/>
                <w:position w:val="8"/>
              </w:rPr>
              <w:t xml:space="preserve"> </w:t>
            </w:r>
            <w:r w:rsidRPr="00C35766">
              <w:rPr>
                <w:rFonts w:ascii="Times New Roman" w:hAnsi="Times New Roman" w:cs="Times New Roman"/>
                <w:position w:val="8"/>
              </w:rPr>
              <w:t>0,001, adalimumab vs placebo</w:t>
            </w:r>
          </w:p>
          <w:p w14:paraId="629B0CE5" w14:textId="77777777" w:rsidR="00953B2E" w:rsidRPr="00C35766" w:rsidRDefault="005F0C19">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b</w:t>
            </w:r>
            <w:r w:rsidRPr="00C35766">
              <w:rPr>
                <w:rFonts w:ascii="Times New Roman" w:hAnsi="Times New Roman" w:cs="Times New Roman"/>
                <w:position w:val="8"/>
              </w:rPr>
              <w:t xml:space="preserve"> p &lt; 0,001 adalimumab vs. metotressato</w:t>
            </w:r>
          </w:p>
          <w:p w14:paraId="714A8947" w14:textId="56875D4B" w:rsidR="00953B2E" w:rsidRPr="00C35766" w:rsidRDefault="00CB3E81">
            <w:pPr>
              <w:pStyle w:val="TableParagraph"/>
              <w:rPr>
                <w:rFonts w:ascii="Times New Roman" w:eastAsia="Times New Roman" w:hAnsi="Times New Roman" w:cs="Times New Roman"/>
              </w:rPr>
            </w:pPr>
            <w:r w:rsidRPr="00C35766">
              <w:rPr>
                <w:rFonts w:ascii="Times New Roman" w:eastAsia="Times New Roman" w:hAnsi="Times New Roman" w:cs="Times New Roman"/>
                <w:position w:val="8"/>
                <w:vertAlign w:val="superscript"/>
              </w:rPr>
              <w:t>c</w:t>
            </w:r>
            <w:r w:rsidR="005F0C19" w:rsidRPr="00C35766">
              <w:rPr>
                <w:rFonts w:ascii="Times New Roman" w:hAnsi="Times New Roman" w:cs="Times New Roman"/>
                <w:position w:val="8"/>
              </w:rPr>
              <w:t xml:space="preserve"> p &lt;</w:t>
            </w:r>
            <w:r w:rsidR="000F35BA" w:rsidRPr="00C35766">
              <w:rPr>
                <w:rFonts w:ascii="Times New Roman" w:hAnsi="Times New Roman" w:cs="Times New Roman"/>
                <w:position w:val="8"/>
              </w:rPr>
              <w:t xml:space="preserve"> </w:t>
            </w:r>
            <w:r w:rsidR="005F0C19" w:rsidRPr="00C35766">
              <w:rPr>
                <w:rFonts w:ascii="Times New Roman" w:hAnsi="Times New Roman" w:cs="Times New Roman"/>
                <w:position w:val="8"/>
              </w:rPr>
              <w:t>0,01, adalimumab vs. placebo</w:t>
            </w:r>
          </w:p>
          <w:p w14:paraId="53814BB3" w14:textId="58197114" w:rsidR="00953B2E" w:rsidRPr="00C35766" w:rsidRDefault="00CB3E81">
            <w:pPr>
              <w:pStyle w:val="a3"/>
              <w:rPr>
                <w:b/>
                <w:lang w:val="it-IT"/>
              </w:rPr>
            </w:pPr>
            <w:r w:rsidRPr="00C35766">
              <w:rPr>
                <w:rFonts w:eastAsia="Times New Roman"/>
                <w:position w:val="8"/>
                <w:vertAlign w:val="superscript"/>
                <w:lang w:val="it-IT"/>
              </w:rPr>
              <w:t>d</w:t>
            </w:r>
            <w:r w:rsidR="005F0C19" w:rsidRPr="00C35766">
              <w:rPr>
                <w:rFonts w:eastAsia="Times New Roman"/>
                <w:position w:val="8"/>
                <w:vertAlign w:val="superscript"/>
                <w:lang w:val="it-IT"/>
              </w:rPr>
              <w:t xml:space="preserve"> </w:t>
            </w:r>
            <w:r w:rsidR="005F0C19" w:rsidRPr="00C35766">
              <w:rPr>
                <w:rFonts w:eastAsia="Times New Roman"/>
                <w:position w:val="8"/>
                <w:lang w:val="it-IT"/>
              </w:rPr>
              <w:t>p &lt; 0,05 adalimumab vs. metotressato</w:t>
            </w:r>
          </w:p>
        </w:tc>
      </w:tr>
    </w:tbl>
    <w:p w14:paraId="54A984D7" w14:textId="77777777" w:rsidR="00953B2E" w:rsidRPr="00C35766" w:rsidRDefault="00953B2E">
      <w:pPr>
        <w:pStyle w:val="a3"/>
        <w:rPr>
          <w:lang w:val="it-IT"/>
        </w:rPr>
      </w:pPr>
    </w:p>
    <w:p w14:paraId="065A014E" w14:textId="1B92D5AB" w:rsidR="00953B2E" w:rsidRPr="00C35766" w:rsidRDefault="005F0C19">
      <w:pPr>
        <w:pStyle w:val="a3"/>
        <w:rPr>
          <w:lang w:val="it-IT"/>
        </w:rPr>
      </w:pPr>
      <w:r w:rsidRPr="00C35766">
        <w:rPr>
          <w:rFonts w:eastAsia="Times New Roman"/>
          <w:spacing w:val="-2"/>
          <w:lang w:val="it-IT"/>
        </w:rPr>
        <w:t>Nel corso dello studio I sulla psoriasi, nel 28% dei pazienti randomizzati a placebo alla settimana 33 dopo aver ottenuto una risposta PASI 75 rispetto al 5% di pazienti che ha proseguito la terapia con adalimumab, p</w:t>
      </w:r>
      <w:r w:rsidR="000F35BA" w:rsidRPr="00C35766">
        <w:rPr>
          <w:rFonts w:eastAsia="Times New Roman"/>
          <w:spacing w:val="-2"/>
          <w:lang w:val="it-IT"/>
        </w:rPr>
        <w:t xml:space="preserve"> </w:t>
      </w:r>
      <w:r w:rsidRPr="00C35766">
        <w:rPr>
          <w:rFonts w:eastAsia="Times New Roman"/>
          <w:spacing w:val="-2"/>
          <w:lang w:val="it-IT"/>
        </w:rPr>
        <w:t>&lt;</w:t>
      </w:r>
      <w:r w:rsidR="000F35BA" w:rsidRPr="00C35766">
        <w:rPr>
          <w:rFonts w:eastAsia="Times New Roman"/>
          <w:spacing w:val="-2"/>
          <w:lang w:val="it-IT"/>
        </w:rPr>
        <w:t xml:space="preserve"> </w:t>
      </w:r>
      <w:r w:rsidRPr="00C35766">
        <w:rPr>
          <w:rFonts w:eastAsia="Times New Roman"/>
          <w:spacing w:val="-2"/>
          <w:lang w:val="it-IT"/>
        </w:rPr>
        <w:t>0,001, si è verificata una “perdita di risposta adeguata” (definita da un punteggio PASI che dopo la settimana 33 e prima o alla scadenza della settimana 52 sia risultato &lt;</w:t>
      </w:r>
      <w:r w:rsidR="000F35BA" w:rsidRPr="00C35766">
        <w:rPr>
          <w:rFonts w:eastAsia="Times New Roman"/>
          <w:spacing w:val="-2"/>
          <w:lang w:val="it-IT"/>
        </w:rPr>
        <w:t xml:space="preserve"> </w:t>
      </w:r>
      <w:r w:rsidRPr="00C35766">
        <w:rPr>
          <w:rFonts w:eastAsia="Times New Roman"/>
          <w:spacing w:val="-2"/>
          <w:lang w:val="it-IT"/>
        </w:rPr>
        <w:t>PASI 50 rispetto al valore basale con un aumento minimo di 6 punti del punteggio PASI relativo alla settimana 33). Tra i pazienti in cui si è verificata la “perdita di risposta adeguata” dopo la ri-randomizzazione per ricevere placebo,</w:t>
      </w:r>
      <w:r w:rsidR="00CB3E81" w:rsidRPr="00C35766">
        <w:rPr>
          <w:rFonts w:eastAsia="Times New Roman"/>
          <w:spacing w:val="-2"/>
          <w:lang w:val="it-IT"/>
        </w:rPr>
        <w:t xml:space="preserve"> </w:t>
      </w:r>
      <w:r w:rsidRPr="00C35766">
        <w:rPr>
          <w:rFonts w:eastAsia="Times New Roman"/>
          <w:spacing w:val="-2"/>
          <w:lang w:val="it-IT"/>
        </w:rPr>
        <w:t>e che sono stati successivamente arruolati nello studio d’estensione in aperto, il 38% (25/66) ed il 55% (36/66) sono riusciti ad ottenere una risposta PASI 75 rispettivamente dopo 12 e 24 settimane di ri-trattamento.</w:t>
      </w:r>
    </w:p>
    <w:p w14:paraId="45F0AE9B" w14:textId="77777777" w:rsidR="00953B2E" w:rsidRPr="00C35766" w:rsidRDefault="00953B2E">
      <w:pPr>
        <w:spacing w:before="11" w:line="240" w:lineRule="exact"/>
        <w:rPr>
          <w:rFonts w:ascii="Times New Roman" w:hAnsi="Times New Roman" w:cs="Times New Roman"/>
          <w:sz w:val="24"/>
          <w:szCs w:val="24"/>
          <w:lang w:val="it-IT"/>
        </w:rPr>
      </w:pPr>
    </w:p>
    <w:p w14:paraId="3C8EFCC1" w14:textId="63140293" w:rsidR="00953B2E" w:rsidRPr="00C35766" w:rsidRDefault="005F0C19">
      <w:pPr>
        <w:pStyle w:val="a3"/>
        <w:rPr>
          <w:lang w:val="it-IT"/>
        </w:rPr>
      </w:pPr>
      <w:r w:rsidRPr="00C35766">
        <w:rPr>
          <w:rFonts w:eastAsia="Times New Roman"/>
          <w:lang w:val="it-IT"/>
        </w:rPr>
        <w:t>Durante lo studio I sulla psoriasi, un totale di 233 pazienti tra coloro che avevano ottenuto una risposta PASI 75 alla settimana 16 e alla settimana 33</w:t>
      </w:r>
      <w:r w:rsidR="00402552" w:rsidRPr="00C35766">
        <w:rPr>
          <w:rFonts w:eastAsia="Times New Roman"/>
          <w:lang w:val="it-IT"/>
        </w:rPr>
        <w:t xml:space="preserve"> </w:t>
      </w:r>
      <w:r w:rsidRPr="00C35766">
        <w:rPr>
          <w:rFonts w:eastAsia="Times New Roman"/>
          <w:lang w:val="it-IT"/>
        </w:rPr>
        <w:t xml:space="preserve">e che avevano continuato la terapia con adalimumab fino alla settimana 52 hanno continuato la somministrazione di adalimumab nello studio di estensione in aperto. In questi pazienti, le percentuali di risposta PASI 75 e PGA corrispondente a remissione totale della malattia o a persistenza di malattia minima sono state rispettivamente 74,7% e 59,0%, dopo un ulteriore periodo di 108 settimane di terapia somministrata in aperto (per un totale di 160 settimane) In un’analisi effettuata su tutti i pazienti che avevano interrotto lo studio per eventi avversi o per mancanza di efficacia, o che avevano aumentato la posologia e che per tali motivi erano stati considerati come non rispondenti alla </w:t>
      </w:r>
      <w:r w:rsidRPr="00C35766">
        <w:rPr>
          <w:rFonts w:eastAsia="Times New Roman"/>
          <w:lang w:val="it-IT"/>
        </w:rPr>
        <w:lastRenderedPageBreak/>
        <w:t>terapia, analogamente le percentuali di risposta PASI 75 e PGA corrispondente a remissione totale della malattia o a persistenza di malattia minima, sono state rispettivamente del 69,6% e del 55,7%, dopo un ulteriore periodo di 108 settimane di terapia in aperto (per un totale di 160 settimane).</w:t>
      </w:r>
    </w:p>
    <w:p w14:paraId="54835E64" w14:textId="77777777" w:rsidR="00953B2E" w:rsidRPr="00C35766" w:rsidRDefault="00953B2E">
      <w:pPr>
        <w:spacing w:before="13" w:line="240" w:lineRule="exact"/>
        <w:rPr>
          <w:rFonts w:ascii="Times New Roman" w:hAnsi="Times New Roman" w:cs="Times New Roman"/>
          <w:sz w:val="24"/>
          <w:szCs w:val="24"/>
          <w:lang w:val="it-IT"/>
        </w:rPr>
      </w:pPr>
    </w:p>
    <w:p w14:paraId="4EC8F9D8" w14:textId="11B3BA57" w:rsidR="00953B2E" w:rsidRPr="00C35766" w:rsidRDefault="005F0C19">
      <w:pPr>
        <w:pStyle w:val="a3"/>
        <w:rPr>
          <w:lang w:val="es-ES"/>
        </w:rPr>
      </w:pPr>
      <w:r w:rsidRPr="00C35766">
        <w:rPr>
          <w:rFonts w:eastAsia="Times New Roman"/>
          <w:lang w:val="it-IT"/>
        </w:rPr>
        <w:t>Un totale di 347 pazienti, caratterizzati da una risposta stabile alla terapia, ha preso parte ad uno studio di estensione in aperto per la valutazione degli effetti della sospensione e della ripresa del trattamento.  Durante il periodo di sospensione della terapia, i sintomi della psoriasi si sono ripresentati in maniera progressiva con un tempo mediano alla recidiva (progredendo fino ad uno stadio PGA “moderato” o peggiore) di circa 5 mesi. Nessuno di questi pazienti ha manifestato fenomeni di rebound durante il periodo di sospensione del trattamento. Complessivamente, il 76,5% dei pazienti (218/285) che erano entrati nella fase di ri-trattamento aveva ottenuto una risposta PGA corrispondente a remissione totale della malattia o a malattia minima dopo sedici settimane di terapia, indipendentemente dal fatto di aver avuto o meno riacutizzazione della malattia durante il periodo di sospensione del farmaco (rispettivamente il 69,1%[123/178] e 88,8%[95/107]</w:t>
      </w:r>
      <w:r w:rsidR="00402552" w:rsidRPr="00C35766">
        <w:rPr>
          <w:rFonts w:eastAsia="Times New Roman"/>
          <w:lang w:val="it-IT"/>
        </w:rPr>
        <w:t xml:space="preserve"> </w:t>
      </w:r>
      <w:r w:rsidRPr="00C35766">
        <w:rPr>
          <w:rFonts w:eastAsia="Times New Roman"/>
          <w:lang w:val="it-IT"/>
        </w:rPr>
        <w:t>dei pazienti che avevano avuto o meno una riacutizzazione della malattia durante il periodo di sospensione). Durante la ripresa del trattamento è stato osservato un profilo di sicurezza del tutto simile a quello osservato durante il periodo precedente alla sospensione della terapia.</w:t>
      </w:r>
    </w:p>
    <w:p w14:paraId="0F25B34E" w14:textId="77777777" w:rsidR="00953B2E" w:rsidRPr="00C35766" w:rsidRDefault="00953B2E">
      <w:pPr>
        <w:pStyle w:val="a3"/>
        <w:rPr>
          <w:lang w:val="es-ES"/>
        </w:rPr>
      </w:pPr>
    </w:p>
    <w:p w14:paraId="345C7707" w14:textId="77777777" w:rsidR="00953B2E" w:rsidRPr="00C35766" w:rsidRDefault="005F0C19">
      <w:pPr>
        <w:pStyle w:val="a3"/>
        <w:rPr>
          <w:lang w:val="pt-BR"/>
        </w:rPr>
      </w:pPr>
      <w:r w:rsidRPr="00C35766">
        <w:rPr>
          <w:rFonts w:eastAsia="Times New Roman"/>
          <w:lang w:val="it-IT"/>
        </w:rPr>
        <w:t>Miglioramenti significativi del DLQI (Dermatology Life Quality Index) sono stati dimostrati alla settimana 16 a partire dal valore basale rispetto al placebo (studi I e II) e all’MTX (studio II). Nel corso dello studio I, anche i miglioramenti relativi ai punteggi complessivi delle componenti fisiche e mentali del SF-36 sono risultati significativi rispetto al placebo.</w:t>
      </w:r>
    </w:p>
    <w:p w14:paraId="5A4F0A27" w14:textId="77777777" w:rsidR="00953B2E" w:rsidRPr="00C35766" w:rsidRDefault="00953B2E">
      <w:pPr>
        <w:spacing w:before="13" w:line="240" w:lineRule="exact"/>
        <w:rPr>
          <w:rFonts w:ascii="Times New Roman" w:hAnsi="Times New Roman" w:cs="Times New Roman"/>
          <w:sz w:val="24"/>
          <w:szCs w:val="24"/>
          <w:lang w:val="pt-BR"/>
        </w:rPr>
      </w:pPr>
    </w:p>
    <w:p w14:paraId="2545665E" w14:textId="77777777" w:rsidR="00953B2E" w:rsidRPr="00C35766" w:rsidRDefault="005F0C19">
      <w:pPr>
        <w:pStyle w:val="a3"/>
        <w:rPr>
          <w:lang w:val="pt-BR"/>
        </w:rPr>
      </w:pPr>
      <w:r w:rsidRPr="00C35766">
        <w:rPr>
          <w:rFonts w:eastAsia="Times New Roman"/>
          <w:lang w:val="it-IT"/>
        </w:rPr>
        <w:t>In uno studio d’estensione in aperto, tra i pazienti che a causa di risposta PASI inferiore al 50% avevano ricevuto incrementi della dose da 40 mg a settimane alterne alla dose di 40 mg ogni settimana, il 26,4% (92/349) e il 37,8% (132/349) ha ottenuto una risposta PASI 75 alla settimana 12 e 24, rispettivamente.</w:t>
      </w:r>
    </w:p>
    <w:p w14:paraId="7274E2B6" w14:textId="77777777" w:rsidR="00953B2E" w:rsidRPr="00C35766" w:rsidRDefault="00953B2E">
      <w:pPr>
        <w:spacing w:before="17" w:line="240" w:lineRule="exact"/>
        <w:rPr>
          <w:rFonts w:ascii="Times New Roman" w:hAnsi="Times New Roman" w:cs="Times New Roman"/>
          <w:sz w:val="24"/>
          <w:szCs w:val="24"/>
          <w:lang w:val="pt-BR"/>
        </w:rPr>
      </w:pPr>
    </w:p>
    <w:p w14:paraId="092A53A9" w14:textId="37005587" w:rsidR="00953B2E" w:rsidRPr="00C35766" w:rsidRDefault="005F0C19">
      <w:pPr>
        <w:pStyle w:val="a3"/>
        <w:rPr>
          <w:lang w:val="it-IT"/>
        </w:rPr>
      </w:pPr>
      <w:r w:rsidRPr="00C35766">
        <w:rPr>
          <w:rFonts w:eastAsia="Times New Roman"/>
          <w:lang w:val="it-IT"/>
        </w:rPr>
        <w:t xml:space="preserve">Lo studio di fase III sulla psoriasi (REACH) ha paragonato l’efficacia e la sicurezza di adalimumab </w:t>
      </w:r>
      <w:r w:rsidRPr="00C35766">
        <w:rPr>
          <w:lang w:val="it-IT"/>
        </w:rPr>
        <w:t>rispetto al</w:t>
      </w:r>
      <w:r w:rsidRPr="00C35766">
        <w:rPr>
          <w:rFonts w:eastAsia="Times New Roman"/>
          <w:lang w:val="it-IT"/>
        </w:rPr>
        <w:t xml:space="preserve"> placebo in 72 pazienti affetti da psoriasi cronica a placche da moderata a severa e psoriasi localizzata alla mano e/o al piede. I pazienti hanno ricevuto una dose iniziale di 80 mg di adalimumab seguita dalla dose di 40 mg somministrata a settimane alterne (a iniziare dalla settimana successiva all’assunzione della dose iniziale) o placebo per 16 settimane. Alla settimana 16, una percentuale maggiore in misura statisticamente significativa di pazienti che aveva ricevuto adalimumab, ha ottenuto una risposta PGA corrispondente a remissione totale o pressochè totale della malattia alle mani e/o ai piedi rispetto ai pazienti che avevano ricevuto il placebo (rispettivamente 30,6% vs</w:t>
      </w:r>
      <w:r w:rsidR="00CB3E81" w:rsidRPr="00C35766">
        <w:rPr>
          <w:rFonts w:eastAsia="Times New Roman"/>
          <w:lang w:val="it-IT"/>
        </w:rPr>
        <w:t>.</w:t>
      </w:r>
      <w:r w:rsidRPr="00C35766">
        <w:rPr>
          <w:rFonts w:eastAsia="Times New Roman"/>
          <w:lang w:val="it-IT"/>
        </w:rPr>
        <w:t xml:space="preserve"> 4,3%, [</w:t>
      </w:r>
      <w:r w:rsidR="00CB3E81" w:rsidRPr="00C35766">
        <w:rPr>
          <w:rFonts w:eastAsia="Times New Roman"/>
          <w:lang w:val="it-IT"/>
        </w:rPr>
        <w:t>p</w:t>
      </w:r>
      <w:r w:rsidRPr="00C35766">
        <w:rPr>
          <w:rFonts w:eastAsia="Times New Roman"/>
          <w:lang w:val="it-IT"/>
        </w:rPr>
        <w:t xml:space="preserve"> = 0,014]).</w:t>
      </w:r>
    </w:p>
    <w:p w14:paraId="37D83178" w14:textId="77777777" w:rsidR="00953B2E" w:rsidRPr="00C35766" w:rsidRDefault="00953B2E">
      <w:pPr>
        <w:spacing w:before="13" w:line="240" w:lineRule="exact"/>
        <w:rPr>
          <w:rFonts w:ascii="Times New Roman" w:hAnsi="Times New Roman" w:cs="Times New Roman"/>
          <w:sz w:val="24"/>
          <w:szCs w:val="24"/>
          <w:lang w:val="it-IT"/>
        </w:rPr>
      </w:pPr>
    </w:p>
    <w:p w14:paraId="7BEE8F79" w14:textId="2D745327" w:rsidR="00953B2E" w:rsidRPr="00C35766" w:rsidRDefault="005F0C19">
      <w:pPr>
        <w:pStyle w:val="a3"/>
        <w:rPr>
          <w:lang w:val="it-IT"/>
        </w:rPr>
      </w:pPr>
      <w:r w:rsidRPr="00C35766">
        <w:rPr>
          <w:rFonts w:eastAsia="Times New Roman"/>
          <w:lang w:val="it-IT"/>
        </w:rPr>
        <w:t xml:space="preserve">Lo studio IV sulla psoriasi ha paragonato l’efficacia e la sicurezza di adalimumab rispetto al placebo in 217 pazienti adulti affetti da psoriasi ungueale da moderata a severa. I pazienti hanno ricevuto una dose iniziale di 80 mg di adalimumab seguita da 40 mg a settimane alterne (a partire da una settimana dopo la dose iniziale) o di placebo per 26 settimane seguita da un trattamento in aperto con adalimumab per altre 26 settimane. Le valutazioni della psoriasi ungueale comprendevano il Modified Nail Psoriasis Severity Index (mNAPSI), il Physician’s Global Assessment of Fingernail Psoriasis (PGA-F) e il Nail Psoriasis Severity Index (NAPSI) (vedere Tabella </w:t>
      </w:r>
      <w:r w:rsidR="00B90373" w:rsidRPr="00C35766">
        <w:rPr>
          <w:rFonts w:eastAsia="Times New Roman"/>
          <w:lang w:val="it-IT"/>
        </w:rPr>
        <w:t>18</w:t>
      </w:r>
      <w:r w:rsidRPr="00C35766">
        <w:rPr>
          <w:rFonts w:eastAsia="Times New Roman"/>
          <w:lang w:val="it-IT"/>
        </w:rPr>
        <w:t>). Il trattamento con adalimumab ha dimostrato un beneficio terapeutico nei pazienti affetti da psoriasi ungueale con coinvolgimento cutaneo di grado variabile (BSA</w:t>
      </w:r>
      <w:r w:rsidR="000F35BA" w:rsidRPr="00C35766">
        <w:rPr>
          <w:rFonts w:eastAsia="Times New Roman"/>
          <w:lang w:val="it-IT"/>
        </w:rPr>
        <w:t xml:space="preserve"> </w:t>
      </w:r>
      <w:r w:rsidRPr="00C35766">
        <w:rPr>
          <w:rFonts w:eastAsia="Times New Roman"/>
          <w:lang w:val="it-IT"/>
        </w:rPr>
        <w:t>≥</w:t>
      </w:r>
      <w:r w:rsidR="000F35BA" w:rsidRPr="00C35766">
        <w:rPr>
          <w:rFonts w:eastAsia="Times New Roman"/>
          <w:lang w:val="it-IT"/>
        </w:rPr>
        <w:t xml:space="preserve"> </w:t>
      </w:r>
      <w:r w:rsidRPr="00C35766">
        <w:rPr>
          <w:rFonts w:eastAsia="Times New Roman"/>
          <w:lang w:val="it-IT"/>
        </w:rPr>
        <w:t>10% (60% dei pazienti) e BSA&lt;</w:t>
      </w:r>
      <w:r w:rsidR="000F35BA" w:rsidRPr="00C35766">
        <w:rPr>
          <w:rFonts w:eastAsia="Times New Roman"/>
          <w:lang w:val="it-IT"/>
        </w:rPr>
        <w:t xml:space="preserve"> </w:t>
      </w:r>
      <w:r w:rsidRPr="00C35766">
        <w:rPr>
          <w:rFonts w:eastAsia="Times New Roman"/>
          <w:lang w:val="it-IT"/>
        </w:rPr>
        <w:t>10% e ≥</w:t>
      </w:r>
      <w:r w:rsidR="000F35BA" w:rsidRPr="00C35766">
        <w:rPr>
          <w:rFonts w:eastAsia="Times New Roman"/>
          <w:lang w:val="it-IT"/>
        </w:rPr>
        <w:t xml:space="preserve"> </w:t>
      </w:r>
      <w:r w:rsidRPr="00C35766">
        <w:rPr>
          <w:rFonts w:eastAsia="Times New Roman"/>
          <w:lang w:val="it-IT"/>
        </w:rPr>
        <w:t>5% (40% dei pazienti)).</w:t>
      </w:r>
    </w:p>
    <w:p w14:paraId="0A030EB8" w14:textId="77777777" w:rsidR="00953B2E" w:rsidRPr="00C35766" w:rsidRDefault="00953B2E">
      <w:pPr>
        <w:pStyle w:val="a3"/>
        <w:jc w:val="center"/>
        <w:rPr>
          <w:rFonts w:eastAsia="Times New Roman"/>
          <w:b/>
          <w:bCs/>
          <w:lang w:val="it-IT"/>
        </w:rPr>
      </w:pPr>
    </w:p>
    <w:p w14:paraId="325862C4" w14:textId="62A6BFFB" w:rsidR="00953B2E" w:rsidRPr="00C35766" w:rsidRDefault="005F0C19">
      <w:pPr>
        <w:pStyle w:val="a3"/>
        <w:jc w:val="center"/>
        <w:rPr>
          <w:b/>
          <w:lang w:val="es-ES"/>
        </w:rPr>
      </w:pPr>
      <w:r w:rsidRPr="00C35766">
        <w:rPr>
          <w:rFonts w:eastAsia="Times New Roman"/>
          <w:b/>
          <w:bCs/>
          <w:lang w:val="it-IT"/>
        </w:rPr>
        <w:t xml:space="preserve">Tabella </w:t>
      </w:r>
      <w:r w:rsidR="00B90373" w:rsidRPr="00C35766">
        <w:rPr>
          <w:rFonts w:eastAsia="Times New Roman"/>
          <w:b/>
          <w:bCs/>
          <w:lang w:val="it-IT"/>
        </w:rPr>
        <w:t>18</w:t>
      </w:r>
    </w:p>
    <w:p w14:paraId="03D1BC58" w14:textId="77777777" w:rsidR="00953B2E" w:rsidRDefault="005F0C19">
      <w:pPr>
        <w:pStyle w:val="a3"/>
        <w:jc w:val="center"/>
        <w:rPr>
          <w:rFonts w:eastAsia="Times New Roman"/>
          <w:b/>
          <w:bCs/>
          <w:lang w:val="it-IT"/>
        </w:rPr>
      </w:pPr>
      <w:r w:rsidRPr="00C35766">
        <w:rPr>
          <w:rFonts w:eastAsia="Times New Roman"/>
          <w:b/>
          <w:bCs/>
          <w:lang w:val="it-IT"/>
        </w:rPr>
        <w:t>Risultati di efficacia dello Studio Ps IV alle settimane 16, 26 e 52</w:t>
      </w:r>
    </w:p>
    <w:p w14:paraId="46CE6FFD" w14:textId="77777777" w:rsidR="005A5DEF" w:rsidRPr="00C35766" w:rsidRDefault="005A5DEF">
      <w:pPr>
        <w:pStyle w:val="a3"/>
        <w:jc w:val="center"/>
        <w:rPr>
          <w:b/>
          <w:lang w:val="es-ES"/>
        </w:rPr>
      </w:pPr>
    </w:p>
    <w:tbl>
      <w:tblPr>
        <w:tblStyle w:val="TableNormal1"/>
        <w:tblW w:w="9576" w:type="dxa"/>
        <w:tblInd w:w="110" w:type="dxa"/>
        <w:tblLayout w:type="fixed"/>
        <w:tblLook w:val="01E0" w:firstRow="1" w:lastRow="1" w:firstColumn="1" w:lastColumn="1" w:noHBand="0" w:noVBand="0"/>
      </w:tblPr>
      <w:tblGrid>
        <w:gridCol w:w="2436"/>
        <w:gridCol w:w="992"/>
        <w:gridCol w:w="1631"/>
        <w:gridCol w:w="989"/>
        <w:gridCol w:w="1633"/>
        <w:gridCol w:w="1895"/>
      </w:tblGrid>
      <w:tr w:rsidR="00953B2E" w:rsidRPr="00C35766" w14:paraId="3CF0C99A" w14:textId="77777777" w:rsidTr="00A842FF">
        <w:tc>
          <w:tcPr>
            <w:tcW w:w="2436" w:type="dxa"/>
            <w:vMerge w:val="restart"/>
            <w:tcBorders>
              <w:top w:val="single" w:sz="5" w:space="0" w:color="000000"/>
              <w:left w:val="single" w:sz="5" w:space="0" w:color="000000"/>
              <w:right w:val="single" w:sz="5" w:space="0" w:color="000000"/>
            </w:tcBorders>
            <w:tcMar>
              <w:top w:w="57" w:type="dxa"/>
              <w:left w:w="57" w:type="dxa"/>
              <w:bottom w:w="57" w:type="dxa"/>
              <w:right w:w="57" w:type="dxa"/>
            </w:tcMar>
          </w:tcPr>
          <w:p w14:paraId="203325DB" w14:textId="77777777" w:rsidR="00953B2E" w:rsidRPr="00C35766" w:rsidRDefault="005F0C19">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Endpoint</w:t>
            </w:r>
          </w:p>
        </w:tc>
        <w:tc>
          <w:tcPr>
            <w:tcW w:w="2623" w:type="dxa"/>
            <w:gridSpan w:val="2"/>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7318F076" w14:textId="77777777" w:rsidR="00A842FF" w:rsidRDefault="005F0C19" w:rsidP="00A842FF">
            <w:pPr>
              <w:pStyle w:val="TableParagraph"/>
              <w:spacing w:line="246" w:lineRule="exact"/>
              <w:ind w:right="4"/>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Settimana 16</w:t>
            </w:r>
            <w:r w:rsidR="00A842FF">
              <w:rPr>
                <w:rFonts w:ascii="Times New Roman" w:eastAsia="Times New Roman" w:hAnsi="Times New Roman" w:cs="Times New Roman"/>
                <w:spacing w:val="-1"/>
                <w:lang w:val="it-IT"/>
              </w:rPr>
              <w:t xml:space="preserve"> </w:t>
            </w:r>
          </w:p>
          <w:p w14:paraId="64E50560" w14:textId="175A025A" w:rsidR="00953B2E" w:rsidRPr="00C35766" w:rsidRDefault="005F0C19" w:rsidP="00A842FF">
            <w:pPr>
              <w:pStyle w:val="TableParagraph"/>
              <w:spacing w:line="246" w:lineRule="exact"/>
              <w:ind w:right="4"/>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2622" w:type="dxa"/>
            <w:gridSpan w:val="2"/>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1F004AE8" w14:textId="77777777" w:rsidR="00A842FF" w:rsidRDefault="005F0C19" w:rsidP="00A842FF">
            <w:pPr>
              <w:pStyle w:val="TableParagraph"/>
              <w:spacing w:line="246" w:lineRule="exact"/>
              <w:ind w:right="-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Settimana 26</w:t>
            </w:r>
            <w:r w:rsidR="00A842FF">
              <w:rPr>
                <w:rFonts w:ascii="Times New Roman" w:eastAsia="Times New Roman" w:hAnsi="Times New Roman" w:cs="Times New Roman"/>
                <w:spacing w:val="-1"/>
                <w:lang w:val="it-IT"/>
              </w:rPr>
              <w:t xml:space="preserve"> </w:t>
            </w:r>
          </w:p>
          <w:p w14:paraId="0909398A" w14:textId="31B8F0F2" w:rsidR="00953B2E" w:rsidRPr="00C35766" w:rsidRDefault="005F0C19" w:rsidP="00A842FF">
            <w:pPr>
              <w:pStyle w:val="TableParagraph"/>
              <w:spacing w:line="246" w:lineRule="exact"/>
              <w:ind w:right="-51"/>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1895"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03371EF1" w14:textId="77777777" w:rsidR="00A842FF" w:rsidRDefault="005F0C19" w:rsidP="00A842FF">
            <w:pPr>
              <w:pStyle w:val="TableParagraph"/>
              <w:spacing w:line="246" w:lineRule="exact"/>
              <w:ind w:right="336"/>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Settimana 52</w:t>
            </w:r>
          </w:p>
          <w:p w14:paraId="5B39369B" w14:textId="0272A52B" w:rsidR="00953B2E" w:rsidRPr="00C35766" w:rsidRDefault="005F0C19" w:rsidP="00A842FF">
            <w:pPr>
              <w:pStyle w:val="TableParagraph"/>
              <w:spacing w:line="246" w:lineRule="exact"/>
              <w:ind w:right="336"/>
              <w:rPr>
                <w:rFonts w:ascii="Times New Roman" w:eastAsia="Times New Roman" w:hAnsi="Times New Roman" w:cs="Times New Roman"/>
              </w:rPr>
            </w:pPr>
            <w:r w:rsidRPr="00C35766">
              <w:rPr>
                <w:rFonts w:ascii="Times New Roman" w:eastAsia="Times New Roman" w:hAnsi="Times New Roman" w:cs="Times New Roman"/>
                <w:spacing w:val="-1"/>
                <w:lang w:val="it-IT"/>
              </w:rPr>
              <w:t>In aperto</w:t>
            </w:r>
          </w:p>
        </w:tc>
      </w:tr>
      <w:tr w:rsidR="00953B2E" w:rsidRPr="00494E69" w14:paraId="43296BFA" w14:textId="77777777" w:rsidTr="00A842FF">
        <w:tc>
          <w:tcPr>
            <w:tcW w:w="2436" w:type="dxa"/>
            <w:vMerge/>
            <w:tcBorders>
              <w:left w:val="single" w:sz="5" w:space="0" w:color="000000"/>
              <w:bottom w:val="single" w:sz="5" w:space="0" w:color="000000"/>
              <w:right w:val="single" w:sz="5" w:space="0" w:color="000000"/>
            </w:tcBorders>
            <w:tcMar>
              <w:top w:w="57" w:type="dxa"/>
              <w:left w:w="57" w:type="dxa"/>
              <w:bottom w:w="57" w:type="dxa"/>
              <w:right w:w="57" w:type="dxa"/>
            </w:tcMar>
          </w:tcPr>
          <w:p w14:paraId="7C72E4FF" w14:textId="77777777" w:rsidR="00953B2E" w:rsidRPr="00C35766" w:rsidRDefault="00953B2E">
            <w:pPr>
              <w:rPr>
                <w:rFonts w:ascii="Times New Roman" w:hAnsi="Times New Roman" w:cs="Times New Roman"/>
              </w:rPr>
            </w:pPr>
          </w:p>
        </w:tc>
        <w:tc>
          <w:tcPr>
            <w:tcW w:w="992"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5EC7F27C" w14:textId="77777777" w:rsidR="00953B2E" w:rsidRPr="00C35766" w:rsidRDefault="005F0C19">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37AE75F5" w14:textId="77777777" w:rsidR="00953B2E" w:rsidRPr="00C35766" w:rsidRDefault="005F0C19">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631"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3AF01BF5" w14:textId="77777777" w:rsidR="00953B2E" w:rsidRPr="00C35766" w:rsidRDefault="005F0C19">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 40 mg a settimane alterne N=109</w:t>
            </w:r>
          </w:p>
        </w:tc>
        <w:tc>
          <w:tcPr>
            <w:tcW w:w="989"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286D6BAF" w14:textId="77777777" w:rsidR="00953B2E" w:rsidRPr="00C35766" w:rsidRDefault="005F0C19">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08C8DEB6" w14:textId="77777777" w:rsidR="00953B2E" w:rsidRPr="00C35766" w:rsidRDefault="005F0C19">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633"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1D14A032" w14:textId="77777777" w:rsidR="00953B2E" w:rsidRPr="00C35766" w:rsidRDefault="005F0C19">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w:t>
            </w:r>
          </w:p>
          <w:p w14:paraId="3B525ADB" w14:textId="77777777" w:rsidR="00953B2E" w:rsidRPr="00C35766" w:rsidRDefault="005F0C19">
            <w:pPr>
              <w:pStyle w:val="TableParagraph"/>
              <w:spacing w:before="1" w:line="254"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t xml:space="preserve">40 mg a settimane </w:t>
            </w:r>
            <w:r w:rsidRPr="00C35766">
              <w:rPr>
                <w:rFonts w:ascii="Times New Roman" w:eastAsia="Times New Roman" w:hAnsi="Times New Roman" w:cs="Times New Roman"/>
                <w:lang w:val="it-IT"/>
              </w:rPr>
              <w:lastRenderedPageBreak/>
              <w:t>alterne N=109</w:t>
            </w:r>
          </w:p>
        </w:tc>
        <w:tc>
          <w:tcPr>
            <w:tcW w:w="1895"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61746257" w14:textId="77777777" w:rsidR="00953B2E" w:rsidRPr="00C35766" w:rsidRDefault="005F0C19">
            <w:pPr>
              <w:pStyle w:val="TableParagraph"/>
              <w:spacing w:line="246"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lastRenderedPageBreak/>
              <w:t>Adalimumab</w:t>
            </w:r>
          </w:p>
          <w:p w14:paraId="48ED9B31" w14:textId="77777777" w:rsidR="00402552" w:rsidRPr="00C35766" w:rsidRDefault="005F0C19">
            <w:pPr>
              <w:pStyle w:val="TableParagraph"/>
              <w:spacing w:before="1" w:line="254" w:lineRule="exact"/>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40 mg a settimane alterne </w:t>
            </w:r>
          </w:p>
          <w:p w14:paraId="5E677CBE" w14:textId="77777777" w:rsidR="00953B2E" w:rsidRPr="00C35766" w:rsidRDefault="005F0C19">
            <w:pPr>
              <w:pStyle w:val="TableParagraph"/>
              <w:spacing w:before="1" w:line="254"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lastRenderedPageBreak/>
              <w:t>N=80</w:t>
            </w:r>
          </w:p>
        </w:tc>
      </w:tr>
      <w:tr w:rsidR="00953B2E" w:rsidRPr="00C35766" w14:paraId="43D25E14" w14:textId="77777777" w:rsidTr="00A842FF">
        <w:tc>
          <w:tcPr>
            <w:tcW w:w="2436"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27201F54" w14:textId="77777777" w:rsidR="00953B2E" w:rsidRPr="00C35766" w:rsidRDefault="005F0C19">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lastRenderedPageBreak/>
              <w:t>≥ mNAPSI 75 (%)</w:t>
            </w:r>
          </w:p>
        </w:tc>
        <w:tc>
          <w:tcPr>
            <w:tcW w:w="992"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165E9443" w14:textId="77777777" w:rsidR="00953B2E" w:rsidRPr="00C35766" w:rsidRDefault="005F0C19" w:rsidP="00A842FF">
            <w:pPr>
              <w:pStyle w:val="TableParagraph"/>
              <w:spacing w:line="246" w:lineRule="exact"/>
              <w:ind w:right="380"/>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631"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456A9167" w14:textId="77777777" w:rsidR="00953B2E" w:rsidRPr="00C35766" w:rsidRDefault="005F0C19">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26,0</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2458E5B3" w14:textId="77777777" w:rsidR="00953B2E" w:rsidRPr="00C35766" w:rsidRDefault="005F0C19" w:rsidP="00A842FF">
            <w:pPr>
              <w:pStyle w:val="TableParagraph"/>
              <w:spacing w:line="246" w:lineRule="exact"/>
              <w:ind w:right="334"/>
              <w:rPr>
                <w:rFonts w:ascii="Times New Roman" w:eastAsia="Times New Roman" w:hAnsi="Times New Roman" w:cs="Times New Roman"/>
              </w:rPr>
            </w:pPr>
            <w:r w:rsidRPr="00C35766">
              <w:rPr>
                <w:rFonts w:ascii="Times New Roman" w:eastAsia="Times New Roman" w:hAnsi="Times New Roman" w:cs="Times New Roman"/>
                <w:lang w:val="it-IT"/>
              </w:rPr>
              <w:t>3,4</w:t>
            </w:r>
          </w:p>
        </w:tc>
        <w:tc>
          <w:tcPr>
            <w:tcW w:w="1633"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0170D03C" w14:textId="77777777" w:rsidR="00953B2E" w:rsidRPr="00C35766" w:rsidRDefault="005F0C19">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46,6</w:t>
            </w:r>
            <w:r w:rsidRPr="00C35766">
              <w:rPr>
                <w:rFonts w:ascii="Times New Roman" w:eastAsia="Times New Roman" w:hAnsi="Times New Roman" w:cs="Times New Roman"/>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5FF136DB" w14:textId="77777777" w:rsidR="00953B2E" w:rsidRPr="00C35766" w:rsidRDefault="005F0C19">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lang w:val="it-IT"/>
              </w:rPr>
              <w:t>65,0</w:t>
            </w:r>
          </w:p>
        </w:tc>
      </w:tr>
      <w:tr w:rsidR="00953B2E" w:rsidRPr="00C35766" w14:paraId="64B1F21F" w14:textId="77777777" w:rsidTr="00A842FF">
        <w:tc>
          <w:tcPr>
            <w:tcW w:w="2436"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7870077E" w14:textId="134A9665" w:rsidR="00953B2E" w:rsidRPr="00C35766" w:rsidRDefault="005F0C19">
            <w:pPr>
              <w:pStyle w:val="TableParagraph"/>
              <w:spacing w:line="246" w:lineRule="exact"/>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PGA-F guarigione/marcato miglioramento e </w:t>
            </w:r>
            <w:r w:rsidRPr="00C35766">
              <w:rPr>
                <w:rFonts w:ascii="Times New Roman" w:eastAsia="Times New Roman" w:hAnsi="Times New Roman" w:cs="Times New Roman"/>
                <w:spacing w:val="1"/>
                <w:lang w:val="it-IT"/>
              </w:rPr>
              <w:t>miglioramento di grado ≥</w:t>
            </w:r>
            <w:r w:rsidR="000F35BA"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2(%)</w:t>
            </w:r>
          </w:p>
        </w:tc>
        <w:tc>
          <w:tcPr>
            <w:tcW w:w="992"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7CDC71FE" w14:textId="77777777" w:rsidR="00953B2E" w:rsidRPr="00C35766" w:rsidRDefault="005F0C19" w:rsidP="00A842FF">
            <w:pPr>
              <w:pStyle w:val="TableParagraph"/>
              <w:spacing w:line="246" w:lineRule="exact"/>
              <w:ind w:right="380"/>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631"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300E1BFA" w14:textId="77777777" w:rsidR="00953B2E" w:rsidRPr="00C35766" w:rsidRDefault="005F0C19">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29,7</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285425A8" w14:textId="77777777" w:rsidR="00953B2E" w:rsidRPr="00C35766" w:rsidRDefault="005F0C19" w:rsidP="00A842FF">
            <w:pPr>
              <w:pStyle w:val="TableParagraph"/>
              <w:spacing w:line="246" w:lineRule="exact"/>
              <w:ind w:right="334"/>
              <w:rPr>
                <w:rFonts w:ascii="Times New Roman" w:eastAsia="Times New Roman" w:hAnsi="Times New Roman" w:cs="Times New Roman"/>
              </w:rPr>
            </w:pPr>
            <w:r w:rsidRPr="00C35766">
              <w:rPr>
                <w:rFonts w:ascii="Times New Roman" w:eastAsia="Times New Roman" w:hAnsi="Times New Roman" w:cs="Times New Roman"/>
                <w:lang w:val="it-IT"/>
              </w:rPr>
              <w:t>6,9</w:t>
            </w:r>
          </w:p>
        </w:tc>
        <w:tc>
          <w:tcPr>
            <w:tcW w:w="1633"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3F355DB8" w14:textId="77777777" w:rsidR="00953B2E" w:rsidRPr="00C35766" w:rsidRDefault="005F0C19">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48,9</w:t>
            </w:r>
            <w:r w:rsidRPr="00C35766">
              <w:rPr>
                <w:rFonts w:ascii="Times New Roman" w:eastAsia="Times New Roman" w:hAnsi="Times New Roman" w:cs="Times New Roman"/>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7D5944D1" w14:textId="77777777" w:rsidR="00953B2E" w:rsidRPr="00C35766" w:rsidRDefault="005F0C19">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61,3</w:t>
            </w:r>
          </w:p>
        </w:tc>
      </w:tr>
      <w:tr w:rsidR="00953B2E" w:rsidRPr="00C35766" w14:paraId="1C986284" w14:textId="77777777" w:rsidTr="00A842FF">
        <w:tc>
          <w:tcPr>
            <w:tcW w:w="2436"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19A27431" w14:textId="77777777" w:rsidR="00953B2E" w:rsidRPr="00C35766" w:rsidRDefault="005F0C19">
            <w:pPr>
              <w:pStyle w:val="TableParagraph"/>
              <w:spacing w:line="246" w:lineRule="exact"/>
              <w:ind w:left="102"/>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Variazione percentuale nel punteggio NAPSI totale (%)</w:t>
            </w:r>
          </w:p>
        </w:tc>
        <w:tc>
          <w:tcPr>
            <w:tcW w:w="992"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085048FB" w14:textId="77777777" w:rsidR="00953B2E" w:rsidRPr="00C35766" w:rsidRDefault="005F0C19" w:rsidP="00A842FF">
            <w:pPr>
              <w:pStyle w:val="TableParagraph"/>
              <w:spacing w:line="246" w:lineRule="exact"/>
              <w:ind w:right="346"/>
              <w:rPr>
                <w:rFonts w:ascii="Times New Roman" w:eastAsia="Times New Roman" w:hAnsi="Times New Roman" w:cs="Times New Roman"/>
              </w:rPr>
            </w:pPr>
            <w:r w:rsidRPr="00C35766">
              <w:rPr>
                <w:rFonts w:ascii="Times New Roman" w:eastAsia="Times New Roman" w:hAnsi="Times New Roman" w:cs="Times New Roman"/>
                <w:spacing w:val="-4"/>
                <w:lang w:val="it-IT"/>
              </w:rPr>
              <w:t>-7,8</w:t>
            </w:r>
          </w:p>
        </w:tc>
        <w:tc>
          <w:tcPr>
            <w:tcW w:w="1631"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0B0C7C1C" w14:textId="22DDDF2E" w:rsidR="00953B2E" w:rsidRPr="00C35766" w:rsidRDefault="005F0C19">
            <w:pPr>
              <w:pStyle w:val="TableParagraph"/>
              <w:spacing w:line="246" w:lineRule="exact"/>
              <w:ind w:left="344"/>
              <w:rPr>
                <w:rFonts w:ascii="Times New Roman" w:eastAsia="Times New Roman" w:hAnsi="Times New Roman" w:cs="Times New Roman"/>
              </w:rPr>
            </w:pPr>
            <w:r w:rsidRPr="00C35766">
              <w:rPr>
                <w:rFonts w:ascii="Times New Roman" w:eastAsia="Times New Roman" w:hAnsi="Times New Roman" w:cs="Times New Roman"/>
                <w:spacing w:val="-4"/>
                <w:lang w:val="it-IT"/>
              </w:rPr>
              <w:t>-44,2</w:t>
            </w:r>
            <w:r w:rsidRPr="00C35766">
              <w:rPr>
                <w:rFonts w:ascii="Times New Roman" w:eastAsia="Times New Roman" w:hAnsi="Times New Roman" w:cs="Times New Roman"/>
                <w:spacing w:val="-4"/>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7901F71D" w14:textId="77777777" w:rsidR="00953B2E" w:rsidRPr="00C35766" w:rsidRDefault="005F0C19" w:rsidP="00A842FF">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4"/>
                <w:lang w:val="it-IT"/>
              </w:rPr>
              <w:t>-11,5</w:t>
            </w:r>
          </w:p>
        </w:tc>
        <w:tc>
          <w:tcPr>
            <w:tcW w:w="1633"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5B721589" w14:textId="77777777" w:rsidR="00953B2E" w:rsidRPr="00C35766" w:rsidRDefault="005F0C19">
            <w:pPr>
              <w:pStyle w:val="TableParagraph"/>
              <w:spacing w:line="246" w:lineRule="exact"/>
              <w:ind w:left="363"/>
              <w:rPr>
                <w:rFonts w:ascii="Times New Roman" w:eastAsia="Times New Roman" w:hAnsi="Times New Roman" w:cs="Times New Roman"/>
              </w:rPr>
            </w:pPr>
            <w:r w:rsidRPr="00C35766">
              <w:rPr>
                <w:rFonts w:ascii="Times New Roman" w:eastAsia="Times New Roman" w:hAnsi="Times New Roman" w:cs="Times New Roman"/>
                <w:spacing w:val="-4"/>
                <w:lang w:val="it-IT"/>
              </w:rPr>
              <w:t>-56,2</w:t>
            </w:r>
            <w:r w:rsidRPr="00C35766">
              <w:rPr>
                <w:rFonts w:ascii="Times New Roman" w:eastAsia="Times New Roman" w:hAnsi="Times New Roman" w:cs="Times New Roman"/>
                <w:spacing w:val="-4"/>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42B1084E" w14:textId="77777777" w:rsidR="00953B2E" w:rsidRPr="00C35766" w:rsidRDefault="005F0C19">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-72,2</w:t>
            </w:r>
          </w:p>
        </w:tc>
      </w:tr>
      <w:tr w:rsidR="00953B2E" w:rsidRPr="00C35766" w14:paraId="5EE7F80E" w14:textId="77777777" w:rsidTr="00A842FF">
        <w:tc>
          <w:tcPr>
            <w:tcW w:w="9576" w:type="dxa"/>
            <w:gridSpan w:val="6"/>
            <w:tcBorders>
              <w:top w:val="single" w:sz="5" w:space="0" w:color="000000"/>
              <w:left w:val="single" w:sz="5" w:space="0" w:color="000000"/>
              <w:bottom w:val="single" w:sz="5" w:space="0" w:color="000000"/>
              <w:right w:val="single" w:sz="5" w:space="0" w:color="000000"/>
            </w:tcBorders>
            <w:tcMar>
              <w:top w:w="57" w:type="dxa"/>
              <w:left w:w="57" w:type="dxa"/>
              <w:bottom w:w="57" w:type="dxa"/>
              <w:right w:w="57" w:type="dxa"/>
            </w:tcMar>
          </w:tcPr>
          <w:p w14:paraId="1D08350D" w14:textId="77777777" w:rsidR="00953B2E" w:rsidRPr="00C35766" w:rsidRDefault="005F0C19">
            <w:pPr>
              <w:pStyle w:val="TableParagraph"/>
              <w:ind w:left="102"/>
              <w:rPr>
                <w:rFonts w:ascii="Times New Roman" w:eastAsia="Times New Roman" w:hAnsi="Times New Roman" w:cs="Times New Roman"/>
              </w:rPr>
            </w:pPr>
            <w:r w:rsidRPr="00C35766">
              <w:rPr>
                <w:rFonts w:ascii="Times New Roman" w:hAnsi="Times New Roman" w:cs="Times New Roman"/>
                <w:position w:val="8"/>
                <w:vertAlign w:val="superscript"/>
              </w:rPr>
              <w:t>a</w:t>
            </w:r>
            <w:r w:rsidRPr="00C35766">
              <w:rPr>
                <w:rFonts w:ascii="Times New Roman" w:hAnsi="Times New Roman" w:cs="Times New Roman"/>
                <w:position w:val="8"/>
              </w:rPr>
              <w:t xml:space="preserve"> p &lt; 0,001, adalimumab </w:t>
            </w:r>
            <w:r w:rsidRPr="00C35766">
              <w:rPr>
                <w:rFonts w:ascii="Times New Roman" w:hAnsi="Times New Roman" w:cs="Times New Roman"/>
                <w:i/>
                <w:position w:val="8"/>
              </w:rPr>
              <w:t xml:space="preserve">vs. </w:t>
            </w:r>
            <w:r w:rsidRPr="00C35766">
              <w:rPr>
                <w:rFonts w:ascii="Times New Roman" w:hAnsi="Times New Roman" w:cs="Times New Roman"/>
                <w:position w:val="8"/>
              </w:rPr>
              <w:t>placebo</w:t>
            </w:r>
          </w:p>
        </w:tc>
      </w:tr>
    </w:tbl>
    <w:p w14:paraId="0424241B" w14:textId="77777777" w:rsidR="00953B2E" w:rsidRPr="00C35766" w:rsidRDefault="00953B2E">
      <w:pPr>
        <w:spacing w:before="5" w:line="170" w:lineRule="exact"/>
        <w:rPr>
          <w:rFonts w:ascii="Times New Roman" w:hAnsi="Times New Roman" w:cs="Times New Roman"/>
          <w:sz w:val="17"/>
          <w:szCs w:val="17"/>
        </w:rPr>
      </w:pPr>
    </w:p>
    <w:p w14:paraId="7989CC50" w14:textId="77777777" w:rsidR="00953B2E" w:rsidRPr="00C35766" w:rsidRDefault="005F0C19">
      <w:pPr>
        <w:pStyle w:val="a3"/>
        <w:rPr>
          <w:lang w:val="it-IT"/>
        </w:rPr>
      </w:pPr>
      <w:r w:rsidRPr="00C35766">
        <w:rPr>
          <w:rFonts w:eastAsia="Times New Roman"/>
          <w:lang w:val="it-IT"/>
        </w:rPr>
        <w:t>I pazienti trattati con adalimumab hanno mostrato miglioramenti statisticamente significativi alla settimana 26 rispetto al placebo nel DLQI.</w:t>
      </w:r>
    </w:p>
    <w:p w14:paraId="29348BFA" w14:textId="77777777" w:rsidR="00953B2E" w:rsidRPr="00C35766" w:rsidRDefault="00953B2E">
      <w:pPr>
        <w:pStyle w:val="a3"/>
        <w:rPr>
          <w:sz w:val="24"/>
          <w:szCs w:val="24"/>
          <w:lang w:val="it-IT"/>
        </w:rPr>
      </w:pPr>
    </w:p>
    <w:p w14:paraId="5FEAC8D7" w14:textId="77777777" w:rsidR="00953B2E" w:rsidRPr="00C35766" w:rsidRDefault="005F0C19">
      <w:pPr>
        <w:pStyle w:val="a3"/>
        <w:rPr>
          <w:rFonts w:eastAsia="Times New Roman"/>
          <w:lang w:val="it-IT"/>
        </w:rPr>
      </w:pPr>
      <w:r w:rsidRPr="00C35766">
        <w:rPr>
          <w:rFonts w:eastAsia="Times New Roman"/>
          <w:i/>
          <w:iCs/>
          <w:spacing w:val="-1"/>
          <w:lang w:val="it-IT"/>
        </w:rPr>
        <w:t>Idrosadenite suppurativa</w:t>
      </w:r>
    </w:p>
    <w:p w14:paraId="4D27C3D6" w14:textId="77777777" w:rsidR="00953B2E" w:rsidRPr="00C35766" w:rsidRDefault="00953B2E">
      <w:pPr>
        <w:pStyle w:val="a3"/>
        <w:rPr>
          <w:sz w:val="24"/>
          <w:szCs w:val="24"/>
          <w:lang w:val="it-IT"/>
        </w:rPr>
      </w:pPr>
    </w:p>
    <w:p w14:paraId="0990B985" w14:textId="77777777" w:rsidR="00953B2E" w:rsidRPr="00C35766" w:rsidRDefault="005F0C19">
      <w:pPr>
        <w:pStyle w:val="a3"/>
        <w:rPr>
          <w:lang w:val="it-IT"/>
        </w:rPr>
      </w:pPr>
      <w:r w:rsidRPr="00C35766">
        <w:rPr>
          <w:rFonts w:eastAsia="Times New Roman"/>
          <w:lang w:val="it-IT"/>
        </w:rPr>
        <w:t>La sicurezza e l’efficacia di adalimumab sono state valutate in studi randomizzati, in doppio cieco, controllati con placebo e in uno studio di estensione in aperto, in pazienti adulti affetti da idrosadenite suppurativa (HS) di grado da moderato a severo, che erano intolleranti, presentavano una controindicazione o una risposta inadeguata ad almeno 3 mesi di terapia antibiotica sistemica. I pazienti in HS-I e HS-II avevano uno Stadio Hurley II o III della malattia con almeno 3 ascessi o noduli infiammatori.</w:t>
      </w:r>
    </w:p>
    <w:p w14:paraId="1029CF74" w14:textId="77777777" w:rsidR="00953B2E" w:rsidRPr="00C35766" w:rsidRDefault="00953B2E">
      <w:pPr>
        <w:pStyle w:val="a3"/>
        <w:rPr>
          <w:sz w:val="24"/>
          <w:szCs w:val="24"/>
          <w:lang w:val="it-IT"/>
        </w:rPr>
      </w:pPr>
    </w:p>
    <w:p w14:paraId="2F084818" w14:textId="77777777" w:rsidR="00953B2E" w:rsidRPr="00C35766" w:rsidRDefault="005F0C19">
      <w:pPr>
        <w:pStyle w:val="a3"/>
        <w:rPr>
          <w:lang w:val="pt-BR"/>
        </w:rPr>
      </w:pPr>
      <w:r w:rsidRPr="00C35766">
        <w:rPr>
          <w:rFonts w:eastAsia="Times New Roman"/>
          <w:lang w:val="it-IT"/>
        </w:rPr>
        <w:t>Lo Studio HS-I (PIONEER I) ha valutato 307 pazienti con 2 periodi di trattamento. Nel Periodo A, i pazienti hanno ricevuto placebo o adalimumab ad una dose iniziale di 160 mg alla settimana 0,</w:t>
      </w:r>
      <w:r w:rsidR="00B45ED8" w:rsidRPr="00C35766">
        <w:rPr>
          <w:rFonts w:eastAsia="Times New Roman"/>
          <w:lang w:val="it-IT"/>
        </w:rPr>
        <w:t xml:space="preserve"> </w:t>
      </w:r>
      <w:r w:rsidRPr="00C35766">
        <w:rPr>
          <w:rFonts w:eastAsia="Times New Roman"/>
          <w:lang w:val="it-IT"/>
        </w:rPr>
        <w:t>80 mg alla settimana 2 e 40 mg ogni settimana a partire dalla settimana 4 fino alla settimana 11. Durante lo studio non era consentito l’uso concomitante di antibiotici. Dopo 12 settimane di trattamento, i pazienti che avevano ricevuto adalimumab nel Periodo A sono stati randomizzati nel Periodo B ad 1 dei 3 gruppi di trattamento (adalimumab 40 mg ogni settimana, adalimumab 40 mg a settimane alterne o placebo dalla settimana 12 alla settimana 35). I pazienti che erano stati randomizzati al placebo nel Periodo A, sono stati assegnati a ricevere adalimumab 40 mg ogni settimana nel Periodo B.</w:t>
      </w:r>
    </w:p>
    <w:p w14:paraId="6BC287F9" w14:textId="77777777" w:rsidR="00953B2E" w:rsidRPr="00C35766" w:rsidRDefault="00953B2E">
      <w:pPr>
        <w:pStyle w:val="a3"/>
        <w:rPr>
          <w:sz w:val="24"/>
          <w:szCs w:val="24"/>
          <w:lang w:val="pt-BR"/>
        </w:rPr>
      </w:pPr>
    </w:p>
    <w:p w14:paraId="20E751B2" w14:textId="77777777" w:rsidR="00953B2E" w:rsidRPr="00C35766" w:rsidRDefault="005F0C19">
      <w:pPr>
        <w:pStyle w:val="a3"/>
        <w:rPr>
          <w:lang w:val="pt-BR"/>
        </w:rPr>
      </w:pPr>
      <w:r w:rsidRPr="00C35766">
        <w:rPr>
          <w:rFonts w:eastAsia="Times New Roman"/>
          <w:lang w:val="it-IT"/>
        </w:rPr>
        <w:t>Lo Studio HS-II (PIONEER II) ha valutato 326 pazienti con 2 periodi di trattamento. Nel Periodo A, i pazienti hanno ricevuto placebo o adalimumab ad una dose iniziale di 160 mg alla settimana 0, 80 mg alla settimana 2 e 40 mg ogni settimana a partire dalla settimana 4 fino alla settimana 11. Durante lo studio il 19,3% dei pazienti aveva continuato la terapia antibiotica orale che assumeva al basale. Dopo 12 settimane di trattamento, i pazienti che avevano ricevuto adalimumab nel Periodo A sono stati randomizzati nel Periodo B ad 1 dei 3 gruppi di trattamento (adalimumab 40 mg ogni settimana, adalimumab 40 mg a settimane alterne o placebo dalla settimana 12 alla settimana 35). I pazienti che erano stati randomizzati al placebo nel Periodo A, sono stati assegnati a ricevere placebo nel Periodo B.</w:t>
      </w:r>
    </w:p>
    <w:p w14:paraId="6535E56A" w14:textId="77777777" w:rsidR="00953B2E" w:rsidRPr="00C35766" w:rsidRDefault="00953B2E">
      <w:pPr>
        <w:pStyle w:val="a3"/>
        <w:rPr>
          <w:sz w:val="24"/>
          <w:szCs w:val="24"/>
          <w:lang w:val="pt-BR"/>
        </w:rPr>
      </w:pPr>
    </w:p>
    <w:p w14:paraId="5FAF05D9" w14:textId="77777777" w:rsidR="00953B2E" w:rsidRPr="00C35766" w:rsidRDefault="005F0C19">
      <w:pPr>
        <w:pStyle w:val="a3"/>
        <w:rPr>
          <w:lang w:val="it-IT"/>
        </w:rPr>
      </w:pPr>
      <w:r w:rsidRPr="00C35766">
        <w:rPr>
          <w:rFonts w:eastAsia="Times New Roman"/>
          <w:lang w:val="it-IT"/>
        </w:rPr>
        <w:t>I pazienti che avevano preso parte agli Studi HS-I e HS-II erano idonei a partecipare ad uno studio di estensione in aperto in cui ogni settimana veniva somministrato adalimumab 40 mg. L’esposizione media in tutta la popolazione trattata con adalimumab è stata di 762 giorni. Durante tutti e 3 gli studi, i pazienti hanno usato tutti i giorni una soluzione di lavaggio antisettica topica.</w:t>
      </w:r>
    </w:p>
    <w:p w14:paraId="588036B7" w14:textId="77777777" w:rsidR="00953B2E" w:rsidRPr="00C35766" w:rsidRDefault="00953B2E">
      <w:pPr>
        <w:pStyle w:val="a3"/>
        <w:rPr>
          <w:sz w:val="24"/>
          <w:szCs w:val="24"/>
          <w:lang w:val="it-IT"/>
        </w:rPr>
      </w:pPr>
    </w:p>
    <w:p w14:paraId="49BFDF00" w14:textId="77777777" w:rsidR="00953B2E" w:rsidRPr="00C35766" w:rsidRDefault="005F0C19">
      <w:pPr>
        <w:pStyle w:val="a3"/>
        <w:rPr>
          <w:rFonts w:eastAsia="Times New Roman"/>
          <w:lang w:val="it-IT"/>
        </w:rPr>
      </w:pPr>
      <w:r w:rsidRPr="00C35766">
        <w:rPr>
          <w:rFonts w:eastAsia="Times New Roman"/>
          <w:i/>
          <w:iCs/>
          <w:spacing w:val="-1"/>
          <w:u w:val="single" w:color="000000"/>
          <w:lang w:val="it-IT"/>
        </w:rPr>
        <w:t>Risposta clinica</w:t>
      </w:r>
    </w:p>
    <w:p w14:paraId="60DAD8A4" w14:textId="77777777" w:rsidR="00953B2E" w:rsidRPr="00C35766" w:rsidRDefault="00953B2E">
      <w:pPr>
        <w:pStyle w:val="a3"/>
        <w:rPr>
          <w:sz w:val="18"/>
          <w:szCs w:val="18"/>
          <w:lang w:val="it-IT"/>
        </w:rPr>
      </w:pPr>
    </w:p>
    <w:p w14:paraId="46B5FD05" w14:textId="77777777" w:rsidR="00953B2E" w:rsidRPr="00C35766" w:rsidRDefault="005F0C19">
      <w:pPr>
        <w:pStyle w:val="a3"/>
        <w:rPr>
          <w:lang w:val="es-ES"/>
        </w:rPr>
      </w:pPr>
      <w:r w:rsidRPr="00C35766">
        <w:rPr>
          <w:rFonts w:eastAsia="Times New Roman"/>
          <w:lang w:val="it-IT"/>
        </w:rPr>
        <w:t>La riduzione delle lesioni infiammatorie e la prevenzione del peggioramento degli ascessi e delle fistole drenanti sono state valutate utilizzando l’Hidradenitis Suppurativa Clinical Response (HiSCR; una riduzione di almeno il</w:t>
      </w:r>
      <w:r w:rsidR="00B45ED8" w:rsidRPr="00C35766">
        <w:rPr>
          <w:rFonts w:eastAsia="Times New Roman"/>
          <w:lang w:val="it-IT"/>
        </w:rPr>
        <w:t xml:space="preserve"> </w:t>
      </w:r>
      <w:r w:rsidRPr="00C35766">
        <w:rPr>
          <w:rFonts w:eastAsia="Times New Roman"/>
          <w:lang w:val="it-IT"/>
        </w:rPr>
        <w:t xml:space="preserve">50% nella conta totale di ascessi e noduli infiammatori senza aumento nella conta </w:t>
      </w:r>
      <w:r w:rsidRPr="00C35766">
        <w:rPr>
          <w:rFonts w:eastAsia="Times New Roman"/>
          <w:lang w:val="it-IT"/>
        </w:rPr>
        <w:lastRenderedPageBreak/>
        <w:t>degli ascessi né di fistole drenanti rispetto al valore basale). La riduzione del dolore cutaneo riferito all’idrosadenite suppurativa (HS) è stata valutata utilizzando la Scala di Valutazione Numerica (Numeric Rating Scale) nei pazienti che erano entrati nello studio con un punteggio basale iniziale pari a 3 o superiore su una scala di 11 punti.</w:t>
      </w:r>
    </w:p>
    <w:p w14:paraId="4EB882CE" w14:textId="77777777" w:rsidR="00953B2E" w:rsidRPr="00C35766" w:rsidRDefault="00953B2E">
      <w:pPr>
        <w:spacing w:before="13" w:line="240" w:lineRule="exact"/>
        <w:rPr>
          <w:rFonts w:ascii="Times New Roman" w:hAnsi="Times New Roman" w:cs="Times New Roman"/>
          <w:sz w:val="24"/>
          <w:szCs w:val="24"/>
          <w:lang w:val="es-ES"/>
        </w:rPr>
      </w:pPr>
    </w:p>
    <w:p w14:paraId="177EF872" w14:textId="4521091B" w:rsidR="00953B2E" w:rsidRPr="00C35766" w:rsidRDefault="005F0C19">
      <w:pPr>
        <w:pStyle w:val="a3"/>
        <w:rPr>
          <w:lang w:val="it-IT"/>
        </w:rPr>
      </w:pPr>
      <w:r w:rsidRPr="00C35766">
        <w:rPr>
          <w:rFonts w:eastAsia="Times New Roman"/>
          <w:lang w:val="it-IT"/>
        </w:rPr>
        <w:t xml:space="preserve">Alla settimana 12, una percentuale significativamente maggiore di pazienti trattati con adalimumab verso placebo ha raggiunto HiSCR. Alla settimana 12, una percentuale significativamente superiore di pazienti nello Studio HS-II ha mostrato una diminuzione clinicamente rilevante del dolore cutaneo riferito all’Idrosadenite Suppurativa (HS) (vedere Tabella </w:t>
      </w:r>
      <w:r w:rsidR="00B90373" w:rsidRPr="00C35766">
        <w:rPr>
          <w:rFonts w:eastAsia="Times New Roman"/>
          <w:lang w:val="it-IT"/>
        </w:rPr>
        <w:t>19</w:t>
      </w:r>
      <w:r w:rsidRPr="00C35766">
        <w:rPr>
          <w:rFonts w:eastAsia="Times New Roman"/>
          <w:lang w:val="it-IT"/>
        </w:rPr>
        <w:t>). I pazienti trattati con adalimumab presentavano un rischio significativamente ridotto di riacutizzazione della malattia durante le 12 settimane iniziali di trattamento.</w:t>
      </w:r>
    </w:p>
    <w:p w14:paraId="797225BD" w14:textId="77777777" w:rsidR="00933A6C" w:rsidRPr="00C35766" w:rsidRDefault="00933A6C">
      <w:pPr>
        <w:spacing w:line="200" w:lineRule="exact"/>
        <w:rPr>
          <w:rFonts w:ascii="Times New Roman" w:hAnsi="Times New Roman" w:cs="Times New Roman"/>
          <w:sz w:val="20"/>
          <w:szCs w:val="20"/>
          <w:lang w:val="it-IT"/>
        </w:rPr>
      </w:pPr>
    </w:p>
    <w:p w14:paraId="17CA40BF" w14:textId="1F6725DB"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19</w:t>
      </w:r>
    </w:p>
    <w:p w14:paraId="45229017" w14:textId="77777777" w:rsidR="00953B2E" w:rsidRDefault="005F0C19">
      <w:pPr>
        <w:pStyle w:val="a3"/>
        <w:jc w:val="center"/>
        <w:rPr>
          <w:rFonts w:eastAsia="Times New Roman"/>
          <w:b/>
          <w:bCs/>
          <w:lang w:val="it-IT"/>
        </w:rPr>
      </w:pPr>
      <w:r w:rsidRPr="00C35766">
        <w:rPr>
          <w:rFonts w:eastAsia="Times New Roman"/>
          <w:b/>
          <w:bCs/>
          <w:lang w:val="it-IT"/>
        </w:rPr>
        <w:t>Risultati di efficacia a 12 settimane, Studi HS I e II</w:t>
      </w:r>
    </w:p>
    <w:p w14:paraId="13AC7D56" w14:textId="77777777" w:rsidR="005A5DEF" w:rsidRPr="00C35766" w:rsidRDefault="005A5DEF">
      <w:pPr>
        <w:pStyle w:val="a3"/>
        <w:jc w:val="center"/>
        <w:rPr>
          <w:b/>
          <w:lang w:val="it-IT"/>
        </w:rPr>
      </w:pPr>
    </w:p>
    <w:p w14:paraId="59FE9EBE" w14:textId="77777777" w:rsidR="00953B2E" w:rsidRPr="00C35766" w:rsidRDefault="00953B2E">
      <w:pPr>
        <w:spacing w:before="4" w:line="10" w:lineRule="exact"/>
        <w:rPr>
          <w:rFonts w:ascii="Times New Roman" w:hAnsi="Times New Roman" w:cs="Times New Roman"/>
          <w:sz w:val="4"/>
          <w:lang w:val="it-IT"/>
        </w:rPr>
      </w:pPr>
    </w:p>
    <w:tbl>
      <w:tblPr>
        <w:tblStyle w:val="TableNormal1"/>
        <w:tblW w:w="0" w:type="auto"/>
        <w:tblInd w:w="167" w:type="dxa"/>
        <w:tblLayout w:type="fixed"/>
        <w:tblLook w:val="01E0" w:firstRow="1" w:lastRow="1" w:firstColumn="1" w:lastColumn="1" w:noHBand="0" w:noVBand="0"/>
      </w:tblPr>
      <w:tblGrid>
        <w:gridCol w:w="2521"/>
        <w:gridCol w:w="1417"/>
        <w:gridCol w:w="1985"/>
        <w:gridCol w:w="1417"/>
        <w:gridCol w:w="1953"/>
      </w:tblGrid>
      <w:tr w:rsidR="00953B2E" w:rsidRPr="00C35766" w14:paraId="3AA68C11" w14:textId="77777777" w:rsidTr="00A842FF">
        <w:trPr>
          <w:trHeight w:val="340"/>
        </w:trPr>
        <w:tc>
          <w:tcPr>
            <w:tcW w:w="2521" w:type="dxa"/>
            <w:vMerge w:val="restart"/>
            <w:tcBorders>
              <w:top w:val="single" w:sz="5" w:space="0" w:color="000000"/>
              <w:left w:val="single" w:sz="5" w:space="0" w:color="000000"/>
              <w:right w:val="single" w:sz="5" w:space="0" w:color="000000"/>
            </w:tcBorders>
          </w:tcPr>
          <w:p w14:paraId="181CB771" w14:textId="77777777" w:rsidR="00953B2E" w:rsidRPr="00C35766" w:rsidRDefault="00953B2E">
            <w:pPr>
              <w:rPr>
                <w:rFonts w:ascii="Times New Roman" w:hAnsi="Times New Roman" w:cs="Times New Roman"/>
                <w:lang w:val="it-IT"/>
              </w:rPr>
            </w:pPr>
          </w:p>
        </w:tc>
        <w:tc>
          <w:tcPr>
            <w:tcW w:w="3402" w:type="dxa"/>
            <w:gridSpan w:val="2"/>
            <w:tcBorders>
              <w:top w:val="single" w:sz="5" w:space="0" w:color="000000"/>
              <w:left w:val="single" w:sz="5" w:space="0" w:color="000000"/>
              <w:bottom w:val="single" w:sz="5" w:space="0" w:color="000000"/>
              <w:right w:val="single" w:sz="5" w:space="0" w:color="000000"/>
            </w:tcBorders>
          </w:tcPr>
          <w:p w14:paraId="20B62A6B" w14:textId="77777777" w:rsidR="00953B2E" w:rsidRPr="00C35766" w:rsidRDefault="005F0C19">
            <w:pPr>
              <w:pStyle w:val="TableParagraph"/>
              <w:spacing w:line="251" w:lineRule="exact"/>
              <w:ind w:left="809" w:right="105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Studio HS I</w:t>
            </w:r>
          </w:p>
        </w:tc>
        <w:tc>
          <w:tcPr>
            <w:tcW w:w="3370" w:type="dxa"/>
            <w:gridSpan w:val="2"/>
            <w:tcBorders>
              <w:top w:val="single" w:sz="5" w:space="0" w:color="000000"/>
              <w:left w:val="single" w:sz="5" w:space="0" w:color="000000"/>
              <w:bottom w:val="single" w:sz="5" w:space="0" w:color="000000"/>
              <w:right w:val="single" w:sz="5" w:space="0" w:color="000000"/>
            </w:tcBorders>
          </w:tcPr>
          <w:p w14:paraId="0785FF79" w14:textId="77777777" w:rsidR="00953B2E" w:rsidRPr="00C35766" w:rsidRDefault="005F0C19">
            <w:pPr>
              <w:pStyle w:val="TableParagraph"/>
              <w:spacing w:line="251" w:lineRule="exact"/>
              <w:ind w:left="1062"/>
              <w:rPr>
                <w:rFonts w:ascii="Times New Roman" w:eastAsia="Times New Roman" w:hAnsi="Times New Roman" w:cs="Times New Roman"/>
              </w:rPr>
            </w:pPr>
            <w:r w:rsidRPr="00C35766">
              <w:rPr>
                <w:rFonts w:ascii="Times New Roman" w:eastAsia="Times New Roman" w:hAnsi="Times New Roman" w:cs="Times New Roman"/>
                <w:b/>
                <w:bCs/>
                <w:spacing w:val="-1"/>
                <w:lang w:val="it-IT"/>
              </w:rPr>
              <w:t>Studio HS II</w:t>
            </w:r>
          </w:p>
        </w:tc>
      </w:tr>
      <w:tr w:rsidR="00953B2E" w:rsidRPr="00C35766" w14:paraId="24D6A38E" w14:textId="77777777" w:rsidTr="00B3291C">
        <w:tc>
          <w:tcPr>
            <w:tcW w:w="2521" w:type="dxa"/>
            <w:vMerge/>
            <w:tcBorders>
              <w:left w:val="single" w:sz="5" w:space="0" w:color="000000"/>
              <w:bottom w:val="single" w:sz="5" w:space="0" w:color="000000"/>
              <w:right w:val="single" w:sz="5" w:space="0" w:color="000000"/>
            </w:tcBorders>
          </w:tcPr>
          <w:p w14:paraId="22582A1D" w14:textId="77777777" w:rsidR="00953B2E" w:rsidRPr="00C35766" w:rsidRDefault="00953B2E">
            <w:pPr>
              <w:rPr>
                <w:rFonts w:ascii="Times New Roman" w:hAnsi="Times New Roman" w:cs="Times New Roman"/>
              </w:rPr>
            </w:pPr>
          </w:p>
        </w:tc>
        <w:tc>
          <w:tcPr>
            <w:tcW w:w="1417" w:type="dxa"/>
            <w:tcBorders>
              <w:top w:val="single" w:sz="5" w:space="0" w:color="000000"/>
              <w:left w:val="single" w:sz="5" w:space="0" w:color="000000"/>
              <w:bottom w:val="single" w:sz="5" w:space="0" w:color="000000"/>
              <w:right w:val="single" w:sz="5" w:space="0" w:color="000000"/>
            </w:tcBorders>
          </w:tcPr>
          <w:p w14:paraId="2B546E62" w14:textId="77777777" w:rsidR="00953B2E" w:rsidRPr="00C35766" w:rsidRDefault="005F0C19">
            <w:pPr>
              <w:pStyle w:val="TableParagraph"/>
              <w:ind w:left="347"/>
              <w:rPr>
                <w:rFonts w:ascii="Times New Roman" w:eastAsia="Times New Roman" w:hAnsi="Times New Roman" w:cs="Times New Roman"/>
              </w:rPr>
            </w:pPr>
            <w:r w:rsidRPr="00C35766">
              <w:rPr>
                <w:rFonts w:ascii="Times New Roman" w:eastAsia="Times New Roman" w:hAnsi="Times New Roman" w:cs="Times New Roman"/>
                <w:b/>
                <w:bCs/>
                <w:lang w:val="it-IT"/>
              </w:rPr>
              <w:t>Placebo</w:t>
            </w:r>
          </w:p>
        </w:tc>
        <w:tc>
          <w:tcPr>
            <w:tcW w:w="1985" w:type="dxa"/>
            <w:tcBorders>
              <w:top w:val="single" w:sz="5" w:space="0" w:color="000000"/>
              <w:left w:val="single" w:sz="5" w:space="0" w:color="000000"/>
              <w:bottom w:val="single" w:sz="5" w:space="0" w:color="000000"/>
              <w:right w:val="single" w:sz="5" w:space="0" w:color="000000"/>
            </w:tcBorders>
          </w:tcPr>
          <w:p w14:paraId="611B62E4" w14:textId="77777777" w:rsidR="00953B2E" w:rsidRPr="00C35766" w:rsidRDefault="005F0C19" w:rsidP="00C0539A">
            <w:pPr>
              <w:pStyle w:val="TableParagraph"/>
              <w:spacing w:before="1" w:line="252" w:lineRule="exact"/>
              <w:ind w:left="77"/>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Adalimumab 40 mg settimanalmente</w:t>
            </w:r>
          </w:p>
        </w:tc>
        <w:tc>
          <w:tcPr>
            <w:tcW w:w="1417" w:type="dxa"/>
            <w:tcBorders>
              <w:top w:val="single" w:sz="5" w:space="0" w:color="000000"/>
              <w:left w:val="single" w:sz="5" w:space="0" w:color="000000"/>
              <w:bottom w:val="single" w:sz="5" w:space="0" w:color="000000"/>
              <w:right w:val="single" w:sz="5" w:space="0" w:color="000000"/>
            </w:tcBorders>
          </w:tcPr>
          <w:p w14:paraId="72ADB4FE" w14:textId="77777777" w:rsidR="00953B2E" w:rsidRPr="00C35766" w:rsidRDefault="005F0C19">
            <w:pPr>
              <w:pStyle w:val="TableParagraph"/>
              <w:ind w:left="327"/>
              <w:rPr>
                <w:rFonts w:ascii="Times New Roman" w:eastAsia="Times New Roman" w:hAnsi="Times New Roman" w:cs="Times New Roman"/>
              </w:rPr>
            </w:pPr>
            <w:r w:rsidRPr="00C35766">
              <w:rPr>
                <w:rFonts w:ascii="Times New Roman" w:eastAsia="Times New Roman" w:hAnsi="Times New Roman" w:cs="Times New Roman"/>
                <w:b/>
                <w:bCs/>
                <w:spacing w:val="-1"/>
                <w:lang w:val="it-IT"/>
              </w:rPr>
              <w:t>Placebo</w:t>
            </w:r>
          </w:p>
        </w:tc>
        <w:tc>
          <w:tcPr>
            <w:tcW w:w="1953" w:type="dxa"/>
            <w:tcBorders>
              <w:top w:val="single" w:sz="5" w:space="0" w:color="000000"/>
              <w:left w:val="single" w:sz="5" w:space="0" w:color="000000"/>
              <w:bottom w:val="single" w:sz="5" w:space="0" w:color="000000"/>
              <w:right w:val="single" w:sz="5" w:space="0" w:color="000000"/>
            </w:tcBorders>
          </w:tcPr>
          <w:p w14:paraId="0D057142" w14:textId="77777777" w:rsidR="00953B2E" w:rsidRPr="00C35766" w:rsidRDefault="005F0C19" w:rsidP="00C0539A">
            <w:pPr>
              <w:pStyle w:val="TableParagraph"/>
              <w:spacing w:before="1" w:line="252" w:lineRule="exact"/>
              <w:ind w:left="45"/>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Adalimumab 40 mg settimanalmente</w:t>
            </w:r>
          </w:p>
        </w:tc>
      </w:tr>
      <w:tr w:rsidR="00953B2E" w:rsidRPr="00C35766" w14:paraId="1353FBAE" w14:textId="77777777" w:rsidTr="00B3291C">
        <w:tc>
          <w:tcPr>
            <w:tcW w:w="2521" w:type="dxa"/>
            <w:tcBorders>
              <w:top w:val="single" w:sz="5" w:space="0" w:color="000000"/>
              <w:left w:val="single" w:sz="5" w:space="0" w:color="000000"/>
              <w:bottom w:val="single" w:sz="5" w:space="0" w:color="000000"/>
              <w:right w:val="single" w:sz="5" w:space="0" w:color="000000"/>
            </w:tcBorders>
          </w:tcPr>
          <w:p w14:paraId="594D495D" w14:textId="77777777" w:rsidR="00953B2E" w:rsidRPr="00C35766" w:rsidRDefault="005F0C19">
            <w:pPr>
              <w:pStyle w:val="TableParagraph"/>
              <w:spacing w:line="246" w:lineRule="exact"/>
              <w:ind w:left="109"/>
              <w:rPr>
                <w:rFonts w:ascii="Times New Roman" w:hAnsi="Times New Roman" w:cs="Times New Roman"/>
                <w:lang w:val="it-IT"/>
              </w:rPr>
            </w:pPr>
            <w:r w:rsidRPr="00C35766">
              <w:rPr>
                <w:rFonts w:ascii="Times New Roman" w:eastAsia="Times New Roman" w:hAnsi="Times New Roman" w:cs="Times New Roman"/>
                <w:spacing w:val="-1"/>
                <w:lang w:val="it-IT"/>
              </w:rPr>
              <w:t>Idrosadenite Suppurativa</w:t>
            </w:r>
          </w:p>
          <w:p w14:paraId="05045945" w14:textId="77777777" w:rsidR="00953B2E" w:rsidRPr="00C35766" w:rsidRDefault="005F0C19">
            <w:pPr>
              <w:pStyle w:val="TableParagraph"/>
              <w:spacing w:line="252" w:lineRule="exact"/>
              <w:ind w:left="109"/>
              <w:rPr>
                <w:rFonts w:ascii="Times New Roman" w:hAnsi="Times New Roman" w:cs="Times New Roman"/>
                <w:lang w:val="it-IT"/>
              </w:rPr>
            </w:pPr>
            <w:r w:rsidRPr="00C35766">
              <w:rPr>
                <w:rFonts w:ascii="Times New Roman" w:eastAsia="Times New Roman" w:hAnsi="Times New Roman" w:cs="Times New Roman"/>
                <w:spacing w:val="-1"/>
                <w:lang w:val="it-IT"/>
              </w:rPr>
              <w:t>Risposta clinica (HiSCR)</w:t>
            </w:r>
            <w:r w:rsidRPr="00C35766">
              <w:rPr>
                <w:rFonts w:ascii="Times New Roman" w:eastAsia="Times New Roman" w:hAnsi="Times New Roman" w:cs="Times New Roman"/>
                <w:spacing w:val="-1"/>
                <w:vertAlign w:val="superscript"/>
                <w:lang w:val="it-IT"/>
              </w:rPr>
              <w:t>a</w:t>
            </w:r>
          </w:p>
        </w:tc>
        <w:tc>
          <w:tcPr>
            <w:tcW w:w="1417" w:type="dxa"/>
            <w:tcBorders>
              <w:top w:val="single" w:sz="5" w:space="0" w:color="000000"/>
              <w:left w:val="single" w:sz="5" w:space="0" w:color="000000"/>
              <w:bottom w:val="single" w:sz="5" w:space="0" w:color="000000"/>
              <w:right w:val="single" w:sz="5" w:space="0" w:color="000000"/>
            </w:tcBorders>
          </w:tcPr>
          <w:p w14:paraId="12E14F70" w14:textId="77777777" w:rsidR="00953B2E" w:rsidRPr="00C35766" w:rsidRDefault="005F0C19">
            <w:pPr>
              <w:pStyle w:val="TableParagraph"/>
              <w:spacing w:line="246" w:lineRule="exact"/>
              <w:ind w:left="336" w:right="336"/>
              <w:jc w:val="center"/>
              <w:rPr>
                <w:rFonts w:ascii="Times New Roman" w:eastAsia="Times New Roman" w:hAnsi="Times New Roman" w:cs="Times New Roman"/>
              </w:rPr>
            </w:pPr>
            <w:r w:rsidRPr="00C35766">
              <w:rPr>
                <w:rFonts w:ascii="Times New Roman" w:eastAsia="Times New Roman" w:hAnsi="Times New Roman" w:cs="Times New Roman"/>
                <w:lang w:val="it-IT"/>
              </w:rPr>
              <w:t>N = 154</w:t>
            </w:r>
          </w:p>
          <w:p w14:paraId="68B124F9" w14:textId="77777777" w:rsidR="00953B2E" w:rsidRPr="00C35766" w:rsidRDefault="005F0C19">
            <w:pPr>
              <w:pStyle w:val="TableParagraph"/>
              <w:spacing w:line="252" w:lineRule="exact"/>
              <w:ind w:left="205" w:right="20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40 (26,0%)</w:t>
            </w:r>
          </w:p>
        </w:tc>
        <w:tc>
          <w:tcPr>
            <w:tcW w:w="1985" w:type="dxa"/>
            <w:tcBorders>
              <w:top w:val="single" w:sz="5" w:space="0" w:color="000000"/>
              <w:left w:val="single" w:sz="5" w:space="0" w:color="000000"/>
              <w:bottom w:val="single" w:sz="5" w:space="0" w:color="000000"/>
              <w:right w:val="single" w:sz="5" w:space="0" w:color="000000"/>
            </w:tcBorders>
          </w:tcPr>
          <w:p w14:paraId="6EE44184" w14:textId="77777777" w:rsidR="00953B2E" w:rsidRPr="00C35766" w:rsidRDefault="005F0C19">
            <w:pPr>
              <w:pStyle w:val="TableParagraph"/>
              <w:spacing w:line="246" w:lineRule="exact"/>
              <w:ind w:left="489" w:right="489"/>
              <w:jc w:val="center"/>
              <w:rPr>
                <w:rFonts w:ascii="Times New Roman" w:eastAsia="Times New Roman" w:hAnsi="Times New Roman" w:cs="Times New Roman"/>
              </w:rPr>
            </w:pPr>
            <w:r w:rsidRPr="00C35766">
              <w:rPr>
                <w:rFonts w:ascii="Times New Roman" w:eastAsia="Times New Roman" w:hAnsi="Times New Roman" w:cs="Times New Roman"/>
                <w:lang w:val="it-IT"/>
              </w:rPr>
              <w:t>N = 153</w:t>
            </w:r>
          </w:p>
          <w:p w14:paraId="45B255B8" w14:textId="77777777" w:rsidR="00953B2E" w:rsidRPr="00C35766" w:rsidRDefault="005F0C19">
            <w:pPr>
              <w:pStyle w:val="TableParagraph"/>
              <w:spacing w:line="252" w:lineRule="exact"/>
              <w:ind w:left="294" w:right="29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64 (41,8%)</w:t>
            </w:r>
            <w:r w:rsidRPr="00C35766">
              <w:rPr>
                <w:rFonts w:ascii="Times New Roman" w:eastAsia="Times New Roman" w:hAnsi="Times New Roman" w:cs="Times New Roman"/>
                <w:spacing w:val="-1"/>
                <w:vertAlign w:val="superscript"/>
                <w:lang w:val="it-IT"/>
              </w:rPr>
              <w:t>*</w:t>
            </w:r>
          </w:p>
        </w:tc>
        <w:tc>
          <w:tcPr>
            <w:tcW w:w="1417" w:type="dxa"/>
            <w:tcBorders>
              <w:top w:val="single" w:sz="5" w:space="0" w:color="000000"/>
              <w:left w:val="single" w:sz="5" w:space="0" w:color="000000"/>
              <w:bottom w:val="single" w:sz="5" w:space="0" w:color="000000"/>
              <w:right w:val="single" w:sz="5" w:space="0" w:color="000000"/>
            </w:tcBorders>
          </w:tcPr>
          <w:p w14:paraId="658F5BEB" w14:textId="77777777" w:rsidR="00953B2E" w:rsidRPr="00C35766" w:rsidRDefault="005F0C19">
            <w:pPr>
              <w:pStyle w:val="TableParagraph"/>
              <w:spacing w:line="246" w:lineRule="exact"/>
              <w:ind w:left="373" w:right="37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N=163</w:t>
            </w:r>
          </w:p>
          <w:p w14:paraId="47C62BAD" w14:textId="77777777" w:rsidR="00953B2E" w:rsidRPr="00C35766" w:rsidRDefault="005F0C19">
            <w:pPr>
              <w:pStyle w:val="TableParagraph"/>
              <w:spacing w:line="252" w:lineRule="exact"/>
              <w:ind w:left="185" w:right="18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45 (27,6%)</w:t>
            </w:r>
          </w:p>
        </w:tc>
        <w:tc>
          <w:tcPr>
            <w:tcW w:w="1953" w:type="dxa"/>
            <w:tcBorders>
              <w:top w:val="single" w:sz="5" w:space="0" w:color="000000"/>
              <w:left w:val="single" w:sz="5" w:space="0" w:color="000000"/>
              <w:bottom w:val="single" w:sz="5" w:space="0" w:color="000000"/>
              <w:right w:val="single" w:sz="5" w:space="0" w:color="000000"/>
            </w:tcBorders>
          </w:tcPr>
          <w:p w14:paraId="18865581" w14:textId="77777777" w:rsidR="00953B2E" w:rsidRPr="00C35766" w:rsidRDefault="005F0C19">
            <w:pPr>
              <w:pStyle w:val="TableParagraph"/>
              <w:spacing w:line="246" w:lineRule="exact"/>
              <w:ind w:left="599" w:right="59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N=163</w:t>
            </w:r>
          </w:p>
          <w:p w14:paraId="748AFE8A" w14:textId="77777777" w:rsidR="00953B2E" w:rsidRPr="00C35766" w:rsidRDefault="005F0C19">
            <w:pPr>
              <w:pStyle w:val="TableParagraph"/>
              <w:spacing w:line="252" w:lineRule="exact"/>
              <w:ind w:left="281" w:right="282"/>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96 (58,9%) </w:t>
            </w:r>
            <w:r w:rsidRPr="00C35766">
              <w:rPr>
                <w:rFonts w:ascii="Times New Roman" w:eastAsia="Times New Roman" w:hAnsi="Times New Roman" w:cs="Times New Roman"/>
                <w:spacing w:val="-1"/>
                <w:vertAlign w:val="superscript"/>
                <w:lang w:val="it-IT"/>
              </w:rPr>
              <w:t>***</w:t>
            </w:r>
          </w:p>
        </w:tc>
      </w:tr>
      <w:tr w:rsidR="00953B2E" w:rsidRPr="00C35766" w14:paraId="22183FD3" w14:textId="77777777" w:rsidTr="00B3291C">
        <w:tc>
          <w:tcPr>
            <w:tcW w:w="2521" w:type="dxa"/>
            <w:tcBorders>
              <w:top w:val="single" w:sz="5" w:space="0" w:color="000000"/>
              <w:left w:val="single" w:sz="5" w:space="0" w:color="000000"/>
              <w:bottom w:val="single" w:sz="5" w:space="0" w:color="000000"/>
              <w:right w:val="single" w:sz="5" w:space="0" w:color="000000"/>
            </w:tcBorders>
          </w:tcPr>
          <w:p w14:paraId="17EB0C51" w14:textId="7997E6FE" w:rsidR="00953B2E" w:rsidRPr="00C35766" w:rsidRDefault="005F0C19">
            <w:pPr>
              <w:pStyle w:val="TableParagraph"/>
              <w:spacing w:line="246" w:lineRule="exact"/>
              <w:ind w:left="109"/>
              <w:rPr>
                <w:rFonts w:ascii="Times New Roman" w:eastAsia="Times New Roman" w:hAnsi="Times New Roman" w:cs="Times New Roman"/>
              </w:rPr>
            </w:pPr>
            <w:r w:rsidRPr="00C35766">
              <w:rPr>
                <w:rFonts w:ascii="Times New Roman" w:eastAsia="Times New Roman" w:hAnsi="Times New Roman" w:cs="Times New Roman"/>
                <w:spacing w:val="-1"/>
                <w:lang w:val="it-IT"/>
              </w:rPr>
              <w:t>≥</w:t>
            </w:r>
            <w:r w:rsidR="000F35BA"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 xml:space="preserve">30% riduzione di dolore </w:t>
            </w:r>
            <w:r w:rsidRPr="00C35766">
              <w:rPr>
                <w:rFonts w:ascii="Times New Roman" w:eastAsia="Times New Roman" w:hAnsi="Times New Roman" w:cs="Times New Roman"/>
                <w:lang w:val="it-IT"/>
              </w:rPr>
              <w:t>cutaneo</w:t>
            </w:r>
            <w:r w:rsidRPr="00C35766">
              <w:rPr>
                <w:rFonts w:ascii="Times New Roman" w:eastAsia="Times New Roman" w:hAnsi="Times New Roman" w:cs="Times New Roman"/>
                <w:vertAlign w:val="superscript"/>
                <w:lang w:val="it-IT"/>
              </w:rPr>
              <w:t>b</w:t>
            </w:r>
          </w:p>
        </w:tc>
        <w:tc>
          <w:tcPr>
            <w:tcW w:w="1417" w:type="dxa"/>
            <w:tcBorders>
              <w:top w:val="single" w:sz="5" w:space="0" w:color="000000"/>
              <w:left w:val="single" w:sz="5" w:space="0" w:color="000000"/>
              <w:bottom w:val="single" w:sz="5" w:space="0" w:color="000000"/>
              <w:right w:val="single" w:sz="5" w:space="0" w:color="000000"/>
            </w:tcBorders>
          </w:tcPr>
          <w:p w14:paraId="2F444B8E" w14:textId="77777777" w:rsidR="00953B2E" w:rsidRPr="00C35766" w:rsidRDefault="005F0C19">
            <w:pPr>
              <w:pStyle w:val="TableParagraph"/>
              <w:spacing w:line="246" w:lineRule="exact"/>
              <w:ind w:left="336" w:right="336"/>
              <w:jc w:val="center"/>
              <w:rPr>
                <w:rFonts w:ascii="Times New Roman" w:eastAsia="Times New Roman" w:hAnsi="Times New Roman" w:cs="Times New Roman"/>
              </w:rPr>
            </w:pPr>
            <w:r w:rsidRPr="00C35766">
              <w:rPr>
                <w:rFonts w:ascii="Times New Roman" w:eastAsia="Times New Roman" w:hAnsi="Times New Roman" w:cs="Times New Roman"/>
                <w:lang w:val="it-IT"/>
              </w:rPr>
              <w:t>N = 109</w:t>
            </w:r>
          </w:p>
          <w:p w14:paraId="6A134F0A" w14:textId="77777777" w:rsidR="00953B2E" w:rsidRPr="00C35766" w:rsidRDefault="005F0C19">
            <w:pPr>
              <w:pStyle w:val="TableParagraph"/>
              <w:spacing w:before="1"/>
              <w:ind w:left="205" w:right="20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27 (24,8%)</w:t>
            </w:r>
          </w:p>
        </w:tc>
        <w:tc>
          <w:tcPr>
            <w:tcW w:w="1985" w:type="dxa"/>
            <w:tcBorders>
              <w:top w:val="single" w:sz="5" w:space="0" w:color="000000"/>
              <w:left w:val="single" w:sz="5" w:space="0" w:color="000000"/>
              <w:bottom w:val="single" w:sz="5" w:space="0" w:color="000000"/>
              <w:right w:val="single" w:sz="5" w:space="0" w:color="000000"/>
            </w:tcBorders>
          </w:tcPr>
          <w:p w14:paraId="01CC2547" w14:textId="77777777" w:rsidR="00953B2E" w:rsidRPr="00C35766" w:rsidRDefault="005F0C19">
            <w:pPr>
              <w:pStyle w:val="TableParagraph"/>
              <w:spacing w:line="246" w:lineRule="exact"/>
              <w:ind w:left="489" w:right="489"/>
              <w:jc w:val="center"/>
              <w:rPr>
                <w:rFonts w:ascii="Times New Roman" w:eastAsia="Times New Roman" w:hAnsi="Times New Roman" w:cs="Times New Roman"/>
              </w:rPr>
            </w:pPr>
            <w:r w:rsidRPr="00C35766">
              <w:rPr>
                <w:rFonts w:ascii="Times New Roman" w:eastAsia="Times New Roman" w:hAnsi="Times New Roman" w:cs="Times New Roman"/>
                <w:lang w:val="it-IT"/>
              </w:rPr>
              <w:t>N = 122</w:t>
            </w:r>
          </w:p>
          <w:p w14:paraId="0FBEC4D3" w14:textId="77777777" w:rsidR="00953B2E" w:rsidRPr="00C35766" w:rsidRDefault="005F0C19">
            <w:pPr>
              <w:pStyle w:val="TableParagraph"/>
              <w:spacing w:before="1"/>
              <w:ind w:left="358" w:right="3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34 (27,9%)</w:t>
            </w:r>
          </w:p>
        </w:tc>
        <w:tc>
          <w:tcPr>
            <w:tcW w:w="1417" w:type="dxa"/>
            <w:tcBorders>
              <w:top w:val="single" w:sz="5" w:space="0" w:color="000000"/>
              <w:left w:val="single" w:sz="5" w:space="0" w:color="000000"/>
              <w:bottom w:val="single" w:sz="5" w:space="0" w:color="000000"/>
              <w:right w:val="single" w:sz="5" w:space="0" w:color="000000"/>
            </w:tcBorders>
          </w:tcPr>
          <w:p w14:paraId="249196B1" w14:textId="77777777" w:rsidR="00953B2E" w:rsidRPr="00C35766" w:rsidRDefault="005F0C19">
            <w:pPr>
              <w:pStyle w:val="TableParagraph"/>
              <w:spacing w:line="246" w:lineRule="exact"/>
              <w:ind w:left="373" w:right="37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N=111</w:t>
            </w:r>
          </w:p>
          <w:p w14:paraId="004ECC16" w14:textId="77777777" w:rsidR="00953B2E" w:rsidRPr="00C35766" w:rsidRDefault="005F0C19">
            <w:pPr>
              <w:pStyle w:val="TableParagraph"/>
              <w:spacing w:before="1"/>
              <w:ind w:left="185" w:right="18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23 (20,7%)</w:t>
            </w:r>
          </w:p>
        </w:tc>
        <w:tc>
          <w:tcPr>
            <w:tcW w:w="1953" w:type="dxa"/>
            <w:tcBorders>
              <w:top w:val="single" w:sz="5" w:space="0" w:color="000000"/>
              <w:left w:val="single" w:sz="5" w:space="0" w:color="000000"/>
              <w:bottom w:val="single" w:sz="5" w:space="0" w:color="000000"/>
              <w:right w:val="single" w:sz="5" w:space="0" w:color="000000"/>
            </w:tcBorders>
          </w:tcPr>
          <w:p w14:paraId="69F81BEA" w14:textId="77777777" w:rsidR="00953B2E" w:rsidRPr="00C35766" w:rsidRDefault="005F0C19">
            <w:pPr>
              <w:pStyle w:val="TableParagraph"/>
              <w:spacing w:line="246" w:lineRule="exact"/>
              <w:ind w:left="599" w:right="59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N=105</w:t>
            </w:r>
          </w:p>
          <w:p w14:paraId="6E53DB7D" w14:textId="77777777" w:rsidR="00953B2E" w:rsidRPr="00C35766" w:rsidRDefault="005F0C19">
            <w:pPr>
              <w:pStyle w:val="TableParagraph"/>
              <w:spacing w:line="254" w:lineRule="exact"/>
              <w:ind w:left="281" w:right="282"/>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48 (45,7%) </w:t>
            </w:r>
            <w:r w:rsidRPr="00C35766">
              <w:rPr>
                <w:rFonts w:ascii="Times New Roman" w:eastAsia="Times New Roman" w:hAnsi="Times New Roman" w:cs="Times New Roman"/>
                <w:spacing w:val="-1"/>
                <w:vertAlign w:val="superscript"/>
                <w:lang w:val="it-IT"/>
              </w:rPr>
              <w:t>***</w:t>
            </w:r>
          </w:p>
        </w:tc>
      </w:tr>
      <w:tr w:rsidR="00953B2E" w:rsidRPr="00494E69" w14:paraId="5F218EF0" w14:textId="77777777">
        <w:tc>
          <w:tcPr>
            <w:tcW w:w="9293" w:type="dxa"/>
            <w:gridSpan w:val="5"/>
            <w:tcBorders>
              <w:top w:val="single" w:sz="5" w:space="0" w:color="000000"/>
              <w:left w:val="single" w:sz="5" w:space="0" w:color="000000"/>
              <w:bottom w:val="single" w:sz="5" w:space="0" w:color="000000"/>
              <w:right w:val="single" w:sz="5" w:space="0" w:color="000000"/>
            </w:tcBorders>
          </w:tcPr>
          <w:p w14:paraId="17554D68" w14:textId="06D11DEB" w:rsidR="00953B2E" w:rsidRPr="004F0B2E" w:rsidRDefault="005F0C19" w:rsidP="00B173B3">
            <w:pPr>
              <w:pStyle w:val="TableParagraph"/>
              <w:spacing w:line="246" w:lineRule="exact"/>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i/>
                <w:iCs/>
                <w:lang w:val="it-IT"/>
              </w:rPr>
              <w:t xml:space="preserve">P </w:t>
            </w:r>
            <w:r w:rsidRPr="00C35766">
              <w:rPr>
                <w:rFonts w:ascii="Times New Roman" w:eastAsia="Times New Roman" w:hAnsi="Times New Roman" w:cs="Times New Roman"/>
                <w:lang w:val="it-IT"/>
              </w:rPr>
              <w:t>&lt;</w:t>
            </w:r>
            <w:r w:rsidR="000F35B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0,05, ***</w:t>
            </w:r>
            <w:r w:rsidRPr="00C35766">
              <w:rPr>
                <w:rFonts w:ascii="Times New Roman" w:eastAsia="Times New Roman" w:hAnsi="Times New Roman" w:cs="Times New Roman"/>
                <w:i/>
                <w:iCs/>
                <w:lang w:val="it-IT"/>
              </w:rPr>
              <w:t xml:space="preserve">P </w:t>
            </w:r>
            <w:r w:rsidRPr="00C35766">
              <w:rPr>
                <w:rFonts w:ascii="Times New Roman" w:eastAsia="Times New Roman" w:hAnsi="Times New Roman" w:cs="Times New Roman"/>
                <w:lang w:val="it-IT"/>
              </w:rPr>
              <w:t>&lt; 0,001, adalimumab vs. placebo</w:t>
            </w:r>
          </w:p>
          <w:p w14:paraId="3E875AC2" w14:textId="764667FE" w:rsidR="00953B2E" w:rsidRPr="00C35766" w:rsidRDefault="00962B2B" w:rsidP="00962B2B">
            <w:pPr>
              <w:tabs>
                <w:tab w:val="left" w:pos="469"/>
              </w:tabs>
              <w:spacing w:before="32"/>
              <w:rPr>
                <w:rFonts w:ascii="Times New Roman" w:eastAsia="Times New Roman" w:hAnsi="Times New Roman" w:cs="Times New Roman"/>
                <w:lang w:val="pt-BR"/>
              </w:rPr>
            </w:pP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 xml:space="preserve"> </w:t>
            </w:r>
            <w:r w:rsidR="005F0C19" w:rsidRPr="00C35766">
              <w:rPr>
                <w:rFonts w:ascii="Times New Roman" w:eastAsia="Times New Roman" w:hAnsi="Times New Roman" w:cs="Times New Roman"/>
                <w:spacing w:val="1"/>
                <w:lang w:val="it-IT"/>
              </w:rPr>
              <w:t>Tra tutti i pazienti randomizzati.</w:t>
            </w:r>
          </w:p>
          <w:p w14:paraId="69B1A55B" w14:textId="2503456F" w:rsidR="00953B2E" w:rsidRPr="00C35766" w:rsidRDefault="00962B2B" w:rsidP="00962B2B">
            <w:pPr>
              <w:tabs>
                <w:tab w:val="left" w:pos="469"/>
              </w:tabs>
              <w:spacing w:before="41" w:line="240" w:lineRule="exact"/>
              <w:ind w:left="115" w:right="598" w:hangingChars="52" w:hanging="115"/>
              <w:rPr>
                <w:rFonts w:ascii="Times New Roman" w:eastAsia="Times New Roman" w:hAnsi="Times New Roman" w:cs="Times New Roman"/>
                <w:lang w:val="pt-BR"/>
              </w:rPr>
            </w:pP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 xml:space="preserve"> </w:t>
            </w:r>
            <w:r w:rsidR="005F0C19" w:rsidRPr="00C35766">
              <w:rPr>
                <w:rFonts w:ascii="Times New Roman" w:eastAsia="Times New Roman" w:hAnsi="Times New Roman" w:cs="Times New Roman"/>
                <w:spacing w:val="1"/>
                <w:lang w:val="it-IT"/>
              </w:rPr>
              <w:t>Tra i pazienti con una valutazione di dolore cutaneo legato all’Idrosadenite Suppurativa (HS) ≥ 3, in base alla Scala di Valutazione Numerica 0 – 10; 0 = nessun dolore cutaneo, 10 = dolore cutaneo più forte che si possa immaginare.</w:t>
            </w:r>
          </w:p>
        </w:tc>
      </w:tr>
    </w:tbl>
    <w:p w14:paraId="25758932" w14:textId="77777777" w:rsidR="00953B2E" w:rsidRPr="00C35766" w:rsidRDefault="00953B2E">
      <w:pPr>
        <w:spacing w:before="5" w:line="170" w:lineRule="exact"/>
        <w:rPr>
          <w:rFonts w:ascii="Times New Roman" w:hAnsi="Times New Roman" w:cs="Times New Roman"/>
          <w:sz w:val="17"/>
          <w:szCs w:val="17"/>
          <w:lang w:val="pt-BR"/>
        </w:rPr>
      </w:pPr>
    </w:p>
    <w:p w14:paraId="291D0E3E" w14:textId="77777777" w:rsidR="00953B2E" w:rsidRPr="00C35766" w:rsidRDefault="005F0C19">
      <w:pPr>
        <w:pStyle w:val="a3"/>
        <w:rPr>
          <w:lang w:val="it-IT"/>
        </w:rPr>
      </w:pPr>
      <w:r w:rsidRPr="00C35766">
        <w:rPr>
          <w:rFonts w:eastAsia="Times New Roman"/>
          <w:lang w:val="it-IT"/>
        </w:rPr>
        <w:t>Il trattamento con adalimumab 40 mg ogni settimana ha ridotto in maniera significativa il rischio di peggioramento di ascessi e fistole drenanti. Nelle prime 12 settimane degli Studi HS-I e HS-II, nel gruppo con placebo circa il doppio della percentuale dei pazienti ha avuto un peggioramento degli ascessi (23,0% vs 11,4%, rispettivamente) e delle fistole drenanti (30,0% vs 13,9%, rispettivamente) rispetto ai pazienti nel gruppo con adalimumab.</w:t>
      </w:r>
    </w:p>
    <w:p w14:paraId="5AB83A83" w14:textId="77777777" w:rsidR="00953B2E" w:rsidRPr="00C35766" w:rsidRDefault="00953B2E">
      <w:pPr>
        <w:spacing w:before="14" w:line="240" w:lineRule="exact"/>
        <w:rPr>
          <w:rFonts w:ascii="Times New Roman" w:hAnsi="Times New Roman" w:cs="Times New Roman"/>
          <w:sz w:val="24"/>
          <w:szCs w:val="24"/>
          <w:lang w:val="it-IT"/>
        </w:rPr>
      </w:pPr>
    </w:p>
    <w:p w14:paraId="68A99332" w14:textId="77777777" w:rsidR="00953B2E" w:rsidRPr="00C35766" w:rsidRDefault="005F0C19">
      <w:pPr>
        <w:pStyle w:val="a3"/>
        <w:rPr>
          <w:lang w:val="it-IT"/>
        </w:rPr>
      </w:pPr>
      <w:r w:rsidRPr="00C35766">
        <w:rPr>
          <w:rFonts w:eastAsia="Times New Roman"/>
          <w:lang w:val="it-IT"/>
        </w:rPr>
        <w:t>Miglioramenti maggiori della qualità della vita, definita come stato di salute generale correlato alla patologia cutanea e misurato attraverso il Dermatology Life Quality Index (DLQI; Studi HS-I e HS-II), sono stati dimostrati alla settimana 12 a partire dal valore basale rispetto al placebo, la soddisfazione globale dei pazienti in trattamento con il medicinale, misurata con il questionario Treatment Satisfaction Questionnaire - medication (TSQM; Studi HS-I e HS-II), e la salute fisica misurata attraverso il Physical Component Summary Score del SF-36 (Studio HS-I).</w:t>
      </w:r>
    </w:p>
    <w:p w14:paraId="4C80DCAD" w14:textId="77777777" w:rsidR="00953B2E" w:rsidRPr="00C35766" w:rsidRDefault="00953B2E">
      <w:pPr>
        <w:spacing w:before="13" w:line="240" w:lineRule="exact"/>
        <w:rPr>
          <w:rFonts w:ascii="Times New Roman" w:hAnsi="Times New Roman" w:cs="Times New Roman"/>
          <w:sz w:val="24"/>
          <w:szCs w:val="24"/>
          <w:lang w:val="it-IT"/>
        </w:rPr>
      </w:pPr>
    </w:p>
    <w:p w14:paraId="069EA7D3" w14:textId="5323FC41" w:rsidR="00953B2E" w:rsidRPr="00C35766" w:rsidRDefault="005F0C19">
      <w:pPr>
        <w:pStyle w:val="a3"/>
        <w:rPr>
          <w:lang w:val="it-IT"/>
        </w:rPr>
      </w:pPr>
      <w:r w:rsidRPr="00C35766">
        <w:rPr>
          <w:rFonts w:eastAsia="Times New Roman"/>
          <w:lang w:val="it-IT"/>
        </w:rPr>
        <w:t xml:space="preserve">Nei pazienti che alla settimana 12 avevano una risposta almeno parziale ad adalimumab 40 mg somministrato ogni settimana, la percentuale di HiSCR alla settimana 36 era superiore nei pazienti che avevano continuato adalimumab ogni settimana rispetto ai pazienti in cui la frequenza di somministrazione era stata ridotta a settimane alterne, o nei quali era stato sospeso il trattamento (vedere Tabella </w:t>
      </w:r>
      <w:r w:rsidR="00B90373" w:rsidRPr="00C35766">
        <w:rPr>
          <w:rFonts w:eastAsia="Times New Roman"/>
          <w:lang w:val="it-IT"/>
        </w:rPr>
        <w:t>20</w:t>
      </w:r>
      <w:r w:rsidRPr="00C35766">
        <w:rPr>
          <w:rFonts w:eastAsia="Times New Roman"/>
          <w:lang w:val="it-IT"/>
        </w:rPr>
        <w:t>).</w:t>
      </w:r>
    </w:p>
    <w:p w14:paraId="0F990E5D" w14:textId="77777777" w:rsidR="00953B2E" w:rsidRPr="00C35766" w:rsidRDefault="00953B2E">
      <w:pPr>
        <w:spacing w:before="2" w:line="260" w:lineRule="exact"/>
        <w:rPr>
          <w:rFonts w:ascii="Times New Roman" w:hAnsi="Times New Roman" w:cs="Times New Roman"/>
          <w:sz w:val="26"/>
          <w:szCs w:val="26"/>
          <w:lang w:val="it-IT"/>
        </w:rPr>
      </w:pPr>
    </w:p>
    <w:p w14:paraId="7DC8CEE9" w14:textId="26911E36"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20</w:t>
      </w:r>
    </w:p>
    <w:p w14:paraId="1BB6CBA4" w14:textId="77777777" w:rsidR="00953B2E" w:rsidRDefault="005F0C19">
      <w:pPr>
        <w:pStyle w:val="a3"/>
        <w:jc w:val="center"/>
        <w:rPr>
          <w:rFonts w:eastAsia="Times New Roman"/>
          <w:b/>
          <w:bCs/>
          <w:lang w:val="it-IT"/>
        </w:rPr>
      </w:pPr>
      <w:r w:rsidRPr="00C35766">
        <w:rPr>
          <w:rFonts w:eastAsia="Times New Roman"/>
          <w:b/>
          <w:bCs/>
          <w:lang w:val="it-IT"/>
        </w:rPr>
        <w:t>Percentuale di pazienti</w:t>
      </w:r>
      <w:r w:rsidRPr="00C35766">
        <w:rPr>
          <w:rFonts w:eastAsia="Times New Roman"/>
          <w:b/>
          <w:bCs/>
          <w:vertAlign w:val="superscript"/>
          <w:lang w:val="it-IT"/>
        </w:rPr>
        <w:t>a</w:t>
      </w:r>
      <w:r w:rsidRPr="00C35766">
        <w:rPr>
          <w:rFonts w:eastAsia="Times New Roman"/>
          <w:b/>
          <w:bCs/>
          <w:lang w:val="it-IT"/>
        </w:rPr>
        <w:t xml:space="preserve"> che hanno ottenuto HiSCR</w:t>
      </w:r>
      <w:r w:rsidRPr="00C35766">
        <w:rPr>
          <w:rFonts w:eastAsia="Times New Roman"/>
          <w:b/>
          <w:bCs/>
          <w:vertAlign w:val="superscript"/>
          <w:lang w:val="it-IT"/>
        </w:rPr>
        <w:t xml:space="preserve">b </w:t>
      </w:r>
      <w:r w:rsidRPr="00C35766">
        <w:rPr>
          <w:rFonts w:eastAsia="Times New Roman"/>
          <w:b/>
          <w:bCs/>
          <w:lang w:val="it-IT"/>
        </w:rPr>
        <w:t>alle settimane 24 e 36 dopo il riassegnamento del trattamento alla settimana 12 da adalimumab ogni settimana</w:t>
      </w:r>
    </w:p>
    <w:p w14:paraId="4CD3CE80" w14:textId="77777777" w:rsidR="005A5DEF" w:rsidRPr="00C35766" w:rsidRDefault="005A5DEF">
      <w:pPr>
        <w:pStyle w:val="a3"/>
        <w:jc w:val="center"/>
        <w:rPr>
          <w:b/>
          <w:bCs/>
          <w:lang w:val="it-IT"/>
        </w:rPr>
      </w:pPr>
    </w:p>
    <w:tbl>
      <w:tblPr>
        <w:tblStyle w:val="TableNormal1"/>
        <w:tblW w:w="0" w:type="auto"/>
        <w:tblInd w:w="703" w:type="dxa"/>
        <w:tblLayout w:type="fixed"/>
        <w:tblLook w:val="01E0" w:firstRow="1" w:lastRow="1" w:firstColumn="1" w:lastColumn="1" w:noHBand="0" w:noVBand="0"/>
      </w:tblPr>
      <w:tblGrid>
        <w:gridCol w:w="1922"/>
        <w:gridCol w:w="1980"/>
        <w:gridCol w:w="1980"/>
        <w:gridCol w:w="2623"/>
      </w:tblGrid>
      <w:tr w:rsidR="00953B2E" w:rsidRPr="00C35766" w14:paraId="7E2B8695" w14:textId="77777777" w:rsidTr="00933A6C">
        <w:tc>
          <w:tcPr>
            <w:tcW w:w="1922" w:type="dxa"/>
            <w:tcBorders>
              <w:top w:val="single" w:sz="5" w:space="0" w:color="000000"/>
              <w:left w:val="single" w:sz="5" w:space="0" w:color="000000"/>
              <w:bottom w:val="single" w:sz="5" w:space="0" w:color="000000"/>
              <w:right w:val="single" w:sz="5" w:space="0" w:color="000000"/>
            </w:tcBorders>
          </w:tcPr>
          <w:p w14:paraId="4EAF03F5" w14:textId="77777777" w:rsidR="00953B2E" w:rsidRPr="00C35766" w:rsidRDefault="00953B2E">
            <w:pPr>
              <w:rPr>
                <w:rFonts w:ascii="Times New Roman" w:hAnsi="Times New Roman" w:cs="Times New Roman"/>
                <w:lang w:val="it-IT"/>
              </w:rPr>
            </w:pPr>
          </w:p>
        </w:tc>
        <w:tc>
          <w:tcPr>
            <w:tcW w:w="1980" w:type="dxa"/>
            <w:tcBorders>
              <w:top w:val="single" w:sz="5" w:space="0" w:color="000000"/>
              <w:left w:val="single" w:sz="5" w:space="0" w:color="000000"/>
              <w:bottom w:val="single" w:sz="5" w:space="0" w:color="000000"/>
              <w:right w:val="single" w:sz="5" w:space="0" w:color="000000"/>
            </w:tcBorders>
          </w:tcPr>
          <w:p w14:paraId="2B379C61" w14:textId="77777777" w:rsidR="00953B2E" w:rsidRPr="00C35766" w:rsidRDefault="005F0C19">
            <w:pPr>
              <w:pStyle w:val="TableParagraph"/>
              <w:spacing w:before="37" w:line="240" w:lineRule="exact"/>
              <w:ind w:left="204" w:right="407" w:hanging="2"/>
              <w:jc w:val="center"/>
              <w:rPr>
                <w:rFonts w:ascii="Times New Roman" w:eastAsia="Times New Roman" w:hAnsi="Times New Roman" w:cs="Times New Roman"/>
                <w:lang w:val="pt-BR"/>
              </w:rPr>
            </w:pPr>
            <w:r w:rsidRPr="00C35766">
              <w:rPr>
                <w:rFonts w:ascii="Times New Roman" w:eastAsia="Times New Roman" w:hAnsi="Times New Roman" w:cs="Times New Roman"/>
                <w:b/>
                <w:bCs/>
                <w:lang w:val="it-IT"/>
              </w:rPr>
              <w:t xml:space="preserve">Placebo (ritiro dal trattamento) </w:t>
            </w:r>
            <w:r w:rsidRPr="00C35766">
              <w:rPr>
                <w:rFonts w:ascii="Times New Roman" w:eastAsia="Times New Roman" w:hAnsi="Times New Roman" w:cs="Times New Roman"/>
                <w:b/>
                <w:bCs/>
                <w:lang w:val="it-IT"/>
              </w:rPr>
              <w:lastRenderedPageBreak/>
              <w:t>N = 7</w:t>
            </w:r>
            <w:r w:rsidRPr="00C35766">
              <w:rPr>
                <w:rFonts w:ascii="Times New Roman" w:eastAsia="Times New Roman" w:hAnsi="Times New Roman" w:cs="Times New Roman"/>
                <w:lang w:val="it-IT"/>
              </w:rPr>
              <w:t>3</w:t>
            </w:r>
          </w:p>
        </w:tc>
        <w:tc>
          <w:tcPr>
            <w:tcW w:w="1980" w:type="dxa"/>
            <w:tcBorders>
              <w:top w:val="single" w:sz="5" w:space="0" w:color="000000"/>
              <w:left w:val="single" w:sz="5" w:space="0" w:color="000000"/>
              <w:bottom w:val="single" w:sz="5" w:space="0" w:color="000000"/>
              <w:right w:val="single" w:sz="5" w:space="0" w:color="000000"/>
            </w:tcBorders>
          </w:tcPr>
          <w:p w14:paraId="0F770EEE" w14:textId="77777777" w:rsidR="00953B2E" w:rsidRPr="00C35766" w:rsidRDefault="005F0C19">
            <w:pPr>
              <w:pStyle w:val="TableParagraph"/>
              <w:spacing w:line="240" w:lineRule="exact"/>
              <w:ind w:left="183" w:right="180" w:hanging="4"/>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 xml:space="preserve">Adalimumab 40 mg a settimane alterne </w:t>
            </w:r>
            <w:r w:rsidRPr="00C35766">
              <w:rPr>
                <w:rFonts w:ascii="Times New Roman" w:eastAsia="Times New Roman" w:hAnsi="Times New Roman" w:cs="Times New Roman"/>
                <w:b/>
                <w:bCs/>
                <w:spacing w:val="-1"/>
                <w:lang w:val="it-IT"/>
              </w:rPr>
              <w:br/>
            </w:r>
            <w:r w:rsidRPr="00C35766">
              <w:rPr>
                <w:rFonts w:ascii="Times New Roman" w:eastAsia="Times New Roman" w:hAnsi="Times New Roman" w:cs="Times New Roman"/>
                <w:b/>
                <w:bCs/>
                <w:spacing w:val="-1"/>
                <w:lang w:val="it-IT"/>
              </w:rPr>
              <w:lastRenderedPageBreak/>
              <w:t>N = 70</w:t>
            </w:r>
          </w:p>
        </w:tc>
        <w:tc>
          <w:tcPr>
            <w:tcW w:w="2623" w:type="dxa"/>
            <w:tcBorders>
              <w:top w:val="single" w:sz="5" w:space="0" w:color="000000"/>
              <w:left w:val="single" w:sz="5" w:space="0" w:color="000000"/>
              <w:bottom w:val="single" w:sz="5" w:space="0" w:color="000000"/>
              <w:right w:val="single" w:sz="5" w:space="0" w:color="000000"/>
            </w:tcBorders>
          </w:tcPr>
          <w:p w14:paraId="65848432" w14:textId="77777777" w:rsidR="00953B2E" w:rsidRPr="00C35766" w:rsidRDefault="005F0C19">
            <w:pPr>
              <w:pStyle w:val="TableParagraph"/>
              <w:spacing w:line="240" w:lineRule="exact"/>
              <w:ind w:left="72" w:right="8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lastRenderedPageBreak/>
              <w:t>Adalimumab 40 mg settimanalmente</w:t>
            </w:r>
          </w:p>
          <w:p w14:paraId="27D053CC" w14:textId="77777777" w:rsidR="00953B2E" w:rsidRPr="00C35766" w:rsidRDefault="005F0C19">
            <w:pPr>
              <w:pStyle w:val="TableParagraph"/>
              <w:spacing w:line="240" w:lineRule="exact"/>
              <w:ind w:left="595" w:right="598"/>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 70</w:t>
            </w:r>
          </w:p>
        </w:tc>
      </w:tr>
      <w:tr w:rsidR="00953B2E" w:rsidRPr="00C35766" w14:paraId="192AA49D" w14:textId="77777777" w:rsidTr="00933A6C">
        <w:tc>
          <w:tcPr>
            <w:tcW w:w="1922" w:type="dxa"/>
            <w:tcBorders>
              <w:top w:val="single" w:sz="5" w:space="0" w:color="000000"/>
              <w:left w:val="single" w:sz="5" w:space="0" w:color="000000"/>
              <w:bottom w:val="single" w:sz="5" w:space="0" w:color="000000"/>
              <w:right w:val="single" w:sz="5" w:space="0" w:color="000000"/>
            </w:tcBorders>
          </w:tcPr>
          <w:p w14:paraId="66D6FB49" w14:textId="77777777" w:rsidR="00953B2E" w:rsidRPr="00C35766" w:rsidRDefault="005F0C19">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24</w:t>
            </w:r>
          </w:p>
        </w:tc>
        <w:tc>
          <w:tcPr>
            <w:tcW w:w="1980" w:type="dxa"/>
            <w:tcBorders>
              <w:top w:val="single" w:sz="5" w:space="0" w:color="000000"/>
              <w:left w:val="single" w:sz="5" w:space="0" w:color="000000"/>
              <w:bottom w:val="single" w:sz="5" w:space="0" w:color="000000"/>
              <w:right w:val="single" w:sz="5" w:space="0" w:color="000000"/>
            </w:tcBorders>
          </w:tcPr>
          <w:p w14:paraId="607314C8" w14:textId="77777777" w:rsidR="00953B2E" w:rsidRPr="00C35766" w:rsidRDefault="005F0C19">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24 (32,9%)</w:t>
            </w:r>
          </w:p>
        </w:tc>
        <w:tc>
          <w:tcPr>
            <w:tcW w:w="1980" w:type="dxa"/>
            <w:tcBorders>
              <w:top w:val="single" w:sz="5" w:space="0" w:color="000000"/>
              <w:left w:val="single" w:sz="5" w:space="0" w:color="000000"/>
              <w:bottom w:val="single" w:sz="5" w:space="0" w:color="000000"/>
              <w:right w:val="single" w:sz="5" w:space="0" w:color="000000"/>
            </w:tcBorders>
          </w:tcPr>
          <w:p w14:paraId="39F120C3" w14:textId="77777777" w:rsidR="00953B2E" w:rsidRPr="00C35766" w:rsidRDefault="005F0C19">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36 (51,4%)</w:t>
            </w:r>
          </w:p>
        </w:tc>
        <w:tc>
          <w:tcPr>
            <w:tcW w:w="2623" w:type="dxa"/>
            <w:tcBorders>
              <w:top w:val="single" w:sz="5" w:space="0" w:color="000000"/>
              <w:left w:val="single" w:sz="5" w:space="0" w:color="000000"/>
              <w:bottom w:val="single" w:sz="5" w:space="0" w:color="000000"/>
              <w:right w:val="single" w:sz="5" w:space="0" w:color="000000"/>
            </w:tcBorders>
          </w:tcPr>
          <w:p w14:paraId="7282A617" w14:textId="77777777" w:rsidR="00953B2E" w:rsidRPr="00C35766" w:rsidRDefault="005F0C19">
            <w:pPr>
              <w:pStyle w:val="TableParagraph"/>
              <w:spacing w:before="24"/>
              <w:ind w:left="426"/>
              <w:rPr>
                <w:rFonts w:ascii="Times New Roman" w:eastAsia="Times New Roman" w:hAnsi="Times New Roman" w:cs="Times New Roman"/>
              </w:rPr>
            </w:pPr>
            <w:r w:rsidRPr="00C35766">
              <w:rPr>
                <w:rFonts w:ascii="Times New Roman" w:eastAsia="Times New Roman" w:hAnsi="Times New Roman" w:cs="Times New Roman"/>
                <w:spacing w:val="-1"/>
                <w:lang w:val="it-IT"/>
              </w:rPr>
              <w:t>40 (57,1%)</w:t>
            </w:r>
          </w:p>
        </w:tc>
      </w:tr>
      <w:tr w:rsidR="00953B2E" w:rsidRPr="00C35766" w14:paraId="4FD04FE6" w14:textId="77777777" w:rsidTr="00933A6C">
        <w:tc>
          <w:tcPr>
            <w:tcW w:w="1922" w:type="dxa"/>
            <w:tcBorders>
              <w:top w:val="single" w:sz="5" w:space="0" w:color="000000"/>
              <w:left w:val="single" w:sz="5" w:space="0" w:color="000000"/>
              <w:bottom w:val="single" w:sz="5" w:space="0" w:color="000000"/>
              <w:right w:val="single" w:sz="5" w:space="0" w:color="000000"/>
            </w:tcBorders>
          </w:tcPr>
          <w:p w14:paraId="13F9D003" w14:textId="77777777" w:rsidR="00953B2E" w:rsidRPr="00C35766" w:rsidRDefault="005F0C19">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lang w:val="it-IT"/>
              </w:rPr>
              <w:t>Settimana 36</w:t>
            </w:r>
          </w:p>
        </w:tc>
        <w:tc>
          <w:tcPr>
            <w:tcW w:w="1980" w:type="dxa"/>
            <w:tcBorders>
              <w:top w:val="single" w:sz="5" w:space="0" w:color="000000"/>
              <w:left w:val="single" w:sz="5" w:space="0" w:color="000000"/>
              <w:bottom w:val="single" w:sz="5" w:space="0" w:color="000000"/>
              <w:right w:val="single" w:sz="5" w:space="0" w:color="000000"/>
            </w:tcBorders>
          </w:tcPr>
          <w:p w14:paraId="71ADC6AC" w14:textId="77777777" w:rsidR="00953B2E" w:rsidRPr="00C35766" w:rsidRDefault="005F0C19">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22 (30,1%)</w:t>
            </w:r>
          </w:p>
        </w:tc>
        <w:tc>
          <w:tcPr>
            <w:tcW w:w="1980" w:type="dxa"/>
            <w:tcBorders>
              <w:top w:val="single" w:sz="5" w:space="0" w:color="000000"/>
              <w:left w:val="single" w:sz="5" w:space="0" w:color="000000"/>
              <w:bottom w:val="single" w:sz="5" w:space="0" w:color="000000"/>
              <w:right w:val="single" w:sz="5" w:space="0" w:color="000000"/>
            </w:tcBorders>
          </w:tcPr>
          <w:p w14:paraId="32ABAE8B" w14:textId="77777777" w:rsidR="00953B2E" w:rsidRPr="00C35766" w:rsidRDefault="005F0C19">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28 (40,0%)</w:t>
            </w:r>
          </w:p>
        </w:tc>
        <w:tc>
          <w:tcPr>
            <w:tcW w:w="2623" w:type="dxa"/>
            <w:tcBorders>
              <w:top w:val="single" w:sz="5" w:space="0" w:color="000000"/>
              <w:left w:val="single" w:sz="5" w:space="0" w:color="000000"/>
              <w:bottom w:val="single" w:sz="5" w:space="0" w:color="000000"/>
              <w:right w:val="single" w:sz="5" w:space="0" w:color="000000"/>
            </w:tcBorders>
          </w:tcPr>
          <w:p w14:paraId="7F53E049" w14:textId="77777777" w:rsidR="00953B2E" w:rsidRPr="00C35766" w:rsidRDefault="005F0C19">
            <w:pPr>
              <w:pStyle w:val="TableParagraph"/>
              <w:spacing w:before="24"/>
              <w:ind w:left="426"/>
              <w:rPr>
                <w:rFonts w:ascii="Times New Roman" w:eastAsia="Times New Roman" w:hAnsi="Times New Roman" w:cs="Times New Roman"/>
              </w:rPr>
            </w:pPr>
            <w:r w:rsidRPr="00C35766">
              <w:rPr>
                <w:rFonts w:ascii="Times New Roman" w:eastAsia="Times New Roman" w:hAnsi="Times New Roman" w:cs="Times New Roman"/>
                <w:spacing w:val="-1"/>
                <w:lang w:val="it-IT"/>
              </w:rPr>
              <w:t>39 (55,7%)</w:t>
            </w:r>
          </w:p>
        </w:tc>
      </w:tr>
      <w:tr w:rsidR="00953B2E" w:rsidRPr="006501B3" w14:paraId="3482E4FC" w14:textId="77777777" w:rsidTr="00933A6C">
        <w:tc>
          <w:tcPr>
            <w:tcW w:w="8505" w:type="dxa"/>
            <w:gridSpan w:val="4"/>
            <w:tcBorders>
              <w:top w:val="single" w:sz="5" w:space="0" w:color="000000"/>
              <w:left w:val="single" w:sz="5" w:space="0" w:color="000000"/>
              <w:bottom w:val="single" w:sz="5" w:space="0" w:color="000000"/>
              <w:right w:val="single" w:sz="5" w:space="0" w:color="000000"/>
            </w:tcBorders>
          </w:tcPr>
          <w:p w14:paraId="0595FC4E" w14:textId="77777777" w:rsidR="00953B2E" w:rsidRPr="00C35766" w:rsidRDefault="005F0C19" w:rsidP="00787805">
            <w:pPr>
              <w:pStyle w:val="a4"/>
              <w:numPr>
                <w:ilvl w:val="0"/>
                <w:numId w:val="9"/>
              </w:numPr>
              <w:tabs>
                <w:tab w:val="left" w:pos="344"/>
              </w:tabs>
              <w:spacing w:before="39" w:line="240" w:lineRule="exact"/>
              <w:ind w:left="344" w:right="494"/>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Pazienti con almeno una risposta parziale ad adalimumab 40 mg ogni settimana dopo 12 settimane di trattamento.</w:t>
            </w:r>
          </w:p>
          <w:p w14:paraId="65FCF654" w14:textId="03C4BB87" w:rsidR="00953B2E" w:rsidRPr="00C35766" w:rsidRDefault="005F0C19" w:rsidP="00787805">
            <w:pPr>
              <w:pStyle w:val="a4"/>
              <w:numPr>
                <w:ilvl w:val="0"/>
                <w:numId w:val="9"/>
              </w:numPr>
              <w:tabs>
                <w:tab w:val="left" w:pos="344"/>
              </w:tabs>
              <w:spacing w:before="41" w:line="240" w:lineRule="exact"/>
              <w:ind w:left="344" w:right="814"/>
              <w:jc w:val="both"/>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Pazienti che rispettavano i criteri specificati nel protocollo per la perdita di</w:t>
            </w:r>
            <w:r w:rsidR="007A760E"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risposta o per la mancanza di miglioramento ai quali è stato richiesto di</w:t>
            </w:r>
            <w:r w:rsidR="007A760E"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interrompere gli studi ed erano stati considerati come non-responder.</w:t>
            </w:r>
          </w:p>
        </w:tc>
      </w:tr>
    </w:tbl>
    <w:p w14:paraId="1C9763AD" w14:textId="77777777" w:rsidR="00953B2E" w:rsidRPr="00C35766" w:rsidRDefault="00953B2E">
      <w:pPr>
        <w:pStyle w:val="a3"/>
        <w:rPr>
          <w:spacing w:val="1"/>
          <w:lang w:val="es-ES"/>
        </w:rPr>
      </w:pPr>
    </w:p>
    <w:p w14:paraId="76D7AC4D" w14:textId="77777777" w:rsidR="00953B2E" w:rsidRPr="00C35766" w:rsidRDefault="005F0C19">
      <w:pPr>
        <w:pStyle w:val="a3"/>
        <w:rPr>
          <w:lang w:val="it-IT"/>
        </w:rPr>
      </w:pPr>
      <w:r w:rsidRPr="00C35766">
        <w:rPr>
          <w:rFonts w:eastAsia="Times New Roman"/>
          <w:spacing w:val="1"/>
          <w:lang w:val="it-IT"/>
        </w:rPr>
        <w:t xml:space="preserve">Tra i pazienti con </w:t>
      </w:r>
      <w:r w:rsidR="007A760E" w:rsidRPr="00C35766">
        <w:rPr>
          <w:rFonts w:eastAsia="Times New Roman"/>
          <w:spacing w:val="1"/>
          <w:lang w:val="it-IT"/>
        </w:rPr>
        <w:t xml:space="preserve">almeno </w:t>
      </w:r>
      <w:r w:rsidRPr="00C35766">
        <w:rPr>
          <w:rFonts w:eastAsia="Times New Roman"/>
          <w:spacing w:val="1"/>
          <w:lang w:val="it-IT"/>
        </w:rPr>
        <w:t>una risposta parziale alla settimana 12 e che hanno ricevuto una terapia settimanale senza interruzione con adalimumab, la percentuale di HiSCR alla settimana 48 era del 68,3% ed alla settimana 96 era del 65,1%. Nel trattamento a lungo termine con adalimumab 40 mg a settimana per 96 settimane non sono emerse nuove problematiche di sicurezza</w:t>
      </w:r>
    </w:p>
    <w:p w14:paraId="4AF9F89D" w14:textId="77777777" w:rsidR="00953B2E" w:rsidRPr="00C35766" w:rsidRDefault="00953B2E">
      <w:pPr>
        <w:pStyle w:val="a3"/>
        <w:rPr>
          <w:sz w:val="24"/>
          <w:szCs w:val="24"/>
          <w:lang w:val="it-IT"/>
        </w:rPr>
      </w:pPr>
    </w:p>
    <w:p w14:paraId="72C37593" w14:textId="3EAF135B" w:rsidR="00953B2E" w:rsidRPr="00C35766" w:rsidRDefault="005F0C19">
      <w:pPr>
        <w:pStyle w:val="a3"/>
        <w:rPr>
          <w:lang w:val="it-IT"/>
        </w:rPr>
      </w:pPr>
      <w:r w:rsidRPr="00C35766">
        <w:rPr>
          <w:rFonts w:eastAsia="Times New Roman"/>
          <w:spacing w:val="1"/>
          <w:lang w:val="it-IT"/>
        </w:rPr>
        <w:t xml:space="preserve">Tra i pazienti negli Studi HS-I e HS-II che avevano interrotto il trattamento con adalimumab alla settimana 12, la percentuale di HiSCR 12 settimane dopo la ripresa di adalimumab 40 mg ogni settimana, </w:t>
      </w:r>
      <w:r w:rsidR="007A760E" w:rsidRPr="00C35766">
        <w:rPr>
          <w:rFonts w:eastAsia="Times New Roman"/>
          <w:spacing w:val="1"/>
          <w:lang w:val="it-IT"/>
        </w:rPr>
        <w:t xml:space="preserve">è </w:t>
      </w:r>
      <w:r w:rsidRPr="00C35766">
        <w:rPr>
          <w:rFonts w:eastAsia="Times New Roman"/>
          <w:spacing w:val="1"/>
          <w:lang w:val="it-IT"/>
        </w:rPr>
        <w:t>ritornat</w:t>
      </w:r>
      <w:r w:rsidR="007A760E" w:rsidRPr="00C35766">
        <w:rPr>
          <w:rFonts w:eastAsia="Times New Roman"/>
          <w:spacing w:val="1"/>
          <w:lang w:val="it-IT"/>
        </w:rPr>
        <w:t>a</w:t>
      </w:r>
      <w:r w:rsidRPr="00C35766">
        <w:rPr>
          <w:rFonts w:eastAsia="Times New Roman"/>
          <w:spacing w:val="1"/>
          <w:lang w:val="it-IT"/>
        </w:rPr>
        <w:t xml:space="preserve"> a livelli simili a quelli osservati prima della sospensione (56,0%).</w:t>
      </w:r>
    </w:p>
    <w:p w14:paraId="4F8280BD" w14:textId="77777777" w:rsidR="00953B2E" w:rsidRPr="00C35766" w:rsidRDefault="00953B2E">
      <w:pPr>
        <w:pStyle w:val="a3"/>
        <w:rPr>
          <w:sz w:val="24"/>
          <w:szCs w:val="24"/>
          <w:lang w:val="it-IT"/>
        </w:rPr>
      </w:pPr>
    </w:p>
    <w:p w14:paraId="65307E0F" w14:textId="77777777" w:rsidR="00953B2E" w:rsidRPr="00C35766" w:rsidRDefault="005F0C19">
      <w:pPr>
        <w:pStyle w:val="a3"/>
        <w:rPr>
          <w:rFonts w:eastAsia="Times New Roman"/>
          <w:lang w:val="it-IT"/>
        </w:rPr>
      </w:pPr>
      <w:r w:rsidRPr="00C35766">
        <w:rPr>
          <w:rFonts w:eastAsia="Times New Roman"/>
          <w:i/>
          <w:iCs/>
          <w:spacing w:val="-1"/>
          <w:lang w:val="it-IT"/>
        </w:rPr>
        <w:t>Malattia di Crohn</w:t>
      </w:r>
    </w:p>
    <w:p w14:paraId="106104FB" w14:textId="77777777" w:rsidR="00953B2E" w:rsidRPr="00C35766" w:rsidRDefault="00953B2E">
      <w:pPr>
        <w:pStyle w:val="a3"/>
        <w:rPr>
          <w:sz w:val="24"/>
          <w:szCs w:val="24"/>
          <w:lang w:val="it-IT"/>
        </w:rPr>
      </w:pPr>
    </w:p>
    <w:p w14:paraId="7508CA80" w14:textId="5D866549" w:rsidR="00953B2E" w:rsidRPr="00C35766" w:rsidRDefault="005F0C19">
      <w:pPr>
        <w:pStyle w:val="a3"/>
        <w:rPr>
          <w:lang w:val="it-IT"/>
        </w:rPr>
      </w:pPr>
      <w:r w:rsidRPr="00C35766">
        <w:rPr>
          <w:rFonts w:eastAsia="Times New Roman"/>
          <w:lang w:val="it-IT"/>
        </w:rPr>
        <w:t xml:space="preserve">La sicurezza e l’efficacia di adalimumab sono state valutate in oltre 1.500 pazienti affetti da malattia di Crohn, da moderatamente a </w:t>
      </w:r>
      <w:r w:rsidR="007A760E" w:rsidRPr="00C35766">
        <w:rPr>
          <w:rFonts w:eastAsia="Times New Roman"/>
          <w:lang w:val="it-IT"/>
        </w:rPr>
        <w:t xml:space="preserve">severamente </w:t>
      </w:r>
      <w:r w:rsidRPr="00C35766">
        <w:rPr>
          <w:rFonts w:eastAsia="Times New Roman"/>
          <w:lang w:val="it-IT"/>
        </w:rPr>
        <w:t xml:space="preserve">attiva (Crohn’s Disease Activity Index = indice di attività della malattia di Crohn (CDAI)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220 e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450) in studi randomizzati, in doppio cieco, controllati con placebo. È stata consentita la somministrazione concomitante di dosi costanti di aminosalicilati, di corticosteroidi, e/o di agenti immunomodulatori e l’80% dei pazienti ha continuato ad assumere almeno uno di questi farmaci.</w:t>
      </w:r>
    </w:p>
    <w:p w14:paraId="6D4D8EFA" w14:textId="77777777" w:rsidR="00953B2E" w:rsidRPr="00C35766" w:rsidRDefault="00953B2E">
      <w:pPr>
        <w:pStyle w:val="a3"/>
        <w:rPr>
          <w:sz w:val="24"/>
          <w:szCs w:val="24"/>
          <w:lang w:val="it-IT"/>
        </w:rPr>
      </w:pPr>
    </w:p>
    <w:p w14:paraId="5372FE09" w14:textId="77777777" w:rsidR="00953B2E" w:rsidRPr="00C35766" w:rsidRDefault="005F0C19">
      <w:pPr>
        <w:pStyle w:val="a3"/>
        <w:rPr>
          <w:lang w:val="it-IT"/>
        </w:rPr>
      </w:pPr>
      <w:r w:rsidRPr="00C35766">
        <w:rPr>
          <w:rFonts w:eastAsia="Times New Roman"/>
          <w:lang w:val="it-IT"/>
        </w:rPr>
        <w:t>L’induzione della remissione clinica (definita come CDAI &lt; 150) è stata valutata in due studi, studio CD I (CLASSIC I) e studio CD II (GAIN). Nello studio CD I, 299 pazienti mai trattati con anti-TNF sono stati randomizzati ad uno dei quattro gruppi di trattamento; il gruppo trattato con placebo alla settimana 0 e 2, il gruppo trattato con 160 mg di adalimumab alla settimana 0 e con 80 mg alla settimana 2, il gruppo trattato con 80 mg alla settimana 0 e 40 mg alla settimana 2, e il gruppo trattato con 40 mg alla settimana 0 e 20 mg alla settimana 2. Nello studio CD II, 325 pazienti che avevano perso la risposta o si sono rivelati intolleranti ad infliximab sono stati randomizzati per ricevere160 mg di adalimumab alla settimana 0 ed 80 mg di adalimumab alla settimana 2 oppure placebo alla settimana 0 ed alla settimana 2. I non-responder primari sono stati esclusi dagli studi e, di conseguenza, questi pazienti non sono stati sottoposti ad ulteriori valutazioni.</w:t>
      </w:r>
    </w:p>
    <w:p w14:paraId="7D888ACA" w14:textId="77777777" w:rsidR="00953B2E" w:rsidRPr="00C35766" w:rsidRDefault="00953B2E">
      <w:pPr>
        <w:pStyle w:val="a3"/>
        <w:rPr>
          <w:sz w:val="24"/>
          <w:szCs w:val="24"/>
          <w:lang w:val="it-IT"/>
        </w:rPr>
      </w:pPr>
    </w:p>
    <w:p w14:paraId="7A415A52" w14:textId="77777777" w:rsidR="00953B2E" w:rsidRPr="00C35766" w:rsidRDefault="005F0C19">
      <w:pPr>
        <w:pStyle w:val="a3"/>
        <w:rPr>
          <w:lang w:val="es-ES"/>
        </w:rPr>
      </w:pPr>
      <w:r w:rsidRPr="00C35766">
        <w:rPr>
          <w:rFonts w:eastAsia="Times New Roman"/>
          <w:lang w:val="it-IT"/>
        </w:rPr>
        <w:t>Il mantenimento della remissione clinica è stato valutato nello studio CD III (CHARM). Nello studio CD III, 854 pazienti hanno ricevuto in aperto 80 mg di adalimumab alla settimana 0 e 40 mg alla settimana 2. Alla settimana 4, i pazienti sono stati randomizzati per ricevere 40 mg a settimane alterne, 40 mg ogni settimana, oppure il placebo; la durata totale dello studio è stata pari a 56 settimane. I pazienti che hanno manifestato una risposta clinica (diminuzione dell’indice CDAI ≥ 70) alla settimana 4 sono stati stratificati ed analizzati separatamente da coloro che non hanno manifestato una risposta clinica alla settimana 4. È stata consentita una riduzione graduale della dose di corticosteroidi dopo la settimana 8.</w:t>
      </w:r>
    </w:p>
    <w:p w14:paraId="3832EE35" w14:textId="77777777" w:rsidR="00953B2E" w:rsidRPr="00C35766" w:rsidRDefault="00953B2E">
      <w:pPr>
        <w:spacing w:before="11" w:line="240" w:lineRule="exact"/>
        <w:rPr>
          <w:rFonts w:ascii="Times New Roman" w:hAnsi="Times New Roman" w:cs="Times New Roman"/>
          <w:sz w:val="24"/>
          <w:szCs w:val="24"/>
          <w:lang w:val="es-ES"/>
        </w:rPr>
      </w:pPr>
    </w:p>
    <w:p w14:paraId="14E928D2" w14:textId="68A4ABF1" w:rsidR="00953B2E" w:rsidRPr="00C35766" w:rsidRDefault="005F0C19">
      <w:pPr>
        <w:pStyle w:val="a3"/>
        <w:rPr>
          <w:lang w:val="es-ES"/>
        </w:rPr>
      </w:pPr>
      <w:r w:rsidRPr="00C35766">
        <w:rPr>
          <w:rFonts w:eastAsia="Times New Roman"/>
          <w:lang w:val="it-IT"/>
        </w:rPr>
        <w:t xml:space="preserve">Le percentuali relative all’induzione della remissione e della risposta clinica dello studio CD I e dello studio CD II sono riportate nella Tabella </w:t>
      </w:r>
      <w:r w:rsidR="00B90373" w:rsidRPr="00C35766">
        <w:rPr>
          <w:rFonts w:eastAsia="Times New Roman"/>
          <w:lang w:val="it-IT"/>
        </w:rPr>
        <w:t>21</w:t>
      </w:r>
      <w:r w:rsidRPr="00C35766">
        <w:rPr>
          <w:rFonts w:eastAsia="Times New Roman"/>
          <w:lang w:val="it-IT"/>
        </w:rPr>
        <w:t>.</w:t>
      </w:r>
    </w:p>
    <w:p w14:paraId="4FCFB14B" w14:textId="77777777" w:rsidR="00953B2E" w:rsidRDefault="00953B2E">
      <w:pPr>
        <w:pStyle w:val="a3"/>
        <w:jc w:val="center"/>
        <w:rPr>
          <w:b/>
          <w:lang w:val="es-ES"/>
        </w:rPr>
      </w:pPr>
    </w:p>
    <w:p w14:paraId="30D91036" w14:textId="77777777" w:rsidR="00A842FF" w:rsidRDefault="00A842FF">
      <w:pPr>
        <w:pStyle w:val="a3"/>
        <w:jc w:val="center"/>
        <w:rPr>
          <w:b/>
          <w:lang w:val="es-ES"/>
        </w:rPr>
      </w:pPr>
    </w:p>
    <w:p w14:paraId="1CA33796" w14:textId="77777777" w:rsidR="00A842FF" w:rsidRDefault="00A842FF">
      <w:pPr>
        <w:pStyle w:val="a3"/>
        <w:jc w:val="center"/>
        <w:rPr>
          <w:b/>
          <w:lang w:val="es-ES"/>
        </w:rPr>
      </w:pPr>
    </w:p>
    <w:p w14:paraId="3BD22D51" w14:textId="77777777" w:rsidR="00A842FF" w:rsidRDefault="00A842FF">
      <w:pPr>
        <w:pStyle w:val="a3"/>
        <w:jc w:val="center"/>
        <w:rPr>
          <w:b/>
          <w:lang w:val="es-ES"/>
        </w:rPr>
      </w:pPr>
    </w:p>
    <w:p w14:paraId="53705B4D" w14:textId="77777777" w:rsidR="00A842FF" w:rsidRDefault="00A842FF">
      <w:pPr>
        <w:pStyle w:val="a3"/>
        <w:jc w:val="center"/>
        <w:rPr>
          <w:b/>
          <w:lang w:val="es-ES"/>
        </w:rPr>
      </w:pPr>
    </w:p>
    <w:p w14:paraId="03EA332C" w14:textId="77777777" w:rsidR="00A842FF" w:rsidRPr="00C35766" w:rsidRDefault="00A842FF">
      <w:pPr>
        <w:pStyle w:val="a3"/>
        <w:jc w:val="center"/>
        <w:rPr>
          <w:b/>
          <w:lang w:val="es-ES"/>
        </w:rPr>
      </w:pPr>
    </w:p>
    <w:p w14:paraId="6DD15C24" w14:textId="106533C4" w:rsidR="00953B2E" w:rsidRPr="00C35766" w:rsidRDefault="005F0C19">
      <w:pPr>
        <w:pStyle w:val="a3"/>
        <w:jc w:val="center"/>
        <w:rPr>
          <w:b/>
          <w:lang w:val="it-IT"/>
        </w:rPr>
      </w:pPr>
      <w:r w:rsidRPr="00C35766">
        <w:rPr>
          <w:rFonts w:eastAsia="Times New Roman"/>
          <w:b/>
          <w:bCs/>
          <w:lang w:val="it-IT"/>
        </w:rPr>
        <w:lastRenderedPageBreak/>
        <w:t xml:space="preserve">Tabella </w:t>
      </w:r>
      <w:r w:rsidR="00B90373" w:rsidRPr="00C35766">
        <w:rPr>
          <w:rFonts w:eastAsia="Times New Roman"/>
          <w:b/>
          <w:bCs/>
          <w:lang w:val="it-IT"/>
        </w:rPr>
        <w:t>21</w:t>
      </w:r>
    </w:p>
    <w:p w14:paraId="13C8BF60" w14:textId="77777777" w:rsidR="00953B2E" w:rsidRDefault="005F0C19">
      <w:pPr>
        <w:pStyle w:val="a3"/>
        <w:jc w:val="center"/>
        <w:rPr>
          <w:rFonts w:eastAsia="Times New Roman"/>
          <w:b/>
          <w:bCs/>
          <w:lang w:val="it-IT"/>
        </w:rPr>
      </w:pPr>
      <w:r w:rsidRPr="00C35766">
        <w:rPr>
          <w:rFonts w:eastAsia="Times New Roman"/>
          <w:b/>
          <w:bCs/>
          <w:lang w:val="it-IT"/>
        </w:rPr>
        <w:t>Induzione della remissione e della risposta clinica (percentuale di pazienti)</w:t>
      </w:r>
    </w:p>
    <w:p w14:paraId="19190F3F" w14:textId="77777777" w:rsidR="005A5DEF" w:rsidRPr="00C35766" w:rsidRDefault="005A5DEF">
      <w:pPr>
        <w:pStyle w:val="a3"/>
        <w:jc w:val="center"/>
        <w:rPr>
          <w:b/>
          <w:lang w:val="it-IT"/>
        </w:rPr>
      </w:pPr>
    </w:p>
    <w:p w14:paraId="176287BD" w14:textId="77777777" w:rsidR="00953B2E" w:rsidRPr="00C35766" w:rsidRDefault="00953B2E">
      <w:pPr>
        <w:spacing w:before="3" w:line="10" w:lineRule="exact"/>
        <w:rPr>
          <w:rFonts w:ascii="Times New Roman" w:hAnsi="Times New Roman" w:cs="Times New Roman"/>
          <w:sz w:val="4"/>
          <w:lang w:val="it-IT"/>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953B2E" w:rsidRPr="00494E69" w14:paraId="176E1E06" w14:textId="77777777" w:rsidTr="00B3291C">
        <w:tc>
          <w:tcPr>
            <w:tcW w:w="2311" w:type="dxa"/>
            <w:tcBorders>
              <w:top w:val="single" w:sz="5" w:space="0" w:color="000000"/>
              <w:left w:val="single" w:sz="5" w:space="0" w:color="000000"/>
              <w:bottom w:val="single" w:sz="5" w:space="0" w:color="000000"/>
              <w:right w:val="single" w:sz="5" w:space="0" w:color="000000"/>
            </w:tcBorders>
          </w:tcPr>
          <w:p w14:paraId="39FE2A8A" w14:textId="77777777" w:rsidR="00953B2E" w:rsidRPr="00C35766" w:rsidRDefault="00953B2E">
            <w:pPr>
              <w:rPr>
                <w:rFonts w:ascii="Times New Roman" w:hAnsi="Times New Roman" w:cs="Times New Roman"/>
                <w:lang w:val="it-IT"/>
              </w:rPr>
            </w:pPr>
          </w:p>
        </w:tc>
        <w:tc>
          <w:tcPr>
            <w:tcW w:w="3779" w:type="dxa"/>
            <w:gridSpan w:val="3"/>
            <w:tcBorders>
              <w:top w:val="single" w:sz="5" w:space="0" w:color="000000"/>
              <w:left w:val="single" w:sz="5" w:space="0" w:color="000000"/>
              <w:bottom w:val="single" w:sz="5" w:space="0" w:color="000000"/>
              <w:right w:val="single" w:sz="5" w:space="0" w:color="000000"/>
            </w:tcBorders>
          </w:tcPr>
          <w:p w14:paraId="66B2B18B" w14:textId="77777777" w:rsidR="00953B2E" w:rsidRPr="00C35766" w:rsidRDefault="005F0C19">
            <w:pPr>
              <w:pStyle w:val="TableParagraph"/>
              <w:spacing w:before="39" w:line="240" w:lineRule="exact"/>
              <w:ind w:left="102" w:right="15"/>
              <w:rPr>
                <w:rFonts w:ascii="Times New Roman" w:hAnsi="Times New Roman" w:cs="Times New Roman"/>
                <w:lang w:val="it-IT"/>
              </w:rPr>
            </w:pPr>
            <w:r w:rsidRPr="00C35766">
              <w:rPr>
                <w:rFonts w:ascii="Times New Roman" w:eastAsia="Times New Roman" w:hAnsi="Times New Roman" w:cs="Times New Roman"/>
                <w:b/>
                <w:bCs/>
                <w:spacing w:val="-1"/>
                <w:lang w:val="it-IT"/>
              </w:rPr>
              <w:t>Studio CD I: pazienti mai trattati con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70521149" w14:textId="77777777" w:rsidR="00953B2E" w:rsidRPr="00C35766" w:rsidRDefault="005F0C19">
            <w:pPr>
              <w:pStyle w:val="TableParagraph"/>
              <w:spacing w:before="39" w:line="240" w:lineRule="exact"/>
              <w:ind w:left="102"/>
              <w:rPr>
                <w:rFonts w:ascii="Times New Roman" w:hAnsi="Times New Roman" w:cs="Times New Roman"/>
                <w:lang w:val="it-IT"/>
              </w:rPr>
            </w:pPr>
            <w:r w:rsidRPr="00C35766">
              <w:rPr>
                <w:rFonts w:ascii="Times New Roman" w:eastAsia="Times New Roman" w:hAnsi="Times New Roman" w:cs="Times New Roman"/>
                <w:b/>
                <w:bCs/>
                <w:spacing w:val="-1"/>
                <w:lang w:val="it-IT"/>
              </w:rPr>
              <w:t>Studio CD II: Pazienti precedentemente trattati con Infliximab</w:t>
            </w:r>
          </w:p>
        </w:tc>
      </w:tr>
      <w:tr w:rsidR="00953B2E" w:rsidRPr="00C35766" w14:paraId="4FC6AAF2" w14:textId="77777777" w:rsidTr="00B3291C">
        <w:tc>
          <w:tcPr>
            <w:tcW w:w="2311" w:type="dxa"/>
            <w:tcBorders>
              <w:top w:val="single" w:sz="5" w:space="0" w:color="000000"/>
              <w:left w:val="single" w:sz="5" w:space="0" w:color="000000"/>
              <w:bottom w:val="single" w:sz="5" w:space="0" w:color="000000"/>
              <w:right w:val="single" w:sz="5" w:space="0" w:color="000000"/>
            </w:tcBorders>
          </w:tcPr>
          <w:p w14:paraId="7682936F" w14:textId="77777777" w:rsidR="00953B2E" w:rsidRPr="00C35766" w:rsidRDefault="00953B2E">
            <w:pPr>
              <w:rPr>
                <w:rFonts w:ascii="Times New Roman" w:hAnsi="Times New Roman" w:cs="Times New Roman"/>
                <w:lang w:val="it-IT"/>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56834DA3" w14:textId="7D0BF819" w:rsidR="000E5655" w:rsidRPr="00C35766" w:rsidRDefault="005F0C19" w:rsidP="00B3291C">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0A5EFF91" w14:textId="04CD6409" w:rsidR="00953B2E" w:rsidRPr="00C35766" w:rsidRDefault="005F0C19" w:rsidP="00B3291C">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797F0310" w14:textId="77777777" w:rsidR="00953B2E" w:rsidRPr="00C35766" w:rsidRDefault="005F0C19" w:rsidP="00933496">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 xml:space="preserve">Adalimumab 80/40 mg </w:t>
            </w:r>
            <w:r w:rsidRPr="00C35766">
              <w:rPr>
                <w:rFonts w:ascii="Times New Roman" w:eastAsia="Times New Roman" w:hAnsi="Times New Roman" w:cs="Times New Roman"/>
                <w:b/>
                <w:bCs/>
                <w:lang w:val="it-IT"/>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6A364CAF" w14:textId="4F39C5E6" w:rsidR="000E5655" w:rsidRPr="00C35766" w:rsidRDefault="005F0C19" w:rsidP="00B3291C">
            <w:pPr>
              <w:pStyle w:val="TableParagraph"/>
              <w:spacing w:before="24" w:line="24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18A56F28" w14:textId="4007117A" w:rsidR="00953B2E" w:rsidRPr="00C35766" w:rsidRDefault="005F0C19" w:rsidP="00B3291C">
            <w:pPr>
              <w:pStyle w:val="TableParagraph"/>
              <w:spacing w:before="24" w:line="24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1254CAA4" w14:textId="77777777" w:rsidR="000E5655" w:rsidRPr="00C35766" w:rsidRDefault="005F0C19" w:rsidP="00B3291C">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1DA60C34" w14:textId="7669FB44" w:rsidR="00953B2E" w:rsidRPr="00C35766" w:rsidRDefault="005F0C19" w:rsidP="00B3291C">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7E48A2EA" w14:textId="5AD9636D" w:rsidR="000E5655" w:rsidRPr="00C35766" w:rsidRDefault="005F0C19" w:rsidP="00B3291C">
            <w:pPr>
              <w:pStyle w:val="TableParagraph"/>
              <w:spacing w:before="24" w:line="266" w:lineRule="auto"/>
              <w:ind w:hanging="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062EE2FD" w14:textId="79A9B318" w:rsidR="00953B2E" w:rsidRPr="00C35766" w:rsidRDefault="005F0C19" w:rsidP="00B3291C">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N=159</w:t>
            </w:r>
          </w:p>
        </w:tc>
      </w:tr>
      <w:tr w:rsidR="00953B2E" w:rsidRPr="00C35766" w14:paraId="1EC344C6" w14:textId="77777777" w:rsidTr="00B3291C">
        <w:tc>
          <w:tcPr>
            <w:tcW w:w="2311" w:type="dxa"/>
            <w:tcBorders>
              <w:top w:val="single" w:sz="5" w:space="0" w:color="000000"/>
              <w:left w:val="single" w:sz="5" w:space="0" w:color="000000"/>
              <w:bottom w:val="single" w:sz="5" w:space="0" w:color="000000"/>
              <w:right w:val="single" w:sz="5" w:space="0" w:color="000000"/>
            </w:tcBorders>
          </w:tcPr>
          <w:p w14:paraId="1398F81C" w14:textId="77777777" w:rsidR="00953B2E" w:rsidRPr="00C35766" w:rsidRDefault="005F0C19">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lang w:val="it-IT"/>
              </w:rPr>
              <w:t>Settimana 4</w:t>
            </w:r>
          </w:p>
        </w:tc>
        <w:tc>
          <w:tcPr>
            <w:tcW w:w="1085" w:type="dxa"/>
            <w:tcBorders>
              <w:top w:val="single" w:sz="5" w:space="0" w:color="000000"/>
              <w:left w:val="single" w:sz="5" w:space="0" w:color="000000"/>
              <w:bottom w:val="single" w:sz="5" w:space="0" w:color="000000"/>
              <w:right w:val="single" w:sz="5" w:space="0" w:color="000000"/>
            </w:tcBorders>
          </w:tcPr>
          <w:p w14:paraId="6E72F6C0" w14:textId="77777777" w:rsidR="00953B2E" w:rsidRPr="00C35766" w:rsidRDefault="00953B2E">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4B7126E0" w14:textId="77777777" w:rsidR="00953B2E" w:rsidRPr="00C35766" w:rsidRDefault="00953B2E">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4EED346B" w14:textId="77777777" w:rsidR="00953B2E" w:rsidRPr="00C35766" w:rsidRDefault="00953B2E">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7D00CCED" w14:textId="77777777" w:rsidR="00953B2E" w:rsidRPr="00C35766" w:rsidRDefault="00953B2E">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22C29B0F" w14:textId="77777777" w:rsidR="00953B2E" w:rsidRPr="00C35766" w:rsidRDefault="00953B2E">
            <w:pPr>
              <w:rPr>
                <w:rFonts w:ascii="Times New Roman" w:hAnsi="Times New Roman" w:cs="Times New Roman"/>
              </w:rPr>
            </w:pPr>
          </w:p>
        </w:tc>
      </w:tr>
      <w:tr w:rsidR="00953B2E" w:rsidRPr="00C35766" w14:paraId="1F66CDD1" w14:textId="77777777" w:rsidTr="00B3291C">
        <w:tc>
          <w:tcPr>
            <w:tcW w:w="2311" w:type="dxa"/>
            <w:tcBorders>
              <w:top w:val="single" w:sz="5" w:space="0" w:color="000000"/>
              <w:left w:val="single" w:sz="5" w:space="0" w:color="000000"/>
              <w:bottom w:val="single" w:sz="5" w:space="0" w:color="000000"/>
              <w:right w:val="single" w:sz="5" w:space="0" w:color="000000"/>
            </w:tcBorders>
          </w:tcPr>
          <w:p w14:paraId="44322DDB" w14:textId="77777777" w:rsidR="00953B2E" w:rsidRPr="00C35766" w:rsidRDefault="005F0C19">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085" w:type="dxa"/>
            <w:tcBorders>
              <w:top w:val="single" w:sz="5" w:space="0" w:color="000000"/>
              <w:left w:val="single" w:sz="5" w:space="0" w:color="000000"/>
              <w:bottom w:val="single" w:sz="5" w:space="0" w:color="000000"/>
              <w:right w:val="single" w:sz="5" w:space="0" w:color="000000"/>
            </w:tcBorders>
          </w:tcPr>
          <w:p w14:paraId="541600CD" w14:textId="77777777" w:rsidR="00953B2E" w:rsidRPr="00C35766" w:rsidRDefault="005F0C19">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356" w:type="dxa"/>
            <w:tcBorders>
              <w:top w:val="single" w:sz="5" w:space="0" w:color="000000"/>
              <w:left w:val="single" w:sz="5" w:space="0" w:color="000000"/>
              <w:bottom w:val="single" w:sz="5" w:space="0" w:color="000000"/>
              <w:right w:val="single" w:sz="5" w:space="0" w:color="000000"/>
            </w:tcBorders>
          </w:tcPr>
          <w:p w14:paraId="6B2994EF" w14:textId="77777777" w:rsidR="00953B2E" w:rsidRPr="00C35766" w:rsidRDefault="005F0C19">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38" w:type="dxa"/>
            <w:tcBorders>
              <w:top w:val="single" w:sz="5" w:space="0" w:color="000000"/>
              <w:left w:val="single" w:sz="5" w:space="0" w:color="000000"/>
              <w:bottom w:val="single" w:sz="5" w:space="0" w:color="000000"/>
              <w:right w:val="single" w:sz="5" w:space="0" w:color="000000"/>
            </w:tcBorders>
          </w:tcPr>
          <w:p w14:paraId="35437435" w14:textId="77777777" w:rsidR="00953B2E" w:rsidRPr="00C35766" w:rsidRDefault="005F0C19">
            <w:pPr>
              <w:pStyle w:val="TableParagraph"/>
              <w:spacing w:before="18"/>
              <w:ind w:left="344"/>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36%</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77CDF7EE" w14:textId="77777777" w:rsidR="00953B2E" w:rsidRPr="00C35766" w:rsidRDefault="005F0C19">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7%</w:t>
            </w:r>
          </w:p>
        </w:tc>
        <w:tc>
          <w:tcPr>
            <w:tcW w:w="1843" w:type="dxa"/>
            <w:tcBorders>
              <w:top w:val="single" w:sz="5" w:space="0" w:color="000000"/>
              <w:left w:val="single" w:sz="5" w:space="0" w:color="000000"/>
              <w:bottom w:val="single" w:sz="5" w:space="0" w:color="000000"/>
              <w:right w:val="single" w:sz="5" w:space="0" w:color="000000"/>
            </w:tcBorders>
          </w:tcPr>
          <w:p w14:paraId="33AD6E22" w14:textId="77777777" w:rsidR="00953B2E" w:rsidRPr="00C35766" w:rsidRDefault="005F0C19">
            <w:pPr>
              <w:pStyle w:val="TableParagraph"/>
              <w:spacing w:before="18"/>
              <w:ind w:left="644" w:right="644"/>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21%</w:t>
            </w:r>
            <w:r w:rsidRPr="00C35766">
              <w:rPr>
                <w:rFonts w:ascii="Times New Roman" w:hAnsi="Times New Roman" w:cs="Times New Roman"/>
                <w:vertAlign w:val="superscript"/>
                <w:lang w:val="it-IT"/>
              </w:rPr>
              <w:t>*</w:t>
            </w:r>
          </w:p>
        </w:tc>
      </w:tr>
      <w:tr w:rsidR="00953B2E" w:rsidRPr="00C35766" w14:paraId="5940FD62" w14:textId="77777777" w:rsidTr="00B3291C">
        <w:tc>
          <w:tcPr>
            <w:tcW w:w="2311" w:type="dxa"/>
            <w:tcBorders>
              <w:top w:val="single" w:sz="5" w:space="0" w:color="000000"/>
              <w:left w:val="single" w:sz="5" w:space="0" w:color="000000"/>
              <w:bottom w:val="single" w:sz="5" w:space="0" w:color="000000"/>
              <w:right w:val="single" w:sz="5" w:space="0" w:color="000000"/>
            </w:tcBorders>
          </w:tcPr>
          <w:p w14:paraId="45F29EFF" w14:textId="77777777" w:rsidR="00953B2E" w:rsidRPr="00C35766" w:rsidRDefault="005F0C19">
            <w:pPr>
              <w:pStyle w:val="TableParagraph"/>
              <w:spacing w:before="40" w:line="240"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(CR- 100)</w:t>
            </w:r>
          </w:p>
        </w:tc>
        <w:tc>
          <w:tcPr>
            <w:tcW w:w="1085" w:type="dxa"/>
            <w:tcBorders>
              <w:top w:val="single" w:sz="5" w:space="0" w:color="000000"/>
              <w:left w:val="single" w:sz="5" w:space="0" w:color="000000"/>
              <w:bottom w:val="single" w:sz="5" w:space="0" w:color="000000"/>
              <w:right w:val="single" w:sz="5" w:space="0" w:color="000000"/>
            </w:tcBorders>
          </w:tcPr>
          <w:p w14:paraId="07CA6ED6" w14:textId="77777777" w:rsidR="00953B2E" w:rsidRPr="00C35766" w:rsidRDefault="005F0C19">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56" w:type="dxa"/>
            <w:tcBorders>
              <w:top w:val="single" w:sz="5" w:space="0" w:color="000000"/>
              <w:left w:val="single" w:sz="5" w:space="0" w:color="000000"/>
              <w:bottom w:val="single" w:sz="5" w:space="0" w:color="000000"/>
              <w:right w:val="single" w:sz="5" w:space="0" w:color="000000"/>
            </w:tcBorders>
          </w:tcPr>
          <w:p w14:paraId="7C0AC52E" w14:textId="77777777" w:rsidR="00953B2E" w:rsidRPr="00C35766" w:rsidRDefault="005F0C19">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37%</w:t>
            </w:r>
          </w:p>
        </w:tc>
        <w:tc>
          <w:tcPr>
            <w:tcW w:w="1338" w:type="dxa"/>
            <w:tcBorders>
              <w:top w:val="single" w:sz="5" w:space="0" w:color="000000"/>
              <w:left w:val="single" w:sz="5" w:space="0" w:color="000000"/>
              <w:bottom w:val="single" w:sz="5" w:space="0" w:color="000000"/>
              <w:right w:val="single" w:sz="5" w:space="0" w:color="000000"/>
            </w:tcBorders>
          </w:tcPr>
          <w:p w14:paraId="443B73D1" w14:textId="77777777" w:rsidR="00953B2E" w:rsidRPr="00C35766" w:rsidRDefault="005F0C19">
            <w:pPr>
              <w:pStyle w:val="TableParagraph"/>
              <w:spacing w:before="18"/>
              <w:ind w:left="311"/>
              <w:rPr>
                <w:rFonts w:ascii="Times New Roman" w:eastAsia="Times New Roman" w:hAnsi="Times New Roman" w:cs="Times New Roman"/>
                <w:sz w:val="14"/>
                <w:szCs w:val="14"/>
              </w:rPr>
            </w:pPr>
            <w:r w:rsidRPr="00C35766">
              <w:rPr>
                <w:rFonts w:ascii="Times New Roman" w:eastAsia="Times New Roman" w:hAnsi="Times New Roman" w:cs="Times New Roman"/>
                <w:lang w:val="it-IT"/>
              </w:rPr>
              <w:t>49%</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37D6E760" w14:textId="77777777" w:rsidR="00953B2E" w:rsidRPr="00C35766" w:rsidRDefault="005F0C19">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1843" w:type="dxa"/>
            <w:tcBorders>
              <w:top w:val="single" w:sz="5" w:space="0" w:color="000000"/>
              <w:left w:val="single" w:sz="5" w:space="0" w:color="000000"/>
              <w:bottom w:val="single" w:sz="5" w:space="0" w:color="000000"/>
              <w:right w:val="single" w:sz="5" w:space="0" w:color="000000"/>
            </w:tcBorders>
          </w:tcPr>
          <w:p w14:paraId="4A772E88" w14:textId="77777777" w:rsidR="00953B2E" w:rsidRPr="00C35766" w:rsidRDefault="005F0C19">
            <w:pPr>
              <w:pStyle w:val="TableParagraph"/>
              <w:spacing w:before="18"/>
              <w:ind w:left="609" w:right="616"/>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38%</w:t>
            </w:r>
            <w:r w:rsidRPr="00C35766">
              <w:rPr>
                <w:rFonts w:ascii="Times New Roman" w:hAnsi="Times New Roman" w:cs="Times New Roman"/>
                <w:vertAlign w:val="superscript"/>
                <w:lang w:val="it-IT"/>
              </w:rPr>
              <w:t>**</w:t>
            </w:r>
          </w:p>
        </w:tc>
      </w:tr>
    </w:tbl>
    <w:p w14:paraId="2D457A9C" w14:textId="77777777" w:rsidR="00953B2E" w:rsidRPr="00C35766" w:rsidRDefault="005F0C19">
      <w:pPr>
        <w:pStyle w:val="a3"/>
        <w:rPr>
          <w:lang w:val="it-IT"/>
        </w:rPr>
      </w:pPr>
      <w:r w:rsidRPr="00C35766">
        <w:rPr>
          <w:rFonts w:eastAsia="Times New Roman"/>
          <w:lang w:val="it-IT"/>
        </w:rPr>
        <w:t xml:space="preserve">Tutti i valori p rappresentano i confronti a coppie delle percentuali di adalimumab </w:t>
      </w:r>
      <w:r w:rsidRPr="00C35766">
        <w:rPr>
          <w:lang w:val="it-IT"/>
        </w:rPr>
        <w:t>rispetto a</w:t>
      </w:r>
      <w:r w:rsidRPr="00C35766">
        <w:rPr>
          <w:rFonts w:eastAsia="Times New Roman"/>
          <w:lang w:val="it-IT"/>
        </w:rPr>
        <w:t xml:space="preserve"> placebo</w:t>
      </w:r>
    </w:p>
    <w:p w14:paraId="5D7D7CA0" w14:textId="7F7D7546" w:rsidR="00953B2E" w:rsidRPr="00C35766" w:rsidRDefault="005F0C19">
      <w:pPr>
        <w:pStyle w:val="a3"/>
        <w:rPr>
          <w:lang w:val="it-IT"/>
        </w:rPr>
      </w:pPr>
      <w:r w:rsidRPr="00C35766">
        <w:rPr>
          <w:rFonts w:eastAsia="Times New Roman"/>
          <w:position w:val="8"/>
          <w:sz w:val="14"/>
          <w:szCs w:val="14"/>
          <w:lang w:val="it-IT"/>
        </w:rPr>
        <w:t>*</w:t>
      </w:r>
      <w:r w:rsidRPr="00C35766">
        <w:rPr>
          <w:rFonts w:eastAsia="Times New Roman"/>
          <w:position w:val="8"/>
          <w:lang w:val="it-IT"/>
        </w:rPr>
        <w:t>p</w:t>
      </w:r>
      <w:r w:rsidR="00CB6D79" w:rsidRPr="00C35766">
        <w:rPr>
          <w:rFonts w:eastAsia="Times New Roman"/>
          <w:position w:val="8"/>
          <w:lang w:val="it-IT"/>
        </w:rPr>
        <w:t xml:space="preserve"> </w:t>
      </w:r>
      <w:r w:rsidRPr="00C35766">
        <w:rPr>
          <w:rFonts w:eastAsia="Times New Roman"/>
          <w:position w:val="8"/>
          <w:lang w:val="it-IT"/>
        </w:rPr>
        <w:t>&lt;</w:t>
      </w:r>
      <w:r w:rsidR="000F35BA" w:rsidRPr="00C35766">
        <w:rPr>
          <w:rFonts w:eastAsia="Times New Roman"/>
          <w:position w:val="8"/>
          <w:lang w:val="it-IT"/>
        </w:rPr>
        <w:t xml:space="preserve"> </w:t>
      </w:r>
      <w:r w:rsidRPr="00C35766">
        <w:rPr>
          <w:rFonts w:eastAsia="Times New Roman"/>
          <w:position w:val="8"/>
          <w:lang w:val="it-IT"/>
        </w:rPr>
        <w:t>0,001</w:t>
      </w:r>
    </w:p>
    <w:p w14:paraId="3222EAAE" w14:textId="40B0F109" w:rsidR="00953B2E" w:rsidRPr="00C35766" w:rsidRDefault="005F0C19">
      <w:pPr>
        <w:tabs>
          <w:tab w:val="left" w:pos="506"/>
        </w:tabs>
        <w:spacing w:before="22"/>
        <w:rPr>
          <w:rFonts w:ascii="Times New Roman" w:hAnsi="Times New Roman" w:cs="Times New Roman"/>
          <w:lang w:val="it-IT"/>
        </w:rPr>
      </w:pPr>
      <w:r w:rsidRPr="00C35766">
        <w:rPr>
          <w:rFonts w:ascii="Times New Roman" w:eastAsia="Times New Roman" w:hAnsi="Times New Roman" w:cs="Times New Roman"/>
          <w:position w:val="8"/>
          <w:sz w:val="14"/>
          <w:szCs w:val="14"/>
          <w:lang w:val="it-IT"/>
        </w:rPr>
        <w:t>**</w:t>
      </w:r>
      <w:r w:rsidRPr="00C35766">
        <w:rPr>
          <w:rFonts w:ascii="Times New Roman" w:eastAsia="Times New Roman" w:hAnsi="Times New Roman" w:cs="Times New Roman"/>
          <w:position w:val="8"/>
          <w:lang w:val="it-IT"/>
        </w:rPr>
        <w:t>p &lt;</w:t>
      </w:r>
      <w:r w:rsidR="000F35BA" w:rsidRPr="00C35766">
        <w:rPr>
          <w:rFonts w:ascii="Times New Roman" w:eastAsia="Times New Roman" w:hAnsi="Times New Roman" w:cs="Times New Roman"/>
          <w:position w:val="8"/>
          <w:lang w:val="it-IT"/>
        </w:rPr>
        <w:t xml:space="preserve"> </w:t>
      </w:r>
      <w:r w:rsidRPr="00C35766">
        <w:rPr>
          <w:rFonts w:ascii="Times New Roman" w:eastAsia="Times New Roman" w:hAnsi="Times New Roman" w:cs="Times New Roman"/>
          <w:position w:val="8"/>
          <w:lang w:val="it-IT"/>
        </w:rPr>
        <w:t>0,01</w:t>
      </w:r>
    </w:p>
    <w:p w14:paraId="0091E5EA" w14:textId="77777777" w:rsidR="00953B2E" w:rsidRPr="00C35766" w:rsidRDefault="00953B2E">
      <w:pPr>
        <w:spacing w:before="15" w:line="200" w:lineRule="exact"/>
        <w:rPr>
          <w:rFonts w:ascii="Times New Roman" w:hAnsi="Times New Roman" w:cs="Times New Roman"/>
          <w:sz w:val="20"/>
          <w:lang w:val="it-IT"/>
        </w:rPr>
      </w:pPr>
    </w:p>
    <w:p w14:paraId="782DE72B" w14:textId="77777777" w:rsidR="00953B2E" w:rsidRPr="00C35766" w:rsidRDefault="005F0C19">
      <w:pPr>
        <w:pStyle w:val="a3"/>
        <w:rPr>
          <w:lang w:val="it-IT"/>
        </w:rPr>
      </w:pPr>
      <w:r w:rsidRPr="00C35766">
        <w:rPr>
          <w:rFonts w:eastAsia="Times New Roman"/>
          <w:lang w:val="it-IT"/>
        </w:rPr>
        <w:t>Percentuali di remissione simili sono state osservate nel gruppo trattato con la dose di induzione pari a 160/80 mg ed a 80/40 mg entro la settimana 8 e gli eventi avversi si sono manifestati più frequentemente nel gruppo trattato con il dosaggio pari a 160/80 mg.</w:t>
      </w:r>
    </w:p>
    <w:p w14:paraId="140A606D" w14:textId="77777777" w:rsidR="00953B2E" w:rsidRPr="00C35766" w:rsidRDefault="00953B2E">
      <w:pPr>
        <w:spacing w:before="11" w:line="240" w:lineRule="exact"/>
        <w:rPr>
          <w:rFonts w:ascii="Times New Roman" w:hAnsi="Times New Roman" w:cs="Times New Roman"/>
          <w:sz w:val="24"/>
          <w:lang w:val="it-IT"/>
        </w:rPr>
      </w:pPr>
    </w:p>
    <w:p w14:paraId="6D21E1BA" w14:textId="157F994F" w:rsidR="00953B2E" w:rsidRPr="00C35766" w:rsidRDefault="005F0C19">
      <w:pPr>
        <w:pStyle w:val="a3"/>
        <w:rPr>
          <w:lang w:val="it-IT"/>
        </w:rPr>
      </w:pPr>
      <w:r w:rsidRPr="00C35766">
        <w:rPr>
          <w:rFonts w:eastAsia="Times New Roman"/>
          <w:lang w:val="it-IT"/>
        </w:rPr>
        <w:t xml:space="preserve">Nello studio CD III, alla settimana 4, il 58% (499/854) dei pazienti ha manifestato una risposta clinica ed è stato valutato nell’analisi primaria. Tra i pazienti che hanno manifestato una risposta clinica alla settimana 4, il 48% era stato esposto precedentemente a terapia con altri farmaci antagonisti del TNF. Le percentuali relative al mantenimento della remissione e della risposta clinica sono riportate nella Tabella </w:t>
      </w:r>
      <w:r w:rsidR="00B90373" w:rsidRPr="00C35766">
        <w:rPr>
          <w:rFonts w:eastAsia="Times New Roman"/>
          <w:lang w:val="it-IT"/>
        </w:rPr>
        <w:t>22</w:t>
      </w:r>
      <w:r w:rsidRPr="00C35766">
        <w:rPr>
          <w:rFonts w:eastAsia="Times New Roman"/>
          <w:lang w:val="it-IT"/>
        </w:rPr>
        <w:t>. I risultati relativi alla remissione clinica sono rimasti relativamente costanti a prescindere dall’esposizione precedente a farmaci anti-TNF.</w:t>
      </w:r>
    </w:p>
    <w:p w14:paraId="47DD9C3F" w14:textId="77777777" w:rsidR="00953B2E" w:rsidRPr="00C35766" w:rsidRDefault="00953B2E">
      <w:pPr>
        <w:spacing w:before="13" w:line="240" w:lineRule="exact"/>
        <w:rPr>
          <w:rFonts w:ascii="Times New Roman" w:hAnsi="Times New Roman" w:cs="Times New Roman"/>
          <w:sz w:val="24"/>
          <w:szCs w:val="24"/>
          <w:lang w:val="it-IT"/>
        </w:rPr>
      </w:pPr>
    </w:p>
    <w:p w14:paraId="1BC00A82" w14:textId="7E3B79CC" w:rsidR="00953B2E" w:rsidRPr="00C35766" w:rsidRDefault="005F0C19">
      <w:pPr>
        <w:pStyle w:val="a3"/>
        <w:rPr>
          <w:lang w:val="it-IT"/>
        </w:rPr>
      </w:pPr>
      <w:r w:rsidRPr="00C35766">
        <w:rPr>
          <w:rFonts w:eastAsia="Times New Roman"/>
          <w:lang w:val="it-IT"/>
        </w:rPr>
        <w:t xml:space="preserve">Alla settimana 56 il ricovero ospedaliero correlato alla malattia e gli interventi chirurgici erano </w:t>
      </w:r>
      <w:r w:rsidR="00F770DA" w:rsidRPr="00C35766">
        <w:rPr>
          <w:rFonts w:eastAsia="Times New Roman"/>
          <w:lang w:val="it-IT"/>
        </w:rPr>
        <w:t xml:space="preserve">ridotti in modo </w:t>
      </w:r>
      <w:r w:rsidRPr="00C35766">
        <w:rPr>
          <w:rFonts w:eastAsia="Times New Roman"/>
          <w:lang w:val="it-IT"/>
        </w:rPr>
        <w:t xml:space="preserve">statisticamente </w:t>
      </w:r>
      <w:r w:rsidR="00F770DA" w:rsidRPr="00C35766">
        <w:rPr>
          <w:rFonts w:eastAsia="Times New Roman"/>
          <w:lang w:val="it-IT"/>
        </w:rPr>
        <w:t xml:space="preserve">significativo </w:t>
      </w:r>
      <w:r w:rsidRPr="00C35766">
        <w:rPr>
          <w:rFonts w:eastAsia="Times New Roman"/>
          <w:lang w:val="it-IT"/>
        </w:rPr>
        <w:t>con adalimumab rispetto al placebo.</w:t>
      </w:r>
    </w:p>
    <w:p w14:paraId="315FED1A" w14:textId="77777777" w:rsidR="00953B2E" w:rsidRPr="00C35766" w:rsidRDefault="00953B2E">
      <w:pPr>
        <w:pStyle w:val="a3"/>
        <w:jc w:val="center"/>
        <w:rPr>
          <w:rFonts w:eastAsia="Times New Roman"/>
          <w:b/>
          <w:bCs/>
          <w:lang w:val="it-IT"/>
        </w:rPr>
      </w:pPr>
    </w:p>
    <w:p w14:paraId="4817CA0C" w14:textId="5B291A87"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22</w:t>
      </w:r>
    </w:p>
    <w:p w14:paraId="53AF12C3" w14:textId="77777777" w:rsidR="00953B2E" w:rsidRDefault="005F0C19">
      <w:pPr>
        <w:pStyle w:val="a3"/>
        <w:jc w:val="center"/>
        <w:rPr>
          <w:rFonts w:eastAsia="Times New Roman"/>
          <w:b/>
          <w:bCs/>
          <w:lang w:val="it-IT"/>
        </w:rPr>
      </w:pPr>
      <w:r w:rsidRPr="00C35766">
        <w:rPr>
          <w:rFonts w:eastAsia="Times New Roman"/>
          <w:b/>
          <w:bCs/>
          <w:lang w:val="it-IT"/>
        </w:rPr>
        <w:t>Mantenimento della remissione e della risposta clinica (percentuale di pazienti)</w:t>
      </w:r>
    </w:p>
    <w:p w14:paraId="24A77525" w14:textId="77777777" w:rsidR="005A5DEF" w:rsidRPr="00C35766" w:rsidRDefault="005A5DEF">
      <w:pPr>
        <w:pStyle w:val="a3"/>
        <w:jc w:val="center"/>
        <w:rPr>
          <w:b/>
          <w:lang w:val="it-IT"/>
        </w:rPr>
      </w:pPr>
    </w:p>
    <w:p w14:paraId="7E6FABF6" w14:textId="77777777" w:rsidR="00953B2E" w:rsidRPr="00C35766" w:rsidRDefault="00953B2E">
      <w:pPr>
        <w:spacing w:before="6" w:line="10" w:lineRule="exact"/>
        <w:rPr>
          <w:rFonts w:ascii="Times New Roman" w:hAnsi="Times New Roman" w:cs="Times New Roman"/>
          <w:sz w:val="4"/>
          <w:lang w:val="it-IT"/>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953B2E" w:rsidRPr="00494E69" w14:paraId="4619BB7C"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1D24F681" w14:textId="77777777" w:rsidR="00953B2E" w:rsidRPr="00C35766" w:rsidRDefault="00953B2E">
            <w:pPr>
              <w:jc w:val="center"/>
              <w:rPr>
                <w:rFonts w:ascii="Times New Roman" w:hAnsi="Times New Roman" w:cs="Times New Roman"/>
                <w:lang w:val="it-IT"/>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2E116956"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lang w:val="it-IT"/>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6D02E41A" w14:textId="77777777" w:rsidR="00953B2E" w:rsidRPr="00C35766" w:rsidRDefault="005F0C19" w:rsidP="00622441">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a settimane alterne</w:t>
            </w:r>
          </w:p>
        </w:tc>
        <w:tc>
          <w:tcPr>
            <w:tcW w:w="2150" w:type="dxa"/>
            <w:tcBorders>
              <w:top w:val="single" w:sz="5" w:space="0" w:color="000000"/>
              <w:left w:val="single" w:sz="5" w:space="0" w:color="000000"/>
              <w:bottom w:val="single" w:sz="5" w:space="0" w:color="000000"/>
              <w:right w:val="single" w:sz="5" w:space="0" w:color="000000"/>
            </w:tcBorders>
            <w:vAlign w:val="center"/>
          </w:tcPr>
          <w:p w14:paraId="22F5ADD0" w14:textId="77777777" w:rsidR="00953B2E" w:rsidRPr="00C35766" w:rsidRDefault="005F0C19" w:rsidP="00B3291C">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ogni settimana</w:t>
            </w:r>
          </w:p>
        </w:tc>
      </w:tr>
      <w:tr w:rsidR="00953B2E" w:rsidRPr="00C35766" w14:paraId="497EB3F5"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643A635B" w14:textId="0E25323E"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2F0275B2"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0C6A0D20"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5B8647D6"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953B2E" w:rsidRPr="00C35766" w14:paraId="7E0B4338"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1CCAA854" w14:textId="77777777"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25A86EB1"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49AB3D6A"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495FDF6D"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47%*</w:t>
            </w:r>
          </w:p>
        </w:tc>
      </w:tr>
      <w:tr w:rsidR="00953B2E" w:rsidRPr="00C35766" w14:paraId="5EF71224"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111EA765" w14:textId="77777777"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60087E78"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40E8A4F3"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380CD293"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r>
      <w:tr w:rsidR="00953B2E" w:rsidRPr="00C35766" w14:paraId="3042F7BF"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477FC685" w14:textId="52EB9B09" w:rsidR="00953B2E" w:rsidRPr="00C35766" w:rsidRDefault="005F0C19" w:rsidP="000F35BA">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t>Pazienti in remissione senza</w:t>
            </w:r>
            <w:r w:rsidR="00CB6D79"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trattamento steroideo</w:t>
            </w:r>
            <w:r w:rsidR="00CB6D79"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 xml:space="preserve">per </w:t>
            </w:r>
            <w:r w:rsidR="00AF0DC3" w:rsidRPr="00C35766">
              <w:rPr>
                <w:rFonts w:ascii="Times New Roman" w:eastAsia="Times New Roman" w:hAnsi="Times New Roman" w:cs="Times New Roman"/>
                <w:spacing w:val="-1"/>
                <w:lang w:val="it-IT"/>
              </w:rPr>
              <w:t>≥</w:t>
            </w:r>
            <w:r w:rsidR="00CB6D79"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0BEFB52F"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6068FE3"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4CAB9B4"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15% (11/74)**</w:t>
            </w:r>
          </w:p>
        </w:tc>
      </w:tr>
      <w:tr w:rsidR="00953B2E" w:rsidRPr="00C35766" w14:paraId="20AE6836"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14272D8F" w14:textId="77777777"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3E0B9241"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5CF69024"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7A04AEAF"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953B2E" w:rsidRPr="00C35766" w14:paraId="361ADD6C"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5DE0A42D" w14:textId="77777777"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0E0733E8"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455F11CA"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6B3A494C"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r>
      <w:tr w:rsidR="00953B2E" w:rsidRPr="00C35766" w14:paraId="4E8A3B07"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3FAD58F8" w14:textId="77777777" w:rsidR="00953B2E" w:rsidRPr="00C35766" w:rsidRDefault="005F0C19" w:rsidP="00B3291C">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783AE8AC"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06FD12BD"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35C480B4"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48%*</w:t>
            </w:r>
          </w:p>
        </w:tc>
      </w:tr>
      <w:tr w:rsidR="00953B2E" w:rsidRPr="00C35766" w14:paraId="5C9DEBD8" w14:textId="77777777">
        <w:tc>
          <w:tcPr>
            <w:tcW w:w="3467" w:type="dxa"/>
            <w:tcBorders>
              <w:top w:val="single" w:sz="5" w:space="0" w:color="000000"/>
              <w:left w:val="single" w:sz="5" w:space="0" w:color="000000"/>
              <w:bottom w:val="single" w:sz="5" w:space="0" w:color="000000"/>
              <w:right w:val="single" w:sz="5" w:space="0" w:color="000000"/>
            </w:tcBorders>
            <w:vAlign w:val="center"/>
          </w:tcPr>
          <w:p w14:paraId="280759E1" w14:textId="0FECEF6F" w:rsidR="00953B2E" w:rsidRPr="00C35766" w:rsidRDefault="005F0C19" w:rsidP="00B3291C">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t>Pazienti in remissione senza</w:t>
            </w:r>
            <w:r w:rsidR="00F770DA"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 xml:space="preserve">trattamento steroideo per </w:t>
            </w:r>
            <w:r w:rsidR="00AF0DC3" w:rsidRPr="00C35766">
              <w:rPr>
                <w:rFonts w:ascii="Times New Roman" w:eastAsia="Times New Roman" w:hAnsi="Times New Roman" w:cs="Times New Roman"/>
                <w:spacing w:val="-1"/>
                <w:lang w:val="it-IT"/>
              </w:rPr>
              <w:t>≥</w:t>
            </w:r>
            <w:r w:rsidR="000F35BA"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3D0FDA84"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43EC243"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16AF42AF" w14:textId="77777777" w:rsidR="00953B2E" w:rsidRPr="00C35766" w:rsidRDefault="005F0C19">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20% (15/74)**</w:t>
            </w:r>
          </w:p>
        </w:tc>
      </w:tr>
    </w:tbl>
    <w:p w14:paraId="316DA71E" w14:textId="77777777" w:rsidR="00953B2E" w:rsidRPr="00C35766" w:rsidRDefault="005F0C19" w:rsidP="00146E60">
      <w:pPr>
        <w:pStyle w:val="a3"/>
        <w:ind w:leftChars="100" w:left="220"/>
        <w:rPr>
          <w:lang w:val="it-IT"/>
        </w:rPr>
      </w:pPr>
      <w:r w:rsidRPr="00C35766">
        <w:rPr>
          <w:rFonts w:eastAsia="Times New Roman"/>
          <w:lang w:val="it-IT"/>
        </w:rPr>
        <w:t xml:space="preserve">*p &lt; 0,001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56B10815" w14:textId="4F52DDD7" w:rsidR="00953B2E" w:rsidRPr="00C35766" w:rsidRDefault="005F0C19" w:rsidP="00146E60">
      <w:pPr>
        <w:pStyle w:val="a3"/>
        <w:ind w:leftChars="100" w:left="220"/>
        <w:rPr>
          <w:lang w:val="it-IT"/>
        </w:rPr>
      </w:pPr>
      <w:r w:rsidRPr="00C35766">
        <w:rPr>
          <w:rFonts w:eastAsia="Times New Roman"/>
          <w:lang w:val="it-IT"/>
        </w:rPr>
        <w:t>** p</w:t>
      </w:r>
      <w:r w:rsidR="00B82D29" w:rsidRPr="00C35766">
        <w:rPr>
          <w:rFonts w:eastAsia="Times New Roman"/>
          <w:lang w:val="it-IT"/>
        </w:rPr>
        <w:t xml:space="preserve"> </w:t>
      </w:r>
      <w:r w:rsidRPr="00C35766">
        <w:rPr>
          <w:rFonts w:eastAsia="Times New Roman"/>
          <w:lang w:val="it-IT"/>
        </w:rPr>
        <w:t>&lt;</w:t>
      </w:r>
      <w:r w:rsidR="00B82D29" w:rsidRPr="00C35766">
        <w:rPr>
          <w:rFonts w:eastAsia="Times New Roman"/>
          <w:lang w:val="it-IT"/>
        </w:rPr>
        <w:t xml:space="preserve"> </w:t>
      </w:r>
      <w:r w:rsidRPr="00C35766">
        <w:rPr>
          <w:rFonts w:eastAsia="Times New Roman"/>
          <w:lang w:val="it-IT"/>
        </w:rPr>
        <w:t xml:space="preserve">0,02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608FF3D4" w14:textId="77777777" w:rsidR="00953B2E" w:rsidRPr="00C35766" w:rsidRDefault="005F0C19" w:rsidP="00146E60">
      <w:pPr>
        <w:pStyle w:val="a3"/>
        <w:ind w:leftChars="100" w:left="220"/>
        <w:rPr>
          <w:lang w:val="es-ES"/>
        </w:rPr>
      </w:pPr>
      <w:r w:rsidRPr="00C35766">
        <w:rPr>
          <w:rFonts w:eastAsia="Times New Roman"/>
          <w:position w:val="8"/>
          <w:vertAlign w:val="superscript"/>
          <w:lang w:val="it-IT"/>
        </w:rPr>
        <w:lastRenderedPageBreak/>
        <w:t>a</w:t>
      </w:r>
      <w:r w:rsidRPr="00C35766">
        <w:rPr>
          <w:rFonts w:eastAsia="Times New Roman"/>
          <w:position w:val="8"/>
          <w:lang w:val="it-IT"/>
        </w:rPr>
        <w:t xml:space="preserve"> di coloro che sono stati trattati con corticosteroidi al basale</w:t>
      </w:r>
    </w:p>
    <w:p w14:paraId="0D8A02EE" w14:textId="77777777" w:rsidR="00953B2E" w:rsidRPr="00C35766" w:rsidRDefault="00953B2E">
      <w:pPr>
        <w:pStyle w:val="a3"/>
        <w:rPr>
          <w:lang w:val="es-ES"/>
        </w:rPr>
      </w:pPr>
    </w:p>
    <w:p w14:paraId="029F220E" w14:textId="77777777" w:rsidR="00953B2E" w:rsidRPr="00C35766" w:rsidRDefault="005F0C19">
      <w:pPr>
        <w:pStyle w:val="a3"/>
        <w:rPr>
          <w:lang w:val="it-IT"/>
        </w:rPr>
      </w:pPr>
      <w:r w:rsidRPr="00C35766">
        <w:rPr>
          <w:rFonts w:eastAsia="Times New Roman"/>
          <w:spacing w:val="1"/>
          <w:lang w:val="it-IT"/>
        </w:rPr>
        <w:t>Tra i pazienti che non hanno evidenziato una risposta alla settimana 4, il 43% dei pazienti trattati con terapia di mantenimento a base di adalimumab ha manifestato una risposta entro la settimana 12 rispetto al 30% dei pazienti trattati con placebo. Tali risultati suggeriscono che alcuni pazienti che non hanno manifestato una risposta alla settimana 4 traggono giovamento dalla terapia di mantenimento continuata fino alla settimana 12. La terapia proseguita oltre le 12 settimane non ha portato ad un numero significativamente più elevato di risposte (vedere paragrafo 4.2).</w:t>
      </w:r>
    </w:p>
    <w:p w14:paraId="2DEA3267" w14:textId="77777777" w:rsidR="00953B2E" w:rsidRPr="00C35766" w:rsidRDefault="00953B2E">
      <w:pPr>
        <w:pStyle w:val="a3"/>
        <w:rPr>
          <w:lang w:val="it-IT"/>
        </w:rPr>
      </w:pPr>
    </w:p>
    <w:p w14:paraId="0C9C5F8F" w14:textId="77777777" w:rsidR="00953B2E" w:rsidRPr="00C35766" w:rsidRDefault="005F0C19">
      <w:pPr>
        <w:pStyle w:val="a3"/>
        <w:rPr>
          <w:lang w:val="it-IT"/>
        </w:rPr>
      </w:pPr>
      <w:r w:rsidRPr="00C35766">
        <w:rPr>
          <w:rFonts w:eastAsia="Times New Roman"/>
          <w:lang w:val="it-IT"/>
        </w:rPr>
        <w:t>117/276 pazienti dallo studio CD I e 272/777 pazienti provenienti dagli studi CD II e III sono stati seguiti per almeno 3 anni di terapia con adalimumab in aperto. Rispettivamente 88 e 189 pazienti hanno continuato a mantenere la remissione clinica. La risposta clinica (CR-100) è stata mantenuta rispettivamente in 102 e 233 pazienti.</w:t>
      </w:r>
    </w:p>
    <w:p w14:paraId="660A95A9" w14:textId="77777777" w:rsidR="00953B2E" w:rsidRPr="00C35766" w:rsidRDefault="00953B2E">
      <w:pPr>
        <w:pStyle w:val="a3"/>
        <w:rPr>
          <w:lang w:val="it-IT"/>
        </w:rPr>
      </w:pPr>
    </w:p>
    <w:p w14:paraId="3F1C74BF" w14:textId="77777777" w:rsidR="00953B2E" w:rsidRPr="00C35766" w:rsidRDefault="005F0C19">
      <w:pPr>
        <w:pStyle w:val="a3"/>
        <w:rPr>
          <w:rFonts w:eastAsia="Times New Roman"/>
          <w:lang w:val="it-IT"/>
        </w:rPr>
      </w:pPr>
      <w:r w:rsidRPr="00C35766">
        <w:rPr>
          <w:rFonts w:eastAsia="Times New Roman"/>
          <w:i/>
          <w:iCs/>
          <w:spacing w:val="-1"/>
          <w:u w:val="single" w:color="000000"/>
          <w:lang w:val="it-IT"/>
        </w:rPr>
        <w:t>Qualità della vita</w:t>
      </w:r>
    </w:p>
    <w:p w14:paraId="41B7A2FF" w14:textId="77777777" w:rsidR="00953B2E" w:rsidRPr="00C35766" w:rsidRDefault="00953B2E">
      <w:pPr>
        <w:pStyle w:val="a3"/>
        <w:rPr>
          <w:sz w:val="18"/>
          <w:szCs w:val="18"/>
          <w:lang w:val="it-IT"/>
        </w:rPr>
      </w:pPr>
    </w:p>
    <w:p w14:paraId="3CF4E1C9" w14:textId="77777777" w:rsidR="00953B2E" w:rsidRPr="00C35766" w:rsidRDefault="005F0C19">
      <w:pPr>
        <w:pStyle w:val="a3"/>
        <w:rPr>
          <w:lang w:val="it-IT"/>
        </w:rPr>
      </w:pPr>
      <w:r w:rsidRPr="00C35766">
        <w:rPr>
          <w:rFonts w:eastAsia="Times New Roman"/>
          <w:lang w:val="it-IT"/>
        </w:rPr>
        <w:t>Negli studi CD I e CD II, alla settimana 4 era raggiunto un miglioramento statisticamente significativo del punteggio totale del questionario IBDQ (inflammatory bowel disease questionnaire) nei pazienti randomizzati ad adalimumab 80/40 mg e 160/80 mg rispetto al placebo ed era visto alle settimane 26 e 56 nello studio CD III come pure tra i gruppi trattati con adalimumab rispetto al gruppo trattato con placebo.</w:t>
      </w:r>
    </w:p>
    <w:p w14:paraId="1986AAFF" w14:textId="77777777" w:rsidR="00953B2E" w:rsidRPr="00C35766" w:rsidRDefault="00953B2E">
      <w:pPr>
        <w:spacing w:before="13" w:line="240" w:lineRule="exact"/>
        <w:rPr>
          <w:rFonts w:ascii="Times New Roman" w:hAnsi="Times New Roman" w:cs="Times New Roman"/>
          <w:sz w:val="24"/>
          <w:szCs w:val="24"/>
          <w:lang w:val="it-IT"/>
        </w:rPr>
      </w:pPr>
    </w:p>
    <w:p w14:paraId="4699B6F4" w14:textId="77777777" w:rsidR="00953B2E" w:rsidRPr="00C35766" w:rsidRDefault="00953B2E">
      <w:pPr>
        <w:pStyle w:val="a3"/>
        <w:rPr>
          <w:lang w:val="it-IT"/>
        </w:rPr>
      </w:pPr>
    </w:p>
    <w:p w14:paraId="120C9765" w14:textId="47DE67BF" w:rsidR="00953B2E" w:rsidRPr="00C35766" w:rsidRDefault="005F0C19">
      <w:pPr>
        <w:pStyle w:val="a3"/>
        <w:rPr>
          <w:rFonts w:eastAsia="Times New Roman"/>
          <w:lang w:val="it-IT"/>
        </w:rPr>
      </w:pPr>
      <w:r w:rsidRPr="00C35766">
        <w:rPr>
          <w:rFonts w:eastAsia="Times New Roman"/>
          <w:i/>
          <w:iCs/>
          <w:spacing w:val="-1"/>
          <w:lang w:val="it-IT"/>
        </w:rPr>
        <w:t>Colite ulcerosa</w:t>
      </w:r>
    </w:p>
    <w:p w14:paraId="0818AEA0" w14:textId="77777777" w:rsidR="00953B2E" w:rsidRPr="00C35766" w:rsidRDefault="00953B2E">
      <w:pPr>
        <w:pStyle w:val="a3"/>
        <w:rPr>
          <w:lang w:val="it-IT"/>
        </w:rPr>
      </w:pPr>
    </w:p>
    <w:p w14:paraId="35EFD4B1" w14:textId="77777777" w:rsidR="00953B2E" w:rsidRPr="00C35766" w:rsidRDefault="005F0C19">
      <w:pPr>
        <w:pStyle w:val="a3"/>
        <w:rPr>
          <w:lang w:val="it-IT"/>
        </w:rPr>
      </w:pPr>
      <w:r w:rsidRPr="00C35766">
        <w:rPr>
          <w:rFonts w:eastAsia="Times New Roman"/>
          <w:lang w:val="it-IT"/>
        </w:rPr>
        <w:t>La sicurezza e l’efficacia di dosi multiple di adalimumab sono state valutate in pazienti adulti affetti da colite ulcerosa attiva di grado da moderato a severo (punteggio Mayo da 6 a 12 con un sottopunteggio endoscopico da 2 a 3) in studi randomizzati, in doppio cieco, controllati con placebo.</w:t>
      </w:r>
    </w:p>
    <w:p w14:paraId="4CBF565A" w14:textId="77777777" w:rsidR="00953B2E" w:rsidRPr="00C35766" w:rsidRDefault="00953B2E">
      <w:pPr>
        <w:pStyle w:val="a3"/>
        <w:rPr>
          <w:lang w:val="it-IT"/>
        </w:rPr>
      </w:pPr>
    </w:p>
    <w:p w14:paraId="6360A28B" w14:textId="103F3262" w:rsidR="00953B2E" w:rsidRPr="00C35766" w:rsidRDefault="005F0C19">
      <w:pPr>
        <w:pStyle w:val="a3"/>
        <w:rPr>
          <w:lang w:val="es-ES"/>
        </w:rPr>
      </w:pPr>
      <w:r w:rsidRPr="00C35766">
        <w:rPr>
          <w:rFonts w:eastAsia="Times New Roman"/>
          <w:lang w:val="it-IT"/>
        </w:rPr>
        <w:t xml:space="preserve">Nello studio UC-I, 390 pazienti non precedentemente trattati con antagonisti del TNF sono stati randomizzati in modo da assumere placebo alla settimana 0 e 2, 160 mg di adalimumab alla settimana 0 seguiti da 80 mg alla settimana 2 oppure 80 mg di </w:t>
      </w:r>
      <w:r w:rsidR="00232A77" w:rsidRPr="00C35766">
        <w:rPr>
          <w:rFonts w:eastAsia="Times New Roman"/>
          <w:lang w:val="it-IT"/>
        </w:rPr>
        <w:t>a</w:t>
      </w:r>
      <w:r w:rsidRPr="00C35766">
        <w:rPr>
          <w:rFonts w:eastAsia="Times New Roman"/>
          <w:lang w:val="it-IT"/>
        </w:rPr>
        <w:t>dalimumab alla settimana 0 seguiti da 40 mg alla settimana 2. Dopo la settimana 2, i pazienti arruolati in entrambi i bracci con adalimumab hanno assunto 40 mg a settimane alterne. La remissione clinica (definita come punteggio di Mayo ≤ 2 con nessun sotto punteggio &gt; 1) è stata valutata alla settimana 8.</w:t>
      </w:r>
    </w:p>
    <w:p w14:paraId="0D48A543" w14:textId="77777777" w:rsidR="00953B2E" w:rsidRPr="00C35766" w:rsidRDefault="00953B2E">
      <w:pPr>
        <w:pStyle w:val="a3"/>
        <w:rPr>
          <w:lang w:val="es-ES"/>
        </w:rPr>
      </w:pPr>
    </w:p>
    <w:p w14:paraId="36F8AAFF" w14:textId="77777777" w:rsidR="00953B2E" w:rsidRPr="00C35766" w:rsidRDefault="005F0C19">
      <w:pPr>
        <w:pStyle w:val="a3"/>
        <w:rPr>
          <w:lang w:val="it-IT"/>
        </w:rPr>
      </w:pPr>
      <w:r w:rsidRPr="00C35766">
        <w:rPr>
          <w:rFonts w:eastAsia="Times New Roman"/>
          <w:lang w:val="it-IT"/>
        </w:rPr>
        <w:t>Nello studio UC-II, 248 pazienti hanno ricevuto 160 mg di adalimumab alla settimana 0, 80 mg alla settimana 2 e successivamente 40 mg a settimane alterne, e 246 pazienti hanno ricevuto placebo. L’induzione della remissione è stata valutata alla settimana 8 mentre il mantenimento della remissione alla settimana 52.</w:t>
      </w:r>
    </w:p>
    <w:p w14:paraId="7CC4C031" w14:textId="77777777" w:rsidR="00953B2E" w:rsidRPr="00C35766" w:rsidRDefault="00953B2E">
      <w:pPr>
        <w:pStyle w:val="a3"/>
        <w:rPr>
          <w:lang w:val="it-IT"/>
        </w:rPr>
      </w:pPr>
    </w:p>
    <w:p w14:paraId="230E038D" w14:textId="637CA2F4" w:rsidR="00953B2E" w:rsidRPr="00C35766" w:rsidRDefault="005F0C19">
      <w:pPr>
        <w:pStyle w:val="a3"/>
        <w:rPr>
          <w:lang w:val="it-IT"/>
        </w:rPr>
      </w:pPr>
      <w:r w:rsidRPr="00C35766">
        <w:rPr>
          <w:rFonts w:eastAsia="Times New Roman"/>
          <w:lang w:val="it-IT"/>
        </w:rPr>
        <w:t>Nello studio UC-I (rispettivamente 18% vs 9%, p=0,031) e nello studio UC-II (rispettivamente 17% vs 9%, p=0,019) i pazienti indotti con 160/80 mg di adalimumab hanno raggiunto la remissione clinica rispetto al placebo alla settimana 8 in percentuali superiori in modo statisticamente significativo. Nello studio UC-II, tra i pazienti trattati con adalimumab in remissione alla settimana 8, 21/41 (51%) erano in remissione alla settimana 52.</w:t>
      </w:r>
    </w:p>
    <w:p w14:paraId="6BAAF37D" w14:textId="77777777" w:rsidR="00953B2E" w:rsidRPr="00C35766" w:rsidRDefault="00953B2E">
      <w:pPr>
        <w:spacing w:before="13" w:line="240" w:lineRule="exact"/>
        <w:rPr>
          <w:rFonts w:ascii="Times New Roman" w:hAnsi="Times New Roman" w:cs="Times New Roman"/>
          <w:sz w:val="24"/>
          <w:szCs w:val="24"/>
          <w:lang w:val="it-IT"/>
        </w:rPr>
      </w:pPr>
    </w:p>
    <w:p w14:paraId="184BF641" w14:textId="3B861A10" w:rsidR="00953B2E" w:rsidRPr="00C35766" w:rsidRDefault="005F0C19">
      <w:pPr>
        <w:pStyle w:val="a3"/>
        <w:rPr>
          <w:lang w:val="it-IT"/>
        </w:rPr>
      </w:pPr>
      <w:r w:rsidRPr="00C35766">
        <w:rPr>
          <w:rFonts w:eastAsia="Times New Roman"/>
          <w:lang w:val="it-IT"/>
        </w:rPr>
        <w:t xml:space="preserve">I risultati per la popolazione totale dello studio UC-II sono mostrati nella Tabella </w:t>
      </w:r>
      <w:r w:rsidR="00B90373" w:rsidRPr="00C35766">
        <w:rPr>
          <w:rFonts w:eastAsia="Times New Roman"/>
          <w:lang w:val="it-IT"/>
        </w:rPr>
        <w:t>23</w:t>
      </w:r>
      <w:r w:rsidRPr="00C35766">
        <w:rPr>
          <w:rFonts w:eastAsia="Times New Roman"/>
          <w:lang w:val="it-IT"/>
        </w:rPr>
        <w:t>.</w:t>
      </w:r>
    </w:p>
    <w:p w14:paraId="3532C832" w14:textId="77777777" w:rsidR="00953B2E" w:rsidRDefault="00953B2E">
      <w:pPr>
        <w:rPr>
          <w:rFonts w:ascii="Times New Roman" w:hAnsi="Times New Roman" w:cs="Times New Roman"/>
          <w:lang w:val="it-IT"/>
        </w:rPr>
      </w:pPr>
    </w:p>
    <w:p w14:paraId="2C8F439E" w14:textId="77777777" w:rsidR="00A842FF" w:rsidRDefault="00A842FF">
      <w:pPr>
        <w:rPr>
          <w:rFonts w:ascii="Times New Roman" w:hAnsi="Times New Roman" w:cs="Times New Roman"/>
          <w:lang w:val="it-IT"/>
        </w:rPr>
      </w:pPr>
    </w:p>
    <w:p w14:paraId="17202674" w14:textId="77777777" w:rsidR="00A842FF" w:rsidRDefault="00A842FF">
      <w:pPr>
        <w:rPr>
          <w:rFonts w:ascii="Times New Roman" w:hAnsi="Times New Roman" w:cs="Times New Roman"/>
          <w:lang w:val="it-IT"/>
        </w:rPr>
      </w:pPr>
    </w:p>
    <w:p w14:paraId="04A11065" w14:textId="77777777" w:rsidR="00A842FF" w:rsidRDefault="00A842FF">
      <w:pPr>
        <w:rPr>
          <w:rFonts w:ascii="Times New Roman" w:hAnsi="Times New Roman" w:cs="Times New Roman"/>
          <w:lang w:val="it-IT"/>
        </w:rPr>
      </w:pPr>
    </w:p>
    <w:p w14:paraId="5AB82DEB" w14:textId="77777777" w:rsidR="00A842FF" w:rsidRDefault="00A842FF">
      <w:pPr>
        <w:rPr>
          <w:rFonts w:ascii="Times New Roman" w:hAnsi="Times New Roman" w:cs="Times New Roman"/>
          <w:lang w:val="it-IT"/>
        </w:rPr>
      </w:pPr>
    </w:p>
    <w:p w14:paraId="5793469B" w14:textId="77777777" w:rsidR="00A842FF" w:rsidRDefault="00A842FF">
      <w:pPr>
        <w:rPr>
          <w:rFonts w:ascii="Times New Roman" w:hAnsi="Times New Roman" w:cs="Times New Roman"/>
          <w:lang w:val="it-IT"/>
        </w:rPr>
      </w:pPr>
    </w:p>
    <w:p w14:paraId="126F3E0E" w14:textId="77777777" w:rsidR="00A842FF" w:rsidRPr="00C35766" w:rsidRDefault="00A842FF">
      <w:pPr>
        <w:rPr>
          <w:rFonts w:ascii="Times New Roman" w:hAnsi="Times New Roman" w:cs="Times New Roman"/>
          <w:lang w:val="it-IT"/>
        </w:rPr>
      </w:pPr>
    </w:p>
    <w:p w14:paraId="783702EC" w14:textId="22A2BDDE" w:rsidR="00953B2E" w:rsidRPr="00C35766" w:rsidRDefault="005F0C19">
      <w:pPr>
        <w:pStyle w:val="a3"/>
        <w:jc w:val="center"/>
        <w:rPr>
          <w:b/>
          <w:lang w:val="it-IT"/>
        </w:rPr>
      </w:pPr>
      <w:r w:rsidRPr="00C35766">
        <w:rPr>
          <w:rFonts w:eastAsia="Times New Roman"/>
          <w:b/>
          <w:bCs/>
          <w:lang w:val="it-IT"/>
        </w:rPr>
        <w:lastRenderedPageBreak/>
        <w:t xml:space="preserve">Tabella </w:t>
      </w:r>
      <w:r w:rsidR="00B90373" w:rsidRPr="00C35766">
        <w:rPr>
          <w:rFonts w:eastAsia="Times New Roman"/>
          <w:b/>
          <w:bCs/>
          <w:lang w:val="it-IT"/>
        </w:rPr>
        <w:t>23</w:t>
      </w:r>
    </w:p>
    <w:p w14:paraId="717812FD" w14:textId="77777777" w:rsidR="00953B2E" w:rsidRPr="00C35766" w:rsidRDefault="005F0C19">
      <w:pPr>
        <w:pStyle w:val="a3"/>
        <w:jc w:val="center"/>
        <w:rPr>
          <w:b/>
          <w:lang w:val="it-IT"/>
        </w:rPr>
      </w:pPr>
      <w:r w:rsidRPr="00C35766">
        <w:rPr>
          <w:rFonts w:eastAsia="Times New Roman"/>
          <w:b/>
          <w:bCs/>
          <w:lang w:val="it-IT"/>
        </w:rPr>
        <w:t>Risposta, remissione e guarigione della mucosa nello Studio UC-II</w:t>
      </w:r>
    </w:p>
    <w:p w14:paraId="34B71B79" w14:textId="4A26F6C6" w:rsidR="00953B2E" w:rsidRPr="00C35766" w:rsidRDefault="005F0C19">
      <w:pPr>
        <w:pStyle w:val="a3"/>
        <w:jc w:val="center"/>
        <w:rPr>
          <w:b/>
        </w:rPr>
      </w:pPr>
      <w:r w:rsidRPr="00C35766">
        <w:rPr>
          <w:rFonts w:eastAsia="Times New Roman"/>
          <w:b/>
          <w:bCs/>
          <w:lang w:val="it-IT"/>
        </w:rPr>
        <w:t>(percentuale di pazienti)</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3158"/>
        <w:gridCol w:w="3221"/>
      </w:tblGrid>
      <w:tr w:rsidR="00953B2E" w:rsidRPr="00494E69" w14:paraId="1760CEA3" w14:textId="77777777" w:rsidTr="00B3291C">
        <w:trPr>
          <w:trHeight w:val="619"/>
          <w:jc w:val="center"/>
        </w:trPr>
        <w:tc>
          <w:tcPr>
            <w:tcW w:w="2875" w:type="dxa"/>
            <w:tcBorders>
              <w:top w:val="single" w:sz="4" w:space="0" w:color="auto"/>
              <w:bottom w:val="single" w:sz="4" w:space="0" w:color="auto"/>
            </w:tcBorders>
            <w:vAlign w:val="center"/>
          </w:tcPr>
          <w:p w14:paraId="6FA5CFAA" w14:textId="77777777" w:rsidR="00953B2E" w:rsidRPr="00C35766" w:rsidRDefault="00953B2E">
            <w:pPr>
              <w:pStyle w:val="a3"/>
              <w:jc w:val="center"/>
              <w:rPr>
                <w:b/>
              </w:rPr>
            </w:pPr>
          </w:p>
        </w:tc>
        <w:tc>
          <w:tcPr>
            <w:tcW w:w="3158" w:type="dxa"/>
            <w:tcBorders>
              <w:top w:val="single" w:sz="4" w:space="0" w:color="auto"/>
              <w:bottom w:val="single" w:sz="4" w:space="0" w:color="auto"/>
            </w:tcBorders>
            <w:vAlign w:val="center"/>
          </w:tcPr>
          <w:p w14:paraId="471C9D60" w14:textId="77777777" w:rsidR="00953B2E" w:rsidRPr="00C35766" w:rsidRDefault="005F0C19">
            <w:pPr>
              <w:pStyle w:val="a3"/>
              <w:jc w:val="center"/>
              <w:rPr>
                <w:b/>
              </w:rPr>
            </w:pPr>
            <w:r w:rsidRPr="00C35766">
              <w:rPr>
                <w:rFonts w:eastAsia="Times New Roman"/>
                <w:b/>
                <w:bCs/>
                <w:lang w:val="it-IT"/>
              </w:rPr>
              <w:t>Placebo</w:t>
            </w:r>
          </w:p>
        </w:tc>
        <w:tc>
          <w:tcPr>
            <w:tcW w:w="3220" w:type="dxa"/>
            <w:tcBorders>
              <w:top w:val="single" w:sz="4" w:space="0" w:color="auto"/>
              <w:bottom w:val="single" w:sz="4" w:space="0" w:color="auto"/>
            </w:tcBorders>
            <w:vAlign w:val="center"/>
          </w:tcPr>
          <w:p w14:paraId="2FCE4604" w14:textId="77777777" w:rsidR="00953B2E" w:rsidRPr="00C35766" w:rsidRDefault="005F0C19">
            <w:pPr>
              <w:pStyle w:val="a3"/>
              <w:jc w:val="center"/>
              <w:rPr>
                <w:b/>
                <w:lang w:val="it-IT"/>
              </w:rPr>
            </w:pPr>
            <w:r w:rsidRPr="00C35766">
              <w:rPr>
                <w:rFonts w:eastAsia="Times New Roman"/>
                <w:b/>
                <w:bCs/>
                <w:spacing w:val="-1"/>
                <w:lang w:val="it-IT"/>
              </w:rPr>
              <w:t>Adalimumab 40 mg a settimane alterne</w:t>
            </w:r>
          </w:p>
        </w:tc>
      </w:tr>
      <w:tr w:rsidR="00953B2E" w:rsidRPr="00C35766" w14:paraId="157FEF0E" w14:textId="77777777" w:rsidTr="00B3291C">
        <w:trPr>
          <w:trHeight w:val="309"/>
          <w:jc w:val="center"/>
        </w:trPr>
        <w:tc>
          <w:tcPr>
            <w:tcW w:w="2875" w:type="dxa"/>
            <w:tcBorders>
              <w:top w:val="single" w:sz="4" w:space="0" w:color="auto"/>
              <w:bottom w:val="single" w:sz="4" w:space="0" w:color="auto"/>
            </w:tcBorders>
            <w:vAlign w:val="center"/>
          </w:tcPr>
          <w:p w14:paraId="77E40C1E" w14:textId="77777777" w:rsidR="00953B2E" w:rsidRPr="00C35766" w:rsidRDefault="005F0C19">
            <w:pPr>
              <w:pStyle w:val="a3"/>
              <w:jc w:val="both"/>
              <w:rPr>
                <w:b/>
              </w:rPr>
            </w:pPr>
            <w:r w:rsidRPr="00C35766">
              <w:rPr>
                <w:rFonts w:eastAsia="Times New Roman"/>
                <w:lang w:val="it-IT"/>
              </w:rPr>
              <w:t>Settimana 52</w:t>
            </w:r>
          </w:p>
        </w:tc>
        <w:tc>
          <w:tcPr>
            <w:tcW w:w="3158" w:type="dxa"/>
            <w:tcBorders>
              <w:top w:val="single" w:sz="4" w:space="0" w:color="auto"/>
              <w:bottom w:val="single" w:sz="4" w:space="0" w:color="auto"/>
            </w:tcBorders>
            <w:vAlign w:val="center"/>
          </w:tcPr>
          <w:p w14:paraId="02B1D0FD" w14:textId="77777777" w:rsidR="00953B2E" w:rsidRPr="00C35766" w:rsidRDefault="005F0C19">
            <w:pPr>
              <w:pStyle w:val="a3"/>
              <w:jc w:val="center"/>
              <w:rPr>
                <w:b/>
              </w:rPr>
            </w:pPr>
            <w:r w:rsidRPr="00C35766">
              <w:rPr>
                <w:rFonts w:eastAsia="Times New Roman"/>
                <w:b/>
                <w:bCs/>
                <w:spacing w:val="-1"/>
                <w:lang w:val="it-IT"/>
              </w:rPr>
              <w:t>N=246</w:t>
            </w:r>
          </w:p>
        </w:tc>
        <w:tc>
          <w:tcPr>
            <w:tcW w:w="3220" w:type="dxa"/>
            <w:tcBorders>
              <w:top w:val="single" w:sz="4" w:space="0" w:color="auto"/>
              <w:bottom w:val="single" w:sz="4" w:space="0" w:color="auto"/>
            </w:tcBorders>
            <w:vAlign w:val="center"/>
          </w:tcPr>
          <w:p w14:paraId="7AAB3793" w14:textId="77777777" w:rsidR="00953B2E" w:rsidRPr="00C35766" w:rsidRDefault="005F0C19">
            <w:pPr>
              <w:pStyle w:val="a3"/>
              <w:jc w:val="center"/>
              <w:rPr>
                <w:b/>
              </w:rPr>
            </w:pPr>
            <w:r w:rsidRPr="00C35766">
              <w:rPr>
                <w:rFonts w:eastAsia="Times New Roman"/>
                <w:b/>
                <w:bCs/>
                <w:spacing w:val="-1"/>
                <w:lang w:val="it-IT"/>
              </w:rPr>
              <w:t>N=248</w:t>
            </w:r>
          </w:p>
        </w:tc>
      </w:tr>
      <w:tr w:rsidR="00953B2E" w:rsidRPr="00C35766" w14:paraId="0D97B763" w14:textId="77777777" w:rsidTr="00B3291C">
        <w:trPr>
          <w:trHeight w:val="309"/>
          <w:jc w:val="center"/>
        </w:trPr>
        <w:tc>
          <w:tcPr>
            <w:tcW w:w="2875" w:type="dxa"/>
            <w:tcBorders>
              <w:top w:val="single" w:sz="4" w:space="0" w:color="auto"/>
            </w:tcBorders>
            <w:vAlign w:val="center"/>
          </w:tcPr>
          <w:p w14:paraId="68029ECF" w14:textId="77777777" w:rsidR="00953B2E" w:rsidRPr="00C35766" w:rsidRDefault="005F0C19">
            <w:pPr>
              <w:pStyle w:val="a3"/>
              <w:jc w:val="both"/>
            </w:pPr>
            <w:r w:rsidRPr="00C35766">
              <w:rPr>
                <w:rFonts w:eastAsia="Times New Roman"/>
                <w:lang w:val="it-IT"/>
              </w:rPr>
              <w:t>Risposta clinica</w:t>
            </w:r>
          </w:p>
        </w:tc>
        <w:tc>
          <w:tcPr>
            <w:tcW w:w="3158" w:type="dxa"/>
            <w:tcBorders>
              <w:top w:val="single" w:sz="4" w:space="0" w:color="auto"/>
            </w:tcBorders>
            <w:vAlign w:val="center"/>
          </w:tcPr>
          <w:p w14:paraId="47936A47" w14:textId="77777777" w:rsidR="00953B2E" w:rsidRPr="00C35766" w:rsidRDefault="005F0C19">
            <w:pPr>
              <w:pStyle w:val="a3"/>
              <w:jc w:val="center"/>
            </w:pPr>
            <w:r w:rsidRPr="00C35766">
              <w:rPr>
                <w:rFonts w:eastAsia="Times New Roman"/>
                <w:lang w:val="it-IT"/>
              </w:rPr>
              <w:t>18 %</w:t>
            </w:r>
          </w:p>
        </w:tc>
        <w:tc>
          <w:tcPr>
            <w:tcW w:w="3220" w:type="dxa"/>
            <w:tcBorders>
              <w:top w:val="single" w:sz="4" w:space="0" w:color="auto"/>
            </w:tcBorders>
            <w:vAlign w:val="center"/>
          </w:tcPr>
          <w:p w14:paraId="7D610207" w14:textId="77777777" w:rsidR="00953B2E" w:rsidRPr="00C35766" w:rsidRDefault="005F0C19">
            <w:pPr>
              <w:pStyle w:val="a3"/>
              <w:jc w:val="center"/>
            </w:pPr>
            <w:r w:rsidRPr="00C35766">
              <w:rPr>
                <w:rFonts w:eastAsia="Times New Roman"/>
                <w:lang w:val="it-IT"/>
              </w:rPr>
              <w:t>30 %</w:t>
            </w:r>
            <w:r w:rsidRPr="00C35766">
              <w:rPr>
                <w:rFonts w:eastAsia="Times New Roman"/>
                <w:sz w:val="20"/>
                <w:szCs w:val="20"/>
                <w:lang w:val="it-IT"/>
              </w:rPr>
              <w:t>*</w:t>
            </w:r>
          </w:p>
        </w:tc>
      </w:tr>
      <w:tr w:rsidR="00953B2E" w:rsidRPr="00C35766" w14:paraId="21609365" w14:textId="77777777" w:rsidTr="00B3291C">
        <w:trPr>
          <w:trHeight w:val="309"/>
          <w:jc w:val="center"/>
        </w:trPr>
        <w:tc>
          <w:tcPr>
            <w:tcW w:w="2875" w:type="dxa"/>
            <w:vAlign w:val="center"/>
          </w:tcPr>
          <w:p w14:paraId="106319B9" w14:textId="77777777" w:rsidR="00953B2E" w:rsidRPr="00C35766" w:rsidRDefault="005F0C19">
            <w:pPr>
              <w:pStyle w:val="a3"/>
              <w:jc w:val="both"/>
            </w:pPr>
            <w:r w:rsidRPr="00C35766">
              <w:rPr>
                <w:rFonts w:eastAsia="Times New Roman"/>
                <w:lang w:val="it-IT"/>
              </w:rPr>
              <w:t>Remissione clinica</w:t>
            </w:r>
          </w:p>
        </w:tc>
        <w:tc>
          <w:tcPr>
            <w:tcW w:w="3158" w:type="dxa"/>
            <w:vAlign w:val="center"/>
          </w:tcPr>
          <w:p w14:paraId="44DE8FFE" w14:textId="77777777" w:rsidR="00953B2E" w:rsidRPr="00C35766" w:rsidRDefault="005F0C19">
            <w:pPr>
              <w:pStyle w:val="a3"/>
              <w:jc w:val="center"/>
            </w:pPr>
            <w:r w:rsidRPr="00C35766">
              <w:rPr>
                <w:rFonts w:eastAsia="Times New Roman"/>
                <w:lang w:val="it-IT"/>
              </w:rPr>
              <w:t>9 %</w:t>
            </w:r>
          </w:p>
        </w:tc>
        <w:tc>
          <w:tcPr>
            <w:tcW w:w="3220" w:type="dxa"/>
            <w:vAlign w:val="center"/>
          </w:tcPr>
          <w:p w14:paraId="2946EF8C" w14:textId="77777777" w:rsidR="00953B2E" w:rsidRPr="00C35766" w:rsidRDefault="005F0C19">
            <w:pPr>
              <w:pStyle w:val="a3"/>
              <w:jc w:val="center"/>
            </w:pPr>
            <w:r w:rsidRPr="00C35766">
              <w:rPr>
                <w:rFonts w:eastAsia="Times New Roman"/>
                <w:lang w:val="it-IT"/>
              </w:rPr>
              <w:t>17 %</w:t>
            </w:r>
            <w:r w:rsidRPr="00C35766">
              <w:rPr>
                <w:rFonts w:eastAsia="Times New Roman"/>
                <w:sz w:val="20"/>
                <w:szCs w:val="20"/>
                <w:lang w:val="it-IT"/>
              </w:rPr>
              <w:t>*</w:t>
            </w:r>
          </w:p>
        </w:tc>
      </w:tr>
      <w:tr w:rsidR="00953B2E" w:rsidRPr="00C35766" w14:paraId="57523FD6" w14:textId="77777777" w:rsidTr="00B3291C">
        <w:trPr>
          <w:trHeight w:val="309"/>
          <w:jc w:val="center"/>
        </w:trPr>
        <w:tc>
          <w:tcPr>
            <w:tcW w:w="2875" w:type="dxa"/>
            <w:vAlign w:val="center"/>
          </w:tcPr>
          <w:p w14:paraId="110352C0" w14:textId="77777777" w:rsidR="00953B2E" w:rsidRPr="00C35766" w:rsidRDefault="005F0C19">
            <w:pPr>
              <w:pStyle w:val="a3"/>
              <w:jc w:val="both"/>
            </w:pPr>
            <w:r w:rsidRPr="00C35766">
              <w:rPr>
                <w:rFonts w:eastAsia="Times New Roman"/>
                <w:lang w:val="it-IT"/>
              </w:rPr>
              <w:t>Guarigione della mucosa</w:t>
            </w:r>
          </w:p>
        </w:tc>
        <w:tc>
          <w:tcPr>
            <w:tcW w:w="3158" w:type="dxa"/>
            <w:vAlign w:val="center"/>
          </w:tcPr>
          <w:p w14:paraId="478A470C" w14:textId="77777777" w:rsidR="00953B2E" w:rsidRPr="00C35766" w:rsidRDefault="005F0C19">
            <w:pPr>
              <w:pStyle w:val="a3"/>
              <w:jc w:val="center"/>
            </w:pPr>
            <w:r w:rsidRPr="00C35766">
              <w:rPr>
                <w:rFonts w:eastAsia="Times New Roman"/>
                <w:lang w:val="it-IT"/>
              </w:rPr>
              <w:t>15 %</w:t>
            </w:r>
          </w:p>
        </w:tc>
        <w:tc>
          <w:tcPr>
            <w:tcW w:w="3220" w:type="dxa"/>
            <w:vAlign w:val="center"/>
          </w:tcPr>
          <w:p w14:paraId="1ED47326" w14:textId="77777777" w:rsidR="00953B2E" w:rsidRPr="00C35766" w:rsidRDefault="005F0C19">
            <w:pPr>
              <w:pStyle w:val="a3"/>
              <w:jc w:val="center"/>
            </w:pPr>
            <w:r w:rsidRPr="00C35766">
              <w:rPr>
                <w:rFonts w:eastAsia="Times New Roman"/>
                <w:lang w:val="it-IT"/>
              </w:rPr>
              <w:t>25 %</w:t>
            </w:r>
            <w:r w:rsidRPr="00C35766">
              <w:rPr>
                <w:rFonts w:eastAsia="Times New Roman"/>
                <w:sz w:val="20"/>
                <w:szCs w:val="20"/>
                <w:lang w:val="it-IT"/>
              </w:rPr>
              <w:t>*</w:t>
            </w:r>
          </w:p>
        </w:tc>
      </w:tr>
      <w:tr w:rsidR="00953B2E" w:rsidRPr="00C35766" w14:paraId="42AD0D5A" w14:textId="77777777" w:rsidTr="00B3291C">
        <w:trPr>
          <w:trHeight w:val="619"/>
          <w:jc w:val="center"/>
        </w:trPr>
        <w:tc>
          <w:tcPr>
            <w:tcW w:w="2875" w:type="dxa"/>
          </w:tcPr>
          <w:p w14:paraId="0967D614" w14:textId="77777777" w:rsidR="00953B2E" w:rsidRPr="00C35766" w:rsidRDefault="005F0C19">
            <w:pPr>
              <w:pStyle w:val="a3"/>
              <w:jc w:val="center"/>
              <w:rPr>
                <w:lang w:val="it-IT"/>
              </w:rPr>
            </w:pPr>
            <w:r w:rsidRPr="00C35766">
              <w:rPr>
                <w:rFonts w:eastAsia="Times New Roman"/>
                <w:lang w:val="it-IT"/>
              </w:rPr>
              <w:t>Remissione libera da steroidi per un periodo  ≥ 90 giorni</w:t>
            </w:r>
            <w:r w:rsidRPr="00C35766">
              <w:rPr>
                <w:rFonts w:eastAsia="Times New Roman"/>
                <w:vertAlign w:val="superscript"/>
                <w:lang w:val="it-IT"/>
              </w:rPr>
              <w:t>a</w:t>
            </w:r>
            <w:r w:rsidRPr="00C35766">
              <w:rPr>
                <w:rFonts w:eastAsia="Times New Roman"/>
                <w:lang w:val="it-IT"/>
              </w:rPr>
              <w:t xml:space="preserve"> </w:t>
            </w:r>
          </w:p>
        </w:tc>
        <w:tc>
          <w:tcPr>
            <w:tcW w:w="3158" w:type="dxa"/>
            <w:vAlign w:val="center"/>
          </w:tcPr>
          <w:p w14:paraId="6F8C6EDE" w14:textId="77777777" w:rsidR="00953B2E" w:rsidRPr="00C35766" w:rsidRDefault="005F0C19">
            <w:pPr>
              <w:pStyle w:val="a3"/>
              <w:jc w:val="center"/>
            </w:pPr>
            <w:r w:rsidRPr="00C35766">
              <w:rPr>
                <w:rFonts w:eastAsia="Times New Roman"/>
                <w:lang w:val="it-IT"/>
              </w:rPr>
              <w:t>6 %</w:t>
            </w:r>
          </w:p>
          <w:p w14:paraId="79861DED" w14:textId="77777777" w:rsidR="00953B2E" w:rsidRPr="00C35766" w:rsidRDefault="005F0C19">
            <w:pPr>
              <w:pStyle w:val="a3"/>
              <w:jc w:val="center"/>
            </w:pPr>
            <w:r w:rsidRPr="00C35766">
              <w:rPr>
                <w:rFonts w:eastAsia="Times New Roman"/>
                <w:b/>
                <w:bCs/>
                <w:lang w:val="it-IT"/>
              </w:rPr>
              <w:t>(N = 140)</w:t>
            </w:r>
          </w:p>
        </w:tc>
        <w:tc>
          <w:tcPr>
            <w:tcW w:w="3220" w:type="dxa"/>
            <w:vAlign w:val="center"/>
          </w:tcPr>
          <w:p w14:paraId="293700DD" w14:textId="77777777" w:rsidR="00953B2E" w:rsidRPr="00C35766" w:rsidRDefault="005F0C19">
            <w:pPr>
              <w:pStyle w:val="a3"/>
              <w:jc w:val="center"/>
            </w:pPr>
            <w:r w:rsidRPr="00C35766">
              <w:rPr>
                <w:rFonts w:eastAsia="Times New Roman"/>
                <w:lang w:val="it-IT"/>
              </w:rPr>
              <w:t>13 %</w:t>
            </w:r>
            <w:r w:rsidRPr="00C35766">
              <w:rPr>
                <w:rFonts w:eastAsia="Times New Roman"/>
                <w:sz w:val="20"/>
                <w:szCs w:val="20"/>
                <w:lang w:val="it-IT"/>
              </w:rPr>
              <w:t>*</w:t>
            </w:r>
          </w:p>
          <w:p w14:paraId="3E28EA30" w14:textId="77777777" w:rsidR="00953B2E" w:rsidRPr="00C35766" w:rsidRDefault="005F0C19">
            <w:pPr>
              <w:pStyle w:val="a3"/>
              <w:jc w:val="center"/>
            </w:pPr>
            <w:r w:rsidRPr="00C35766">
              <w:rPr>
                <w:rFonts w:eastAsia="Times New Roman"/>
                <w:b/>
                <w:bCs/>
                <w:lang w:val="it-IT"/>
              </w:rPr>
              <w:t>(N = 150)</w:t>
            </w:r>
          </w:p>
        </w:tc>
      </w:tr>
      <w:tr w:rsidR="00953B2E" w:rsidRPr="00C35766" w14:paraId="2BC0CE83" w14:textId="77777777" w:rsidTr="00B3291C">
        <w:trPr>
          <w:trHeight w:val="309"/>
          <w:jc w:val="center"/>
        </w:trPr>
        <w:tc>
          <w:tcPr>
            <w:tcW w:w="9254" w:type="dxa"/>
            <w:gridSpan w:val="3"/>
            <w:vAlign w:val="center"/>
          </w:tcPr>
          <w:p w14:paraId="03E60E57" w14:textId="77777777" w:rsidR="00953B2E" w:rsidRPr="00C35766" w:rsidRDefault="005F0C19">
            <w:pPr>
              <w:pStyle w:val="a3"/>
              <w:jc w:val="both"/>
              <w:rPr>
                <w:b/>
                <w:bCs/>
              </w:rPr>
            </w:pPr>
            <w:r w:rsidRPr="00C35766">
              <w:rPr>
                <w:rFonts w:eastAsia="Times New Roman"/>
                <w:lang w:val="it-IT"/>
              </w:rPr>
              <w:t>Settimana 8 e 52</w:t>
            </w:r>
          </w:p>
        </w:tc>
      </w:tr>
      <w:tr w:rsidR="00953B2E" w:rsidRPr="00C35766" w14:paraId="3E7AC456" w14:textId="77777777" w:rsidTr="00B3291C">
        <w:trPr>
          <w:trHeight w:val="309"/>
          <w:jc w:val="center"/>
        </w:trPr>
        <w:tc>
          <w:tcPr>
            <w:tcW w:w="2875" w:type="dxa"/>
            <w:vAlign w:val="center"/>
          </w:tcPr>
          <w:p w14:paraId="1EBF4631" w14:textId="77777777" w:rsidR="00953B2E" w:rsidRPr="00C35766" w:rsidRDefault="005F0C19">
            <w:pPr>
              <w:pStyle w:val="a3"/>
              <w:jc w:val="both"/>
            </w:pPr>
            <w:r w:rsidRPr="00C35766">
              <w:rPr>
                <w:rFonts w:eastAsia="Times New Roman"/>
                <w:lang w:val="it-IT"/>
              </w:rPr>
              <w:t>Risposta prolungata</w:t>
            </w:r>
          </w:p>
        </w:tc>
        <w:tc>
          <w:tcPr>
            <w:tcW w:w="3158" w:type="dxa"/>
            <w:vAlign w:val="center"/>
          </w:tcPr>
          <w:p w14:paraId="2AF48E09" w14:textId="77777777" w:rsidR="00953B2E" w:rsidRPr="00C35766" w:rsidRDefault="005F0C19">
            <w:pPr>
              <w:pStyle w:val="a3"/>
              <w:jc w:val="center"/>
              <w:rPr>
                <w:b/>
                <w:bCs/>
              </w:rPr>
            </w:pPr>
            <w:r w:rsidRPr="00C35766">
              <w:rPr>
                <w:rFonts w:eastAsia="Times New Roman"/>
                <w:lang w:val="it-IT"/>
              </w:rPr>
              <w:t>12 %</w:t>
            </w:r>
          </w:p>
        </w:tc>
        <w:tc>
          <w:tcPr>
            <w:tcW w:w="3220" w:type="dxa"/>
            <w:vAlign w:val="center"/>
          </w:tcPr>
          <w:p w14:paraId="02F9A6A5" w14:textId="77777777" w:rsidR="00953B2E" w:rsidRPr="00C35766" w:rsidRDefault="005F0C19">
            <w:pPr>
              <w:pStyle w:val="a3"/>
              <w:jc w:val="center"/>
              <w:rPr>
                <w:b/>
                <w:bCs/>
              </w:rPr>
            </w:pPr>
            <w:r w:rsidRPr="00C35766">
              <w:rPr>
                <w:rFonts w:eastAsia="Times New Roman"/>
                <w:lang w:val="it-IT"/>
              </w:rPr>
              <w:t>24 %</w:t>
            </w:r>
            <w:r w:rsidRPr="00C35766">
              <w:rPr>
                <w:rFonts w:eastAsia="Times New Roman"/>
                <w:sz w:val="20"/>
                <w:szCs w:val="20"/>
                <w:lang w:val="it-IT"/>
              </w:rPr>
              <w:t>**</w:t>
            </w:r>
          </w:p>
        </w:tc>
      </w:tr>
      <w:tr w:rsidR="00953B2E" w:rsidRPr="00C35766" w14:paraId="02047767" w14:textId="77777777" w:rsidTr="00B3291C">
        <w:trPr>
          <w:trHeight w:val="309"/>
          <w:jc w:val="center"/>
        </w:trPr>
        <w:tc>
          <w:tcPr>
            <w:tcW w:w="2875" w:type="dxa"/>
            <w:vAlign w:val="center"/>
          </w:tcPr>
          <w:p w14:paraId="06CADA29" w14:textId="77777777" w:rsidR="00953B2E" w:rsidRPr="00C35766" w:rsidRDefault="005F0C19">
            <w:pPr>
              <w:pStyle w:val="a3"/>
              <w:jc w:val="both"/>
            </w:pPr>
            <w:r w:rsidRPr="00C35766">
              <w:rPr>
                <w:rFonts w:eastAsia="Times New Roman"/>
                <w:lang w:val="it-IT"/>
              </w:rPr>
              <w:t>Remissione prolungata</w:t>
            </w:r>
          </w:p>
        </w:tc>
        <w:tc>
          <w:tcPr>
            <w:tcW w:w="3158" w:type="dxa"/>
            <w:vAlign w:val="center"/>
          </w:tcPr>
          <w:p w14:paraId="2F2002E1" w14:textId="77777777" w:rsidR="00953B2E" w:rsidRPr="00C35766" w:rsidRDefault="005F0C19">
            <w:pPr>
              <w:pStyle w:val="a3"/>
              <w:jc w:val="center"/>
              <w:rPr>
                <w:b/>
                <w:bCs/>
              </w:rPr>
            </w:pPr>
            <w:r w:rsidRPr="00C35766">
              <w:rPr>
                <w:rFonts w:eastAsia="Times New Roman"/>
                <w:lang w:val="it-IT"/>
              </w:rPr>
              <w:t>4 %</w:t>
            </w:r>
          </w:p>
        </w:tc>
        <w:tc>
          <w:tcPr>
            <w:tcW w:w="3220" w:type="dxa"/>
            <w:vAlign w:val="center"/>
          </w:tcPr>
          <w:p w14:paraId="7A1B3D1D" w14:textId="77777777" w:rsidR="00953B2E" w:rsidRPr="00C35766" w:rsidRDefault="005F0C19">
            <w:pPr>
              <w:pStyle w:val="a3"/>
              <w:jc w:val="center"/>
              <w:rPr>
                <w:b/>
                <w:bCs/>
              </w:rPr>
            </w:pPr>
            <w:r w:rsidRPr="00C35766">
              <w:rPr>
                <w:rFonts w:eastAsia="Times New Roman"/>
                <w:lang w:val="it-IT"/>
              </w:rPr>
              <w:t>8 %</w:t>
            </w:r>
            <w:r w:rsidRPr="00C35766">
              <w:rPr>
                <w:rFonts w:eastAsia="Times New Roman"/>
                <w:sz w:val="20"/>
                <w:szCs w:val="20"/>
                <w:lang w:val="it-IT"/>
              </w:rPr>
              <w:t>*</w:t>
            </w:r>
          </w:p>
        </w:tc>
      </w:tr>
      <w:tr w:rsidR="00953B2E" w:rsidRPr="00C35766" w14:paraId="585FBDF4" w14:textId="77777777" w:rsidTr="00B3291C">
        <w:trPr>
          <w:trHeight w:val="619"/>
          <w:jc w:val="center"/>
        </w:trPr>
        <w:tc>
          <w:tcPr>
            <w:tcW w:w="2875" w:type="dxa"/>
            <w:tcBorders>
              <w:bottom w:val="single" w:sz="4" w:space="0" w:color="auto"/>
            </w:tcBorders>
            <w:vAlign w:val="center"/>
          </w:tcPr>
          <w:p w14:paraId="00655342" w14:textId="77777777" w:rsidR="00953B2E" w:rsidRPr="00C35766" w:rsidRDefault="005F0C19">
            <w:pPr>
              <w:pStyle w:val="a3"/>
              <w:jc w:val="both"/>
            </w:pPr>
            <w:r w:rsidRPr="00C35766">
              <w:rPr>
                <w:rFonts w:eastAsia="Times New Roman"/>
                <w:lang w:val="it-IT"/>
              </w:rPr>
              <w:t>Guarigione prolungata della mucosa</w:t>
            </w:r>
          </w:p>
        </w:tc>
        <w:tc>
          <w:tcPr>
            <w:tcW w:w="3158" w:type="dxa"/>
            <w:tcBorders>
              <w:bottom w:val="single" w:sz="4" w:space="0" w:color="auto"/>
            </w:tcBorders>
            <w:vAlign w:val="center"/>
          </w:tcPr>
          <w:p w14:paraId="4A37BE3B" w14:textId="77777777" w:rsidR="00953B2E" w:rsidRPr="00C35766" w:rsidRDefault="005F0C19">
            <w:pPr>
              <w:pStyle w:val="a3"/>
              <w:jc w:val="center"/>
              <w:rPr>
                <w:b/>
                <w:bCs/>
              </w:rPr>
            </w:pPr>
            <w:r w:rsidRPr="00C35766">
              <w:rPr>
                <w:rFonts w:eastAsia="Times New Roman"/>
                <w:lang w:val="it-IT"/>
              </w:rPr>
              <w:t>11 %</w:t>
            </w:r>
          </w:p>
        </w:tc>
        <w:tc>
          <w:tcPr>
            <w:tcW w:w="3220" w:type="dxa"/>
            <w:tcBorders>
              <w:bottom w:val="single" w:sz="4" w:space="0" w:color="auto"/>
            </w:tcBorders>
            <w:vAlign w:val="center"/>
          </w:tcPr>
          <w:p w14:paraId="5789B132" w14:textId="77777777" w:rsidR="00953B2E" w:rsidRPr="00C35766" w:rsidRDefault="005F0C19">
            <w:pPr>
              <w:pStyle w:val="a3"/>
              <w:jc w:val="center"/>
              <w:rPr>
                <w:b/>
                <w:bCs/>
              </w:rPr>
            </w:pPr>
            <w:r w:rsidRPr="00C35766">
              <w:rPr>
                <w:rFonts w:eastAsia="Times New Roman"/>
                <w:lang w:val="it-IT"/>
              </w:rPr>
              <w:t>19 %</w:t>
            </w:r>
            <w:r w:rsidRPr="00C35766">
              <w:rPr>
                <w:rFonts w:eastAsia="Times New Roman"/>
                <w:sz w:val="20"/>
                <w:szCs w:val="20"/>
                <w:lang w:val="it-IT"/>
              </w:rPr>
              <w:t>*</w:t>
            </w:r>
          </w:p>
        </w:tc>
      </w:tr>
    </w:tbl>
    <w:p w14:paraId="6C071DF8" w14:textId="2B0EE9DA" w:rsidR="00953B2E" w:rsidRPr="00C35766" w:rsidRDefault="005F0C19" w:rsidP="00146E60">
      <w:pPr>
        <w:pStyle w:val="a3"/>
        <w:ind w:leftChars="100" w:left="220"/>
        <w:rPr>
          <w:lang w:val="es-ES"/>
        </w:rPr>
      </w:pPr>
      <w:r w:rsidRPr="00C35766">
        <w:rPr>
          <w:rFonts w:eastAsia="Times New Roman"/>
          <w:lang w:val="it-IT"/>
        </w:rPr>
        <w:t>La remissione clinica è definita da un punteggio di Mayo ≤ 2 con nessun sottopunteggio &gt;</w:t>
      </w:r>
      <w:r w:rsidR="000F35BA" w:rsidRPr="00C35766">
        <w:rPr>
          <w:rFonts w:eastAsia="Times New Roman"/>
          <w:lang w:val="it-IT"/>
        </w:rPr>
        <w:t xml:space="preserve"> </w:t>
      </w:r>
      <w:r w:rsidRPr="00C35766">
        <w:rPr>
          <w:rFonts w:eastAsia="Times New Roman"/>
          <w:lang w:val="it-IT"/>
        </w:rPr>
        <w:t>1;</w:t>
      </w:r>
    </w:p>
    <w:p w14:paraId="6815953F" w14:textId="1A10035D" w:rsidR="00953B2E" w:rsidRPr="00C35766" w:rsidRDefault="005F0C19" w:rsidP="00146E60">
      <w:pPr>
        <w:pStyle w:val="a3"/>
        <w:ind w:leftChars="100" w:left="220"/>
        <w:rPr>
          <w:lang w:val="es-ES"/>
        </w:rPr>
      </w:pPr>
      <w:r w:rsidRPr="00C35766">
        <w:rPr>
          <w:rFonts w:eastAsia="Times New Roman"/>
          <w:lang w:val="it-IT"/>
        </w:rPr>
        <w:t>La risposta clinica è definita come una riduzione rispetto al basale del punteggio Mayo ≥</w:t>
      </w:r>
      <w:r w:rsidR="000F35BA" w:rsidRPr="00C35766">
        <w:rPr>
          <w:rFonts w:eastAsia="Times New Roman"/>
          <w:lang w:val="it-IT"/>
        </w:rPr>
        <w:t xml:space="preserve"> </w:t>
      </w:r>
      <w:r w:rsidRPr="00C35766">
        <w:rPr>
          <w:rFonts w:eastAsia="Times New Roman"/>
          <w:lang w:val="it-IT"/>
        </w:rPr>
        <w:t>3 punti e ≥</w:t>
      </w:r>
      <w:r w:rsidR="000F35BA" w:rsidRPr="00C35766">
        <w:rPr>
          <w:rFonts w:eastAsia="Times New Roman"/>
          <w:lang w:val="it-IT"/>
        </w:rPr>
        <w:t xml:space="preserve"> </w:t>
      </w:r>
      <w:r w:rsidRPr="00C35766">
        <w:rPr>
          <w:rFonts w:eastAsia="Times New Roman"/>
          <w:lang w:val="it-IT"/>
        </w:rPr>
        <w:t>30%, oltre ad una diminuzione del sottopunteggio sanguinamento rettale [RBS] ≥</w:t>
      </w:r>
      <w:r w:rsidR="000F35BA" w:rsidRPr="00C35766">
        <w:rPr>
          <w:rFonts w:eastAsia="Times New Roman"/>
          <w:lang w:val="it-IT"/>
        </w:rPr>
        <w:t xml:space="preserve"> </w:t>
      </w:r>
      <w:r w:rsidRPr="00C35766">
        <w:rPr>
          <w:rFonts w:eastAsia="Times New Roman"/>
          <w:lang w:val="it-IT"/>
        </w:rPr>
        <w:t>1 o un RBS di 0 o 1 in valore assoluto;</w:t>
      </w:r>
    </w:p>
    <w:p w14:paraId="1F0B904B" w14:textId="0B0CA56A" w:rsidR="00953B2E" w:rsidRPr="00C35766" w:rsidRDefault="005F0C19" w:rsidP="00146E60">
      <w:pPr>
        <w:pStyle w:val="a3"/>
        <w:ind w:leftChars="100" w:left="220"/>
        <w:rPr>
          <w:lang w:val="es-ES"/>
        </w:rPr>
      </w:pPr>
      <w:r w:rsidRPr="00C35766">
        <w:rPr>
          <w:rFonts w:eastAsia="Times New Roman"/>
          <w:spacing w:val="-2"/>
          <w:position w:val="9"/>
          <w:sz w:val="16"/>
          <w:szCs w:val="16"/>
          <w:lang w:val="it-IT"/>
        </w:rPr>
        <w:t>*</w:t>
      </w:r>
      <w:r w:rsidRPr="00C35766">
        <w:rPr>
          <w:rFonts w:eastAsia="Times New Roman"/>
          <w:spacing w:val="-2"/>
          <w:position w:val="9"/>
          <w:lang w:val="it-IT"/>
        </w:rPr>
        <w:t>p &lt;</w:t>
      </w:r>
      <w:r w:rsidR="000F35BA" w:rsidRPr="00C35766">
        <w:rPr>
          <w:rFonts w:eastAsia="Times New Roman"/>
          <w:spacing w:val="-2"/>
          <w:position w:val="9"/>
          <w:lang w:val="it-IT"/>
        </w:rPr>
        <w:t xml:space="preserve"> </w:t>
      </w:r>
      <w:r w:rsidRPr="00C35766">
        <w:rPr>
          <w:rFonts w:eastAsia="Times New Roman"/>
          <w:spacing w:val="-2"/>
          <w:position w:val="9"/>
          <w:lang w:val="it-IT"/>
        </w:rPr>
        <w:t xml:space="preserve">0,05 per adalimumab </w:t>
      </w:r>
      <w:r w:rsidRPr="00C35766">
        <w:rPr>
          <w:rFonts w:eastAsia="Times New Roman"/>
          <w:i/>
          <w:iCs/>
          <w:spacing w:val="-2"/>
          <w:position w:val="9"/>
          <w:lang w:val="it-IT"/>
        </w:rPr>
        <w:t xml:space="preserve">vs. </w:t>
      </w:r>
      <w:r w:rsidRPr="00C35766">
        <w:rPr>
          <w:rFonts w:eastAsia="Times New Roman"/>
          <w:spacing w:val="-2"/>
          <w:position w:val="9"/>
          <w:lang w:val="it-IT"/>
        </w:rPr>
        <w:t>placebo alla comparazione appaiata delle percentuali</w:t>
      </w:r>
    </w:p>
    <w:p w14:paraId="19AB5122" w14:textId="1FF05F06" w:rsidR="00953B2E" w:rsidRPr="00C35766" w:rsidRDefault="005F0C19" w:rsidP="00146E60">
      <w:pPr>
        <w:pStyle w:val="a3"/>
        <w:ind w:leftChars="100" w:left="220"/>
        <w:rPr>
          <w:lang w:val="es-ES"/>
        </w:rPr>
      </w:pPr>
      <w:r w:rsidRPr="00C35766">
        <w:rPr>
          <w:rFonts w:eastAsia="Times New Roman"/>
          <w:spacing w:val="-2"/>
          <w:sz w:val="20"/>
          <w:szCs w:val="20"/>
          <w:lang w:val="it-IT"/>
        </w:rPr>
        <w:t>**p</w:t>
      </w:r>
      <w:r w:rsidR="000F35BA" w:rsidRPr="00C35766">
        <w:rPr>
          <w:rFonts w:eastAsia="Times New Roman"/>
          <w:spacing w:val="-2"/>
          <w:sz w:val="20"/>
          <w:szCs w:val="20"/>
          <w:lang w:val="it-IT"/>
        </w:rPr>
        <w:t xml:space="preserve"> </w:t>
      </w:r>
      <w:r w:rsidRPr="00C35766">
        <w:rPr>
          <w:rFonts w:eastAsia="Times New Roman"/>
          <w:spacing w:val="-2"/>
          <w:sz w:val="20"/>
          <w:szCs w:val="20"/>
          <w:lang w:val="it-IT"/>
        </w:rPr>
        <w:t>&lt;</w:t>
      </w:r>
      <w:r w:rsidR="000F35BA" w:rsidRPr="00C35766">
        <w:rPr>
          <w:rFonts w:eastAsia="Times New Roman"/>
          <w:spacing w:val="-2"/>
          <w:sz w:val="20"/>
          <w:szCs w:val="20"/>
          <w:lang w:val="it-IT"/>
        </w:rPr>
        <w:t xml:space="preserve"> </w:t>
      </w:r>
      <w:r w:rsidRPr="00C35766">
        <w:rPr>
          <w:rFonts w:eastAsia="Times New Roman"/>
          <w:spacing w:val="-2"/>
          <w:sz w:val="20"/>
          <w:szCs w:val="20"/>
          <w:lang w:val="it-IT"/>
        </w:rPr>
        <w:t>0,001 per adalimumab</w:t>
      </w:r>
      <w:r w:rsidRPr="00C35766">
        <w:rPr>
          <w:rFonts w:eastAsia="Times New Roman"/>
          <w:i/>
          <w:iCs/>
          <w:spacing w:val="-2"/>
          <w:sz w:val="20"/>
          <w:szCs w:val="20"/>
          <w:lang w:val="it-IT"/>
        </w:rPr>
        <w:t xml:space="preserve"> vs</w:t>
      </w:r>
      <w:r w:rsidRPr="00C35766">
        <w:rPr>
          <w:rFonts w:eastAsia="Times New Roman"/>
          <w:spacing w:val="-2"/>
          <w:sz w:val="20"/>
          <w:szCs w:val="20"/>
          <w:lang w:val="it-IT"/>
        </w:rPr>
        <w:t>. placebo alla comparazione appaiata delle percentuali</w:t>
      </w:r>
    </w:p>
    <w:p w14:paraId="5C544E8E" w14:textId="77777777" w:rsidR="00953B2E" w:rsidRPr="00C35766" w:rsidRDefault="005F0C19" w:rsidP="00146E60">
      <w:pPr>
        <w:pStyle w:val="a3"/>
        <w:ind w:leftChars="100" w:left="220"/>
        <w:rPr>
          <w:lang w:val="es-ES"/>
        </w:rPr>
      </w:pPr>
      <w:r w:rsidRPr="00C35766">
        <w:rPr>
          <w:rFonts w:eastAsia="Times New Roman"/>
          <w:position w:val="8"/>
          <w:vertAlign w:val="superscript"/>
          <w:lang w:val="it-IT"/>
        </w:rPr>
        <w:t>a</w:t>
      </w:r>
      <w:r w:rsidRPr="00C35766">
        <w:rPr>
          <w:rFonts w:eastAsia="Times New Roman"/>
          <w:position w:val="8"/>
          <w:sz w:val="14"/>
          <w:szCs w:val="14"/>
          <w:lang w:val="it-IT"/>
        </w:rPr>
        <w:t xml:space="preserve"> </w:t>
      </w:r>
      <w:r w:rsidRPr="00C35766">
        <w:rPr>
          <w:rFonts w:eastAsia="Times New Roman"/>
          <w:position w:val="8"/>
          <w:lang w:val="it-IT"/>
        </w:rPr>
        <w:t>di coloro che hanno assunto corticosteroidi al basale</w:t>
      </w:r>
    </w:p>
    <w:p w14:paraId="2956892F" w14:textId="77777777" w:rsidR="00953B2E" w:rsidRPr="00C35766" w:rsidRDefault="00953B2E">
      <w:pPr>
        <w:spacing w:before="6" w:line="190" w:lineRule="exact"/>
        <w:rPr>
          <w:rFonts w:ascii="Times New Roman" w:hAnsi="Times New Roman" w:cs="Times New Roman"/>
          <w:sz w:val="19"/>
          <w:szCs w:val="19"/>
          <w:lang w:val="es-ES"/>
        </w:rPr>
      </w:pPr>
    </w:p>
    <w:p w14:paraId="77D9A39E" w14:textId="77777777" w:rsidR="00953B2E" w:rsidRPr="00C35766" w:rsidRDefault="005F0C19">
      <w:pPr>
        <w:pStyle w:val="a3"/>
        <w:rPr>
          <w:lang w:val="es-ES"/>
        </w:rPr>
      </w:pPr>
      <w:r w:rsidRPr="00C35766">
        <w:rPr>
          <w:rFonts w:eastAsia="Times New Roman"/>
          <w:lang w:val="it-IT"/>
        </w:rPr>
        <w:t>Dei pazienti che hanno risposto alla settimana 8, il 47% mostrava una risposta, il 29% era in remissione, il 41% ha manifestato guarigione della mucosa e il 20% era in remissione senza uso di steroidi per un periodo ≥ 90 giorni alla settimana 52.</w:t>
      </w:r>
    </w:p>
    <w:p w14:paraId="7366D28A" w14:textId="77777777" w:rsidR="00953B2E" w:rsidRPr="00C35766" w:rsidRDefault="00953B2E">
      <w:pPr>
        <w:spacing w:before="11" w:line="240" w:lineRule="exact"/>
        <w:rPr>
          <w:rFonts w:ascii="Times New Roman" w:hAnsi="Times New Roman" w:cs="Times New Roman"/>
          <w:sz w:val="24"/>
          <w:szCs w:val="24"/>
          <w:lang w:val="es-ES"/>
        </w:rPr>
      </w:pPr>
    </w:p>
    <w:p w14:paraId="4AA7F8EF" w14:textId="77777777" w:rsidR="00953B2E" w:rsidRPr="00C35766" w:rsidRDefault="005F0C19">
      <w:pPr>
        <w:pStyle w:val="a3"/>
        <w:rPr>
          <w:lang w:val="it-IT"/>
        </w:rPr>
      </w:pPr>
      <w:r w:rsidRPr="00C35766">
        <w:rPr>
          <w:rFonts w:eastAsia="Times New Roman"/>
          <w:lang w:val="it-IT"/>
        </w:rPr>
        <w:t>Circa il 40% di pazienti arruolati nello studio UC-II aveva fallito il precedente trattamento a base di anti-TNF con infliximab. L’efficacia di adalimumab in quei pazienti si è dimostrata ridotta in confronto a quanto mostrato in pazienti non precedentemente trattati con anti TNF. Tra i pazienti che avevano fallito il precedente trattamento con anti TNF, il 3% del braccio placebo e il 10% del braccio adalimumab ha raggiunto la remissione alla settimana 52.</w:t>
      </w:r>
    </w:p>
    <w:p w14:paraId="2905CBF5" w14:textId="77777777" w:rsidR="00953B2E" w:rsidRPr="00C35766" w:rsidRDefault="00953B2E">
      <w:pPr>
        <w:pStyle w:val="a3"/>
        <w:rPr>
          <w:sz w:val="24"/>
          <w:szCs w:val="24"/>
          <w:lang w:val="it-IT"/>
        </w:rPr>
      </w:pPr>
    </w:p>
    <w:p w14:paraId="5E6E3564" w14:textId="77777777" w:rsidR="00953B2E" w:rsidRPr="00C35766" w:rsidRDefault="005F0C19">
      <w:pPr>
        <w:pStyle w:val="a3"/>
        <w:rPr>
          <w:lang w:val="es-ES"/>
        </w:rPr>
      </w:pPr>
      <w:r w:rsidRPr="00C35766">
        <w:rPr>
          <w:rFonts w:eastAsia="Times New Roman"/>
          <w:lang w:val="it-IT"/>
        </w:rPr>
        <w:t>I pazienti arruolati negli studi UC-I e UC-II hanno avuto la possibilità di entrare in uno studio di estensione in aperto a lungo termine (UC-III). Dopo tre anni di terapia a base di adalimumab, il 75% (301/402) ha continuato ad essere in remissione clinica in accordo al punteggio Mayo parziale.</w:t>
      </w:r>
    </w:p>
    <w:p w14:paraId="450330CB" w14:textId="77777777" w:rsidR="00953B2E" w:rsidRPr="00C35766" w:rsidRDefault="00953B2E">
      <w:pPr>
        <w:pStyle w:val="a3"/>
        <w:rPr>
          <w:lang w:val="es-ES"/>
        </w:rPr>
      </w:pPr>
    </w:p>
    <w:p w14:paraId="2673B211" w14:textId="77777777" w:rsidR="00953B2E" w:rsidRPr="00C35766" w:rsidRDefault="005F0C19">
      <w:pPr>
        <w:pStyle w:val="a3"/>
        <w:rPr>
          <w:i/>
          <w:u w:val="single"/>
          <w:lang w:val="es-ES"/>
        </w:rPr>
      </w:pPr>
      <w:r w:rsidRPr="00C35766">
        <w:rPr>
          <w:rFonts w:eastAsia="Times New Roman"/>
          <w:i/>
          <w:iCs/>
          <w:u w:val="single" w:color="000000"/>
          <w:lang w:val="it-IT"/>
        </w:rPr>
        <w:t>Tassi di ospedalizzazione</w:t>
      </w:r>
    </w:p>
    <w:p w14:paraId="3F82F33E" w14:textId="77777777" w:rsidR="00953B2E" w:rsidRPr="00C35766" w:rsidRDefault="00953B2E">
      <w:pPr>
        <w:pStyle w:val="a3"/>
        <w:rPr>
          <w:sz w:val="18"/>
          <w:szCs w:val="18"/>
          <w:lang w:val="es-ES"/>
        </w:rPr>
      </w:pPr>
    </w:p>
    <w:p w14:paraId="1DBA6CCA" w14:textId="77777777" w:rsidR="00953B2E" w:rsidRPr="00C35766" w:rsidRDefault="005F0C19">
      <w:pPr>
        <w:pStyle w:val="a3"/>
        <w:rPr>
          <w:lang w:val="it-IT"/>
        </w:rPr>
      </w:pPr>
      <w:r w:rsidRPr="00C35766">
        <w:rPr>
          <w:rFonts w:eastAsia="Times New Roman"/>
          <w:lang w:val="it-IT"/>
        </w:rPr>
        <w:t xml:space="preserve">Durante le 52 settimane degli studi UC-I e UC-II, è stata osservata una diminuzione delle ospedalizzazioni per tutte le cause e delle ospedalizzazioni correlate alla colite ulcerosa nel gruppo trattato con adalimumab rispetto al gruppo trattato con placebo. Il numero delle ospedalizzazioni per tutte le cause era 0,18 per anno/paziente nel gruppo di trattamento con adalimumab </w:t>
      </w:r>
      <w:r w:rsidRPr="00C35766">
        <w:rPr>
          <w:lang w:val="it-IT"/>
        </w:rPr>
        <w:t>rispetto</w:t>
      </w:r>
      <w:r w:rsidRPr="00C35766">
        <w:rPr>
          <w:rFonts w:eastAsia="Times New Roman"/>
          <w:lang w:val="it-IT"/>
        </w:rPr>
        <w:t xml:space="preserve"> a 0,26 per anno/paziente nel gruppo placebo, e le corrispondenti ospedalizzazioni correlate alla colite ulcerosa erano 0,12 </w:t>
      </w:r>
      <w:r w:rsidRPr="00C35766">
        <w:rPr>
          <w:lang w:val="it-IT"/>
        </w:rPr>
        <w:t>rispetto a</w:t>
      </w:r>
      <w:r w:rsidRPr="00C35766">
        <w:rPr>
          <w:rFonts w:eastAsia="Times New Roman"/>
          <w:i/>
          <w:iCs/>
          <w:lang w:val="it-IT"/>
        </w:rPr>
        <w:t xml:space="preserve"> </w:t>
      </w:r>
      <w:r w:rsidRPr="00C35766">
        <w:rPr>
          <w:rFonts w:eastAsia="Times New Roman"/>
          <w:lang w:val="it-IT"/>
        </w:rPr>
        <w:t>0,22 per anno/paziente.</w:t>
      </w:r>
    </w:p>
    <w:p w14:paraId="13EC3E01" w14:textId="77777777" w:rsidR="00953B2E" w:rsidRPr="00C35766" w:rsidRDefault="00953B2E">
      <w:pPr>
        <w:pStyle w:val="a3"/>
        <w:rPr>
          <w:sz w:val="24"/>
          <w:szCs w:val="24"/>
          <w:lang w:val="it-IT"/>
        </w:rPr>
      </w:pPr>
    </w:p>
    <w:p w14:paraId="69135DD0" w14:textId="77777777" w:rsidR="00953B2E" w:rsidRPr="00C35766" w:rsidRDefault="005F0C19">
      <w:pPr>
        <w:pStyle w:val="a3"/>
        <w:rPr>
          <w:rFonts w:eastAsia="Times New Roman"/>
          <w:lang w:val="es-ES"/>
        </w:rPr>
      </w:pPr>
      <w:r w:rsidRPr="00C35766">
        <w:rPr>
          <w:rFonts w:eastAsia="Times New Roman"/>
          <w:i/>
          <w:iCs/>
          <w:spacing w:val="-1"/>
          <w:u w:val="single" w:color="000000"/>
          <w:lang w:val="it-IT"/>
        </w:rPr>
        <w:t>Qualità della vita</w:t>
      </w:r>
    </w:p>
    <w:p w14:paraId="2702F045" w14:textId="77777777" w:rsidR="00953B2E" w:rsidRPr="00C35766" w:rsidRDefault="00953B2E">
      <w:pPr>
        <w:pStyle w:val="a3"/>
        <w:rPr>
          <w:sz w:val="18"/>
          <w:szCs w:val="18"/>
          <w:lang w:val="es-ES"/>
        </w:rPr>
      </w:pPr>
    </w:p>
    <w:p w14:paraId="36C85CA3" w14:textId="77777777" w:rsidR="00953B2E" w:rsidRPr="00C35766" w:rsidRDefault="005F0C19">
      <w:pPr>
        <w:pStyle w:val="a3"/>
        <w:rPr>
          <w:lang w:val="es-ES"/>
        </w:rPr>
      </w:pPr>
      <w:r w:rsidRPr="00C35766">
        <w:rPr>
          <w:rFonts w:eastAsia="Times New Roman"/>
          <w:lang w:val="it-IT"/>
        </w:rPr>
        <w:t>Nello studio UC-II, il trattamento con adalimumab ha portato ad un miglioramento del punteggio del questionario Inflammatory Bowel Disease Questionnaire (IBDQ).</w:t>
      </w:r>
    </w:p>
    <w:p w14:paraId="3F969D53" w14:textId="77777777" w:rsidR="00953B2E" w:rsidRPr="00C35766" w:rsidRDefault="00953B2E">
      <w:pPr>
        <w:spacing w:before="10" w:line="240" w:lineRule="exact"/>
        <w:rPr>
          <w:rFonts w:ascii="Times New Roman" w:hAnsi="Times New Roman" w:cs="Times New Roman"/>
          <w:sz w:val="24"/>
          <w:szCs w:val="24"/>
          <w:lang w:val="es-ES"/>
        </w:rPr>
      </w:pPr>
    </w:p>
    <w:p w14:paraId="101E5744" w14:textId="77777777" w:rsidR="00953B2E" w:rsidRPr="00C35766" w:rsidRDefault="005F0C19">
      <w:pPr>
        <w:pStyle w:val="a3"/>
        <w:rPr>
          <w:i/>
          <w:lang w:val="es-ES"/>
        </w:rPr>
      </w:pPr>
      <w:r w:rsidRPr="00C35766">
        <w:rPr>
          <w:rFonts w:eastAsia="Times New Roman"/>
          <w:i/>
          <w:iCs/>
          <w:lang w:val="it-IT"/>
        </w:rPr>
        <w:t>Uveite</w:t>
      </w:r>
    </w:p>
    <w:p w14:paraId="77068492" w14:textId="77777777" w:rsidR="00953B2E" w:rsidRPr="00C35766" w:rsidRDefault="00953B2E">
      <w:pPr>
        <w:pStyle w:val="a3"/>
        <w:rPr>
          <w:sz w:val="24"/>
          <w:szCs w:val="24"/>
          <w:lang w:val="es-ES"/>
        </w:rPr>
      </w:pPr>
    </w:p>
    <w:p w14:paraId="5018D012" w14:textId="77777777" w:rsidR="00953B2E" w:rsidRPr="00C35766" w:rsidRDefault="005F0C19">
      <w:pPr>
        <w:pStyle w:val="a3"/>
        <w:rPr>
          <w:lang w:val="fr-FR"/>
        </w:rPr>
      </w:pPr>
      <w:r w:rsidRPr="00C35766">
        <w:rPr>
          <w:rFonts w:eastAsia="Times New Roman"/>
          <w:lang w:val="it-IT"/>
        </w:rPr>
        <w:t>La sicurezza e l'efficacia di adalimumab sono state valutate in pazienti adulti con uveite non-infettiva intermedia, posteriore e panuveite, escludendo i pazienti con uveite anteriore isolata, in due studi randomizzati, in doppio cieco, controllati con placebo (UV I e II). I pazienti hanno ricevuto placebo o adalimumab a una dose iniziale di 80 mg seguita da 40 mg a settimane alterne a partire da una settimana dopo la dose iniziale. Erano consentite dosi stabili concomitanti di un immunosoppressore non biologico.</w:t>
      </w:r>
    </w:p>
    <w:p w14:paraId="62F32644" w14:textId="77777777" w:rsidR="00953B2E" w:rsidRPr="00C35766" w:rsidRDefault="00953B2E">
      <w:pPr>
        <w:pStyle w:val="a3"/>
        <w:rPr>
          <w:sz w:val="24"/>
          <w:szCs w:val="24"/>
          <w:lang w:val="fr-FR"/>
        </w:rPr>
      </w:pPr>
    </w:p>
    <w:p w14:paraId="250FF5D7" w14:textId="77777777" w:rsidR="00953B2E" w:rsidRPr="00C35766" w:rsidRDefault="005F0C19">
      <w:pPr>
        <w:pStyle w:val="a3"/>
        <w:rPr>
          <w:lang w:val="it-IT"/>
        </w:rPr>
      </w:pPr>
      <w:r w:rsidRPr="00C35766">
        <w:rPr>
          <w:rFonts w:eastAsia="Times New Roman"/>
          <w:lang w:val="it-IT"/>
        </w:rPr>
        <w:t>Lo Studio UV I ha valutato 217 pazienti con uveite attiva nonostante il trattamento con corticosteroidi (prednisone orale a una dose di 10-60 mg/die). Tutti i pazienti hanno ricevuto una dose standardizzata di prednisone pari a 60 mg/die all’ingresso nello studio per 2 settimane seguita da un programma obbligatorio di riduzione del dosaggio, fino alla sospensione totale del corticosteroide alla settimana 15.</w:t>
      </w:r>
    </w:p>
    <w:p w14:paraId="70570B99" w14:textId="77777777" w:rsidR="00953B2E" w:rsidRPr="00C35766" w:rsidRDefault="00953B2E">
      <w:pPr>
        <w:pStyle w:val="a3"/>
        <w:rPr>
          <w:sz w:val="24"/>
          <w:szCs w:val="24"/>
          <w:lang w:val="it-IT"/>
        </w:rPr>
      </w:pPr>
    </w:p>
    <w:p w14:paraId="5664EC42" w14:textId="77777777" w:rsidR="00953B2E" w:rsidRPr="00C35766" w:rsidRDefault="005F0C19">
      <w:pPr>
        <w:pStyle w:val="a3"/>
        <w:rPr>
          <w:lang w:val="es-ES"/>
        </w:rPr>
      </w:pPr>
      <w:r w:rsidRPr="00C35766">
        <w:rPr>
          <w:rFonts w:eastAsia="Times New Roman"/>
          <w:lang w:val="it-IT"/>
        </w:rPr>
        <w:t>Lo Studio UV II ha valutato 226 pazienti con uveite inattiva che al basale necessitavano di trattamento cronico con corticosteroide (prednisone orale da 10 a 35 mg/die) per controllare la loro malattia. I pazienti sono stati sottoposti successivamente a un programma obbligatorio di riduzione del dosaggio, fino alla sospensione totale del corticosteroide alla settimana 19.</w:t>
      </w:r>
    </w:p>
    <w:p w14:paraId="78C88D98" w14:textId="77777777" w:rsidR="00953B2E" w:rsidRPr="00C35766" w:rsidRDefault="00953B2E">
      <w:pPr>
        <w:pStyle w:val="a3"/>
        <w:rPr>
          <w:sz w:val="24"/>
          <w:szCs w:val="24"/>
          <w:lang w:val="es-ES"/>
        </w:rPr>
      </w:pPr>
    </w:p>
    <w:p w14:paraId="40ECF675" w14:textId="77777777" w:rsidR="00953B2E" w:rsidRPr="00C35766" w:rsidRDefault="005F0C19">
      <w:pPr>
        <w:pStyle w:val="a3"/>
        <w:rPr>
          <w:lang w:val="it-IT"/>
        </w:rPr>
      </w:pPr>
      <w:r w:rsidRPr="00C35766">
        <w:rPr>
          <w:rFonts w:eastAsia="Times New Roman"/>
          <w:lang w:val="it-IT"/>
        </w:rPr>
        <w:t>L'endpoint primario di efficacia in entrambi gli studi era il “tempo al fallimento del trattamento”. Il fallimento del trattamento è stato definito attraverso un parametro a più componenti basato su lesioni vascolari infiammatorie corioretiniche e/o retiniche , numero di cellule in camera anteriore (anterior chamber, AC), grado di opacità del vitreo (vitreous haze, VH) e migliore acuità visiva corretta (best corrected visual acuity, BCVA).</w:t>
      </w:r>
    </w:p>
    <w:p w14:paraId="5DB7B241" w14:textId="77777777" w:rsidR="00953B2E" w:rsidRPr="00C35766" w:rsidRDefault="00953B2E">
      <w:pPr>
        <w:pStyle w:val="a3"/>
        <w:rPr>
          <w:sz w:val="24"/>
          <w:szCs w:val="24"/>
          <w:lang w:val="it-IT"/>
        </w:rPr>
      </w:pPr>
    </w:p>
    <w:p w14:paraId="6B3E59F4" w14:textId="77777777" w:rsidR="00953B2E" w:rsidRPr="00C35766" w:rsidRDefault="005F0C19">
      <w:pPr>
        <w:pStyle w:val="a3"/>
        <w:rPr>
          <w:lang w:val="it-IT"/>
        </w:rPr>
      </w:pPr>
      <w:r w:rsidRPr="00C35766">
        <w:rPr>
          <w:rFonts w:eastAsia="Times New Roman"/>
          <w:lang w:val="it-IT"/>
        </w:rPr>
        <w:t>I pazienti che hanno completato gli Studi UV I e UV II erano eleggibili per essere arruolati in uno studio di estensione a lungo termine non controllato della durata originariamente programmata di 78 settimane. I pazienti sono stati autorizzati a continuare il medicinale in studio oltre la Settimana 78 fino a quando hanno avuto accesso ad adalimumab.</w:t>
      </w:r>
    </w:p>
    <w:p w14:paraId="520DC686" w14:textId="77777777" w:rsidR="00953B2E" w:rsidRPr="00C35766" w:rsidRDefault="00953B2E">
      <w:pPr>
        <w:pStyle w:val="a3"/>
        <w:rPr>
          <w:sz w:val="24"/>
          <w:szCs w:val="24"/>
          <w:lang w:val="it-IT"/>
        </w:rPr>
      </w:pPr>
    </w:p>
    <w:p w14:paraId="7585D745" w14:textId="77777777" w:rsidR="00953B2E" w:rsidRPr="00C35766" w:rsidRDefault="005F0C19">
      <w:pPr>
        <w:pStyle w:val="a3"/>
        <w:rPr>
          <w:rFonts w:eastAsia="Times New Roman"/>
          <w:lang w:val="it-IT"/>
        </w:rPr>
      </w:pPr>
      <w:r w:rsidRPr="00C35766">
        <w:rPr>
          <w:rFonts w:eastAsia="Times New Roman"/>
          <w:i/>
          <w:iCs/>
          <w:spacing w:val="-1"/>
          <w:u w:val="single" w:color="000000"/>
          <w:lang w:val="it-IT"/>
        </w:rPr>
        <w:t>Risposta clinica</w:t>
      </w:r>
    </w:p>
    <w:p w14:paraId="2AA0750B" w14:textId="77777777" w:rsidR="00953B2E" w:rsidRPr="00C35766" w:rsidRDefault="00953B2E">
      <w:pPr>
        <w:pStyle w:val="a3"/>
        <w:rPr>
          <w:sz w:val="18"/>
          <w:szCs w:val="18"/>
          <w:lang w:val="it-IT"/>
        </w:rPr>
      </w:pPr>
    </w:p>
    <w:p w14:paraId="68B6EDF3" w14:textId="585AB042" w:rsidR="00953B2E" w:rsidRPr="00C35766" w:rsidRDefault="005F0C19">
      <w:pPr>
        <w:pStyle w:val="a3"/>
        <w:rPr>
          <w:lang w:val="it-IT"/>
        </w:rPr>
      </w:pPr>
      <w:r w:rsidRPr="00C35766">
        <w:rPr>
          <w:rFonts w:eastAsia="Times New Roman"/>
          <w:lang w:val="it-IT"/>
        </w:rPr>
        <w:t xml:space="preserve">I risultati di entrambi gli studi hanno dimostrato la riduzione statisticamente significativa del rischio di fallimento del trattamento nei pazienti trattati con adalimumab rispetto ai pazienti trattati con placebo (vedere Tabella </w:t>
      </w:r>
      <w:r w:rsidR="00B90373" w:rsidRPr="00C35766">
        <w:rPr>
          <w:rFonts w:eastAsia="Times New Roman"/>
          <w:lang w:val="it-IT"/>
        </w:rPr>
        <w:t>24</w:t>
      </w:r>
      <w:r w:rsidRPr="00C35766">
        <w:rPr>
          <w:rFonts w:eastAsia="Times New Roman"/>
          <w:lang w:val="it-IT"/>
        </w:rPr>
        <w:t>). Entrambi gli studi hanno dimostrato un effetto precoce e prolungato di adalimumab sul tasso di fallimento del trattamento rispetto al placebo (vedere Figura 2).</w:t>
      </w:r>
    </w:p>
    <w:p w14:paraId="4CD38401" w14:textId="77777777" w:rsidR="00953B2E" w:rsidRPr="00C35766" w:rsidRDefault="00953B2E">
      <w:pPr>
        <w:pStyle w:val="a3"/>
        <w:rPr>
          <w:lang w:val="it-IT"/>
        </w:rPr>
      </w:pPr>
    </w:p>
    <w:p w14:paraId="53AA7CAF" w14:textId="2A28C02D" w:rsidR="00953B2E" w:rsidRPr="00C35766" w:rsidRDefault="005F0C19">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24</w:t>
      </w:r>
    </w:p>
    <w:p w14:paraId="4E7E166C" w14:textId="77777777" w:rsidR="00953B2E" w:rsidRPr="00C35766" w:rsidRDefault="005F0C19">
      <w:pPr>
        <w:pStyle w:val="a3"/>
        <w:jc w:val="center"/>
        <w:rPr>
          <w:b/>
          <w:lang w:val="it-IT"/>
        </w:rPr>
      </w:pPr>
      <w:r w:rsidRPr="00C35766">
        <w:rPr>
          <w:rFonts w:eastAsia="Times New Roman"/>
          <w:b/>
          <w:bCs/>
          <w:lang w:val="it-IT"/>
        </w:rPr>
        <w:t>Tempo al fallimento del trattamento negli Studi UV I e UV II</w:t>
      </w:r>
    </w:p>
    <w:p w14:paraId="562F06B3" w14:textId="77777777" w:rsidR="00953B2E" w:rsidRPr="00C35766" w:rsidRDefault="00953B2E">
      <w:pPr>
        <w:pStyle w:val="a3"/>
        <w:jc w:val="center"/>
        <w:rPr>
          <w:b/>
          <w:lang w:val="it-IT"/>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546"/>
        <w:gridCol w:w="1221"/>
        <w:gridCol w:w="2963"/>
        <w:gridCol w:w="613"/>
        <w:gridCol w:w="1552"/>
        <w:gridCol w:w="1015"/>
      </w:tblGrid>
      <w:tr w:rsidR="00953B2E" w:rsidRPr="00C35766" w14:paraId="639C1184" w14:textId="77777777" w:rsidTr="00C0539A">
        <w:trPr>
          <w:jc w:val="center"/>
        </w:trPr>
        <w:tc>
          <w:tcPr>
            <w:tcW w:w="0" w:type="auto"/>
            <w:tcBorders>
              <w:top w:val="single" w:sz="4" w:space="0" w:color="auto"/>
              <w:bottom w:val="single" w:sz="4" w:space="0" w:color="auto"/>
            </w:tcBorders>
            <w:vAlign w:val="center"/>
          </w:tcPr>
          <w:p w14:paraId="6520D638" w14:textId="77777777" w:rsidR="00953B2E" w:rsidRPr="00C35766" w:rsidRDefault="005F0C19">
            <w:pPr>
              <w:pStyle w:val="a3"/>
              <w:jc w:val="center"/>
              <w:rPr>
                <w:b/>
                <w:lang w:eastAsia="ko-KR"/>
              </w:rPr>
            </w:pPr>
            <w:r w:rsidRPr="00C35766">
              <w:rPr>
                <w:rFonts w:eastAsia="Times New Roman"/>
                <w:b/>
                <w:bCs/>
                <w:lang w:val="it-IT" w:eastAsia="ko-KR"/>
              </w:rPr>
              <w:t>Analisi trattamento</w:t>
            </w:r>
          </w:p>
        </w:tc>
        <w:tc>
          <w:tcPr>
            <w:tcW w:w="0" w:type="auto"/>
            <w:tcBorders>
              <w:top w:val="single" w:sz="4" w:space="0" w:color="auto"/>
              <w:bottom w:val="single" w:sz="4" w:space="0" w:color="auto"/>
            </w:tcBorders>
            <w:vAlign w:val="center"/>
          </w:tcPr>
          <w:p w14:paraId="37C71057" w14:textId="77777777" w:rsidR="00953B2E" w:rsidRPr="00C35766" w:rsidRDefault="005F0C19">
            <w:pPr>
              <w:pStyle w:val="a3"/>
              <w:jc w:val="center"/>
              <w:rPr>
                <w:b/>
              </w:rPr>
            </w:pPr>
            <w:r w:rsidRPr="00C35766">
              <w:rPr>
                <w:rFonts w:eastAsia="Times New Roman"/>
                <w:b/>
                <w:bCs/>
                <w:lang w:val="it-IT"/>
              </w:rPr>
              <w:t>N</w:t>
            </w:r>
          </w:p>
        </w:tc>
        <w:tc>
          <w:tcPr>
            <w:tcW w:w="0" w:type="auto"/>
            <w:tcBorders>
              <w:top w:val="single" w:sz="4" w:space="0" w:color="auto"/>
              <w:bottom w:val="single" w:sz="4" w:space="0" w:color="auto"/>
            </w:tcBorders>
            <w:vAlign w:val="center"/>
          </w:tcPr>
          <w:p w14:paraId="6F06810D" w14:textId="77777777" w:rsidR="00805BD0" w:rsidRPr="00C35766" w:rsidRDefault="005F0C19">
            <w:pPr>
              <w:pStyle w:val="a3"/>
              <w:jc w:val="center"/>
              <w:rPr>
                <w:rFonts w:eastAsia="Times New Roman"/>
                <w:b/>
                <w:bCs/>
                <w:spacing w:val="-1"/>
                <w:lang w:val="it-IT"/>
              </w:rPr>
            </w:pPr>
            <w:r w:rsidRPr="00C35766">
              <w:rPr>
                <w:rFonts w:eastAsia="Times New Roman"/>
                <w:b/>
                <w:bCs/>
                <w:spacing w:val="-1"/>
                <w:lang w:val="it-IT"/>
              </w:rPr>
              <w:t xml:space="preserve">Fallimento </w:t>
            </w:r>
          </w:p>
          <w:p w14:paraId="6ACAA5F5" w14:textId="530E84B9" w:rsidR="00953B2E" w:rsidRPr="00C35766" w:rsidRDefault="005F0C19">
            <w:pPr>
              <w:pStyle w:val="a3"/>
              <w:jc w:val="center"/>
              <w:rPr>
                <w:b/>
              </w:rPr>
            </w:pPr>
            <w:r w:rsidRPr="00C35766">
              <w:rPr>
                <w:rFonts w:eastAsia="Times New Roman"/>
                <w:b/>
                <w:bCs/>
                <w:spacing w:val="-1"/>
                <w:lang w:val="it-IT"/>
              </w:rPr>
              <w:t>N (%)</w:t>
            </w:r>
          </w:p>
        </w:tc>
        <w:tc>
          <w:tcPr>
            <w:tcW w:w="0" w:type="auto"/>
            <w:tcBorders>
              <w:top w:val="single" w:sz="4" w:space="0" w:color="auto"/>
              <w:bottom w:val="single" w:sz="4" w:space="0" w:color="auto"/>
            </w:tcBorders>
          </w:tcPr>
          <w:p w14:paraId="7B4D855C" w14:textId="77777777" w:rsidR="00953B2E" w:rsidRPr="00C35766" w:rsidRDefault="005F0C19">
            <w:pPr>
              <w:pStyle w:val="a3"/>
              <w:jc w:val="center"/>
              <w:rPr>
                <w:b/>
                <w:bCs/>
                <w:spacing w:val="-1"/>
                <w:lang w:val="es-ES" w:eastAsia="ko-KR"/>
              </w:rPr>
            </w:pPr>
            <w:r w:rsidRPr="00C35766">
              <w:rPr>
                <w:rFonts w:eastAsia="Times New Roman"/>
                <w:b/>
                <w:bCs/>
                <w:spacing w:val="-1"/>
                <w:lang w:val="it-IT" w:eastAsia="ko-KR"/>
              </w:rPr>
              <w:t>Mediana del tempo al fallimento (mesi)</w:t>
            </w:r>
          </w:p>
        </w:tc>
        <w:tc>
          <w:tcPr>
            <w:tcW w:w="0" w:type="auto"/>
            <w:tcBorders>
              <w:top w:val="single" w:sz="4" w:space="0" w:color="auto"/>
              <w:bottom w:val="single" w:sz="4" w:space="0" w:color="auto"/>
            </w:tcBorders>
            <w:vAlign w:val="center"/>
          </w:tcPr>
          <w:p w14:paraId="68022736" w14:textId="77777777" w:rsidR="00953B2E" w:rsidRPr="00C35766" w:rsidRDefault="005F0C19">
            <w:pPr>
              <w:pStyle w:val="a3"/>
              <w:jc w:val="center"/>
              <w:rPr>
                <w:b/>
                <w:bCs/>
                <w:spacing w:val="-1"/>
                <w:lang w:eastAsia="ko-KR"/>
              </w:rPr>
            </w:pPr>
            <w:r w:rsidRPr="00C35766">
              <w:rPr>
                <w:rFonts w:eastAsia="Times New Roman"/>
                <w:b/>
                <w:bCs/>
                <w:spacing w:val="-1"/>
                <w:lang w:val="it-IT" w:eastAsia="ko-KR"/>
              </w:rPr>
              <w:t>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35A72825" w14:textId="77777777" w:rsidR="00953B2E" w:rsidRPr="00C35766" w:rsidRDefault="005F0C19">
            <w:pPr>
              <w:pStyle w:val="a3"/>
              <w:jc w:val="center"/>
              <w:rPr>
                <w:b/>
                <w:bCs/>
                <w:spacing w:val="-1"/>
                <w:lang w:eastAsia="ko-KR"/>
              </w:rPr>
            </w:pPr>
            <w:r w:rsidRPr="00C35766">
              <w:rPr>
                <w:rFonts w:eastAsia="Times New Roman"/>
                <w:b/>
                <w:bCs/>
                <w:spacing w:val="-1"/>
                <w:lang w:val="it-IT" w:eastAsia="ko-KR"/>
              </w:rPr>
              <w:t>IC al 95% per 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68BBF200" w14:textId="77777777" w:rsidR="00953B2E" w:rsidRPr="00C35766" w:rsidRDefault="005F0C19">
            <w:pPr>
              <w:pStyle w:val="a3"/>
              <w:jc w:val="center"/>
              <w:rPr>
                <w:b/>
              </w:rPr>
            </w:pPr>
            <w:r w:rsidRPr="00C35766">
              <w:rPr>
                <w:b/>
                <w:spacing w:val="-1"/>
                <w:lang w:val="it-IT"/>
              </w:rPr>
              <w:t>Valore</w:t>
            </w:r>
            <w:r w:rsidRPr="00C35766">
              <w:rPr>
                <w:rFonts w:eastAsia="Times New Roman"/>
                <w:b/>
                <w:bCs/>
                <w:spacing w:val="-1"/>
                <w:lang w:val="it-IT" w:eastAsia="ko-KR"/>
              </w:rPr>
              <w:t xml:space="preserve"> p</w:t>
            </w:r>
            <w:r w:rsidRPr="00C35766">
              <w:rPr>
                <w:rFonts w:eastAsia="Times New Roman"/>
                <w:b/>
                <w:bCs/>
                <w:spacing w:val="-1"/>
                <w:vertAlign w:val="superscript"/>
                <w:lang w:val="it-IT" w:eastAsia="ko-KR"/>
              </w:rPr>
              <w:t>b</w:t>
            </w:r>
          </w:p>
          <w:p w14:paraId="0D3FCCAF" w14:textId="77777777" w:rsidR="00953B2E" w:rsidRPr="00C35766" w:rsidRDefault="00953B2E">
            <w:pPr>
              <w:pStyle w:val="a3"/>
              <w:jc w:val="center"/>
              <w:rPr>
                <w:rFonts w:eastAsia="Times New Roman"/>
                <w:b/>
                <w:bCs/>
                <w:spacing w:val="-1"/>
              </w:rPr>
            </w:pPr>
          </w:p>
        </w:tc>
      </w:tr>
      <w:tr w:rsidR="00953B2E" w:rsidRPr="00C35766" w14:paraId="35B1F7EB" w14:textId="77777777">
        <w:trPr>
          <w:jc w:val="center"/>
        </w:trPr>
        <w:tc>
          <w:tcPr>
            <w:tcW w:w="0" w:type="auto"/>
            <w:gridSpan w:val="7"/>
            <w:tcBorders>
              <w:top w:val="single" w:sz="4" w:space="0" w:color="auto"/>
              <w:bottom w:val="single" w:sz="4" w:space="0" w:color="auto"/>
            </w:tcBorders>
            <w:vAlign w:val="center"/>
          </w:tcPr>
          <w:p w14:paraId="7558DAC7" w14:textId="77777777" w:rsidR="00953B2E" w:rsidRPr="00C35766" w:rsidRDefault="005F0C19">
            <w:pPr>
              <w:pStyle w:val="a3"/>
              <w:rPr>
                <w:b/>
                <w:lang w:val="es-ES"/>
              </w:rPr>
            </w:pPr>
            <w:r w:rsidRPr="00C35766">
              <w:rPr>
                <w:rFonts w:eastAsia="Times New Roman"/>
                <w:b/>
                <w:bCs/>
                <w:lang w:val="it-IT"/>
              </w:rPr>
              <w:t>Tempo al fallimento del trattamento alla o dopo la settimana 6 nello Studio UV I</w:t>
            </w:r>
          </w:p>
          <w:p w14:paraId="6CCDFEB9" w14:textId="77777777" w:rsidR="00953B2E" w:rsidRPr="00C35766" w:rsidRDefault="005F0C19">
            <w:pPr>
              <w:pStyle w:val="a3"/>
              <w:jc w:val="both"/>
            </w:pPr>
            <w:r w:rsidRPr="00C35766">
              <w:rPr>
                <w:rFonts w:eastAsia="Times New Roman"/>
                <w:b/>
                <w:bCs/>
                <w:lang w:val="it-IT"/>
              </w:rPr>
              <w:t>Analisi primaria (ITT)</w:t>
            </w:r>
          </w:p>
        </w:tc>
      </w:tr>
      <w:tr w:rsidR="00953B2E" w:rsidRPr="00C35766" w14:paraId="3264BDF8" w14:textId="77777777" w:rsidTr="00C0539A">
        <w:trPr>
          <w:jc w:val="center"/>
        </w:trPr>
        <w:tc>
          <w:tcPr>
            <w:tcW w:w="0" w:type="auto"/>
            <w:tcBorders>
              <w:top w:val="single" w:sz="4" w:space="0" w:color="auto"/>
            </w:tcBorders>
            <w:vAlign w:val="center"/>
          </w:tcPr>
          <w:p w14:paraId="0780BDD4" w14:textId="77777777" w:rsidR="00953B2E" w:rsidRPr="00C35766" w:rsidRDefault="005F0C19">
            <w:pPr>
              <w:pStyle w:val="a3"/>
              <w:jc w:val="center"/>
            </w:pPr>
            <w:r w:rsidRPr="00C35766">
              <w:rPr>
                <w:rFonts w:eastAsia="Times New Roman"/>
                <w:lang w:val="it-IT"/>
              </w:rPr>
              <w:t>placebo</w:t>
            </w:r>
          </w:p>
        </w:tc>
        <w:tc>
          <w:tcPr>
            <w:tcW w:w="0" w:type="auto"/>
            <w:tcBorders>
              <w:top w:val="single" w:sz="4" w:space="0" w:color="auto"/>
            </w:tcBorders>
          </w:tcPr>
          <w:p w14:paraId="70FF1E1E" w14:textId="77777777" w:rsidR="00953B2E" w:rsidRPr="00C35766" w:rsidRDefault="005F0C19">
            <w:pPr>
              <w:pStyle w:val="a3"/>
              <w:jc w:val="center"/>
            </w:pPr>
            <w:r w:rsidRPr="00C35766">
              <w:rPr>
                <w:rFonts w:eastAsia="Times New Roman"/>
                <w:lang w:val="it-IT"/>
              </w:rPr>
              <w:t xml:space="preserve">107 </w:t>
            </w:r>
          </w:p>
        </w:tc>
        <w:tc>
          <w:tcPr>
            <w:tcW w:w="0" w:type="auto"/>
            <w:tcBorders>
              <w:top w:val="single" w:sz="4" w:space="0" w:color="auto"/>
            </w:tcBorders>
          </w:tcPr>
          <w:p w14:paraId="06335645" w14:textId="77777777" w:rsidR="00953B2E" w:rsidRPr="00C35766" w:rsidRDefault="005F0C19">
            <w:pPr>
              <w:pStyle w:val="a3"/>
              <w:jc w:val="center"/>
            </w:pPr>
            <w:r w:rsidRPr="00C35766">
              <w:rPr>
                <w:rFonts w:eastAsia="Times New Roman"/>
                <w:lang w:val="it-IT"/>
              </w:rPr>
              <w:t xml:space="preserve">84 (78,5) </w:t>
            </w:r>
          </w:p>
        </w:tc>
        <w:tc>
          <w:tcPr>
            <w:tcW w:w="0" w:type="auto"/>
            <w:tcBorders>
              <w:top w:val="single" w:sz="4" w:space="0" w:color="auto"/>
            </w:tcBorders>
          </w:tcPr>
          <w:p w14:paraId="7A8141CC" w14:textId="77777777" w:rsidR="00953B2E" w:rsidRPr="00C35766" w:rsidRDefault="005F0C19">
            <w:pPr>
              <w:pStyle w:val="a3"/>
              <w:jc w:val="center"/>
            </w:pPr>
            <w:r w:rsidRPr="00C35766">
              <w:rPr>
                <w:rFonts w:eastAsia="Times New Roman"/>
                <w:lang w:val="it-IT"/>
              </w:rPr>
              <w:t xml:space="preserve">3,0 </w:t>
            </w:r>
          </w:p>
        </w:tc>
        <w:tc>
          <w:tcPr>
            <w:tcW w:w="0" w:type="auto"/>
            <w:tcBorders>
              <w:top w:val="single" w:sz="4" w:space="0" w:color="auto"/>
            </w:tcBorders>
          </w:tcPr>
          <w:p w14:paraId="4BC619CF" w14:textId="77777777" w:rsidR="00953B2E" w:rsidRPr="00C35766" w:rsidRDefault="005F0C19">
            <w:pPr>
              <w:pStyle w:val="a3"/>
              <w:jc w:val="center"/>
            </w:pPr>
            <w:r w:rsidRPr="00C35766">
              <w:t xml:space="preserve">-- </w:t>
            </w:r>
          </w:p>
        </w:tc>
        <w:tc>
          <w:tcPr>
            <w:tcW w:w="0" w:type="auto"/>
            <w:tcBorders>
              <w:top w:val="single" w:sz="4" w:space="0" w:color="auto"/>
            </w:tcBorders>
          </w:tcPr>
          <w:p w14:paraId="09D8E6DB" w14:textId="77777777" w:rsidR="00953B2E" w:rsidRPr="00C35766" w:rsidRDefault="005F0C19">
            <w:pPr>
              <w:pStyle w:val="a3"/>
              <w:jc w:val="center"/>
            </w:pPr>
            <w:r w:rsidRPr="00C35766">
              <w:t xml:space="preserve">-- </w:t>
            </w:r>
          </w:p>
        </w:tc>
        <w:tc>
          <w:tcPr>
            <w:tcW w:w="0" w:type="auto"/>
            <w:tcBorders>
              <w:top w:val="single" w:sz="4" w:space="0" w:color="auto"/>
            </w:tcBorders>
          </w:tcPr>
          <w:p w14:paraId="611D0C10" w14:textId="77777777" w:rsidR="00953B2E" w:rsidRPr="00C35766" w:rsidRDefault="005F0C19">
            <w:pPr>
              <w:pStyle w:val="a3"/>
              <w:jc w:val="center"/>
            </w:pPr>
            <w:r w:rsidRPr="00C35766">
              <w:t xml:space="preserve">-- </w:t>
            </w:r>
          </w:p>
        </w:tc>
      </w:tr>
      <w:tr w:rsidR="00953B2E" w:rsidRPr="00C35766" w14:paraId="72340022" w14:textId="77777777">
        <w:trPr>
          <w:jc w:val="center"/>
        </w:trPr>
        <w:tc>
          <w:tcPr>
            <w:tcW w:w="0" w:type="auto"/>
            <w:tcBorders>
              <w:bottom w:val="single" w:sz="4" w:space="0" w:color="auto"/>
            </w:tcBorders>
            <w:vAlign w:val="center"/>
          </w:tcPr>
          <w:p w14:paraId="5DD8AC1B" w14:textId="105B1834" w:rsidR="00953B2E" w:rsidRPr="00C35766" w:rsidRDefault="009B0E18" w:rsidP="00B82D29">
            <w:pPr>
              <w:pStyle w:val="a3"/>
              <w:jc w:val="center"/>
            </w:pPr>
            <w:r w:rsidRPr="00C35766">
              <w:rPr>
                <w:rFonts w:eastAsia="Times New Roman"/>
                <w:lang w:val="it-IT"/>
              </w:rPr>
              <w:t>adalimumab</w:t>
            </w:r>
          </w:p>
        </w:tc>
        <w:tc>
          <w:tcPr>
            <w:tcW w:w="0" w:type="auto"/>
            <w:tcBorders>
              <w:bottom w:val="single" w:sz="4" w:space="0" w:color="auto"/>
            </w:tcBorders>
          </w:tcPr>
          <w:p w14:paraId="5C4F7FEB" w14:textId="77777777" w:rsidR="00953B2E" w:rsidRPr="00C35766" w:rsidRDefault="005F0C19">
            <w:pPr>
              <w:pStyle w:val="a3"/>
              <w:jc w:val="center"/>
            </w:pPr>
            <w:r w:rsidRPr="00C35766">
              <w:rPr>
                <w:rFonts w:eastAsia="Times New Roman"/>
                <w:lang w:val="it-IT"/>
              </w:rPr>
              <w:t xml:space="preserve">110 </w:t>
            </w:r>
          </w:p>
        </w:tc>
        <w:tc>
          <w:tcPr>
            <w:tcW w:w="0" w:type="auto"/>
            <w:tcBorders>
              <w:bottom w:val="single" w:sz="4" w:space="0" w:color="auto"/>
            </w:tcBorders>
          </w:tcPr>
          <w:p w14:paraId="70EB3ABA" w14:textId="77777777" w:rsidR="00953B2E" w:rsidRPr="00C35766" w:rsidRDefault="005F0C19">
            <w:pPr>
              <w:pStyle w:val="a3"/>
              <w:jc w:val="center"/>
            </w:pPr>
            <w:r w:rsidRPr="00C35766">
              <w:rPr>
                <w:rFonts w:eastAsia="Times New Roman"/>
                <w:lang w:val="it-IT"/>
              </w:rPr>
              <w:t xml:space="preserve">60 (54,5) </w:t>
            </w:r>
          </w:p>
        </w:tc>
        <w:tc>
          <w:tcPr>
            <w:tcW w:w="0" w:type="auto"/>
            <w:tcBorders>
              <w:bottom w:val="single" w:sz="4" w:space="0" w:color="auto"/>
            </w:tcBorders>
          </w:tcPr>
          <w:p w14:paraId="0B38E20B" w14:textId="77777777" w:rsidR="00953B2E" w:rsidRPr="00C35766" w:rsidRDefault="005F0C19">
            <w:pPr>
              <w:pStyle w:val="a3"/>
              <w:jc w:val="center"/>
            </w:pPr>
            <w:r w:rsidRPr="00C35766">
              <w:rPr>
                <w:rFonts w:eastAsia="Times New Roman"/>
                <w:lang w:val="it-IT"/>
              </w:rPr>
              <w:t xml:space="preserve">5,6 </w:t>
            </w:r>
          </w:p>
        </w:tc>
        <w:tc>
          <w:tcPr>
            <w:tcW w:w="0" w:type="auto"/>
            <w:tcBorders>
              <w:bottom w:val="single" w:sz="4" w:space="0" w:color="auto"/>
            </w:tcBorders>
          </w:tcPr>
          <w:p w14:paraId="204465D6" w14:textId="77777777" w:rsidR="00953B2E" w:rsidRPr="00C35766" w:rsidRDefault="005F0C19">
            <w:pPr>
              <w:pStyle w:val="a3"/>
              <w:jc w:val="center"/>
            </w:pPr>
            <w:r w:rsidRPr="00C35766">
              <w:rPr>
                <w:rFonts w:eastAsia="Times New Roman"/>
                <w:lang w:val="it-IT"/>
              </w:rPr>
              <w:t xml:space="preserve">0,50 </w:t>
            </w:r>
          </w:p>
        </w:tc>
        <w:tc>
          <w:tcPr>
            <w:tcW w:w="0" w:type="auto"/>
            <w:tcBorders>
              <w:bottom w:val="single" w:sz="4" w:space="0" w:color="auto"/>
            </w:tcBorders>
          </w:tcPr>
          <w:p w14:paraId="7B03922A" w14:textId="77777777" w:rsidR="00953B2E" w:rsidRPr="00C35766" w:rsidRDefault="005F0C19">
            <w:pPr>
              <w:pStyle w:val="a3"/>
              <w:jc w:val="center"/>
            </w:pPr>
            <w:r w:rsidRPr="00C35766">
              <w:rPr>
                <w:rFonts w:eastAsia="Times New Roman"/>
                <w:lang w:val="it-IT"/>
              </w:rPr>
              <w:t xml:space="preserve">0,36, 0,70 </w:t>
            </w:r>
          </w:p>
        </w:tc>
        <w:tc>
          <w:tcPr>
            <w:tcW w:w="0" w:type="auto"/>
            <w:tcBorders>
              <w:bottom w:val="single" w:sz="4" w:space="0" w:color="auto"/>
            </w:tcBorders>
          </w:tcPr>
          <w:p w14:paraId="530B43C7" w14:textId="7C9B9BCB" w:rsidR="00953B2E" w:rsidRPr="00C35766" w:rsidRDefault="005F0C19">
            <w:pPr>
              <w:pStyle w:val="a3"/>
              <w:jc w:val="center"/>
            </w:pP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 xml:space="preserve">0,001 </w:t>
            </w:r>
          </w:p>
        </w:tc>
      </w:tr>
      <w:tr w:rsidR="00953B2E" w:rsidRPr="00C35766" w14:paraId="5CC312E5" w14:textId="77777777">
        <w:trPr>
          <w:jc w:val="center"/>
        </w:trPr>
        <w:tc>
          <w:tcPr>
            <w:tcW w:w="0" w:type="auto"/>
            <w:gridSpan w:val="7"/>
            <w:tcBorders>
              <w:top w:val="single" w:sz="4" w:space="0" w:color="auto"/>
              <w:bottom w:val="single" w:sz="4" w:space="0" w:color="auto"/>
            </w:tcBorders>
            <w:vAlign w:val="center"/>
          </w:tcPr>
          <w:p w14:paraId="4FF60632" w14:textId="77777777" w:rsidR="00953B2E" w:rsidRPr="00C35766" w:rsidRDefault="005F0C19">
            <w:pPr>
              <w:pStyle w:val="a3"/>
              <w:jc w:val="both"/>
              <w:rPr>
                <w:b/>
                <w:lang w:val="es-ES"/>
              </w:rPr>
            </w:pPr>
            <w:r w:rsidRPr="00C35766">
              <w:rPr>
                <w:rFonts w:eastAsia="Times New Roman"/>
                <w:b/>
                <w:bCs/>
                <w:lang w:val="it-IT"/>
              </w:rPr>
              <w:t>Tempo al fallimento del trattamento alla o dopo la settimana 2 nello Studio UV II</w:t>
            </w:r>
          </w:p>
          <w:p w14:paraId="2C589118" w14:textId="77777777" w:rsidR="00953B2E" w:rsidRPr="00C35766" w:rsidRDefault="005F0C19">
            <w:pPr>
              <w:pStyle w:val="a3"/>
              <w:jc w:val="both"/>
            </w:pPr>
            <w:r w:rsidRPr="00C35766">
              <w:rPr>
                <w:rFonts w:eastAsia="Times New Roman"/>
                <w:b/>
                <w:bCs/>
                <w:lang w:val="it-IT"/>
              </w:rPr>
              <w:t>Analisi primaria (ITT)</w:t>
            </w:r>
          </w:p>
        </w:tc>
      </w:tr>
      <w:tr w:rsidR="00953B2E" w:rsidRPr="00C35766" w14:paraId="1BC59187" w14:textId="77777777" w:rsidTr="00C0539A">
        <w:trPr>
          <w:jc w:val="center"/>
        </w:trPr>
        <w:tc>
          <w:tcPr>
            <w:tcW w:w="0" w:type="auto"/>
            <w:tcBorders>
              <w:top w:val="single" w:sz="4" w:space="0" w:color="auto"/>
            </w:tcBorders>
          </w:tcPr>
          <w:p w14:paraId="42B8B87A" w14:textId="77777777" w:rsidR="00953B2E" w:rsidRPr="00C35766" w:rsidRDefault="005F0C19">
            <w:pPr>
              <w:pStyle w:val="a3"/>
              <w:jc w:val="center"/>
            </w:pPr>
            <w:r w:rsidRPr="00C35766">
              <w:rPr>
                <w:rFonts w:eastAsia="Times New Roman"/>
                <w:lang w:val="it-IT"/>
              </w:rPr>
              <w:t xml:space="preserve">placebo </w:t>
            </w:r>
          </w:p>
        </w:tc>
        <w:tc>
          <w:tcPr>
            <w:tcW w:w="0" w:type="auto"/>
            <w:tcBorders>
              <w:top w:val="single" w:sz="4" w:space="0" w:color="auto"/>
            </w:tcBorders>
          </w:tcPr>
          <w:p w14:paraId="4389FFA1" w14:textId="77777777" w:rsidR="00953B2E" w:rsidRPr="00C35766" w:rsidRDefault="005F0C19">
            <w:pPr>
              <w:pStyle w:val="a3"/>
              <w:jc w:val="center"/>
            </w:pPr>
            <w:r w:rsidRPr="00C35766">
              <w:rPr>
                <w:rFonts w:eastAsia="Times New Roman"/>
                <w:lang w:val="it-IT"/>
              </w:rPr>
              <w:t xml:space="preserve">111 </w:t>
            </w:r>
          </w:p>
        </w:tc>
        <w:tc>
          <w:tcPr>
            <w:tcW w:w="0" w:type="auto"/>
            <w:tcBorders>
              <w:top w:val="single" w:sz="4" w:space="0" w:color="auto"/>
            </w:tcBorders>
          </w:tcPr>
          <w:p w14:paraId="20209F21" w14:textId="77777777" w:rsidR="00953B2E" w:rsidRPr="00C35766" w:rsidRDefault="005F0C19">
            <w:pPr>
              <w:pStyle w:val="a3"/>
              <w:jc w:val="center"/>
            </w:pPr>
            <w:r w:rsidRPr="00C35766">
              <w:rPr>
                <w:rFonts w:eastAsia="Times New Roman"/>
                <w:lang w:val="it-IT"/>
              </w:rPr>
              <w:t xml:space="preserve">61 (55,0) </w:t>
            </w:r>
          </w:p>
        </w:tc>
        <w:tc>
          <w:tcPr>
            <w:tcW w:w="0" w:type="auto"/>
            <w:tcBorders>
              <w:top w:val="single" w:sz="4" w:space="0" w:color="auto"/>
            </w:tcBorders>
          </w:tcPr>
          <w:p w14:paraId="1E856E16" w14:textId="77777777" w:rsidR="00953B2E" w:rsidRPr="00C35766" w:rsidRDefault="005F0C19">
            <w:pPr>
              <w:pStyle w:val="a3"/>
              <w:jc w:val="center"/>
            </w:pPr>
            <w:r w:rsidRPr="00C35766">
              <w:rPr>
                <w:rFonts w:eastAsia="Times New Roman"/>
                <w:lang w:val="it-IT"/>
              </w:rPr>
              <w:t xml:space="preserve">8,3 </w:t>
            </w:r>
          </w:p>
        </w:tc>
        <w:tc>
          <w:tcPr>
            <w:tcW w:w="0" w:type="auto"/>
            <w:tcBorders>
              <w:top w:val="single" w:sz="4" w:space="0" w:color="auto"/>
            </w:tcBorders>
          </w:tcPr>
          <w:p w14:paraId="7FDD0533" w14:textId="77777777" w:rsidR="00953B2E" w:rsidRPr="00C35766" w:rsidRDefault="005F0C19">
            <w:pPr>
              <w:pStyle w:val="a3"/>
              <w:jc w:val="center"/>
            </w:pPr>
            <w:r w:rsidRPr="00C35766">
              <w:t xml:space="preserve">-- </w:t>
            </w:r>
          </w:p>
        </w:tc>
        <w:tc>
          <w:tcPr>
            <w:tcW w:w="0" w:type="auto"/>
            <w:tcBorders>
              <w:top w:val="single" w:sz="4" w:space="0" w:color="auto"/>
            </w:tcBorders>
          </w:tcPr>
          <w:p w14:paraId="5D1D731B" w14:textId="77777777" w:rsidR="00953B2E" w:rsidRPr="00C35766" w:rsidRDefault="005F0C19">
            <w:pPr>
              <w:pStyle w:val="a3"/>
              <w:jc w:val="center"/>
            </w:pPr>
            <w:r w:rsidRPr="00C35766">
              <w:t xml:space="preserve">-- </w:t>
            </w:r>
          </w:p>
        </w:tc>
        <w:tc>
          <w:tcPr>
            <w:tcW w:w="0" w:type="auto"/>
            <w:tcBorders>
              <w:top w:val="single" w:sz="4" w:space="0" w:color="auto"/>
            </w:tcBorders>
          </w:tcPr>
          <w:p w14:paraId="4DD5BD22" w14:textId="77777777" w:rsidR="00953B2E" w:rsidRPr="00C35766" w:rsidRDefault="005F0C19">
            <w:pPr>
              <w:pStyle w:val="a3"/>
              <w:jc w:val="center"/>
            </w:pPr>
            <w:r w:rsidRPr="00C35766">
              <w:t xml:space="preserve">-- </w:t>
            </w:r>
          </w:p>
        </w:tc>
      </w:tr>
      <w:tr w:rsidR="00953B2E" w:rsidRPr="00C35766" w14:paraId="3C7BEA52" w14:textId="77777777">
        <w:trPr>
          <w:jc w:val="center"/>
        </w:trPr>
        <w:tc>
          <w:tcPr>
            <w:tcW w:w="0" w:type="auto"/>
            <w:tcBorders>
              <w:bottom w:val="single" w:sz="4" w:space="0" w:color="auto"/>
            </w:tcBorders>
          </w:tcPr>
          <w:p w14:paraId="056CA929" w14:textId="7B819133" w:rsidR="00953B2E" w:rsidRPr="00C35766" w:rsidRDefault="009B0E18" w:rsidP="00B82D29">
            <w:pPr>
              <w:pStyle w:val="a3"/>
              <w:jc w:val="center"/>
            </w:pPr>
            <w:r w:rsidRPr="00C35766">
              <w:rPr>
                <w:rFonts w:eastAsia="Times New Roman"/>
                <w:lang w:val="it-IT"/>
              </w:rPr>
              <w:t>adalimumab</w:t>
            </w:r>
            <w:r w:rsidR="005F0C19" w:rsidRPr="00C35766">
              <w:rPr>
                <w:rFonts w:eastAsia="Times New Roman"/>
                <w:lang w:val="it-IT"/>
              </w:rPr>
              <w:t xml:space="preserve"> </w:t>
            </w:r>
          </w:p>
        </w:tc>
        <w:tc>
          <w:tcPr>
            <w:tcW w:w="0" w:type="auto"/>
            <w:tcBorders>
              <w:bottom w:val="single" w:sz="4" w:space="0" w:color="auto"/>
            </w:tcBorders>
          </w:tcPr>
          <w:p w14:paraId="34A23774" w14:textId="77777777" w:rsidR="00953B2E" w:rsidRPr="00C35766" w:rsidRDefault="005F0C19">
            <w:pPr>
              <w:pStyle w:val="a3"/>
              <w:jc w:val="center"/>
            </w:pPr>
            <w:r w:rsidRPr="00C35766">
              <w:rPr>
                <w:rFonts w:eastAsia="Times New Roman"/>
                <w:lang w:val="it-IT"/>
              </w:rPr>
              <w:t xml:space="preserve">115 </w:t>
            </w:r>
          </w:p>
        </w:tc>
        <w:tc>
          <w:tcPr>
            <w:tcW w:w="0" w:type="auto"/>
            <w:tcBorders>
              <w:bottom w:val="single" w:sz="4" w:space="0" w:color="auto"/>
            </w:tcBorders>
          </w:tcPr>
          <w:p w14:paraId="4E362166" w14:textId="77777777" w:rsidR="00953B2E" w:rsidRPr="00C35766" w:rsidRDefault="005F0C19">
            <w:pPr>
              <w:pStyle w:val="a3"/>
              <w:jc w:val="center"/>
            </w:pPr>
            <w:r w:rsidRPr="00C35766">
              <w:rPr>
                <w:rFonts w:eastAsia="Times New Roman"/>
                <w:lang w:val="it-IT"/>
              </w:rPr>
              <w:t xml:space="preserve">45 (39,1) </w:t>
            </w:r>
          </w:p>
        </w:tc>
        <w:tc>
          <w:tcPr>
            <w:tcW w:w="0" w:type="auto"/>
            <w:tcBorders>
              <w:bottom w:val="single" w:sz="4" w:space="0" w:color="auto"/>
            </w:tcBorders>
          </w:tcPr>
          <w:p w14:paraId="0DAC321B" w14:textId="77777777" w:rsidR="00953B2E" w:rsidRPr="00C35766" w:rsidRDefault="005F0C19">
            <w:pPr>
              <w:pStyle w:val="a3"/>
              <w:jc w:val="center"/>
            </w:pPr>
            <w:r w:rsidRPr="00C35766">
              <w:rPr>
                <w:rFonts w:eastAsia="Times New Roman"/>
                <w:lang w:val="it-IT"/>
              </w:rPr>
              <w:t>NV</w:t>
            </w:r>
            <w:r w:rsidRPr="00C35766">
              <w:rPr>
                <w:vertAlign w:val="superscript"/>
                <w:lang w:val="it-IT"/>
              </w:rPr>
              <w:t>c</w:t>
            </w:r>
            <w:r w:rsidRPr="00C35766">
              <w:rPr>
                <w:rFonts w:eastAsia="Times New Roman"/>
                <w:lang w:val="it-IT"/>
              </w:rPr>
              <w:t xml:space="preserve"> </w:t>
            </w:r>
          </w:p>
        </w:tc>
        <w:tc>
          <w:tcPr>
            <w:tcW w:w="0" w:type="auto"/>
            <w:tcBorders>
              <w:bottom w:val="single" w:sz="4" w:space="0" w:color="auto"/>
            </w:tcBorders>
          </w:tcPr>
          <w:p w14:paraId="220AE670" w14:textId="77777777" w:rsidR="00953B2E" w:rsidRPr="00C35766" w:rsidRDefault="005F0C19">
            <w:pPr>
              <w:pStyle w:val="a3"/>
              <w:jc w:val="center"/>
            </w:pPr>
            <w:r w:rsidRPr="00C35766">
              <w:rPr>
                <w:rFonts w:eastAsia="Times New Roman"/>
                <w:lang w:val="it-IT"/>
              </w:rPr>
              <w:t xml:space="preserve">0,57 </w:t>
            </w:r>
          </w:p>
        </w:tc>
        <w:tc>
          <w:tcPr>
            <w:tcW w:w="0" w:type="auto"/>
            <w:tcBorders>
              <w:bottom w:val="single" w:sz="4" w:space="0" w:color="auto"/>
            </w:tcBorders>
          </w:tcPr>
          <w:p w14:paraId="17372C1C" w14:textId="77777777" w:rsidR="00953B2E" w:rsidRPr="00C35766" w:rsidRDefault="005F0C19">
            <w:pPr>
              <w:pStyle w:val="a3"/>
              <w:jc w:val="center"/>
            </w:pPr>
            <w:r w:rsidRPr="00C35766">
              <w:rPr>
                <w:rFonts w:eastAsia="Times New Roman"/>
                <w:lang w:val="it-IT"/>
              </w:rPr>
              <w:t xml:space="preserve">0,39, 0,84 </w:t>
            </w:r>
          </w:p>
        </w:tc>
        <w:tc>
          <w:tcPr>
            <w:tcW w:w="0" w:type="auto"/>
            <w:tcBorders>
              <w:bottom w:val="single" w:sz="4" w:space="0" w:color="auto"/>
            </w:tcBorders>
          </w:tcPr>
          <w:p w14:paraId="3AA3E458" w14:textId="77777777" w:rsidR="00953B2E" w:rsidRPr="00C35766" w:rsidRDefault="005F0C19">
            <w:pPr>
              <w:pStyle w:val="a3"/>
              <w:jc w:val="center"/>
            </w:pPr>
            <w:r w:rsidRPr="00C35766">
              <w:rPr>
                <w:rFonts w:eastAsia="Times New Roman"/>
                <w:lang w:val="it-IT"/>
              </w:rPr>
              <w:t xml:space="preserve">0,004 </w:t>
            </w:r>
          </w:p>
        </w:tc>
      </w:tr>
    </w:tbl>
    <w:p w14:paraId="78D92A45" w14:textId="77777777" w:rsidR="00953B2E" w:rsidRPr="00C35766" w:rsidRDefault="005F0C19" w:rsidP="00146E60">
      <w:pPr>
        <w:pStyle w:val="a3"/>
        <w:ind w:leftChars="100" w:left="220"/>
        <w:rPr>
          <w:lang w:val="it-IT"/>
        </w:rPr>
      </w:pPr>
      <w:r w:rsidRPr="00C35766">
        <w:rPr>
          <w:rFonts w:eastAsia="Times New Roman"/>
          <w:lang w:val="it-IT"/>
        </w:rPr>
        <w:t xml:space="preserve">Nota: il fallimento del trattamento alla o dopo la settimana 6 (Studio UV I) oppure alla o dopo la settimana 2 (Studio UV II) è stato contato come evento. Gli abbandoni a causa di motivi diversi dal </w:t>
      </w:r>
      <w:r w:rsidRPr="00C35766">
        <w:rPr>
          <w:rFonts w:eastAsia="Times New Roman"/>
          <w:lang w:val="it-IT"/>
        </w:rPr>
        <w:lastRenderedPageBreak/>
        <w:t>fallimento del trattamento sono stati censurati al momento dell’abbandono.</w:t>
      </w:r>
    </w:p>
    <w:p w14:paraId="3E379B24" w14:textId="77777777" w:rsidR="00953B2E" w:rsidRPr="00C35766" w:rsidRDefault="005F0C19" w:rsidP="00146E60">
      <w:pPr>
        <w:pStyle w:val="a3"/>
        <w:numPr>
          <w:ilvl w:val="0"/>
          <w:numId w:val="8"/>
        </w:numPr>
        <w:ind w:leftChars="-64" w:left="219"/>
        <w:rPr>
          <w:lang w:val="it-IT"/>
        </w:rPr>
      </w:pPr>
      <w:r w:rsidRPr="00C35766">
        <w:rPr>
          <w:rFonts w:eastAsia="Times New Roman"/>
          <w:lang w:val="it-IT"/>
        </w:rPr>
        <w:t>HR di adalimumab rispetto al placebo dalla regressione proporzionale dei rischi con il trattamento come fattore.</w:t>
      </w:r>
    </w:p>
    <w:p w14:paraId="76479A81" w14:textId="4E9229AB" w:rsidR="00953B2E" w:rsidRPr="00C35766" w:rsidRDefault="005F0C19" w:rsidP="00146E60">
      <w:pPr>
        <w:pStyle w:val="a3"/>
        <w:numPr>
          <w:ilvl w:val="0"/>
          <w:numId w:val="8"/>
        </w:numPr>
        <w:ind w:leftChars="-64" w:left="219"/>
        <w:rPr>
          <w:lang w:val="fr-FR"/>
        </w:rPr>
      </w:pPr>
      <w:r w:rsidRPr="00C35766">
        <w:rPr>
          <w:rFonts w:eastAsia="Times New Roman"/>
          <w:lang w:val="it-IT"/>
        </w:rPr>
        <w:t xml:space="preserve">Valore </w:t>
      </w:r>
      <w:r w:rsidR="009B0E18" w:rsidRPr="00C35766">
        <w:rPr>
          <w:rFonts w:eastAsia="Times New Roman"/>
          <w:lang w:val="it-IT"/>
        </w:rPr>
        <w:t>p</w:t>
      </w:r>
      <w:r w:rsidRPr="00C35766">
        <w:rPr>
          <w:rFonts w:eastAsia="Times New Roman"/>
          <w:i/>
          <w:iCs/>
          <w:lang w:val="it-IT"/>
        </w:rPr>
        <w:t xml:space="preserve"> </w:t>
      </w:r>
      <w:r w:rsidRPr="00C35766">
        <w:rPr>
          <w:rFonts w:eastAsia="Times New Roman"/>
          <w:lang w:val="it-IT"/>
        </w:rPr>
        <w:t>bilaterale dal test dei ranghi logaritmici.</w:t>
      </w:r>
    </w:p>
    <w:p w14:paraId="33FF2C51" w14:textId="77777777" w:rsidR="00953B2E" w:rsidRPr="00C35766" w:rsidRDefault="005F0C19" w:rsidP="00146E60">
      <w:pPr>
        <w:pStyle w:val="a3"/>
        <w:numPr>
          <w:ilvl w:val="0"/>
          <w:numId w:val="8"/>
        </w:numPr>
        <w:ind w:leftChars="-64" w:left="219"/>
        <w:rPr>
          <w:lang w:val="it-IT"/>
        </w:rPr>
      </w:pPr>
      <w:r w:rsidRPr="00C35766">
        <w:rPr>
          <w:rFonts w:eastAsia="Times New Roman"/>
          <w:lang w:val="it-IT"/>
        </w:rPr>
        <w:t>NV = non valutabile. Meno della metà dei soggetti a rischio ha avuto un evento.</w:t>
      </w:r>
    </w:p>
    <w:p w14:paraId="5BCED5CC" w14:textId="5E329442" w:rsidR="005A5DEF" w:rsidRDefault="005A5DEF">
      <w:pPr>
        <w:rPr>
          <w:rFonts w:ascii="Times New Roman" w:eastAsia="Times New Roman" w:hAnsi="Times New Roman" w:cs="Times New Roman"/>
          <w:b/>
          <w:bCs/>
          <w:lang w:val="it-IT"/>
        </w:rPr>
      </w:pPr>
    </w:p>
    <w:p w14:paraId="333DFAFF" w14:textId="290DCC5A" w:rsidR="00953B2E" w:rsidRPr="00C35766" w:rsidRDefault="005F0C19">
      <w:pPr>
        <w:pStyle w:val="a3"/>
        <w:jc w:val="center"/>
        <w:rPr>
          <w:b/>
          <w:lang w:val="es-ES"/>
        </w:rPr>
      </w:pPr>
      <w:r w:rsidRPr="00C35766">
        <w:rPr>
          <w:rFonts w:eastAsia="Times New Roman"/>
          <w:b/>
          <w:bCs/>
          <w:lang w:val="it-IT"/>
        </w:rPr>
        <w:t>Figura 2: curve di Kaplan-Meier del tempo al fallimento del trattamento alla o dopo la settimana 6 (Studio UV I) o la settimana 2 (Studio UV II)</w:t>
      </w:r>
    </w:p>
    <w:p w14:paraId="6BD2E253" w14:textId="22B461BB" w:rsidR="00953B2E" w:rsidRPr="00C35766" w:rsidRDefault="005F0C19">
      <w:pPr>
        <w:spacing w:line="200" w:lineRule="exact"/>
        <w:rPr>
          <w:rFonts w:ascii="Times New Roman" w:hAnsi="Times New Roman" w:cs="Times New Roman"/>
          <w:sz w:val="20"/>
          <w:szCs w:val="20"/>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244" behindDoc="1" locked="0" layoutInCell="1" allowOverlap="1" wp14:anchorId="0A5F77BC" wp14:editId="519A6949">
                <wp:simplePos x="0" y="0"/>
                <wp:positionH relativeFrom="margin">
                  <wp:posOffset>76200</wp:posOffset>
                </wp:positionH>
                <wp:positionV relativeFrom="paragraph">
                  <wp:posOffset>-362</wp:posOffset>
                </wp:positionV>
                <wp:extent cx="312420" cy="2084251"/>
                <wp:effectExtent l="0" t="0" r="11430" b="11430"/>
                <wp:wrapNone/>
                <wp:docPr id="1083"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084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13DA3" w14:textId="77777777" w:rsidR="00D97785" w:rsidRPr="00824699" w:rsidRDefault="00D97785">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F77BC" id="Text Box 3883" o:spid="_x0000_s1029" type="#_x0000_t202" style="position:absolute;margin-left:6pt;margin-top:-.05pt;width:24.6pt;height:164.1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" filled="f" stroked="f">
                <v:textbox style="layout-flow:vertical;mso-layout-flow-alt:bottom-to-top" inset="0,0,0,0">
                  <w:txbxContent>
                    <w:p w14:paraId="7BF13DA3" w14:textId="77777777" w:rsidR="00D97785" w:rsidRPr="00824699" w:rsidRDefault="00D97785">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margin"/>
              </v:shape>
            </w:pict>
          </mc:Fallback>
        </mc:AlternateContent>
      </w:r>
    </w:p>
    <w:p w14:paraId="14417441" w14:textId="3311EBBF" w:rsidR="00953B2E" w:rsidRPr="00C35766" w:rsidRDefault="005F0C19">
      <w:pPr>
        <w:ind w:left="701" w:right="10920"/>
        <w:rPr>
          <w:rFonts w:ascii="Times New Roman" w:eastAsia="Times New Roman" w:hAnsi="Times New Roman" w:cs="Times New Roman"/>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262" behindDoc="0" locked="0" layoutInCell="1" allowOverlap="1" wp14:anchorId="74B03B4B" wp14:editId="4870C8F8">
                <wp:simplePos x="0" y="0"/>
                <wp:positionH relativeFrom="column">
                  <wp:posOffset>605254</wp:posOffset>
                </wp:positionH>
                <wp:positionV relativeFrom="paragraph">
                  <wp:posOffset>2004761</wp:posOffset>
                </wp:positionV>
                <wp:extent cx="436880" cy="273997"/>
                <wp:effectExtent l="0" t="0" r="1270" b="0"/>
                <wp:wrapNone/>
                <wp:docPr id="24" name="Text Box 24"/>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7AE272"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6F4E1623"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4B03B4B" id="Text Box 24" o:spid="_x0000_s1030" type="#_x0000_t202" style="position:absolute;left:0;text-align:left;margin-left:47.65pt;margin-top:157.85pt;width:34.4pt;height:21.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" fillcolor="white [3212]" stroked="f" strokeweight=".5pt">
                <v:textbox inset="0,0,0,0">
                  <w:txbxContent>
                    <w:p w14:paraId="727AE272"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6F4E1623"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v:textbox>
              </v:shape>
            </w:pict>
          </mc:Fallback>
        </mc:AlternateContent>
      </w:r>
      <w:r w:rsidRPr="00C35766">
        <w:rPr>
          <w:rFonts w:ascii="Times New Roman" w:hAnsi="Times New Roman" w:cs="Times New Roman"/>
          <w:noProof/>
          <w:lang w:eastAsia="ko-KR"/>
        </w:rPr>
        <w:drawing>
          <wp:inline distT="0" distB="0" distL="0" distR="0" wp14:anchorId="4B9CA173" wp14:editId="7AAECC67">
            <wp:extent cx="5518150" cy="2222500"/>
            <wp:effectExtent l="0" t="0" r="0" b="0"/>
            <wp:docPr id="84"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2E159CE2" w14:textId="0D93B4ED" w:rsidR="00953B2E" w:rsidRPr="00C35766" w:rsidRDefault="005F0C19">
      <w:pPr>
        <w:spacing w:line="233" w:lineRule="exact"/>
        <w:ind w:left="4099" w:right="372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0E305795" w14:textId="1C3725CF" w:rsidR="00953B2E" w:rsidRPr="00C35766" w:rsidRDefault="005F0C19">
      <w:pPr>
        <w:pStyle w:val="a3"/>
        <w:ind w:firstLine="701"/>
        <w:rPr>
          <w:lang w:val="pt-BR"/>
        </w:rPr>
      </w:pPr>
      <w:r w:rsidRPr="00C35766">
        <w:rPr>
          <w:noProof/>
          <w:lang w:eastAsia="ko-KR"/>
        </w:rPr>
        <w:drawing>
          <wp:anchor distT="0" distB="0" distL="114300" distR="114300" simplePos="0" relativeHeight="251658242" behindDoc="1" locked="0" layoutInCell="1" allowOverlap="1" wp14:anchorId="0F630268" wp14:editId="70E9F886">
            <wp:simplePos x="0" y="0"/>
            <wp:positionH relativeFrom="page">
              <wp:posOffset>3696970</wp:posOffset>
            </wp:positionH>
            <wp:positionV relativeFrom="paragraph">
              <wp:posOffset>1905</wp:posOffset>
            </wp:positionV>
            <wp:extent cx="397510" cy="182880"/>
            <wp:effectExtent l="0" t="0" r="0" b="0"/>
            <wp:wrapNone/>
            <wp:docPr id="3882" name="그림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noProof/>
          <w:lang w:eastAsia="ko-KR"/>
        </w:rPr>
        <w:drawing>
          <wp:anchor distT="0" distB="0" distL="114300" distR="114300" simplePos="0" relativeHeight="251658243" behindDoc="1" locked="0" layoutInCell="1" allowOverlap="1" wp14:anchorId="51A93550" wp14:editId="3EFB7976">
            <wp:simplePos x="0" y="0"/>
            <wp:positionH relativeFrom="page">
              <wp:posOffset>5091430</wp:posOffset>
            </wp:positionH>
            <wp:positionV relativeFrom="paragraph">
              <wp:posOffset>1905</wp:posOffset>
            </wp:positionV>
            <wp:extent cx="501650" cy="182880"/>
            <wp:effectExtent l="0" t="0" r="0" b="0"/>
            <wp:wrapNone/>
            <wp:docPr id="3881" name="그림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Studio UV 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rFonts w:eastAsia="Times New Roman"/>
          <w:lang w:val="it-IT"/>
        </w:rPr>
        <w:tab/>
      </w:r>
      <w:r w:rsidRPr="00C35766">
        <w:rPr>
          <w:rFonts w:eastAsia="Times New Roman"/>
          <w:lang w:val="it-IT"/>
        </w:rPr>
        <w:tab/>
        <w:t>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6F9C9B8F" w14:textId="25A51191" w:rsidR="00953B2E" w:rsidRPr="00C35766" w:rsidRDefault="005A5DEF">
      <w:pPr>
        <w:rPr>
          <w:rFonts w:ascii="Times New Roman" w:hAnsi="Times New Roman" w:cs="Times New Roman"/>
          <w:lang w:val="pt-BR"/>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245" behindDoc="1" locked="0" layoutInCell="1" allowOverlap="1" wp14:anchorId="3905DE4E" wp14:editId="44A5AD50">
                <wp:simplePos x="0" y="0"/>
                <wp:positionH relativeFrom="page">
                  <wp:posOffset>897255</wp:posOffset>
                </wp:positionH>
                <wp:positionV relativeFrom="page">
                  <wp:posOffset>3674448</wp:posOffset>
                </wp:positionV>
                <wp:extent cx="307249" cy="2280285"/>
                <wp:effectExtent l="0" t="0" r="17145" b="5715"/>
                <wp:wrapNone/>
                <wp:docPr id="1082"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49"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FD30D" w14:textId="77777777" w:rsidR="00D97785" w:rsidRPr="00824699" w:rsidRDefault="00D97785">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5DE4E" id="Text Box 3880" o:spid="_x0000_s1031" type="#_x0000_t202" style="position:absolute;margin-left:70.65pt;margin-top:289.35pt;width:24.2pt;height:179.5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" filled="f" stroked="f">
                <v:textbox style="layout-flow:vertical;mso-layout-flow-alt:bottom-to-top" inset="0,0,0,0">
                  <w:txbxContent>
                    <w:p w14:paraId="1ABFD30D" w14:textId="77777777" w:rsidR="00D97785" w:rsidRPr="00824699" w:rsidRDefault="00D97785">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page" anchory="page"/>
              </v:shape>
            </w:pict>
          </mc:Fallback>
        </mc:AlternateContent>
      </w:r>
    </w:p>
    <w:p w14:paraId="6608B223" w14:textId="2C8293FB" w:rsidR="00953B2E" w:rsidRPr="00C35766" w:rsidRDefault="005F0C19">
      <w:pPr>
        <w:spacing w:before="97"/>
        <w:ind w:left="701" w:right="10920"/>
        <w:rPr>
          <w:rFonts w:ascii="Times New Roman" w:eastAsia="Times New Roman" w:hAnsi="Times New Roman" w:cs="Times New Roman"/>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263" behindDoc="0" locked="0" layoutInCell="1" allowOverlap="1" wp14:anchorId="52BBEE60" wp14:editId="5DC0D6BF">
                <wp:simplePos x="0" y="0"/>
                <wp:positionH relativeFrom="column">
                  <wp:posOffset>593725</wp:posOffset>
                </wp:positionH>
                <wp:positionV relativeFrom="paragraph">
                  <wp:posOffset>1946275</wp:posOffset>
                </wp:positionV>
                <wp:extent cx="436880" cy="273997"/>
                <wp:effectExtent l="0" t="0" r="1270" b="0"/>
                <wp:wrapNone/>
                <wp:docPr id="63" name="Text Box 63"/>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067154"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31365DA9"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2BBEE60" id="Text Box 63" o:spid="_x0000_s1032" type="#_x0000_t202" style="position:absolute;left:0;text-align:left;margin-left:46.75pt;margin-top:153.25pt;width:34.4pt;height:21.5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" fillcolor="white [3212]" stroked="f" strokeweight=".5pt">
                <v:textbox inset="0,0,0,0">
                  <w:txbxContent>
                    <w:p w14:paraId="2B067154"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31365DA9" w14:textId="77777777" w:rsidR="00D97785" w:rsidRDefault="00D97785">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v:textbox>
              </v:shape>
            </w:pict>
          </mc:Fallback>
        </mc:AlternateContent>
      </w:r>
      <w:r w:rsidRPr="00C35766">
        <w:rPr>
          <w:rFonts w:ascii="Times New Roman" w:hAnsi="Times New Roman" w:cs="Times New Roman"/>
          <w:noProof/>
          <w:lang w:eastAsia="ko-KR"/>
        </w:rPr>
        <w:drawing>
          <wp:inline distT="0" distB="0" distL="0" distR="0" wp14:anchorId="44B78DF9" wp14:editId="49FB4AEE">
            <wp:extent cx="5473700" cy="2165350"/>
            <wp:effectExtent l="0" t="0" r="0" b="0"/>
            <wp:docPr id="83"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76A6C5D9" w14:textId="77777777" w:rsidR="00953B2E" w:rsidRPr="00C35766" w:rsidRDefault="005F0C19">
      <w:pPr>
        <w:spacing w:before="11"/>
        <w:ind w:left="4099" w:right="364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77010D90" w14:textId="77777777" w:rsidR="00953B2E" w:rsidRPr="00C35766" w:rsidRDefault="005F0C19">
      <w:pPr>
        <w:pStyle w:val="a3"/>
        <w:ind w:firstLine="720"/>
        <w:rPr>
          <w:lang w:val="pt-BR"/>
        </w:rPr>
      </w:pPr>
      <w:r w:rsidRPr="00C35766">
        <w:rPr>
          <w:rFonts w:eastAsia="Times New Roman"/>
          <w:lang w:val="it-IT"/>
        </w:rPr>
        <w:t>Studio UV II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noProof/>
          <w:lang w:eastAsia="ko-KR"/>
        </w:rPr>
        <w:drawing>
          <wp:inline distT="0" distB="0" distL="0" distR="0" wp14:anchorId="17BE980D" wp14:editId="48767BBB">
            <wp:extent cx="393700" cy="177800"/>
            <wp:effectExtent l="0" t="0" r="0" b="0"/>
            <wp:docPr id="82"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noProof/>
          <w:lang w:eastAsia="ko-KR"/>
        </w:rPr>
        <w:drawing>
          <wp:inline distT="0" distB="0" distL="0" distR="0" wp14:anchorId="634C09A2" wp14:editId="047584A9">
            <wp:extent cx="508000" cy="177800"/>
            <wp:effectExtent l="0" t="0" r="0" b="0"/>
            <wp:docPr id="81"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sidRPr="00C35766">
        <w:rPr>
          <w:rFonts w:eastAsia="Times New Roman"/>
          <w:lang w:val="it-IT"/>
        </w:rPr>
        <w:t xml:space="preserve">  Adalimumab</w:t>
      </w:r>
    </w:p>
    <w:p w14:paraId="7E7257B4" w14:textId="77777777" w:rsidR="00953B2E" w:rsidRPr="00C35766" w:rsidRDefault="00953B2E">
      <w:pPr>
        <w:spacing w:before="9" w:line="130" w:lineRule="exact"/>
        <w:rPr>
          <w:rFonts w:ascii="Times New Roman" w:hAnsi="Times New Roman" w:cs="Times New Roman"/>
          <w:sz w:val="13"/>
          <w:szCs w:val="13"/>
          <w:lang w:val="pt-BR"/>
        </w:rPr>
      </w:pPr>
    </w:p>
    <w:p w14:paraId="039B811E" w14:textId="77777777" w:rsidR="00953B2E" w:rsidRPr="00C35766" w:rsidRDefault="005F0C19" w:rsidP="00146E60">
      <w:pPr>
        <w:pStyle w:val="a3"/>
        <w:ind w:leftChars="100" w:left="220"/>
        <w:rPr>
          <w:lang w:val="pt-BR"/>
        </w:rPr>
      </w:pPr>
      <w:r w:rsidRPr="00C35766">
        <w:rPr>
          <w:rFonts w:eastAsia="Times New Roman"/>
          <w:lang w:val="it-IT"/>
        </w:rPr>
        <w:t>Nota: P = Placebo (Numero di eventi/Numero a rischio); A = adalimumab (Numero di eventi/Numero a rischio).</w:t>
      </w:r>
    </w:p>
    <w:p w14:paraId="5D97C484" w14:textId="77777777" w:rsidR="00953B2E" w:rsidRPr="00C35766" w:rsidRDefault="00953B2E">
      <w:pPr>
        <w:spacing w:line="200" w:lineRule="exact"/>
        <w:rPr>
          <w:rFonts w:ascii="Times New Roman" w:hAnsi="Times New Roman" w:cs="Times New Roman"/>
          <w:sz w:val="20"/>
          <w:szCs w:val="20"/>
          <w:lang w:val="pt-BR"/>
        </w:rPr>
      </w:pPr>
    </w:p>
    <w:p w14:paraId="225AD7E4" w14:textId="77777777" w:rsidR="00953B2E" w:rsidRPr="00C35766" w:rsidRDefault="005F0C19">
      <w:pPr>
        <w:pStyle w:val="a3"/>
        <w:rPr>
          <w:lang w:val="it-IT"/>
        </w:rPr>
      </w:pPr>
      <w:r w:rsidRPr="00C35766">
        <w:rPr>
          <w:rFonts w:eastAsia="Times New Roman"/>
          <w:lang w:val="it-IT"/>
        </w:rPr>
        <w:t>Nello Studio UV I sono state osservate differenze statisticamente significative a favore di adalimumab rispetto al placebo per ogni componente del fallimento del trattamento. Nello Studio UV II sono state osservate differenze statisticamente significative solo per l’acuità visiva, mentre gli altri componenti erano numericamente a favore di adalimumab.</w:t>
      </w:r>
    </w:p>
    <w:p w14:paraId="12191ACD" w14:textId="77777777" w:rsidR="00953B2E" w:rsidRPr="00C35766" w:rsidRDefault="00953B2E">
      <w:pPr>
        <w:spacing w:before="13" w:line="240" w:lineRule="exact"/>
        <w:rPr>
          <w:rFonts w:ascii="Times New Roman" w:hAnsi="Times New Roman" w:cs="Times New Roman"/>
          <w:sz w:val="24"/>
          <w:szCs w:val="24"/>
          <w:lang w:val="it-IT"/>
        </w:rPr>
      </w:pPr>
    </w:p>
    <w:p w14:paraId="6825DD32" w14:textId="77777777" w:rsidR="00953B2E" w:rsidRPr="00C35766" w:rsidRDefault="005F0C19">
      <w:pPr>
        <w:pStyle w:val="a3"/>
        <w:rPr>
          <w:lang w:val="it-IT"/>
        </w:rPr>
      </w:pPr>
      <w:r w:rsidRPr="00C35766">
        <w:rPr>
          <w:rFonts w:eastAsia="Times New Roman"/>
          <w:lang w:val="it-IT"/>
        </w:rPr>
        <w:t xml:space="preserve">Dei 424 soggetti inclusi nell’estensione a lungo termine non controllata degli Studi UV I ed UV II, 60 soggetti sono stati considerati non eleggibili (ad es. a causa di deviazioni o per complicazioni secondarie alla retinopatia diabetica, a causa di intervento chirurgico di cataratta o vitrectomia) e sono stati esclusi </w:t>
      </w:r>
      <w:r w:rsidRPr="00C35766">
        <w:rPr>
          <w:rFonts w:eastAsia="Times New Roman"/>
          <w:lang w:val="it-IT"/>
        </w:rPr>
        <w:lastRenderedPageBreak/>
        <w:t>dall’analisi primaria di efficacia.  Dei 364 pazienti rimanenti, 269 pazienti valutabili (74%) hanno raggiunto 78 settimane di trattamento in aperto con adalimumab. In base all’approccio utilizzato per l’osservazione dei dati, 216 (80,3%) sono stati in quiescenza (nessuna lesione infiammatoria attiva, grado di cellule AC ≤ 0,5+, grado VH ≤ 0,5+) con una dose concomitante di steroidi ≤ 7,5 mg al giorno, e 178 (66,2%) sono stati in quiescenza senza trattamento steroideo. BCVA era migliorata o mantenuta (deteriorazione &lt; 5 lettere) nell’88,6% degli occhi alla settimana 78. I dati oltre la settimana 78 sono stati generalmente coerenti con questi risultati, ma il numero di soggetti arruolati è diminuito dopo questo periodo. Complessivamente, tra i pazienti che hanno interrotto lo studio, il 18% ha interrotto a causa di eventi avversi, e l’8% a causa di risposta insufficiente al trattamento con adalimumab.</w:t>
      </w:r>
    </w:p>
    <w:p w14:paraId="0FA3C63F" w14:textId="77777777" w:rsidR="00953B2E" w:rsidRPr="00C35766" w:rsidRDefault="00953B2E">
      <w:pPr>
        <w:pStyle w:val="a3"/>
        <w:rPr>
          <w:sz w:val="24"/>
          <w:szCs w:val="24"/>
          <w:lang w:val="it-IT"/>
        </w:rPr>
      </w:pPr>
    </w:p>
    <w:p w14:paraId="18F914C3" w14:textId="77777777" w:rsidR="00953B2E" w:rsidRPr="00C35766" w:rsidRDefault="005F0C19">
      <w:pPr>
        <w:pStyle w:val="a3"/>
        <w:rPr>
          <w:rFonts w:eastAsia="Times New Roman"/>
          <w:lang w:val="it-IT"/>
        </w:rPr>
      </w:pPr>
      <w:r w:rsidRPr="00C35766">
        <w:rPr>
          <w:rFonts w:eastAsia="Times New Roman"/>
          <w:i/>
          <w:iCs/>
          <w:spacing w:val="-1"/>
          <w:u w:val="single" w:color="000000"/>
          <w:lang w:val="it-IT"/>
        </w:rPr>
        <w:t>Qualità della vita</w:t>
      </w:r>
    </w:p>
    <w:p w14:paraId="269E4752" w14:textId="77777777" w:rsidR="00953B2E" w:rsidRPr="00C35766" w:rsidRDefault="00953B2E">
      <w:pPr>
        <w:pStyle w:val="a3"/>
        <w:rPr>
          <w:sz w:val="18"/>
          <w:szCs w:val="18"/>
          <w:lang w:val="it-IT"/>
        </w:rPr>
      </w:pPr>
    </w:p>
    <w:p w14:paraId="2122DD66" w14:textId="77777777" w:rsidR="00953B2E" w:rsidRPr="00C35766" w:rsidRDefault="005F0C19">
      <w:pPr>
        <w:pStyle w:val="a3"/>
        <w:rPr>
          <w:lang w:val="es-ES"/>
        </w:rPr>
      </w:pPr>
      <w:r w:rsidRPr="00C35766">
        <w:rPr>
          <w:rFonts w:eastAsia="Times New Roman"/>
          <w:lang w:val="it-IT"/>
        </w:rPr>
        <w:t>Gli esiti riferiti dal paziente per quanto riguarda la funzione visiva sono stati misurati in entrambi gli studi clinici, utilizzando la scala NEI VFQ-25. Adalimumab è stato numericamente favorito per la maggior parte dei punteggi parziali con differenze medie statisticamente significative per la visione generale, il dolore oculare, la visione da vicino, la salute mentale e il punteggio totale nello Studio UV I e per la visione generale e la salute mentale nello Studio UV II. Gli effetti legati alla visione non erano numericamente a favore di adalimumab per la visione del colore nello Studio UV I e per la visione del colore, la visione periferica e la visione da vicino nello Studio UV II.</w:t>
      </w:r>
    </w:p>
    <w:p w14:paraId="519445E8" w14:textId="77777777" w:rsidR="00953B2E" w:rsidRPr="00C35766" w:rsidRDefault="00953B2E">
      <w:pPr>
        <w:pStyle w:val="a3"/>
        <w:rPr>
          <w:sz w:val="24"/>
          <w:szCs w:val="24"/>
          <w:lang w:val="es-ES"/>
        </w:rPr>
      </w:pPr>
    </w:p>
    <w:p w14:paraId="39246791" w14:textId="77777777" w:rsidR="00953B2E" w:rsidRPr="00C35766" w:rsidRDefault="005F0C19">
      <w:pPr>
        <w:pStyle w:val="a3"/>
        <w:rPr>
          <w:u w:val="single" w:color="000000"/>
          <w:lang w:val="pt-BR"/>
        </w:rPr>
      </w:pPr>
      <w:r w:rsidRPr="00C35766">
        <w:rPr>
          <w:rFonts w:eastAsia="Times New Roman"/>
          <w:u w:val="single" w:color="000000"/>
          <w:lang w:val="it-IT"/>
        </w:rPr>
        <w:t>Immunogenicità</w:t>
      </w:r>
    </w:p>
    <w:p w14:paraId="44A5F327" w14:textId="77777777" w:rsidR="00953B2E" w:rsidRPr="00C35766" w:rsidRDefault="00953B2E">
      <w:pPr>
        <w:spacing w:before="1" w:line="180" w:lineRule="exact"/>
        <w:rPr>
          <w:rFonts w:ascii="Times New Roman" w:hAnsi="Times New Roman" w:cs="Times New Roman"/>
          <w:sz w:val="18"/>
          <w:szCs w:val="18"/>
          <w:lang w:val="pt-BR" w:eastAsia="ko-KR"/>
        </w:rPr>
      </w:pPr>
    </w:p>
    <w:p w14:paraId="08F08EB2" w14:textId="77777777" w:rsidR="00B82148" w:rsidRPr="00B82148" w:rsidRDefault="00B82148" w:rsidP="00B82148">
      <w:pPr>
        <w:keepNext/>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La formazione di anticorpi anti-adalimumab è associata all’aumento della clearance ed alla riduzione dell’efficacia di adalimumab. Non esiste una correlazione evidente tra la presenza di anticorpi anti-adalimumab e l’insorgenza di eventi avversi.</w:t>
      </w:r>
    </w:p>
    <w:p w14:paraId="0F9F0667" w14:textId="77777777" w:rsidR="00B82148" w:rsidRPr="00B82148" w:rsidRDefault="00B82148" w:rsidP="00B82148">
      <w:pPr>
        <w:keepNext/>
        <w:widowControl/>
        <w:tabs>
          <w:tab w:val="left" w:pos="567"/>
          <w:tab w:val="left" w:pos="1294"/>
        </w:tabs>
        <w:autoSpaceDE w:val="0"/>
        <w:autoSpaceDN w:val="0"/>
        <w:adjustRightInd w:val="0"/>
        <w:jc w:val="both"/>
        <w:rPr>
          <w:rFonts w:ascii="Times New Roman" w:eastAsia="바탕" w:hAnsi="Times New Roman" w:cs="Times New Roman"/>
          <w:color w:val="000000"/>
          <w:u w:val="single"/>
          <w:lang w:val="it-IT" w:eastAsia="it-IT"/>
        </w:rPr>
      </w:pPr>
    </w:p>
    <w:p w14:paraId="62C558AF" w14:textId="77777777" w:rsidR="00B82148" w:rsidRPr="00B82148" w:rsidRDefault="00B82148" w:rsidP="00B82148">
      <w:pPr>
        <w:keepNext/>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I pazienti degli studi I, II e III sull’artrite reumatoide sono stati esaminati a vari intervalli di tempo per valutare gli anticorpi anti-adalimumab durante il periodo da 6 a 12 mesi. Negli studi clinici registrativi, gli anticorpi anti-adalimumab sono stati riscontrati nel 5,5% (58/1053) dei pazienti trattati con adalimumab, rispetto allo 0,5% (2/370) dei pazienti trattati con placebo. Nei pazienti a cui non è stato somministrato contemporaneamente il metotressato, l’incidenza è stata del 12,4%, rispetto allo 0,6% quando adalimumab è stato usato in combinazione con metotressato.</w:t>
      </w:r>
    </w:p>
    <w:p w14:paraId="47E8256A" w14:textId="77777777" w:rsidR="00B82148" w:rsidRPr="00B82148" w:rsidRDefault="00B82148" w:rsidP="00B82148">
      <w:pPr>
        <w:keepNext/>
        <w:widowControl/>
        <w:tabs>
          <w:tab w:val="left" w:pos="567"/>
          <w:tab w:val="left" w:pos="1294"/>
        </w:tabs>
        <w:autoSpaceDE w:val="0"/>
        <w:autoSpaceDN w:val="0"/>
        <w:adjustRightInd w:val="0"/>
        <w:jc w:val="both"/>
        <w:rPr>
          <w:rFonts w:ascii="Times New Roman" w:eastAsia="바탕" w:hAnsi="Times New Roman" w:cs="Times New Roman"/>
          <w:color w:val="000000"/>
          <w:u w:val="single"/>
          <w:lang w:val="it-IT" w:eastAsia="it-IT"/>
        </w:rPr>
      </w:pPr>
    </w:p>
    <w:p w14:paraId="2FF0264E"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Nei pazienti con malattia di Crohn, anticorpi anti-adalimumab sono stati identificati in 7/269 soggetti (2,6%) e in 19/487 soggetti (3,9%) in pazienti affetti da colite ulcerosa.</w:t>
      </w:r>
    </w:p>
    <w:p w14:paraId="2AFA4D2A"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5F6EFB07"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Nei pazienti adulti affetti da psoriasi, sono stati identificati anticorpi anti-adalimumab in 77/920 (8,4%) soggetti trattati con adalimumab in monoterapia.</w:t>
      </w:r>
    </w:p>
    <w:p w14:paraId="3FA13347"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6390EAD"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 xml:space="preserve">In pazienti adulti affetti da psoriasi a placche trattati a lungo termine in monoterapia con adalimumab che hanno partecipato ad uno studio di sospensione e di ri-trattamento, la percentuale di positività per anticorpi anti-adalimumab dopo la ripresa del trattamento (11 casi su 482 soggetti, 2,3%) si è mostrata simile a quella osservata prima della sospensione del farmaco (11 casi su 590 soggetti, 1,9%).  </w:t>
      </w:r>
    </w:p>
    <w:p w14:paraId="75F4BB31"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48BE376B"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In pazienti con Idrosadenite Suppurativa di grado da moderato a severo, sono stati identificati anticorpi anti-adalimumab in 10/99 soggetti (10,1%) trattati con adalimumab.</w:t>
      </w:r>
    </w:p>
    <w:p w14:paraId="4460DE03"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5331E045"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Nei pazienti in età pediatrica con malattia di Crohn attiva di grado da moderato a severo, il tasso di sviluppo di anticorpi anti-adalimumab è stato del 3,3% nei pazienti in trattamento con adalimumab.</w:t>
      </w:r>
    </w:p>
    <w:p w14:paraId="3B75A656"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B7B00F8"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B82148">
        <w:rPr>
          <w:rFonts w:ascii="Times New Roman" w:eastAsia="바탕" w:hAnsi="Times New Roman" w:cs="Times New Roman"/>
          <w:color w:val="000000"/>
          <w:lang w:val="it-IT" w:eastAsia="it-IT"/>
        </w:rPr>
        <w:t>Nei pazienti adulti con uveite non infettiva, sono stati identificati anticorpi anti-adalimumab nel 4,8% (12/249) dei pazienti trattati con adalimumab.</w:t>
      </w:r>
    </w:p>
    <w:p w14:paraId="28E0E7C3"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5727EA1F" w14:textId="77777777" w:rsidR="00B82148" w:rsidRPr="00B82148" w:rsidRDefault="00B82148" w:rsidP="00B82148">
      <w:pPr>
        <w:widowControl/>
        <w:rPr>
          <w:rFonts w:ascii="Times New Roman" w:eastAsia="바탕" w:hAnsi="Times New Roman" w:cs="Times New Roman"/>
          <w:lang w:val="it-IT" w:eastAsia="it-IT"/>
        </w:rPr>
      </w:pPr>
      <w:r w:rsidRPr="00B82148">
        <w:rPr>
          <w:rFonts w:ascii="Times New Roman" w:eastAsia="바탕" w:hAnsi="Times New Roman" w:cs="Times New Roman"/>
          <w:lang w:val="it-IT" w:eastAsia="it-IT"/>
        </w:rPr>
        <w:lastRenderedPageBreak/>
        <w:t>Nei pazienti con colite ulcerosa pediatrica attiva di grado da moderato a severo, il tasso di sviluppo di anticorpi anti-adalimumab nei pazienti trattati con adalimumab è stato del 3%.</w:t>
      </w:r>
    </w:p>
    <w:p w14:paraId="314D8FA3" w14:textId="77777777" w:rsidR="00B82148" w:rsidRPr="00B82148" w:rsidRDefault="00B82148" w:rsidP="00B82148">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06A6A7BA" w14:textId="382DFE7F" w:rsidR="00953B2E" w:rsidRPr="00C35766" w:rsidRDefault="00B82148">
      <w:pPr>
        <w:pStyle w:val="a3"/>
        <w:rPr>
          <w:lang w:val="es-ES"/>
        </w:rPr>
      </w:pPr>
      <w:r w:rsidRPr="00B82148">
        <w:rPr>
          <w:rFonts w:eastAsia="바탕"/>
          <w:color w:val="000000"/>
          <w:lang w:val="it-IT" w:eastAsia="it-IT"/>
        </w:rPr>
        <w:t>Poiché le analisi di immunogenicità sono specifiche del prodotto, il confronto fra le quantità di anticorpi con quelle di altri prodotti non è appropriato</w:t>
      </w:r>
      <w:r w:rsidR="005F0C19" w:rsidRPr="00C35766">
        <w:rPr>
          <w:rFonts w:eastAsia="Times New Roman"/>
          <w:lang w:val="it-IT"/>
        </w:rPr>
        <w:t>.</w:t>
      </w:r>
    </w:p>
    <w:p w14:paraId="427D35A7" w14:textId="77777777" w:rsidR="00953B2E" w:rsidRPr="00C35766" w:rsidRDefault="00953B2E">
      <w:pPr>
        <w:pStyle w:val="a3"/>
        <w:rPr>
          <w:lang w:val="es-ES"/>
        </w:rPr>
      </w:pPr>
    </w:p>
    <w:p w14:paraId="58803284" w14:textId="77777777" w:rsidR="00953B2E" w:rsidRPr="00C35766" w:rsidRDefault="005F0C19">
      <w:pPr>
        <w:pStyle w:val="a3"/>
        <w:rPr>
          <w:u w:val="single"/>
          <w:lang w:val="es-ES"/>
        </w:rPr>
      </w:pPr>
      <w:r w:rsidRPr="00C35766">
        <w:rPr>
          <w:rFonts w:eastAsia="Times New Roman"/>
          <w:u w:val="single" w:color="000000"/>
          <w:lang w:val="it-IT"/>
        </w:rPr>
        <w:t>Popolazione pediatrica</w:t>
      </w:r>
    </w:p>
    <w:p w14:paraId="491ECC8B" w14:textId="5A9B6CF4" w:rsidR="00953B2E" w:rsidRPr="00C35766" w:rsidRDefault="00953B2E">
      <w:pPr>
        <w:spacing w:before="1" w:line="180" w:lineRule="exact"/>
        <w:rPr>
          <w:rFonts w:ascii="Times New Roman" w:hAnsi="Times New Roman" w:cs="Times New Roman"/>
          <w:sz w:val="18"/>
          <w:szCs w:val="18"/>
          <w:lang w:val="es-ES"/>
        </w:rPr>
      </w:pPr>
    </w:p>
    <w:p w14:paraId="3514D8D8" w14:textId="77777777" w:rsidR="003456B7" w:rsidRPr="00C35766" w:rsidRDefault="003456B7" w:rsidP="003456B7">
      <w:pPr>
        <w:pStyle w:val="a3"/>
        <w:rPr>
          <w:rFonts w:eastAsia="Times New Roman"/>
          <w:i/>
          <w:spacing w:val="-1"/>
          <w:lang w:val="es-ES"/>
        </w:rPr>
      </w:pPr>
      <w:r w:rsidRPr="00C35766">
        <w:rPr>
          <w:rFonts w:eastAsia="Times New Roman"/>
          <w:i/>
          <w:iCs/>
          <w:spacing w:val="-1"/>
          <w:lang w:val="it-IT"/>
        </w:rPr>
        <w:t>Artrite idiopatica giovanile (JIA)</w:t>
      </w:r>
    </w:p>
    <w:p w14:paraId="7BCF9960" w14:textId="77777777" w:rsidR="003456B7" w:rsidRPr="00C35766" w:rsidRDefault="003456B7" w:rsidP="003456B7">
      <w:pPr>
        <w:pStyle w:val="a3"/>
        <w:rPr>
          <w:rFonts w:eastAsia="Times New Roman"/>
          <w:i/>
          <w:spacing w:val="-1"/>
          <w:u w:val="single" w:color="000000"/>
          <w:lang w:val="es-ES"/>
        </w:rPr>
      </w:pPr>
    </w:p>
    <w:p w14:paraId="663BFFF1" w14:textId="77777777" w:rsidR="003456B7" w:rsidRPr="00C35766" w:rsidRDefault="003456B7" w:rsidP="003456B7">
      <w:pPr>
        <w:pStyle w:val="a3"/>
        <w:rPr>
          <w:rFonts w:eastAsia="Times New Roman"/>
          <w:lang w:val="es-ES"/>
        </w:rPr>
      </w:pPr>
      <w:r w:rsidRPr="00C35766">
        <w:rPr>
          <w:rFonts w:eastAsia="Times New Roman"/>
          <w:i/>
          <w:iCs/>
          <w:spacing w:val="-1"/>
          <w:u w:val="single" w:color="000000"/>
          <w:lang w:val="it-IT"/>
        </w:rPr>
        <w:t>Artrite idiopatica giovanile poliarticolare (pJIA)</w:t>
      </w:r>
    </w:p>
    <w:p w14:paraId="365FEDDF" w14:textId="77777777" w:rsidR="00620228" w:rsidRDefault="00620228" w:rsidP="003456B7">
      <w:pPr>
        <w:pStyle w:val="a3"/>
        <w:rPr>
          <w:rFonts w:eastAsia="Times New Roman"/>
          <w:lang w:val="it-IT"/>
        </w:rPr>
      </w:pPr>
    </w:p>
    <w:p w14:paraId="26D6BB5C" w14:textId="60A85F61" w:rsidR="003456B7" w:rsidRPr="00C35766" w:rsidRDefault="003456B7" w:rsidP="003456B7">
      <w:pPr>
        <w:pStyle w:val="a3"/>
        <w:rPr>
          <w:lang w:val="es-ES"/>
        </w:rPr>
      </w:pPr>
      <w:r w:rsidRPr="00C35766">
        <w:rPr>
          <w:rFonts w:eastAsia="Times New Roman"/>
          <w:lang w:val="it-IT"/>
        </w:rPr>
        <w:t>La sicurezza e l’efficacia di adalimumab sono state valutate in due studi (pJIA I e II) in bambini con artrite idiopatica giovanile poliarticolare attiva o a decorso poliarticolare, che avevano diversi tipi di insorgenza della JIA (più frequentemente poliartrite negativa o positiva al fattore reumatoide e oligoartrite estesa).</w:t>
      </w:r>
    </w:p>
    <w:p w14:paraId="16DE8719" w14:textId="77777777" w:rsidR="003456B7" w:rsidRPr="00C35766" w:rsidRDefault="003456B7" w:rsidP="003456B7">
      <w:pPr>
        <w:pStyle w:val="a3"/>
        <w:rPr>
          <w:sz w:val="24"/>
          <w:szCs w:val="24"/>
          <w:lang w:val="es-ES"/>
        </w:rPr>
      </w:pPr>
    </w:p>
    <w:p w14:paraId="71F19947" w14:textId="77777777" w:rsidR="003456B7" w:rsidRPr="00C35766" w:rsidRDefault="003456B7" w:rsidP="003456B7">
      <w:pPr>
        <w:pStyle w:val="a3"/>
        <w:rPr>
          <w:lang w:val="es-ES"/>
        </w:rPr>
      </w:pPr>
      <w:r w:rsidRPr="00C35766">
        <w:rPr>
          <w:rFonts w:eastAsia="Times New Roman"/>
          <w:lang w:val="it-IT"/>
        </w:rPr>
        <w:t>pJIA I</w:t>
      </w:r>
    </w:p>
    <w:p w14:paraId="5C9238C5" w14:textId="77777777" w:rsidR="003456B7" w:rsidRPr="00C35766" w:rsidRDefault="003456B7" w:rsidP="003456B7">
      <w:pPr>
        <w:pStyle w:val="a3"/>
        <w:rPr>
          <w:sz w:val="18"/>
          <w:szCs w:val="18"/>
          <w:lang w:val="es-ES"/>
        </w:rPr>
      </w:pPr>
    </w:p>
    <w:p w14:paraId="7098C0B2" w14:textId="2023375B" w:rsidR="003456B7" w:rsidRPr="00C35766" w:rsidRDefault="003456B7" w:rsidP="003456B7">
      <w:pPr>
        <w:pStyle w:val="a3"/>
        <w:rPr>
          <w:sz w:val="24"/>
          <w:szCs w:val="24"/>
          <w:lang w:val="it-IT"/>
        </w:rPr>
      </w:pPr>
      <w:r w:rsidRPr="00C35766">
        <w:rPr>
          <w:rFonts w:eastAsia="Times New Roman"/>
          <w:lang w:val="it-IT"/>
        </w:rPr>
        <w:t>La sicurezza e l’efficacia di adalimumab sono state valutate in uno studio multicentrico, randomizzato, in doppio-cieco, a gruppi paralleli, in 171 bambini (di età compresa tra i 4 ed i 17 anni) affetti da artrite idiopatica giovanile poliarticolare (pJIA). Nel corso della fase di ammissione in aperto (open-label lead in phase = OL LI), i pazienti sono stati stratificati in due gruppi: uno trattato con MTX (metotressato) e l’altro non trattato con MTX. I pazienti ammessi nel braccio non trattato con MTX non erano stati mai trattati prima con MTX oppure avevano sospeso la sua assunzione almeno due settimane prima della somministrazione del farmaco in studio. Ai pazienti sono state somministrate dosi costanti di farmaci antinfiammatori non steroidei (FANS) e/o di prednisone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0,2 mg/kg/die o un massimo di 10 mg/die). Nel corso della fase OL LI, a tutti i pazienti sono stati somministrati 24 mg/m</w:t>
      </w:r>
      <w:r w:rsidRPr="00C35766">
        <w:rPr>
          <w:rFonts w:eastAsia="Times New Roman"/>
          <w:vertAlign w:val="superscript"/>
          <w:lang w:val="it-IT"/>
        </w:rPr>
        <w:t>2</w:t>
      </w:r>
      <w:r w:rsidRPr="00C35766">
        <w:rPr>
          <w:rFonts w:eastAsia="Times New Roman"/>
          <w:lang w:val="it-IT"/>
        </w:rPr>
        <w:t xml:space="preserve"> di adalimumab fino ad una dose massima pari a 40 mg, a settimane alterne per 16 settimane. La distribuzione dei pazienti per età e per  dose minima, mediana e massima somministrata nel corso della fase OL LI è riportata nella Tabella </w:t>
      </w:r>
      <w:r w:rsidR="00B90373" w:rsidRPr="00C35766">
        <w:rPr>
          <w:rFonts w:eastAsia="Times New Roman"/>
          <w:lang w:val="it-IT"/>
        </w:rPr>
        <w:t>25</w:t>
      </w:r>
      <w:r w:rsidRPr="00C35766">
        <w:rPr>
          <w:rFonts w:eastAsia="Times New Roman"/>
          <w:lang w:val="it-IT"/>
        </w:rPr>
        <w:t>.</w:t>
      </w:r>
    </w:p>
    <w:p w14:paraId="2F25526B" w14:textId="77777777" w:rsidR="003456B7" w:rsidRDefault="003456B7" w:rsidP="003456B7">
      <w:pPr>
        <w:pStyle w:val="a3"/>
        <w:jc w:val="center"/>
        <w:rPr>
          <w:rFonts w:eastAsia="Times New Roman"/>
          <w:b/>
          <w:bCs/>
          <w:lang w:val="it-IT"/>
        </w:rPr>
      </w:pPr>
    </w:p>
    <w:p w14:paraId="11042C45" w14:textId="77777777" w:rsidR="00A842FF" w:rsidRDefault="00A842FF" w:rsidP="003456B7">
      <w:pPr>
        <w:pStyle w:val="a3"/>
        <w:jc w:val="center"/>
        <w:rPr>
          <w:rFonts w:eastAsia="Times New Roman"/>
          <w:b/>
          <w:bCs/>
          <w:lang w:val="it-IT"/>
        </w:rPr>
      </w:pPr>
    </w:p>
    <w:p w14:paraId="54D97AE4" w14:textId="77777777" w:rsidR="00A842FF" w:rsidRPr="00C35766" w:rsidRDefault="00A842FF" w:rsidP="003456B7">
      <w:pPr>
        <w:pStyle w:val="a3"/>
        <w:jc w:val="center"/>
        <w:rPr>
          <w:rFonts w:eastAsia="Times New Roman"/>
          <w:b/>
          <w:bCs/>
          <w:lang w:val="it-IT"/>
        </w:rPr>
      </w:pPr>
    </w:p>
    <w:p w14:paraId="45D7A01F" w14:textId="020F57FB" w:rsidR="003456B7" w:rsidRPr="00C35766" w:rsidRDefault="003456B7" w:rsidP="003456B7">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25</w:t>
      </w:r>
    </w:p>
    <w:p w14:paraId="7C26A983" w14:textId="77777777" w:rsidR="003456B7" w:rsidRPr="00C35766" w:rsidRDefault="003456B7" w:rsidP="003456B7">
      <w:pPr>
        <w:pStyle w:val="a3"/>
        <w:jc w:val="center"/>
        <w:rPr>
          <w:b/>
          <w:lang w:val="it-IT"/>
        </w:rPr>
      </w:pPr>
      <w:r w:rsidRPr="00C35766">
        <w:rPr>
          <w:rFonts w:eastAsia="Times New Roman"/>
          <w:b/>
          <w:bCs/>
          <w:lang w:val="it-IT"/>
        </w:rPr>
        <w:t>Distribuzione dei pazienti per età e dose di adalimumab somministrata nel corso della fase OL LI</w:t>
      </w:r>
    </w:p>
    <w:p w14:paraId="72420823" w14:textId="77777777" w:rsidR="003456B7" w:rsidRPr="00C35766" w:rsidRDefault="003456B7" w:rsidP="003456B7">
      <w:pPr>
        <w:spacing w:before="15" w:line="260" w:lineRule="exact"/>
        <w:rPr>
          <w:rFonts w:ascii="Times New Roman" w:hAnsi="Times New Roman" w:cs="Times New Roman"/>
          <w:sz w:val="26"/>
          <w:lang w:val="it-IT"/>
        </w:rPr>
      </w:pPr>
    </w:p>
    <w:tbl>
      <w:tblPr>
        <w:tblStyle w:val="TableNormal1"/>
        <w:tblW w:w="0" w:type="auto"/>
        <w:tblInd w:w="220" w:type="dxa"/>
        <w:tblLayout w:type="fixed"/>
        <w:tblLook w:val="01E0" w:firstRow="1" w:lastRow="1" w:firstColumn="1" w:lastColumn="1" w:noHBand="0" w:noVBand="0"/>
      </w:tblPr>
      <w:tblGrid>
        <w:gridCol w:w="2401"/>
        <w:gridCol w:w="3497"/>
        <w:gridCol w:w="3218"/>
      </w:tblGrid>
      <w:tr w:rsidR="003456B7" w:rsidRPr="00494E69" w14:paraId="28B9662A" w14:textId="77777777" w:rsidTr="00B3291C">
        <w:tc>
          <w:tcPr>
            <w:tcW w:w="2401" w:type="dxa"/>
            <w:tcBorders>
              <w:top w:val="single" w:sz="5" w:space="0" w:color="000000"/>
              <w:left w:val="single" w:sz="5" w:space="0" w:color="000000"/>
              <w:bottom w:val="single" w:sz="5" w:space="0" w:color="000000"/>
              <w:right w:val="single" w:sz="5" w:space="0" w:color="000000"/>
            </w:tcBorders>
          </w:tcPr>
          <w:p w14:paraId="6A3F292A"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Gruppo di età</w:t>
            </w:r>
          </w:p>
        </w:tc>
        <w:tc>
          <w:tcPr>
            <w:tcW w:w="3497" w:type="dxa"/>
            <w:tcBorders>
              <w:top w:val="single" w:sz="5" w:space="0" w:color="000000"/>
              <w:left w:val="single" w:sz="5" w:space="0" w:color="000000"/>
              <w:bottom w:val="single" w:sz="5" w:space="0" w:color="000000"/>
              <w:right w:val="single" w:sz="5" w:space="0" w:color="000000"/>
            </w:tcBorders>
          </w:tcPr>
          <w:p w14:paraId="141B133E" w14:textId="77777777" w:rsidR="003456B7" w:rsidRPr="00C35766" w:rsidRDefault="003456B7" w:rsidP="003456B7">
            <w:pPr>
              <w:pStyle w:val="a8"/>
              <w:rPr>
                <w:rFonts w:ascii="Times New Roman" w:hAnsi="Times New Roman" w:cs="Times New Roman"/>
                <w:lang w:val="it-IT"/>
              </w:rPr>
            </w:pPr>
            <w:r w:rsidRPr="004F0B2E">
              <w:rPr>
                <w:rFonts w:ascii="Times New Roman" w:eastAsia="Times New Roman" w:hAnsi="Times New Roman" w:cs="Times New Roman"/>
                <w:spacing w:val="-1"/>
                <w:lang w:val="it-IT"/>
              </w:rPr>
              <w:t xml:space="preserve"> </w:t>
            </w:r>
            <w:r w:rsidRPr="00C35766">
              <w:rPr>
                <w:rFonts w:ascii="Times New Roman" w:hAnsi="Times New Roman" w:cs="Times New Roman"/>
                <w:lang w:val="it-IT"/>
              </w:rPr>
              <w:t xml:space="preserve"> Numero di pazienti al basale n (%)</w:t>
            </w:r>
          </w:p>
        </w:tc>
        <w:tc>
          <w:tcPr>
            <w:tcW w:w="3218" w:type="dxa"/>
            <w:tcBorders>
              <w:top w:val="single" w:sz="5" w:space="0" w:color="000000"/>
              <w:left w:val="single" w:sz="5" w:space="0" w:color="000000"/>
              <w:bottom w:val="single" w:sz="5" w:space="0" w:color="000000"/>
              <w:right w:val="single" w:sz="5" w:space="0" w:color="000000"/>
            </w:tcBorders>
          </w:tcPr>
          <w:p w14:paraId="6DBDE2F9" w14:textId="77777777" w:rsidR="003456B7" w:rsidRPr="00C35766" w:rsidRDefault="003456B7" w:rsidP="003456B7">
            <w:pPr>
              <w:pStyle w:val="TableParagraph"/>
              <w:spacing w:line="246" w:lineRule="exact"/>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Dose minima, mediana e massima </w:t>
            </w:r>
            <w:r w:rsidRPr="00C35766">
              <w:rPr>
                <w:rFonts w:ascii="Times New Roman" w:eastAsia="Times New Roman" w:hAnsi="Times New Roman" w:cs="Times New Roman"/>
                <w:lang w:val="it-IT"/>
              </w:rPr>
              <w:t> </w:t>
            </w:r>
          </w:p>
        </w:tc>
      </w:tr>
      <w:tr w:rsidR="003456B7" w:rsidRPr="00C35766" w14:paraId="70DDF779" w14:textId="77777777" w:rsidTr="00B3291C">
        <w:tc>
          <w:tcPr>
            <w:tcW w:w="2401" w:type="dxa"/>
            <w:tcBorders>
              <w:top w:val="single" w:sz="5" w:space="0" w:color="000000"/>
              <w:left w:val="single" w:sz="5" w:space="0" w:color="000000"/>
              <w:bottom w:val="single" w:sz="5" w:space="0" w:color="000000"/>
              <w:right w:val="single" w:sz="5" w:space="0" w:color="000000"/>
            </w:tcBorders>
          </w:tcPr>
          <w:p w14:paraId="6B912EE6"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Dai 4 ai 7 anni</w:t>
            </w:r>
          </w:p>
        </w:tc>
        <w:tc>
          <w:tcPr>
            <w:tcW w:w="3497" w:type="dxa"/>
            <w:tcBorders>
              <w:top w:val="single" w:sz="5" w:space="0" w:color="000000"/>
              <w:left w:val="single" w:sz="5" w:space="0" w:color="000000"/>
              <w:bottom w:val="single" w:sz="5" w:space="0" w:color="000000"/>
              <w:right w:val="single" w:sz="5" w:space="0" w:color="000000"/>
            </w:tcBorders>
          </w:tcPr>
          <w:p w14:paraId="3BC11EFF"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31 (18,1)</w:t>
            </w:r>
          </w:p>
        </w:tc>
        <w:tc>
          <w:tcPr>
            <w:tcW w:w="3218" w:type="dxa"/>
            <w:tcBorders>
              <w:top w:val="single" w:sz="5" w:space="0" w:color="000000"/>
              <w:left w:val="single" w:sz="5" w:space="0" w:color="000000"/>
              <w:bottom w:val="single" w:sz="5" w:space="0" w:color="000000"/>
              <w:right w:val="single" w:sz="5" w:space="0" w:color="000000"/>
            </w:tcBorders>
          </w:tcPr>
          <w:p w14:paraId="7ACEF6C6"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10, 20 e 25 mg</w:t>
            </w:r>
          </w:p>
        </w:tc>
      </w:tr>
      <w:tr w:rsidR="003456B7" w:rsidRPr="00C35766" w14:paraId="235BD1E0" w14:textId="77777777" w:rsidTr="00B3291C">
        <w:tc>
          <w:tcPr>
            <w:tcW w:w="2401" w:type="dxa"/>
            <w:tcBorders>
              <w:top w:val="single" w:sz="5" w:space="0" w:color="000000"/>
              <w:left w:val="single" w:sz="5" w:space="0" w:color="000000"/>
              <w:bottom w:val="single" w:sz="5" w:space="0" w:color="000000"/>
              <w:right w:val="single" w:sz="5" w:space="0" w:color="000000"/>
            </w:tcBorders>
          </w:tcPr>
          <w:p w14:paraId="0E6BCC61" w14:textId="77777777" w:rsidR="003456B7" w:rsidRPr="00C35766" w:rsidRDefault="003456B7" w:rsidP="003456B7">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Dagli 8 ai 12 anni</w:t>
            </w:r>
          </w:p>
        </w:tc>
        <w:tc>
          <w:tcPr>
            <w:tcW w:w="3497" w:type="dxa"/>
            <w:tcBorders>
              <w:top w:val="single" w:sz="5" w:space="0" w:color="000000"/>
              <w:left w:val="single" w:sz="5" w:space="0" w:color="000000"/>
              <w:bottom w:val="single" w:sz="5" w:space="0" w:color="000000"/>
              <w:right w:val="single" w:sz="5" w:space="0" w:color="000000"/>
            </w:tcBorders>
          </w:tcPr>
          <w:p w14:paraId="588C5C9C" w14:textId="77777777" w:rsidR="003456B7" w:rsidRPr="00C35766" w:rsidRDefault="003456B7" w:rsidP="003456B7">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71 (41,5)</w:t>
            </w:r>
          </w:p>
        </w:tc>
        <w:tc>
          <w:tcPr>
            <w:tcW w:w="3218" w:type="dxa"/>
            <w:tcBorders>
              <w:top w:val="single" w:sz="5" w:space="0" w:color="000000"/>
              <w:left w:val="single" w:sz="5" w:space="0" w:color="000000"/>
              <w:bottom w:val="single" w:sz="5" w:space="0" w:color="000000"/>
              <w:right w:val="single" w:sz="5" w:space="0" w:color="000000"/>
            </w:tcBorders>
          </w:tcPr>
          <w:p w14:paraId="1BC9AF6E" w14:textId="77777777" w:rsidR="003456B7" w:rsidRPr="00C35766" w:rsidRDefault="003456B7" w:rsidP="003456B7">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20, 25 e 40 mg</w:t>
            </w:r>
          </w:p>
        </w:tc>
      </w:tr>
      <w:tr w:rsidR="003456B7" w:rsidRPr="00C35766" w14:paraId="44E66A26" w14:textId="77777777" w:rsidTr="00B3291C">
        <w:tc>
          <w:tcPr>
            <w:tcW w:w="2401" w:type="dxa"/>
            <w:tcBorders>
              <w:top w:val="single" w:sz="5" w:space="0" w:color="000000"/>
              <w:left w:val="single" w:sz="5" w:space="0" w:color="000000"/>
              <w:bottom w:val="single" w:sz="5" w:space="0" w:color="000000"/>
              <w:right w:val="single" w:sz="5" w:space="0" w:color="000000"/>
            </w:tcBorders>
          </w:tcPr>
          <w:p w14:paraId="148F39B9"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Dai 13 ai 17 anni</w:t>
            </w:r>
          </w:p>
        </w:tc>
        <w:tc>
          <w:tcPr>
            <w:tcW w:w="3497" w:type="dxa"/>
            <w:tcBorders>
              <w:top w:val="single" w:sz="5" w:space="0" w:color="000000"/>
              <w:left w:val="single" w:sz="5" w:space="0" w:color="000000"/>
              <w:bottom w:val="single" w:sz="5" w:space="0" w:color="000000"/>
              <w:right w:val="single" w:sz="5" w:space="0" w:color="000000"/>
            </w:tcBorders>
          </w:tcPr>
          <w:p w14:paraId="55A61C49"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69 (40,4)</w:t>
            </w:r>
          </w:p>
        </w:tc>
        <w:tc>
          <w:tcPr>
            <w:tcW w:w="3218" w:type="dxa"/>
            <w:tcBorders>
              <w:top w:val="single" w:sz="5" w:space="0" w:color="000000"/>
              <w:left w:val="single" w:sz="5" w:space="0" w:color="000000"/>
              <w:bottom w:val="single" w:sz="5" w:space="0" w:color="000000"/>
              <w:right w:val="single" w:sz="5" w:space="0" w:color="000000"/>
            </w:tcBorders>
          </w:tcPr>
          <w:p w14:paraId="6098118E"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25, 40 e 40 mg</w:t>
            </w:r>
          </w:p>
        </w:tc>
      </w:tr>
    </w:tbl>
    <w:p w14:paraId="56830D6B" w14:textId="77777777" w:rsidR="003456B7" w:rsidRPr="00C35766" w:rsidRDefault="003456B7" w:rsidP="003456B7">
      <w:pPr>
        <w:spacing w:before="3" w:line="170" w:lineRule="exact"/>
        <w:rPr>
          <w:rFonts w:ascii="Times New Roman" w:hAnsi="Times New Roman" w:cs="Times New Roman"/>
          <w:sz w:val="17"/>
          <w:szCs w:val="17"/>
        </w:rPr>
      </w:pPr>
    </w:p>
    <w:p w14:paraId="7CA6A4FF" w14:textId="77777777" w:rsidR="003456B7" w:rsidRPr="00C35766" w:rsidRDefault="003456B7" w:rsidP="003456B7">
      <w:pPr>
        <w:pStyle w:val="a3"/>
        <w:rPr>
          <w:lang w:val="it-IT"/>
        </w:rPr>
      </w:pPr>
      <w:r w:rsidRPr="00C35766">
        <w:rPr>
          <w:rFonts w:eastAsia="Times New Roman"/>
          <w:lang w:val="it-IT"/>
        </w:rPr>
        <w:t>I pazienti che avevano dimostrato una risposta ACR30 pediatrica alla settimana 16 possedevano i requisiti necessari per essere ammessi alla randomizzazione della fase dello studio in doppio cieco (Double Blind = DB) ed hanno ricevuto 24 mg/m</w:t>
      </w:r>
      <w:r w:rsidRPr="00C35766">
        <w:rPr>
          <w:rFonts w:eastAsia="Times New Roman"/>
          <w:vertAlign w:val="superscript"/>
          <w:lang w:val="it-IT"/>
        </w:rPr>
        <w:t>2</w:t>
      </w:r>
      <w:r w:rsidRPr="00C35766">
        <w:rPr>
          <w:rFonts w:eastAsia="Times New Roman"/>
          <w:lang w:val="it-IT"/>
        </w:rPr>
        <w:t xml:space="preserve"> di adalimumab fino ad un massimo di 40 mg o placebo a settimane alterne per un ulteriore periodo di 32 settimane oppure fino a riacutizzazione della malattia. I criteri di definizione della riacutizzazione della malattia sono stati definiti in base ad un peggioramento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30% rispetto al valore basale di 3 o più dei 6 criteri principali dell’“ACR Paediatric core”, alla presenza di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2 articolazioni attive, ed in base ad un miglioramento </w:t>
      </w:r>
      <w:r w:rsidRPr="00C35766">
        <w:rPr>
          <w:rFonts w:eastAsia="Symbol"/>
          <w:lang w:val="it-IT"/>
        </w:rPr>
        <w:sym w:font="Symbol" w:char="F03E"/>
      </w:r>
      <w:r w:rsidRPr="00C35766">
        <w:rPr>
          <w:rFonts w:eastAsia="Symbol"/>
          <w:lang w:val="it-IT"/>
        </w:rPr>
        <w:sym w:font="Symbol" w:char="F020"/>
      </w:r>
      <w:r w:rsidRPr="00C35766">
        <w:rPr>
          <w:rFonts w:eastAsia="Times New Roman"/>
          <w:lang w:val="it-IT"/>
        </w:rPr>
        <w:t>30% in non più di 1 dei 6 criteri suddetti. Dopo 32 settimane o alla riacutizzazione della malattia, i pazienti sono stati ritenuti in possesso dei requisiti necessari per essere ammessi alla fase di estensione in aperto.</w:t>
      </w:r>
    </w:p>
    <w:p w14:paraId="2014D6C1" w14:textId="77777777" w:rsidR="003456B7" w:rsidRPr="00C35766" w:rsidRDefault="003456B7" w:rsidP="003456B7">
      <w:pPr>
        <w:spacing w:before="18" w:line="240" w:lineRule="exact"/>
        <w:rPr>
          <w:rFonts w:ascii="Times New Roman" w:hAnsi="Times New Roman" w:cs="Times New Roman"/>
          <w:sz w:val="24"/>
          <w:szCs w:val="24"/>
          <w:lang w:val="it-IT"/>
        </w:rPr>
      </w:pPr>
    </w:p>
    <w:p w14:paraId="5A7F775D" w14:textId="21AEFB52" w:rsidR="003456B7" w:rsidRPr="00C35766" w:rsidRDefault="003456B7" w:rsidP="003456B7">
      <w:pPr>
        <w:pStyle w:val="a3"/>
        <w:jc w:val="center"/>
        <w:rPr>
          <w:b/>
          <w:lang w:val="it-IT"/>
        </w:rPr>
      </w:pPr>
      <w:r w:rsidRPr="00C35766">
        <w:rPr>
          <w:rFonts w:eastAsia="Times New Roman"/>
          <w:b/>
          <w:bCs/>
          <w:lang w:val="it-IT"/>
        </w:rPr>
        <w:t xml:space="preserve">Tabella </w:t>
      </w:r>
      <w:r w:rsidR="00B90373" w:rsidRPr="00C35766">
        <w:rPr>
          <w:rFonts w:eastAsia="Times New Roman"/>
          <w:b/>
          <w:bCs/>
          <w:lang w:val="it-IT"/>
        </w:rPr>
        <w:t>26</w:t>
      </w:r>
    </w:p>
    <w:p w14:paraId="67130F0A" w14:textId="77777777" w:rsidR="003456B7" w:rsidRPr="00C35766" w:rsidRDefault="003456B7" w:rsidP="003456B7">
      <w:pPr>
        <w:pStyle w:val="a3"/>
        <w:jc w:val="center"/>
        <w:rPr>
          <w:b/>
          <w:lang w:val="it-IT"/>
        </w:rPr>
      </w:pPr>
      <w:r w:rsidRPr="00C35766">
        <w:rPr>
          <w:rFonts w:eastAsia="Times New Roman"/>
          <w:b/>
          <w:bCs/>
          <w:lang w:val="it-IT"/>
        </w:rPr>
        <w:t>Risposta PedACR30 nel corso dello studio JIA</w:t>
      </w:r>
    </w:p>
    <w:p w14:paraId="6134CDD2" w14:textId="77777777" w:rsidR="003456B7" w:rsidRPr="00C35766" w:rsidRDefault="003456B7" w:rsidP="003456B7">
      <w:pPr>
        <w:pStyle w:val="a3"/>
        <w:rPr>
          <w:lang w:val="it-IT"/>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3456B7" w:rsidRPr="00C35766" w14:paraId="55A31120"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41C8CD4D"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Braccio</w:t>
            </w:r>
          </w:p>
        </w:tc>
        <w:tc>
          <w:tcPr>
            <w:tcW w:w="3521" w:type="dxa"/>
            <w:gridSpan w:val="2"/>
            <w:tcBorders>
              <w:top w:val="single" w:sz="5" w:space="0" w:color="000000"/>
              <w:left w:val="single" w:sz="5" w:space="0" w:color="000000"/>
              <w:bottom w:val="single" w:sz="5" w:space="0" w:color="000000"/>
              <w:right w:val="single" w:sz="5" w:space="0" w:color="000000"/>
            </w:tcBorders>
          </w:tcPr>
          <w:p w14:paraId="4F78DEE9" w14:textId="77777777" w:rsidR="003456B7" w:rsidRPr="00C35766" w:rsidRDefault="003456B7" w:rsidP="003456B7">
            <w:pPr>
              <w:pStyle w:val="TableParagraph"/>
              <w:spacing w:line="246" w:lineRule="exact"/>
              <w:ind w:left="1463" w:right="1517"/>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6B0C659C" w14:textId="77777777" w:rsidR="003456B7" w:rsidRPr="00C35766" w:rsidRDefault="003456B7" w:rsidP="003456B7">
            <w:pPr>
              <w:pStyle w:val="TableParagraph"/>
              <w:spacing w:line="246" w:lineRule="exact"/>
              <w:ind w:left="954"/>
              <w:rPr>
                <w:rFonts w:ascii="Times New Roman" w:eastAsia="Times New Roman" w:hAnsi="Times New Roman" w:cs="Times New Roman"/>
              </w:rPr>
            </w:pPr>
            <w:r w:rsidRPr="00C35766">
              <w:rPr>
                <w:rFonts w:ascii="Times New Roman" w:eastAsia="Times New Roman" w:hAnsi="Times New Roman" w:cs="Times New Roman"/>
                <w:spacing w:val="-1"/>
                <w:lang w:val="it-IT"/>
              </w:rPr>
              <w:t>Senza MTX</w:t>
            </w:r>
          </w:p>
        </w:tc>
      </w:tr>
      <w:tr w:rsidR="003456B7" w:rsidRPr="00C35766" w14:paraId="13AAED17"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6BD4D16A"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lastRenderedPageBreak/>
              <w:t>Fase</w:t>
            </w:r>
          </w:p>
        </w:tc>
        <w:tc>
          <w:tcPr>
            <w:tcW w:w="3521" w:type="dxa"/>
            <w:gridSpan w:val="2"/>
            <w:tcBorders>
              <w:top w:val="single" w:sz="5" w:space="0" w:color="000000"/>
              <w:left w:val="single" w:sz="5" w:space="0" w:color="000000"/>
              <w:bottom w:val="single" w:sz="5" w:space="0" w:color="000000"/>
              <w:right w:val="single" w:sz="5" w:space="0" w:color="000000"/>
            </w:tcBorders>
          </w:tcPr>
          <w:p w14:paraId="5E72B2B6" w14:textId="77777777" w:rsidR="003456B7" w:rsidRPr="00C35766" w:rsidRDefault="003456B7" w:rsidP="003456B7">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713EDCD6" w14:textId="77777777" w:rsidR="003456B7" w:rsidRPr="00C35766" w:rsidRDefault="003456B7" w:rsidP="003456B7">
            <w:pPr>
              <w:rPr>
                <w:rFonts w:ascii="Times New Roman" w:hAnsi="Times New Roman" w:cs="Times New Roman"/>
              </w:rPr>
            </w:pPr>
          </w:p>
        </w:tc>
      </w:tr>
      <w:tr w:rsidR="003456B7" w:rsidRPr="00C35766" w14:paraId="159555A7"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1F563BD6"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OL-LI 16</w:t>
            </w:r>
            <w:r w:rsidRPr="00C35766">
              <w:rPr>
                <w:rFonts w:ascii="Times New Roman" w:eastAsia="Times New Roman" w:hAnsi="Times New Roman" w:cs="Times New Roman"/>
                <w:spacing w:val="-2"/>
                <w:vertAlign w:val="superscript"/>
                <w:lang w:val="it-IT"/>
              </w:rPr>
              <w:t>°</w:t>
            </w:r>
            <w:r w:rsidRPr="00C35766">
              <w:rPr>
                <w:rFonts w:ascii="Times New Roman" w:eastAsia="Times New Roman" w:hAnsi="Times New Roman" w:cs="Times New Roman"/>
                <w:spacing w:val="-2"/>
                <w:lang w:val="it-IT"/>
              </w:rPr>
              <w:t xml:space="preserve"> settimana</w:t>
            </w:r>
          </w:p>
        </w:tc>
        <w:tc>
          <w:tcPr>
            <w:tcW w:w="3521" w:type="dxa"/>
            <w:gridSpan w:val="2"/>
            <w:tcBorders>
              <w:top w:val="single" w:sz="5" w:space="0" w:color="000000"/>
              <w:left w:val="single" w:sz="5" w:space="0" w:color="000000"/>
              <w:bottom w:val="single" w:sz="5" w:space="0" w:color="000000"/>
              <w:right w:val="single" w:sz="5" w:space="0" w:color="000000"/>
            </w:tcBorders>
          </w:tcPr>
          <w:p w14:paraId="4A424839" w14:textId="77777777" w:rsidR="003456B7" w:rsidRPr="00C35766" w:rsidRDefault="003456B7" w:rsidP="003456B7">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6BD9977C" w14:textId="77777777" w:rsidR="003456B7" w:rsidRPr="00C35766" w:rsidRDefault="003456B7" w:rsidP="003456B7">
            <w:pPr>
              <w:rPr>
                <w:rFonts w:ascii="Times New Roman" w:hAnsi="Times New Roman" w:cs="Times New Roman"/>
              </w:rPr>
            </w:pPr>
          </w:p>
        </w:tc>
      </w:tr>
      <w:tr w:rsidR="003456B7" w:rsidRPr="00C35766" w14:paraId="56740AF4"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1D03A6D6" w14:textId="77777777" w:rsidR="003456B7" w:rsidRPr="00C35766" w:rsidRDefault="003456B7" w:rsidP="00805BD0">
            <w:pPr>
              <w:pStyle w:val="TableParagraph"/>
              <w:spacing w:line="246" w:lineRule="exact"/>
              <w:ind w:left="339"/>
              <w:rPr>
                <w:rFonts w:ascii="Times New Roman" w:eastAsia="Times New Roman" w:hAnsi="Times New Roman" w:cs="Times New Roman"/>
                <w:lang w:val="pt-PT"/>
              </w:rPr>
            </w:pPr>
            <w:r w:rsidRPr="00C35766">
              <w:rPr>
                <w:rFonts w:ascii="Times New Roman" w:eastAsia="Times New Roman" w:hAnsi="Times New Roman" w:cs="Times New Roman"/>
                <w:spacing w:val="-1"/>
                <w:lang w:val="it-IT"/>
              </w:rPr>
              <w:t>Risposta PedACR 30 (n/N)</w:t>
            </w:r>
          </w:p>
        </w:tc>
        <w:tc>
          <w:tcPr>
            <w:tcW w:w="3521" w:type="dxa"/>
            <w:gridSpan w:val="2"/>
            <w:tcBorders>
              <w:top w:val="single" w:sz="5" w:space="0" w:color="000000"/>
              <w:left w:val="single" w:sz="5" w:space="0" w:color="000000"/>
              <w:bottom w:val="single" w:sz="5" w:space="0" w:color="000000"/>
              <w:right w:val="single" w:sz="5" w:space="0" w:color="000000"/>
            </w:tcBorders>
          </w:tcPr>
          <w:p w14:paraId="302417F1" w14:textId="77777777" w:rsidR="003456B7" w:rsidRPr="00C35766" w:rsidRDefault="003456B7" w:rsidP="003456B7">
            <w:pPr>
              <w:pStyle w:val="TableParagraph"/>
              <w:spacing w:line="246" w:lineRule="exact"/>
              <w:ind w:left="1091"/>
              <w:rPr>
                <w:rFonts w:ascii="Times New Roman" w:eastAsia="Times New Roman" w:hAnsi="Times New Roman" w:cs="Times New Roman"/>
              </w:rPr>
            </w:pPr>
            <w:r w:rsidRPr="00C35766">
              <w:rPr>
                <w:rFonts w:ascii="Times New Roman" w:eastAsia="Times New Roman" w:hAnsi="Times New Roman" w:cs="Times New Roman"/>
                <w:spacing w:val="-1"/>
                <w:lang w:val="it-IT"/>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73B734DD" w14:textId="77777777" w:rsidR="003456B7" w:rsidRPr="00C35766" w:rsidRDefault="003456B7" w:rsidP="003456B7">
            <w:pPr>
              <w:pStyle w:val="TableParagraph"/>
              <w:spacing w:line="246" w:lineRule="exact"/>
              <w:ind w:left="951"/>
              <w:rPr>
                <w:rFonts w:ascii="Times New Roman" w:eastAsia="Times New Roman" w:hAnsi="Times New Roman" w:cs="Times New Roman"/>
              </w:rPr>
            </w:pPr>
            <w:r w:rsidRPr="00C35766">
              <w:rPr>
                <w:rFonts w:ascii="Times New Roman" w:eastAsia="Times New Roman" w:hAnsi="Times New Roman" w:cs="Times New Roman"/>
                <w:spacing w:val="-1"/>
                <w:lang w:val="it-IT"/>
              </w:rPr>
              <w:t>74,4% (64/86)</w:t>
            </w:r>
          </w:p>
        </w:tc>
      </w:tr>
      <w:tr w:rsidR="003456B7" w:rsidRPr="00C35766" w14:paraId="561887AA" w14:textId="77777777" w:rsidTr="003456B7">
        <w:tc>
          <w:tcPr>
            <w:tcW w:w="9178" w:type="dxa"/>
            <w:gridSpan w:val="5"/>
            <w:tcBorders>
              <w:top w:val="single" w:sz="5" w:space="0" w:color="000000"/>
              <w:left w:val="single" w:sz="5" w:space="0" w:color="000000"/>
              <w:bottom w:val="single" w:sz="5" w:space="0" w:color="000000"/>
              <w:right w:val="single" w:sz="5" w:space="0" w:color="000000"/>
            </w:tcBorders>
          </w:tcPr>
          <w:p w14:paraId="3CD51878" w14:textId="77777777" w:rsidR="003456B7" w:rsidRPr="00C35766" w:rsidRDefault="003456B7" w:rsidP="003456B7">
            <w:pPr>
              <w:pStyle w:val="TableParagraph"/>
              <w:spacing w:line="246" w:lineRule="exact"/>
              <w:ind w:left="3335" w:right="316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Risultati di efficacia</w:t>
            </w:r>
          </w:p>
        </w:tc>
      </w:tr>
      <w:tr w:rsidR="003456B7" w:rsidRPr="00C35766" w14:paraId="027ED499"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061956F5" w14:textId="77777777" w:rsidR="003456B7" w:rsidRPr="00C35766" w:rsidRDefault="003456B7" w:rsidP="003456B7">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Doppio cieco 32° settimana</w:t>
            </w:r>
          </w:p>
        </w:tc>
        <w:tc>
          <w:tcPr>
            <w:tcW w:w="1762" w:type="dxa"/>
            <w:tcBorders>
              <w:top w:val="single" w:sz="5" w:space="0" w:color="000000"/>
              <w:left w:val="single" w:sz="5" w:space="0" w:color="000000"/>
              <w:bottom w:val="single" w:sz="5" w:space="0" w:color="000000"/>
              <w:right w:val="single" w:sz="5" w:space="0" w:color="000000"/>
            </w:tcBorders>
          </w:tcPr>
          <w:p w14:paraId="1529B273"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Adalimumab/MTX</w:t>
            </w:r>
          </w:p>
          <w:p w14:paraId="7BAF9727" w14:textId="77777777" w:rsidR="003456B7" w:rsidRPr="00C35766" w:rsidRDefault="003456B7" w:rsidP="003456B7">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38)</w:t>
            </w:r>
          </w:p>
        </w:tc>
        <w:tc>
          <w:tcPr>
            <w:tcW w:w="1759" w:type="dxa"/>
            <w:tcBorders>
              <w:top w:val="single" w:sz="5" w:space="0" w:color="000000"/>
              <w:left w:val="single" w:sz="5" w:space="0" w:color="000000"/>
              <w:bottom w:val="single" w:sz="5" w:space="0" w:color="000000"/>
              <w:right w:val="single" w:sz="5" w:space="0" w:color="000000"/>
            </w:tcBorders>
          </w:tcPr>
          <w:p w14:paraId="1A46A7E9"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Placebo/MTX</w:t>
            </w:r>
          </w:p>
          <w:p w14:paraId="23A4491F" w14:textId="77777777" w:rsidR="003456B7" w:rsidRPr="00C35766" w:rsidRDefault="003456B7" w:rsidP="003456B7">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(N=37)</w:t>
            </w:r>
          </w:p>
        </w:tc>
        <w:tc>
          <w:tcPr>
            <w:tcW w:w="1651" w:type="dxa"/>
            <w:tcBorders>
              <w:top w:val="single" w:sz="5" w:space="0" w:color="000000"/>
              <w:left w:val="single" w:sz="5" w:space="0" w:color="000000"/>
              <w:bottom w:val="single" w:sz="5" w:space="0" w:color="000000"/>
              <w:right w:val="single" w:sz="5" w:space="0" w:color="000000"/>
            </w:tcBorders>
          </w:tcPr>
          <w:p w14:paraId="7095FBEE"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p>
          <w:p w14:paraId="44EED937" w14:textId="77777777" w:rsidR="003456B7" w:rsidRPr="00C35766" w:rsidRDefault="003456B7" w:rsidP="003456B7">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30)</w:t>
            </w:r>
          </w:p>
        </w:tc>
        <w:tc>
          <w:tcPr>
            <w:tcW w:w="1589" w:type="dxa"/>
            <w:tcBorders>
              <w:top w:val="single" w:sz="5" w:space="0" w:color="000000"/>
              <w:left w:val="single" w:sz="5" w:space="0" w:color="000000"/>
              <w:bottom w:val="single" w:sz="5" w:space="0" w:color="000000"/>
              <w:right w:val="single" w:sz="5" w:space="0" w:color="000000"/>
            </w:tcBorders>
          </w:tcPr>
          <w:p w14:paraId="1A0FE148"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6E4259E0" w14:textId="77777777" w:rsidR="003456B7" w:rsidRPr="00C35766" w:rsidRDefault="003456B7" w:rsidP="003456B7">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28)</w:t>
            </w:r>
          </w:p>
        </w:tc>
      </w:tr>
      <w:tr w:rsidR="003456B7" w:rsidRPr="00C35766" w14:paraId="44C5AC70"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56AEAC8D" w14:textId="77777777" w:rsidR="003456B7" w:rsidRPr="00C35766" w:rsidRDefault="003456B7" w:rsidP="00B3291C">
            <w:pPr>
              <w:pStyle w:val="TableParagraph"/>
              <w:spacing w:line="246" w:lineRule="exact"/>
              <w:ind w:left="339"/>
              <w:rPr>
                <w:rFonts w:ascii="Times New Roman" w:hAnsi="Times New Roman" w:cs="Times New Roman"/>
                <w:lang w:val="it-IT"/>
              </w:rPr>
            </w:pPr>
            <w:r w:rsidRPr="00C35766">
              <w:rPr>
                <w:rFonts w:ascii="Times New Roman" w:eastAsia="Times New Roman" w:hAnsi="Times New Roman" w:cs="Times New Roman"/>
                <w:spacing w:val="-1"/>
                <w:lang w:val="it-IT"/>
              </w:rPr>
              <w:t xml:space="preserve">Riacutizzazione della malattia alla fine delle </w:t>
            </w:r>
            <w:r w:rsidRPr="00C35766">
              <w:rPr>
                <w:rFonts w:ascii="Times New Roman" w:eastAsia="Times New Roman" w:hAnsi="Times New Roman" w:cs="Times New Roman"/>
                <w:lang w:val="it-IT"/>
              </w:rPr>
              <w:t>32 settimane</w:t>
            </w:r>
            <w:r w:rsidRPr="00C35766">
              <w:rPr>
                <w:rFonts w:ascii="Times New Roman" w:eastAsia="Times New Roman" w:hAnsi="Times New Roman" w:cs="Times New Roman"/>
                <w:vertAlign w:val="superscript"/>
                <w:lang w:val="it-IT"/>
              </w:rPr>
              <w:t>a</w:t>
            </w:r>
            <w:r w:rsidRPr="00C35766">
              <w:rPr>
                <w:rFonts w:ascii="Times New Roman" w:eastAsia="Times New Roman" w:hAnsi="Times New Roman" w:cs="Times New Roman"/>
                <w:lang w:val="it-IT"/>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061E7532"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36,8% (14/38)</w:t>
            </w:r>
          </w:p>
        </w:tc>
        <w:tc>
          <w:tcPr>
            <w:tcW w:w="1759" w:type="dxa"/>
            <w:tcBorders>
              <w:top w:val="single" w:sz="5" w:space="0" w:color="000000"/>
              <w:left w:val="single" w:sz="5" w:space="0" w:color="000000"/>
              <w:bottom w:val="single" w:sz="5" w:space="0" w:color="000000"/>
              <w:right w:val="single" w:sz="5" w:space="0" w:color="000000"/>
            </w:tcBorders>
          </w:tcPr>
          <w:p w14:paraId="5982ACB8"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64,9% (24/37)</w:t>
            </w:r>
            <w:r w:rsidRPr="00C35766">
              <w:rPr>
                <w:rFonts w:ascii="Times New Roman" w:eastAsia="Times New Roman" w:hAnsi="Times New Roman" w:cs="Times New Roman"/>
                <w:spacing w:val="-1"/>
                <w:vertAlign w:val="superscript"/>
                <w:lang w:val="it-IT"/>
              </w:rPr>
              <w:t>b</w:t>
            </w:r>
          </w:p>
        </w:tc>
        <w:tc>
          <w:tcPr>
            <w:tcW w:w="1651" w:type="dxa"/>
            <w:tcBorders>
              <w:top w:val="single" w:sz="5" w:space="0" w:color="000000"/>
              <w:left w:val="single" w:sz="5" w:space="0" w:color="000000"/>
              <w:bottom w:val="single" w:sz="5" w:space="0" w:color="000000"/>
              <w:right w:val="single" w:sz="5" w:space="0" w:color="000000"/>
            </w:tcBorders>
          </w:tcPr>
          <w:p w14:paraId="0528F978"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43,3% (13/30)</w:t>
            </w:r>
          </w:p>
        </w:tc>
        <w:tc>
          <w:tcPr>
            <w:tcW w:w="1589" w:type="dxa"/>
            <w:tcBorders>
              <w:top w:val="single" w:sz="5" w:space="0" w:color="000000"/>
              <w:left w:val="single" w:sz="5" w:space="0" w:color="000000"/>
              <w:bottom w:val="single" w:sz="5" w:space="0" w:color="000000"/>
              <w:right w:val="single" w:sz="5" w:space="0" w:color="000000"/>
            </w:tcBorders>
          </w:tcPr>
          <w:p w14:paraId="0FF73648"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71,4%</w:t>
            </w:r>
          </w:p>
          <w:p w14:paraId="19EA18CA" w14:textId="77777777" w:rsidR="003456B7" w:rsidRPr="00C35766" w:rsidRDefault="003456B7" w:rsidP="003456B7">
            <w:pPr>
              <w:pStyle w:val="TableParagraph"/>
              <w:spacing w:line="252"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(20/28)</w:t>
            </w:r>
            <w:r w:rsidRPr="00C35766">
              <w:rPr>
                <w:rFonts w:ascii="Times New Roman" w:eastAsia="Times New Roman" w:hAnsi="Times New Roman" w:cs="Times New Roman"/>
                <w:spacing w:val="-1"/>
                <w:vertAlign w:val="superscript"/>
                <w:lang w:val="it-IT"/>
              </w:rPr>
              <w:t>c</w:t>
            </w:r>
          </w:p>
        </w:tc>
      </w:tr>
      <w:tr w:rsidR="003456B7" w:rsidRPr="00C35766" w14:paraId="5DF624D6" w14:textId="77777777" w:rsidTr="003456B7">
        <w:tc>
          <w:tcPr>
            <w:tcW w:w="2417" w:type="dxa"/>
            <w:tcBorders>
              <w:top w:val="single" w:sz="5" w:space="0" w:color="000000"/>
              <w:left w:val="single" w:sz="5" w:space="0" w:color="000000"/>
              <w:bottom w:val="single" w:sz="5" w:space="0" w:color="000000"/>
              <w:right w:val="single" w:sz="5" w:space="0" w:color="000000"/>
            </w:tcBorders>
          </w:tcPr>
          <w:p w14:paraId="6E752139" w14:textId="77777777" w:rsidR="003456B7" w:rsidRPr="00C35766" w:rsidRDefault="003456B7" w:rsidP="00B3291C">
            <w:pPr>
              <w:pStyle w:val="TableParagraph"/>
              <w:spacing w:line="246" w:lineRule="exact"/>
              <w:ind w:left="339"/>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Tempo medio alla riacutizzazione della malattia</w:t>
            </w:r>
          </w:p>
        </w:tc>
        <w:tc>
          <w:tcPr>
            <w:tcW w:w="1762" w:type="dxa"/>
            <w:tcBorders>
              <w:top w:val="single" w:sz="5" w:space="0" w:color="000000"/>
              <w:left w:val="single" w:sz="5" w:space="0" w:color="000000"/>
              <w:bottom w:val="single" w:sz="5" w:space="0" w:color="000000"/>
              <w:right w:val="single" w:sz="5" w:space="0" w:color="000000"/>
            </w:tcBorders>
          </w:tcPr>
          <w:p w14:paraId="1E886E10"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&gt; 32 settimane</w:t>
            </w:r>
          </w:p>
        </w:tc>
        <w:tc>
          <w:tcPr>
            <w:tcW w:w="1759" w:type="dxa"/>
            <w:tcBorders>
              <w:top w:val="single" w:sz="5" w:space="0" w:color="000000"/>
              <w:left w:val="single" w:sz="5" w:space="0" w:color="000000"/>
              <w:bottom w:val="single" w:sz="5" w:space="0" w:color="000000"/>
              <w:right w:val="single" w:sz="5" w:space="0" w:color="000000"/>
            </w:tcBorders>
          </w:tcPr>
          <w:p w14:paraId="72F31415"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20 settimane</w:t>
            </w:r>
          </w:p>
        </w:tc>
        <w:tc>
          <w:tcPr>
            <w:tcW w:w="1651" w:type="dxa"/>
            <w:tcBorders>
              <w:top w:val="single" w:sz="5" w:space="0" w:color="000000"/>
              <w:left w:val="single" w:sz="5" w:space="0" w:color="000000"/>
              <w:bottom w:val="single" w:sz="5" w:space="0" w:color="000000"/>
              <w:right w:val="single" w:sz="5" w:space="0" w:color="000000"/>
            </w:tcBorders>
          </w:tcPr>
          <w:p w14:paraId="72565346"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&gt; 32 settimane</w:t>
            </w:r>
          </w:p>
        </w:tc>
        <w:tc>
          <w:tcPr>
            <w:tcW w:w="1589" w:type="dxa"/>
            <w:tcBorders>
              <w:top w:val="single" w:sz="5" w:space="0" w:color="000000"/>
              <w:left w:val="single" w:sz="5" w:space="0" w:color="000000"/>
              <w:bottom w:val="single" w:sz="5" w:space="0" w:color="000000"/>
              <w:right w:val="single" w:sz="5" w:space="0" w:color="000000"/>
            </w:tcBorders>
          </w:tcPr>
          <w:p w14:paraId="74C5A920" w14:textId="77777777" w:rsidR="003456B7" w:rsidRPr="00C35766" w:rsidRDefault="003456B7" w:rsidP="003456B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14 settimane</w:t>
            </w:r>
          </w:p>
        </w:tc>
      </w:tr>
    </w:tbl>
    <w:p w14:paraId="045A18B2" w14:textId="50EC490A" w:rsidR="003456B7" w:rsidRPr="00C35766" w:rsidRDefault="003456B7" w:rsidP="00146E60">
      <w:pPr>
        <w:pStyle w:val="a3"/>
        <w:ind w:leftChars="100" w:left="220"/>
        <w:rPr>
          <w:lang w:val="it-IT"/>
        </w:rPr>
      </w:pPr>
      <w:r w:rsidRPr="00C35766">
        <w:rPr>
          <w:rFonts w:eastAsia="Times New Roman"/>
          <w:position w:val="8"/>
          <w:vertAlign w:val="superscript"/>
          <w:lang w:val="it-IT"/>
        </w:rPr>
        <w:t>a</w:t>
      </w:r>
      <w:r w:rsidRPr="00C35766">
        <w:rPr>
          <w:rFonts w:eastAsia="Times New Roman"/>
          <w:position w:val="8"/>
          <w:lang w:val="it-IT"/>
        </w:rPr>
        <w:t xml:space="preserve"> Le risposte Ped ACR 30/50/70 alla  settimana 48 sono risultate significativamente maggiori rispetto a quelle ottenute nei pazienti trattati con placebo</w:t>
      </w:r>
    </w:p>
    <w:p w14:paraId="0F721931" w14:textId="77777777" w:rsidR="003456B7" w:rsidRPr="00C35766" w:rsidRDefault="003456B7" w:rsidP="00146E60">
      <w:pPr>
        <w:pStyle w:val="a3"/>
        <w:ind w:leftChars="100" w:left="220"/>
        <w:rPr>
          <w:lang w:val="it-IT"/>
        </w:rPr>
      </w:pPr>
      <w:r w:rsidRPr="00C35766">
        <w:rPr>
          <w:rFonts w:eastAsia="Times New Roman"/>
          <w:position w:val="8"/>
          <w:vertAlign w:val="superscript"/>
          <w:lang w:val="it-IT"/>
        </w:rPr>
        <w:t xml:space="preserve">b </w:t>
      </w:r>
      <w:r w:rsidRPr="00C35766">
        <w:rPr>
          <w:rFonts w:eastAsia="Times New Roman"/>
          <w:position w:val="8"/>
          <w:lang w:val="it-IT"/>
        </w:rPr>
        <w:t>p = 0,015</w:t>
      </w:r>
    </w:p>
    <w:p w14:paraId="273D2CF1" w14:textId="77777777" w:rsidR="003456B7" w:rsidRPr="00C35766" w:rsidRDefault="003456B7" w:rsidP="00146E60">
      <w:pPr>
        <w:pStyle w:val="a3"/>
        <w:ind w:leftChars="100" w:left="220"/>
        <w:rPr>
          <w:lang w:val="it-IT"/>
        </w:rPr>
      </w:pPr>
      <w:r w:rsidRPr="00C35766">
        <w:rPr>
          <w:rFonts w:eastAsia="Times New Roman"/>
          <w:position w:val="8"/>
          <w:vertAlign w:val="superscript"/>
          <w:lang w:val="it-IT"/>
        </w:rPr>
        <w:t xml:space="preserve">c </w:t>
      </w:r>
      <w:r w:rsidRPr="00C35766">
        <w:rPr>
          <w:rFonts w:eastAsia="Times New Roman"/>
          <w:position w:val="8"/>
          <w:lang w:val="it-IT"/>
        </w:rPr>
        <w:t>p = 0,031</w:t>
      </w:r>
    </w:p>
    <w:p w14:paraId="70F1DF9B" w14:textId="77777777" w:rsidR="003456B7" w:rsidRPr="00C35766" w:rsidRDefault="003456B7" w:rsidP="003456B7">
      <w:pPr>
        <w:spacing w:before="14" w:line="240" w:lineRule="exact"/>
        <w:rPr>
          <w:rFonts w:ascii="Times New Roman" w:hAnsi="Times New Roman" w:cs="Times New Roman"/>
          <w:lang w:val="it-IT"/>
        </w:rPr>
      </w:pPr>
    </w:p>
    <w:p w14:paraId="0A1C3725" w14:textId="77777777" w:rsidR="003456B7" w:rsidRPr="00C35766" w:rsidRDefault="003456B7" w:rsidP="003456B7">
      <w:pPr>
        <w:pStyle w:val="a3"/>
        <w:rPr>
          <w:lang w:val="it-IT"/>
        </w:rPr>
      </w:pPr>
      <w:r w:rsidRPr="00C35766">
        <w:rPr>
          <w:rFonts w:eastAsia="Times New Roman"/>
          <w:spacing w:val="1"/>
          <w:lang w:val="it-IT"/>
        </w:rPr>
        <w:t>Tra coloro che alla  settimana 16 hanno risposto al trattamento (n=144), le risposte Ped ACR 30/50/70/90 sono state mantenute per un massimo di sei anni durante la fase OLE nei pazienti a cui è stato somministrato adalimumab nel corso di tutto lo studio. Complessivamente, 19 soggetti, di cui 11 appartenenti al gruppo di età al basale compresa tra 4 e 12 anni e 8 appartenenti al gruppo di età al basale compresa tra 13 e 17 anni, sono stati trattati per 6 anni o più.</w:t>
      </w:r>
    </w:p>
    <w:p w14:paraId="777C4767" w14:textId="77777777" w:rsidR="003456B7" w:rsidRPr="00C35766" w:rsidRDefault="003456B7" w:rsidP="003456B7">
      <w:pPr>
        <w:spacing w:before="14" w:line="240" w:lineRule="exact"/>
        <w:rPr>
          <w:rFonts w:ascii="Times New Roman" w:hAnsi="Times New Roman" w:cs="Times New Roman"/>
          <w:sz w:val="24"/>
          <w:szCs w:val="24"/>
          <w:lang w:val="it-IT"/>
        </w:rPr>
      </w:pPr>
    </w:p>
    <w:p w14:paraId="75CC26C3" w14:textId="77777777" w:rsidR="003456B7" w:rsidRPr="00C35766" w:rsidRDefault="003456B7" w:rsidP="003456B7">
      <w:pPr>
        <w:pStyle w:val="a3"/>
        <w:rPr>
          <w:lang w:val="it-IT"/>
        </w:rPr>
      </w:pPr>
      <w:r w:rsidRPr="00C35766">
        <w:rPr>
          <w:rFonts w:eastAsia="Times New Roman"/>
          <w:lang w:val="it-IT"/>
        </w:rPr>
        <w:t>Le risposte complessive sono risultate generalmente migliori e meno pazienti hanno sviluppato anticorpi quando sono stati trattati con la terapia di associazione adalimumab e MTX rispetto al trattamento con adalimumab somministrato in monoterapia. Prendendo in considerazione tali risultati, Yuflyma è raccomandato in associazione a MTX ed in monoterapia nei pazienti per i quali l’uso di MTX sia sconsigliato (vedere paragrafo 4.2).</w:t>
      </w:r>
    </w:p>
    <w:p w14:paraId="33F7F9DB" w14:textId="77777777" w:rsidR="003456B7" w:rsidRPr="00C35766" w:rsidRDefault="003456B7" w:rsidP="003456B7">
      <w:pPr>
        <w:pStyle w:val="a3"/>
        <w:rPr>
          <w:lang w:val="it-IT"/>
        </w:rPr>
      </w:pPr>
    </w:p>
    <w:p w14:paraId="4B391981" w14:textId="77777777" w:rsidR="003456B7" w:rsidRPr="00C35766" w:rsidRDefault="003456B7" w:rsidP="003456B7">
      <w:pPr>
        <w:pStyle w:val="a3"/>
        <w:rPr>
          <w:lang w:val="it-IT"/>
        </w:rPr>
      </w:pPr>
      <w:r w:rsidRPr="00C35766">
        <w:rPr>
          <w:rFonts w:eastAsia="Times New Roman"/>
          <w:spacing w:val="1"/>
          <w:lang w:val="it-IT"/>
        </w:rPr>
        <w:t>pJIA II</w:t>
      </w:r>
    </w:p>
    <w:p w14:paraId="6894469F" w14:textId="77777777" w:rsidR="003456B7" w:rsidRPr="00C35766" w:rsidRDefault="003456B7" w:rsidP="003456B7">
      <w:pPr>
        <w:spacing w:before="11" w:line="240" w:lineRule="exact"/>
        <w:rPr>
          <w:rFonts w:ascii="Times New Roman" w:hAnsi="Times New Roman" w:cs="Times New Roman"/>
          <w:sz w:val="24"/>
          <w:szCs w:val="24"/>
          <w:lang w:val="it-IT"/>
        </w:rPr>
      </w:pPr>
    </w:p>
    <w:p w14:paraId="1B663D05" w14:textId="5201272F" w:rsidR="003456B7" w:rsidRPr="00C35766" w:rsidRDefault="003456B7" w:rsidP="003456B7">
      <w:pPr>
        <w:pStyle w:val="a3"/>
        <w:rPr>
          <w:lang w:val="it-IT"/>
        </w:rPr>
      </w:pPr>
      <w:r w:rsidRPr="00C35766">
        <w:rPr>
          <w:rFonts w:eastAsia="Times New Roman"/>
          <w:lang w:val="it-IT"/>
        </w:rPr>
        <w:t>La sicurezza e l’efficacia di adalimumab è stata valutata in uno studio multicentrico in aperto in 32 bambini (2</w:t>
      </w:r>
      <w:r w:rsidR="000F35BA" w:rsidRPr="00C35766">
        <w:rPr>
          <w:rFonts w:eastAsia="Times New Roman"/>
          <w:lang w:val="it-IT"/>
        </w:rPr>
        <w:t xml:space="preserve"> </w:t>
      </w:r>
      <w:r w:rsidRPr="00C35766">
        <w:rPr>
          <w:rFonts w:eastAsia="Times New Roman"/>
          <w:lang w:val="it-IT"/>
        </w:rPr>
        <w:t>-&lt;</w:t>
      </w:r>
      <w:r w:rsidR="000F35BA" w:rsidRPr="00C35766">
        <w:rPr>
          <w:rFonts w:eastAsia="Times New Roman"/>
          <w:lang w:val="it-IT"/>
        </w:rPr>
        <w:t xml:space="preserve"> </w:t>
      </w:r>
      <w:r w:rsidRPr="00C35766">
        <w:rPr>
          <w:rFonts w:eastAsia="Times New Roman"/>
          <w:lang w:val="it-IT"/>
        </w:rPr>
        <w:t>4 anni di età o di 4 anni di età o più e peso &lt;</w:t>
      </w:r>
      <w:r w:rsidR="000F35BA" w:rsidRPr="00C35766">
        <w:rPr>
          <w:rFonts w:eastAsia="Times New Roman"/>
          <w:lang w:val="it-IT"/>
        </w:rPr>
        <w:t xml:space="preserve"> </w:t>
      </w:r>
      <w:r w:rsidRPr="00C35766">
        <w:rPr>
          <w:rFonts w:eastAsia="Times New Roman"/>
          <w:lang w:val="it-IT"/>
        </w:rPr>
        <w:t>15 kg) con artrite idiopatica giovanile poliarticolare da moderatamente a severamente attiva. I pazienti hanno ricevuto 24 mg/m</w:t>
      </w:r>
      <w:r w:rsidRPr="00C35766">
        <w:rPr>
          <w:rFonts w:eastAsia="Times New Roman"/>
          <w:vertAlign w:val="superscript"/>
          <w:lang w:val="it-IT"/>
        </w:rPr>
        <w:t>2</w:t>
      </w:r>
      <w:r w:rsidRPr="00C35766">
        <w:rPr>
          <w:rFonts w:eastAsia="Times New Roman"/>
          <w:lang w:val="it-IT"/>
        </w:rPr>
        <w:t xml:space="preserve"> di superficie corporea (BSA) di adalimumab fino a un massimo di 20 mg a settimane alterne come singola dose tramite iniezione sottocutanea per almeno 24 settimane. Durante lo studio la maggior parte dei soggetti faceva un uso concomitante di MTX, con alcuni soggetti che riportavano l’uso di corticosteroidi o antinfiammatori non steroidei (FANS).</w:t>
      </w:r>
    </w:p>
    <w:p w14:paraId="3C3FBAF0" w14:textId="77777777" w:rsidR="003456B7" w:rsidRPr="00C35766" w:rsidRDefault="003456B7" w:rsidP="003456B7">
      <w:pPr>
        <w:spacing w:before="14" w:line="240" w:lineRule="exact"/>
        <w:rPr>
          <w:rFonts w:ascii="Times New Roman" w:hAnsi="Times New Roman" w:cs="Times New Roman"/>
          <w:sz w:val="24"/>
          <w:szCs w:val="24"/>
          <w:lang w:val="it-IT"/>
        </w:rPr>
      </w:pPr>
    </w:p>
    <w:p w14:paraId="73F36605" w14:textId="77777777" w:rsidR="003456B7" w:rsidRPr="00C35766" w:rsidRDefault="003456B7" w:rsidP="003456B7">
      <w:pPr>
        <w:pStyle w:val="a3"/>
        <w:rPr>
          <w:lang w:val="it-IT"/>
        </w:rPr>
      </w:pPr>
      <w:r w:rsidRPr="00C35766">
        <w:rPr>
          <w:rFonts w:eastAsia="Times New Roman"/>
          <w:lang w:val="it-IT"/>
        </w:rPr>
        <w:t>Alla settimana 12 e alla settimana 24, la risposta PedACR30 era, rispettivamente, 93,5% e 90,0% usando l’approccio dei dati osservati. Le percentuali dei soggetti con PedACR50/70/90 alla settimana 12 e alla settimana 24 erano, rispettivamente, 90,3%/61,3%/38,7% e 83,3%/73,3%/36,7%. Tra quelli che rispondevano (PedACR30) alla settimana 24 (n=27 pazienti su 30), le risposte PedACR30 erano mantenute fino a 60 settimane nei pazienti che ricevevano adalimumab nel corso della fase di estensione in aperto (OLE). In totale, 20 soggetti sono stati trattati per 60 settimane o oltre.</w:t>
      </w:r>
    </w:p>
    <w:p w14:paraId="5B9DD00A" w14:textId="77777777" w:rsidR="003456B7" w:rsidRPr="00C35766" w:rsidRDefault="003456B7" w:rsidP="003456B7">
      <w:pPr>
        <w:pStyle w:val="a3"/>
        <w:rPr>
          <w:sz w:val="24"/>
          <w:lang w:val="it-IT"/>
        </w:rPr>
      </w:pPr>
    </w:p>
    <w:p w14:paraId="50430425" w14:textId="77777777" w:rsidR="003456B7" w:rsidRPr="00C35766" w:rsidRDefault="003456B7" w:rsidP="003456B7">
      <w:pPr>
        <w:pStyle w:val="a3"/>
        <w:rPr>
          <w:lang w:val="it-IT"/>
        </w:rPr>
      </w:pPr>
      <w:r w:rsidRPr="00C35766">
        <w:rPr>
          <w:rFonts w:eastAsia="Times New Roman"/>
          <w:i/>
          <w:iCs/>
          <w:u w:val="single" w:color="000000"/>
          <w:lang w:val="it-IT"/>
        </w:rPr>
        <w:t>Artrite associata ad entesite</w:t>
      </w:r>
    </w:p>
    <w:p w14:paraId="3602EA97" w14:textId="77777777" w:rsidR="003456B7" w:rsidRPr="00C35766" w:rsidRDefault="003456B7" w:rsidP="003456B7">
      <w:pPr>
        <w:pStyle w:val="a3"/>
        <w:rPr>
          <w:sz w:val="18"/>
          <w:lang w:val="it-IT"/>
        </w:rPr>
      </w:pPr>
    </w:p>
    <w:p w14:paraId="28EE72F5" w14:textId="77777777" w:rsidR="003456B7" w:rsidRPr="00C35766" w:rsidRDefault="003456B7" w:rsidP="003456B7">
      <w:pPr>
        <w:pStyle w:val="a3"/>
        <w:rPr>
          <w:lang w:val="it-IT"/>
        </w:rPr>
      </w:pPr>
      <w:r w:rsidRPr="00C35766">
        <w:rPr>
          <w:rFonts w:eastAsia="Times New Roman"/>
          <w:lang w:val="it-IT"/>
        </w:rPr>
        <w:t>La sicurezza e l’efficacia di adalimumab sono state valutate in uno studio multicentrico, randomizzato, in doppio cieco in 46 pazienti pediatrici (da 6 a 17 anni di età) con entesite associata ad artrite di grado moderato. I pazienti sono stati randomizzati per ricevere o 24 mg/m</w:t>
      </w:r>
      <w:r w:rsidRPr="00C35766">
        <w:rPr>
          <w:rFonts w:eastAsia="Times New Roman"/>
          <w:vertAlign w:val="superscript"/>
          <w:lang w:val="it-IT"/>
        </w:rPr>
        <w:t>2</w:t>
      </w:r>
      <w:r w:rsidRPr="00C35766">
        <w:rPr>
          <w:rFonts w:eastAsia="Times New Roman"/>
          <w:lang w:val="it-IT"/>
        </w:rPr>
        <w:t xml:space="preserve"> di superficie corporea (BSA) di adalimumab, fino ad un massimo di 40 mg, o placebo a settimane alterne per 12 settimane. Il periodo in </w:t>
      </w:r>
      <w:r w:rsidRPr="00C35766">
        <w:rPr>
          <w:rFonts w:eastAsia="Times New Roman"/>
          <w:lang w:val="it-IT"/>
        </w:rPr>
        <w:lastRenderedPageBreak/>
        <w:t>doppio cieco è stato seguito da un periodo di studio in aperto (OL), durante il quale i pazienti hanno ricevuto 24 mg/m</w:t>
      </w:r>
      <w:r w:rsidRPr="00C35766">
        <w:rPr>
          <w:rFonts w:eastAsia="Times New Roman"/>
          <w:vertAlign w:val="superscript"/>
          <w:lang w:val="it-IT"/>
        </w:rPr>
        <w:t>2</w:t>
      </w:r>
      <w:r w:rsidRPr="00C35766">
        <w:rPr>
          <w:rFonts w:eastAsia="Times New Roman"/>
          <w:lang w:val="it-IT"/>
        </w:rPr>
        <w:t xml:space="preserve"> di superficie corporea di adalimumab, fino ad un massimo di 40 mg per via sottocutanea a settimane alterne, per altre 192 settimane. L’endpoint primario era la variazione percentuale nel numero di articolazioni con artrite attiva dal valore al basale a quello alla settimana 12 (tumefazione non dovuta a deformità o articolazioni con perdita di movimento più dolore e/o dolorabilità), ed è stato raggiunto con una diminuzione media percentuale del -62,6% (variazione mediana percentuale -88,9%) nei pazienti del gruppo trattato con adalimumab rispetto al -11,6% (variazione mediana percentuale -50,0%) nei pazienti del gruppo trattato con placebo.  Il miglioramento nel numero di articolazioni attive con artrite è stato mantenuto durante il periodo in aperto dello studio, fino alla settimana 156 per 26 dei 31 (84%) pazienti del gruppo trattato con adalimumab che sono rimasti nello studio. Nonostante non fosse statisticamente significativo, la maggior parte dei pazienti ha dimostrato un miglioramento clinico negli endpoint secondari, come il numero di siti di entesite, la conta delle articolazioni dolenti (TJC), la conta delle articolazioni tumefatte (SJC), la risposta ACR 50 Pediatrica e la risposta ACR 70 Pediatrica.</w:t>
      </w:r>
    </w:p>
    <w:p w14:paraId="17AFBF0F" w14:textId="40DA5B90" w:rsidR="003456B7" w:rsidRPr="00C35766" w:rsidRDefault="003456B7">
      <w:pPr>
        <w:spacing w:before="1" w:line="180" w:lineRule="exact"/>
        <w:rPr>
          <w:rFonts w:ascii="Times New Roman" w:hAnsi="Times New Roman" w:cs="Times New Roman"/>
          <w:sz w:val="18"/>
          <w:szCs w:val="18"/>
          <w:lang w:val="it-IT"/>
        </w:rPr>
      </w:pPr>
    </w:p>
    <w:p w14:paraId="4D2ECB4C" w14:textId="77777777" w:rsidR="00B90373" w:rsidRPr="00C35766" w:rsidRDefault="00B90373" w:rsidP="00B90373">
      <w:pPr>
        <w:pStyle w:val="a3"/>
        <w:rPr>
          <w:lang w:val="it-IT"/>
        </w:rPr>
      </w:pPr>
      <w:r w:rsidRPr="00C35766">
        <w:rPr>
          <w:rFonts w:eastAsia="Times New Roman"/>
          <w:i/>
          <w:iCs/>
          <w:spacing w:val="-1"/>
          <w:lang w:val="it-IT"/>
        </w:rPr>
        <w:t>Psoriasi a placche pediatrica</w:t>
      </w:r>
    </w:p>
    <w:p w14:paraId="1739F7CE" w14:textId="77777777" w:rsidR="00B90373" w:rsidRPr="00C35766" w:rsidRDefault="00B90373" w:rsidP="00B90373">
      <w:pPr>
        <w:pStyle w:val="a3"/>
        <w:rPr>
          <w:sz w:val="24"/>
          <w:lang w:val="it-IT"/>
        </w:rPr>
      </w:pPr>
    </w:p>
    <w:p w14:paraId="25E46178" w14:textId="77777777" w:rsidR="00B90373" w:rsidRPr="00C35766" w:rsidRDefault="00B90373" w:rsidP="00B90373">
      <w:pPr>
        <w:pStyle w:val="a3"/>
        <w:rPr>
          <w:lang w:val="it-IT"/>
        </w:rPr>
      </w:pPr>
      <w:r w:rsidRPr="00C35766">
        <w:rPr>
          <w:rFonts w:eastAsia="Times New Roman"/>
          <w:lang w:val="it-IT"/>
        </w:rPr>
        <w:t>L’efficacia di adalimumab è stata valutata in uno studio randomizzato, controllato, in doppio cieco, su 114 pazienti pediatrici a partire dai 4 anni d’età con psoriasi cronica a placche severa (definita da un PGA ≥ 4 o BSA &gt; 20% o BSA &gt; 10% con lesioni molto spesse o PASI ≥ 20 o ≥ 10 con coinvolgimento facciale, genitale o di mano/piede clinicamente rilevante) inadeguatamente controllata con la terapia topica e l’elioterapia o la fototerapia.</w:t>
      </w:r>
    </w:p>
    <w:p w14:paraId="457C04F2" w14:textId="77777777" w:rsidR="00B90373" w:rsidRPr="00C35766" w:rsidRDefault="00B90373" w:rsidP="00B90373">
      <w:pPr>
        <w:pStyle w:val="a3"/>
        <w:rPr>
          <w:sz w:val="24"/>
          <w:lang w:val="it-IT"/>
        </w:rPr>
      </w:pPr>
    </w:p>
    <w:p w14:paraId="41D69546" w14:textId="77777777" w:rsidR="00B90373" w:rsidRDefault="00B90373" w:rsidP="00B90373">
      <w:pPr>
        <w:pStyle w:val="a3"/>
        <w:rPr>
          <w:rFonts w:eastAsia="Times New Roman"/>
          <w:lang w:val="it-IT"/>
        </w:rPr>
      </w:pPr>
      <w:r w:rsidRPr="00C35766">
        <w:rPr>
          <w:rFonts w:eastAsia="Times New Roman"/>
          <w:lang w:val="it-IT"/>
        </w:rPr>
        <w:t>I pazienti hanno ricevuto adalimumab 0,8 mg/kg a settimane alterne (fino a 40 mg), 0,4 mg/kg a settimane alterne (fino a 20 mg), oppure metotressato 0,1-0,4 mg/kg una volta a settimana (fino a 25 mg). Alla settimana 16, un maggior numero di pazienti randomizzati ad adalimumab 0,8 mg/kg ha avuto risposte di efficacia positive (ad es., risposta PASI 75) rispetto a quelli randomizzati a 0,4mg/kg a settimane alterne o a MTX.</w:t>
      </w:r>
    </w:p>
    <w:p w14:paraId="458B1925" w14:textId="77777777" w:rsidR="00A842FF" w:rsidRDefault="00A842FF" w:rsidP="00B90373">
      <w:pPr>
        <w:pStyle w:val="a3"/>
        <w:rPr>
          <w:rFonts w:eastAsia="Times New Roman"/>
          <w:lang w:val="it-IT"/>
        </w:rPr>
      </w:pPr>
    </w:p>
    <w:p w14:paraId="03BDF5CF" w14:textId="77777777" w:rsidR="00A842FF" w:rsidRDefault="00A842FF" w:rsidP="00B90373">
      <w:pPr>
        <w:pStyle w:val="a3"/>
        <w:rPr>
          <w:rFonts w:eastAsia="Times New Roman"/>
          <w:lang w:val="it-IT"/>
        </w:rPr>
      </w:pPr>
    </w:p>
    <w:p w14:paraId="243D9BF2" w14:textId="77777777" w:rsidR="00A842FF" w:rsidRDefault="00A842FF" w:rsidP="00B90373">
      <w:pPr>
        <w:pStyle w:val="a3"/>
        <w:rPr>
          <w:rFonts w:eastAsia="Times New Roman"/>
          <w:lang w:val="it-IT"/>
        </w:rPr>
      </w:pPr>
    </w:p>
    <w:p w14:paraId="51C59419" w14:textId="77777777" w:rsidR="00A842FF" w:rsidRDefault="00A842FF" w:rsidP="00B90373">
      <w:pPr>
        <w:pStyle w:val="a3"/>
        <w:rPr>
          <w:rFonts w:eastAsia="Times New Roman"/>
          <w:lang w:val="it-IT"/>
        </w:rPr>
      </w:pPr>
    </w:p>
    <w:p w14:paraId="6177EFD2" w14:textId="77777777" w:rsidR="00A842FF" w:rsidRPr="00C35766" w:rsidRDefault="00A842FF" w:rsidP="00B90373">
      <w:pPr>
        <w:pStyle w:val="a3"/>
        <w:rPr>
          <w:lang w:val="it-IT"/>
        </w:rPr>
      </w:pPr>
    </w:p>
    <w:p w14:paraId="602984B5" w14:textId="13BAE3B8" w:rsidR="00B90373" w:rsidRPr="00C35766" w:rsidRDefault="00B90373" w:rsidP="00B90373">
      <w:pPr>
        <w:pStyle w:val="a3"/>
        <w:jc w:val="center"/>
        <w:rPr>
          <w:b/>
          <w:lang w:val="it-IT"/>
        </w:rPr>
      </w:pPr>
      <w:r w:rsidRPr="00C35766">
        <w:rPr>
          <w:rFonts w:eastAsia="Times New Roman"/>
          <w:b/>
          <w:bCs/>
          <w:lang w:val="it-IT"/>
        </w:rPr>
        <w:t>Tabella 27</w:t>
      </w:r>
    </w:p>
    <w:p w14:paraId="33D4EB45" w14:textId="07F9CEB4" w:rsidR="00B90373" w:rsidRDefault="00B90373" w:rsidP="00B90373">
      <w:pPr>
        <w:pStyle w:val="a3"/>
        <w:jc w:val="center"/>
        <w:rPr>
          <w:rFonts w:eastAsia="Times New Roman"/>
          <w:b/>
          <w:bCs/>
          <w:lang w:val="it-IT"/>
        </w:rPr>
      </w:pPr>
      <w:r w:rsidRPr="00C35766">
        <w:rPr>
          <w:rFonts w:eastAsia="Times New Roman"/>
          <w:b/>
          <w:bCs/>
          <w:lang w:val="it-IT"/>
        </w:rPr>
        <w:t>Psoriasi a Placche Pediatrica - Risultati relativi all’efficacia alla settimana 16</w:t>
      </w:r>
    </w:p>
    <w:p w14:paraId="157B91B5" w14:textId="77777777" w:rsidR="00620228" w:rsidRPr="00C35766" w:rsidRDefault="00620228" w:rsidP="00B90373">
      <w:pPr>
        <w:pStyle w:val="a3"/>
        <w:jc w:val="center"/>
        <w:rPr>
          <w:b/>
          <w:lang w:val="it-IT"/>
        </w:rPr>
      </w:pPr>
    </w:p>
    <w:p w14:paraId="0A5295E7" w14:textId="77777777" w:rsidR="00B90373" w:rsidRPr="00C35766" w:rsidRDefault="00B90373" w:rsidP="00B90373">
      <w:pPr>
        <w:spacing w:before="4" w:line="10" w:lineRule="exact"/>
        <w:rPr>
          <w:rFonts w:ascii="Times New Roman" w:hAnsi="Times New Roman" w:cs="Times New Roman"/>
          <w:sz w:val="4"/>
          <w:lang w:val="it-IT"/>
        </w:rPr>
      </w:pPr>
    </w:p>
    <w:tbl>
      <w:tblPr>
        <w:tblStyle w:val="TableNormal1"/>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61"/>
        <w:gridCol w:w="1660"/>
        <w:gridCol w:w="4316"/>
      </w:tblGrid>
      <w:tr w:rsidR="00B90373" w:rsidRPr="00C35766" w14:paraId="651E774D" w14:textId="77777777" w:rsidTr="00B3291C">
        <w:trPr>
          <w:trHeight w:val="394"/>
          <w:jc w:val="center"/>
        </w:trPr>
        <w:tc>
          <w:tcPr>
            <w:tcW w:w="2961" w:type="dxa"/>
          </w:tcPr>
          <w:p w14:paraId="1D4D7E9C" w14:textId="77777777" w:rsidR="00B90373" w:rsidRPr="00C35766" w:rsidRDefault="00B90373" w:rsidP="00787805">
            <w:pPr>
              <w:rPr>
                <w:rFonts w:ascii="Times New Roman" w:hAnsi="Times New Roman" w:cs="Times New Roman"/>
                <w:lang w:val="it-IT" w:eastAsia="ko-KR"/>
              </w:rPr>
            </w:pPr>
          </w:p>
        </w:tc>
        <w:tc>
          <w:tcPr>
            <w:tcW w:w="1660" w:type="dxa"/>
          </w:tcPr>
          <w:p w14:paraId="40FEE949" w14:textId="77777777" w:rsidR="00B90373" w:rsidRPr="00C35766" w:rsidRDefault="00B90373" w:rsidP="00787805">
            <w:pPr>
              <w:pStyle w:val="TableParagraph"/>
              <w:spacing w:line="246" w:lineRule="exact"/>
              <w:ind w:left="537" w:right="535"/>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a</w:t>
            </w:r>
          </w:p>
          <w:p w14:paraId="0E485B5B" w14:textId="77777777" w:rsidR="00B90373" w:rsidRPr="00C35766" w:rsidRDefault="00B90373" w:rsidP="00787805">
            <w:pPr>
              <w:pStyle w:val="TableParagraph"/>
              <w:spacing w:line="252" w:lineRule="exact"/>
              <w:ind w:left="563" w:right="56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N=37</w:t>
            </w:r>
          </w:p>
        </w:tc>
        <w:tc>
          <w:tcPr>
            <w:tcW w:w="4315" w:type="dxa"/>
          </w:tcPr>
          <w:p w14:paraId="03816F38" w14:textId="77777777" w:rsidR="00805BD0" w:rsidRPr="00C35766" w:rsidRDefault="00B90373" w:rsidP="00787805">
            <w:pPr>
              <w:pStyle w:val="TableParagraph"/>
              <w:spacing w:before="5" w:line="252" w:lineRule="exact"/>
              <w:ind w:left="113" w:right="102"/>
              <w:jc w:val="center"/>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Adalimumab 0,8 mg/kg a settimane alterne </w:t>
            </w:r>
          </w:p>
          <w:p w14:paraId="08E570A1" w14:textId="10D62CCD" w:rsidR="00B90373" w:rsidRPr="00C35766" w:rsidRDefault="00B90373" w:rsidP="00787805">
            <w:pPr>
              <w:pStyle w:val="TableParagraph"/>
              <w:spacing w:before="5" w:line="252" w:lineRule="exact"/>
              <w:ind w:left="113" w:right="102"/>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N=38</w:t>
            </w:r>
          </w:p>
        </w:tc>
      </w:tr>
      <w:tr w:rsidR="00B90373" w:rsidRPr="00C35766" w14:paraId="37883EFE" w14:textId="77777777" w:rsidTr="00B3291C">
        <w:trPr>
          <w:trHeight w:val="99"/>
          <w:jc w:val="center"/>
        </w:trPr>
        <w:tc>
          <w:tcPr>
            <w:tcW w:w="2961" w:type="dxa"/>
          </w:tcPr>
          <w:p w14:paraId="5CD3A242" w14:textId="77777777" w:rsidR="00B90373" w:rsidRPr="00C35766" w:rsidRDefault="00B90373" w:rsidP="00787805">
            <w:pPr>
              <w:pStyle w:val="TableParagraph"/>
              <w:spacing w:before="4"/>
              <w:ind w:left="227"/>
              <w:rPr>
                <w:rFonts w:ascii="Times New Roman" w:eastAsia="Times New Roman" w:hAnsi="Times New Roman" w:cs="Times New Roman"/>
              </w:rPr>
            </w:pPr>
            <w:r w:rsidRPr="00C35766">
              <w:rPr>
                <w:rFonts w:ascii="Times New Roman" w:eastAsia="Times New Roman" w:hAnsi="Times New Roman" w:cs="Times New Roman"/>
                <w:spacing w:val="-1"/>
                <w:lang w:val="it-IT"/>
              </w:rPr>
              <w:t>PASI 75</w:t>
            </w:r>
            <w:r w:rsidRPr="00C35766">
              <w:rPr>
                <w:rFonts w:ascii="Times New Roman" w:eastAsia="Times New Roman" w:hAnsi="Times New Roman" w:cs="Times New Roman"/>
                <w:spacing w:val="-1"/>
                <w:vertAlign w:val="superscript"/>
                <w:lang w:val="it-IT"/>
              </w:rPr>
              <w:t>b</w:t>
            </w:r>
          </w:p>
        </w:tc>
        <w:tc>
          <w:tcPr>
            <w:tcW w:w="1660" w:type="dxa"/>
          </w:tcPr>
          <w:p w14:paraId="3E049D49" w14:textId="77777777" w:rsidR="00B90373" w:rsidRPr="00C35766" w:rsidRDefault="00B90373" w:rsidP="00787805">
            <w:pPr>
              <w:pStyle w:val="TableParagraph"/>
              <w:spacing w:before="9"/>
              <w:ind w:left="337"/>
              <w:rPr>
                <w:rFonts w:ascii="Times New Roman" w:eastAsia="Times New Roman" w:hAnsi="Times New Roman" w:cs="Times New Roman"/>
              </w:rPr>
            </w:pPr>
            <w:r w:rsidRPr="00C35766">
              <w:rPr>
                <w:rFonts w:ascii="Times New Roman" w:eastAsia="Times New Roman" w:hAnsi="Times New Roman" w:cs="Times New Roman"/>
                <w:spacing w:val="-1"/>
                <w:lang w:val="it-IT"/>
              </w:rPr>
              <w:t>12 (32,4%)</w:t>
            </w:r>
          </w:p>
        </w:tc>
        <w:tc>
          <w:tcPr>
            <w:tcW w:w="4315" w:type="dxa"/>
          </w:tcPr>
          <w:p w14:paraId="5212D528" w14:textId="77777777" w:rsidR="00B90373" w:rsidRPr="00C35766" w:rsidRDefault="00B90373" w:rsidP="00787805">
            <w:pPr>
              <w:pStyle w:val="TableParagraph"/>
              <w:spacing w:before="9"/>
              <w:ind w:left="1075" w:right="1076"/>
              <w:jc w:val="center"/>
              <w:rPr>
                <w:rFonts w:ascii="Times New Roman" w:eastAsia="Times New Roman" w:hAnsi="Times New Roman" w:cs="Times New Roman"/>
              </w:rPr>
            </w:pPr>
            <w:r w:rsidRPr="00C35766">
              <w:rPr>
                <w:rFonts w:ascii="Times New Roman" w:eastAsia="Times New Roman" w:hAnsi="Times New Roman" w:cs="Times New Roman"/>
                <w:lang w:val="it-IT"/>
              </w:rPr>
              <w:t>22 (57,9%)</w:t>
            </w:r>
          </w:p>
        </w:tc>
      </w:tr>
      <w:tr w:rsidR="00B90373" w:rsidRPr="00C35766" w14:paraId="7A1F828B" w14:textId="77777777" w:rsidTr="00B3291C">
        <w:trPr>
          <w:trHeight w:val="204"/>
          <w:jc w:val="center"/>
        </w:trPr>
        <w:tc>
          <w:tcPr>
            <w:tcW w:w="2961" w:type="dxa"/>
          </w:tcPr>
          <w:p w14:paraId="00E5597D" w14:textId="77777777" w:rsidR="00B90373" w:rsidRPr="00C35766" w:rsidRDefault="00B90373" w:rsidP="00787805">
            <w:pPr>
              <w:pStyle w:val="TableParagraph"/>
              <w:spacing w:before="4"/>
              <w:ind w:left="227"/>
              <w:rPr>
                <w:rFonts w:ascii="Times New Roman" w:eastAsia="Times New Roman" w:hAnsi="Times New Roman" w:cs="Times New Roman"/>
              </w:rPr>
            </w:pPr>
            <w:r w:rsidRPr="00C35766">
              <w:rPr>
                <w:rFonts w:ascii="Times New Roman" w:eastAsia="Times New Roman" w:hAnsi="Times New Roman" w:cs="Times New Roman"/>
                <w:spacing w:val="-1"/>
                <w:lang w:val="it-IT"/>
              </w:rPr>
              <w:t>PGA: Guarigione/Marcato miglioramento</w:t>
            </w:r>
            <w:r w:rsidRPr="00C35766">
              <w:rPr>
                <w:rFonts w:ascii="Times New Roman" w:eastAsia="Times New Roman" w:hAnsi="Times New Roman" w:cs="Times New Roman"/>
                <w:spacing w:val="-1"/>
                <w:vertAlign w:val="superscript"/>
                <w:lang w:val="it-IT"/>
              </w:rPr>
              <w:t>c</w:t>
            </w:r>
          </w:p>
        </w:tc>
        <w:tc>
          <w:tcPr>
            <w:tcW w:w="1660" w:type="dxa"/>
          </w:tcPr>
          <w:p w14:paraId="79A6C143" w14:textId="77777777" w:rsidR="00B90373" w:rsidRPr="00C35766" w:rsidRDefault="00B90373" w:rsidP="00787805">
            <w:pPr>
              <w:pStyle w:val="TableParagraph"/>
              <w:spacing w:before="9"/>
              <w:ind w:left="337"/>
              <w:rPr>
                <w:rFonts w:ascii="Times New Roman" w:eastAsia="Times New Roman" w:hAnsi="Times New Roman" w:cs="Times New Roman"/>
              </w:rPr>
            </w:pPr>
            <w:r w:rsidRPr="00C35766">
              <w:rPr>
                <w:rFonts w:ascii="Times New Roman" w:eastAsia="Times New Roman" w:hAnsi="Times New Roman" w:cs="Times New Roman"/>
                <w:spacing w:val="-1"/>
                <w:lang w:val="it-IT"/>
              </w:rPr>
              <w:t>15 (40,5%)</w:t>
            </w:r>
          </w:p>
        </w:tc>
        <w:tc>
          <w:tcPr>
            <w:tcW w:w="4315" w:type="dxa"/>
          </w:tcPr>
          <w:p w14:paraId="0D5111AB" w14:textId="77777777" w:rsidR="00B90373" w:rsidRPr="00C35766" w:rsidRDefault="00B90373" w:rsidP="00787805">
            <w:pPr>
              <w:pStyle w:val="TableParagraph"/>
              <w:spacing w:before="9"/>
              <w:ind w:left="1076" w:right="107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23 (60,5%)</w:t>
            </w:r>
          </w:p>
        </w:tc>
      </w:tr>
      <w:tr w:rsidR="00B90373" w:rsidRPr="00494E69" w14:paraId="64BFBA33" w14:textId="77777777" w:rsidTr="00B3291C">
        <w:trPr>
          <w:trHeight w:val="337"/>
          <w:jc w:val="center"/>
        </w:trPr>
        <w:tc>
          <w:tcPr>
            <w:tcW w:w="8937" w:type="dxa"/>
            <w:gridSpan w:val="3"/>
          </w:tcPr>
          <w:p w14:paraId="25DFFBE5" w14:textId="77777777" w:rsidR="00B90373" w:rsidRPr="00C35766" w:rsidRDefault="00B90373" w:rsidP="00787805">
            <w:pPr>
              <w:pStyle w:val="TableParagraph"/>
              <w:spacing w:before="4"/>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 xml:space="preserve">a </w:t>
            </w:r>
            <w:r w:rsidRPr="00C35766">
              <w:rPr>
                <w:rFonts w:ascii="Times New Roman" w:eastAsia="Times New Roman" w:hAnsi="Times New Roman" w:cs="Times New Roman"/>
                <w:position w:val="8"/>
                <w:lang w:val="it-IT"/>
              </w:rPr>
              <w:t>MTX = metotressato</w:t>
            </w:r>
          </w:p>
          <w:p w14:paraId="1CCF3B2A" w14:textId="77777777" w:rsidR="00B90373" w:rsidRPr="00C35766" w:rsidRDefault="00B90373" w:rsidP="00787805">
            <w:pPr>
              <w:pStyle w:val="TableParagraph"/>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b</w:t>
            </w:r>
            <w:r w:rsidRPr="00C35766">
              <w:rPr>
                <w:rFonts w:ascii="Times New Roman" w:eastAsia="Times New Roman" w:hAnsi="Times New Roman" w:cs="Times New Roman"/>
                <w:position w:val="8"/>
                <w:lang w:val="it-IT"/>
              </w:rPr>
              <w:t xml:space="preserve"> P=0,027, adalimumab 0,8 mg/kg vs. MTX</w:t>
            </w:r>
          </w:p>
          <w:p w14:paraId="551D6BDC" w14:textId="77777777" w:rsidR="00B90373" w:rsidRPr="00C35766" w:rsidRDefault="00B90373" w:rsidP="00787805">
            <w:pPr>
              <w:pStyle w:val="TableParagraph"/>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c</w:t>
            </w:r>
            <w:r w:rsidRPr="00C35766">
              <w:rPr>
                <w:rFonts w:ascii="Times New Roman" w:eastAsia="Times New Roman" w:hAnsi="Times New Roman" w:cs="Times New Roman"/>
                <w:position w:val="8"/>
                <w:lang w:val="it-IT"/>
              </w:rPr>
              <w:t xml:space="preserve"> P=0,083, adalimumab 0,8 mg/kg vs. MTX</w:t>
            </w:r>
          </w:p>
        </w:tc>
      </w:tr>
    </w:tbl>
    <w:p w14:paraId="2A572A38" w14:textId="77777777" w:rsidR="00B90373" w:rsidRPr="00C35766" w:rsidRDefault="00B90373" w:rsidP="00B90373">
      <w:pPr>
        <w:spacing w:before="3" w:line="170" w:lineRule="exact"/>
        <w:rPr>
          <w:rFonts w:ascii="Times New Roman" w:hAnsi="Times New Roman" w:cs="Times New Roman"/>
          <w:sz w:val="17"/>
          <w:lang w:val="it-IT"/>
        </w:rPr>
      </w:pPr>
    </w:p>
    <w:p w14:paraId="6CFB6B33" w14:textId="77777777" w:rsidR="00B90373" w:rsidRPr="00C35766" w:rsidRDefault="00B90373" w:rsidP="00B90373">
      <w:pPr>
        <w:pStyle w:val="a3"/>
        <w:rPr>
          <w:lang w:val="it-IT"/>
        </w:rPr>
      </w:pPr>
      <w:r w:rsidRPr="00C35766">
        <w:rPr>
          <w:rFonts w:eastAsia="Times New Roman"/>
          <w:lang w:val="it-IT"/>
        </w:rPr>
        <w:t>I pazienti che hanno ottenuto una risposta PASI 75 e un PGA corrispondente a remissione totale della malattia o a persistenza di malattia minima hanno interrotto il trattamento per un massimo di 36 settimane, e sono stati monitorati per la perdita del controllo della malattia (ovvero, un peggioramento della risposta PGA di almeno 2 gradi). I pazienti sono stati quindi ritrattati con adalimumab 0,8 mg/kg a settimane alterne per ulteriori 16 settimane, e le percentuali di risposta osservate durante il ritrattamento erano simili a quelle osservate durante il precedente periodo in doppio cieco: risposta PASI 75 del 78,9% (15 soggetti su 19) e PGA corrispondente a remissione totale della malattia o a persistenza di malattia minima del 52,6% (10 soggetti su 19).</w:t>
      </w:r>
    </w:p>
    <w:p w14:paraId="044C80F6" w14:textId="77777777" w:rsidR="00B90373" w:rsidRPr="00C35766" w:rsidRDefault="00B90373" w:rsidP="00B90373">
      <w:pPr>
        <w:pStyle w:val="a3"/>
        <w:rPr>
          <w:sz w:val="24"/>
          <w:szCs w:val="24"/>
          <w:lang w:val="it-IT"/>
        </w:rPr>
      </w:pPr>
    </w:p>
    <w:p w14:paraId="05FC138B" w14:textId="77777777" w:rsidR="00B90373" w:rsidRPr="00C35766" w:rsidRDefault="00B90373" w:rsidP="00B90373">
      <w:pPr>
        <w:pStyle w:val="a3"/>
        <w:rPr>
          <w:lang w:val="it-IT"/>
        </w:rPr>
      </w:pPr>
      <w:r w:rsidRPr="00C35766">
        <w:rPr>
          <w:rFonts w:eastAsia="Times New Roman"/>
          <w:lang w:val="it-IT"/>
        </w:rPr>
        <w:lastRenderedPageBreak/>
        <w:t>Nel periodo in aperto dello studio, le risposte PASI 75 e PGA corrispondente a remissione totale della malattia o a persistenza di malattia minima sono state mantenute per ulteriori 52 settimane senza che siano emerse nuove problematiche di sicurezza.</w:t>
      </w:r>
    </w:p>
    <w:p w14:paraId="13F76ED8" w14:textId="6F181BCF" w:rsidR="003456B7" w:rsidRPr="00C35766" w:rsidRDefault="003456B7">
      <w:pPr>
        <w:spacing w:before="1" w:line="180" w:lineRule="exact"/>
        <w:rPr>
          <w:rFonts w:ascii="Times New Roman" w:hAnsi="Times New Roman" w:cs="Times New Roman"/>
          <w:sz w:val="18"/>
          <w:szCs w:val="18"/>
          <w:lang w:val="it-IT"/>
        </w:rPr>
      </w:pPr>
    </w:p>
    <w:p w14:paraId="42907334" w14:textId="77777777" w:rsidR="00B90373" w:rsidRPr="00C35766" w:rsidRDefault="00B90373" w:rsidP="00B90373">
      <w:pPr>
        <w:pStyle w:val="a3"/>
        <w:rPr>
          <w:rFonts w:eastAsia="Times New Roman"/>
          <w:lang w:val="it-IT"/>
        </w:rPr>
      </w:pPr>
      <w:r w:rsidRPr="00C35766">
        <w:rPr>
          <w:rFonts w:eastAsia="Times New Roman"/>
          <w:i/>
          <w:iCs/>
          <w:spacing w:val="-1"/>
          <w:lang w:val="it-IT"/>
        </w:rPr>
        <w:t>Idrosadenite suppurativa negli adolescenti</w:t>
      </w:r>
    </w:p>
    <w:p w14:paraId="3AA067D6" w14:textId="77777777" w:rsidR="00B90373" w:rsidRPr="00C35766" w:rsidRDefault="00B90373" w:rsidP="00B90373">
      <w:pPr>
        <w:pStyle w:val="a3"/>
        <w:rPr>
          <w:sz w:val="24"/>
          <w:szCs w:val="24"/>
          <w:lang w:val="it-IT"/>
        </w:rPr>
      </w:pPr>
    </w:p>
    <w:p w14:paraId="36BC3D55" w14:textId="77777777" w:rsidR="00B90373" w:rsidRPr="00C35766" w:rsidRDefault="00B90373" w:rsidP="00B90373">
      <w:pPr>
        <w:pStyle w:val="a3"/>
        <w:rPr>
          <w:lang w:val="it-IT"/>
        </w:rPr>
      </w:pPr>
      <w:r w:rsidRPr="00C35766">
        <w:rPr>
          <w:rFonts w:eastAsia="Times New Roman"/>
          <w:lang w:val="it-IT"/>
        </w:rPr>
        <w:t>Non ci sono studi clinici con adalimumab in pazienti adolescenti con HS. L’efficacia di adalimumab nel trattamento di pazienti adolescenti con HS è stata predetta in base all’efficacia dimostrata e al rapporto esposizione-risposta in pazienti adulti con HS ed alla plausibilità che il decorso di malattia, la patofisiologia e gli effetti del medicinale siano sostanzialmente simili a quelli degli adulti agli stessi livelli di esposizione. La sicurezza della dose raccomandata di adalimumab nella popolazione adolescente con HS si basa sul profilo di sicurezza cross-indicazione di adalimumab sia nei pazienti adulti che nei pazienti pediatrici a dosi simili o più frequenti (vedere paragrafo 5.2).</w:t>
      </w:r>
    </w:p>
    <w:p w14:paraId="0AEFCE43" w14:textId="56EF98E3" w:rsidR="003456B7" w:rsidRPr="00C35766" w:rsidRDefault="003456B7">
      <w:pPr>
        <w:spacing w:before="1" w:line="180" w:lineRule="exact"/>
        <w:rPr>
          <w:rFonts w:ascii="Times New Roman" w:hAnsi="Times New Roman" w:cs="Times New Roman"/>
          <w:sz w:val="18"/>
          <w:szCs w:val="18"/>
          <w:lang w:val="it-IT"/>
        </w:rPr>
      </w:pPr>
    </w:p>
    <w:p w14:paraId="42C4B262" w14:textId="77777777" w:rsidR="00B90373" w:rsidRPr="00C35766" w:rsidRDefault="00B90373" w:rsidP="00B90373">
      <w:pPr>
        <w:pStyle w:val="a3"/>
        <w:rPr>
          <w:i/>
          <w:lang w:val="it-IT"/>
        </w:rPr>
      </w:pPr>
      <w:r w:rsidRPr="00C35766">
        <w:rPr>
          <w:rFonts w:eastAsia="Times New Roman"/>
          <w:i/>
          <w:iCs/>
          <w:lang w:val="it-IT"/>
        </w:rPr>
        <w:t>Malattia di Crohn in pazienti pediatrici</w:t>
      </w:r>
    </w:p>
    <w:p w14:paraId="0EFC43C7" w14:textId="77777777" w:rsidR="00B90373" w:rsidRPr="00C35766" w:rsidRDefault="00B90373" w:rsidP="00B90373">
      <w:pPr>
        <w:pStyle w:val="a3"/>
        <w:rPr>
          <w:sz w:val="18"/>
          <w:szCs w:val="18"/>
          <w:lang w:val="it-IT"/>
        </w:rPr>
      </w:pPr>
    </w:p>
    <w:p w14:paraId="7EC0EB87" w14:textId="6D6E6ED6" w:rsidR="00B90373" w:rsidRPr="00C35766" w:rsidRDefault="00B90373" w:rsidP="00B90373">
      <w:pPr>
        <w:pStyle w:val="a3"/>
        <w:rPr>
          <w:lang w:val="it-IT"/>
        </w:rPr>
      </w:pPr>
      <w:r w:rsidRPr="00C35766">
        <w:rPr>
          <w:rFonts w:eastAsia="Times New Roman"/>
          <w:lang w:val="it-IT"/>
        </w:rPr>
        <w:t>Adalimumab è stato testato in uno studio clinico multicentrico, randomizzato, in doppio cieco disegnato per valutare l’efficacia e la sicurezza del trattamento di induzione e di mantenimento con dosi dipendenti dal peso corporeo (&lt;</w:t>
      </w:r>
      <w:r w:rsidR="000F35BA" w:rsidRPr="00C35766">
        <w:rPr>
          <w:rFonts w:eastAsia="Times New Roman"/>
          <w:lang w:val="it-IT"/>
        </w:rPr>
        <w:t xml:space="preserve"> </w:t>
      </w:r>
      <w:r w:rsidRPr="00C35766">
        <w:rPr>
          <w:rFonts w:eastAsia="Times New Roman"/>
          <w:lang w:val="it-IT"/>
        </w:rPr>
        <w:t>40 kg o ≥ 40 kg) in 192 soggetti pediatrici di età compresa tra 6 e 17 anni (inclusi), con malattia di Crohn (MC) di grado da moderato a severo definita da un punteggio dell’Indice di Attività della Malattia di Crohn Pediatrica (Paediatric Crohn's Disease Activity Index - PCDAI) &gt; 30. I soggetti dovevano aver fallito la terapia convenzionale (incluso un corticosteroide e/o un immunomodulatore) per MC. I soggetti, inoltre, potevano aver precedentemente perso la risposta o essere stati intolleranti ad infliximab.</w:t>
      </w:r>
    </w:p>
    <w:p w14:paraId="4A1889C3" w14:textId="77777777" w:rsidR="00B90373" w:rsidRPr="00C35766" w:rsidRDefault="00B90373" w:rsidP="00B90373">
      <w:pPr>
        <w:pStyle w:val="a3"/>
        <w:rPr>
          <w:sz w:val="24"/>
          <w:szCs w:val="24"/>
          <w:lang w:val="it-IT"/>
        </w:rPr>
      </w:pPr>
    </w:p>
    <w:p w14:paraId="2A69D116" w14:textId="77777777" w:rsidR="00B90373" w:rsidRPr="00C35766" w:rsidRDefault="00B90373" w:rsidP="00B90373">
      <w:pPr>
        <w:pStyle w:val="a3"/>
        <w:rPr>
          <w:lang w:val="it-IT"/>
        </w:rPr>
      </w:pPr>
      <w:r w:rsidRPr="00C35766">
        <w:rPr>
          <w:rFonts w:eastAsia="Times New Roman"/>
          <w:lang w:val="it-IT"/>
        </w:rPr>
        <w:t>Tutti i soggetti hanno ricevuto una terapia di induzione in aperto con una dose basata sul loro peso corporeo al basale: 160 mg alla settimana 0 e 80 mg alla settimana 2 per i soggetti con peso ≥ 40 kg, e rispettivamente, 80 mg e 40 mg per i soggetti con peso &lt; 40 kg.</w:t>
      </w:r>
    </w:p>
    <w:p w14:paraId="38870B44" w14:textId="77777777" w:rsidR="00B90373" w:rsidRPr="00C35766" w:rsidRDefault="00B90373" w:rsidP="00B90373">
      <w:pPr>
        <w:pStyle w:val="a3"/>
        <w:rPr>
          <w:sz w:val="24"/>
          <w:szCs w:val="24"/>
          <w:lang w:val="it-IT"/>
        </w:rPr>
      </w:pPr>
    </w:p>
    <w:p w14:paraId="2FC7F41D" w14:textId="03BED094" w:rsidR="00B90373" w:rsidRPr="00C35766" w:rsidRDefault="00B90373" w:rsidP="00B90373">
      <w:pPr>
        <w:pStyle w:val="a3"/>
        <w:rPr>
          <w:lang w:val="it-IT"/>
        </w:rPr>
      </w:pPr>
      <w:r w:rsidRPr="00C35766">
        <w:rPr>
          <w:rFonts w:eastAsia="Times New Roman"/>
          <w:lang w:val="it-IT"/>
        </w:rPr>
        <w:t>Alla settimana 4, in base al loro peso corporeo, i soggetti sono stati randomizzati 1:1 o nel regime di mantenimento a Bassa Dose o in quello a Dose Standard, come mostrato nella Tabella 28.</w:t>
      </w:r>
    </w:p>
    <w:p w14:paraId="24ECD028" w14:textId="77777777" w:rsidR="00B90373" w:rsidRPr="00C35766" w:rsidRDefault="00B90373" w:rsidP="00B90373">
      <w:pPr>
        <w:pStyle w:val="a3"/>
        <w:rPr>
          <w:sz w:val="24"/>
          <w:szCs w:val="24"/>
          <w:lang w:val="it-IT"/>
        </w:rPr>
      </w:pPr>
    </w:p>
    <w:p w14:paraId="3ED96953" w14:textId="5E2C1618" w:rsidR="00B90373" w:rsidRPr="00C35766" w:rsidRDefault="00B90373" w:rsidP="00B90373">
      <w:pPr>
        <w:pStyle w:val="a3"/>
        <w:keepNext/>
        <w:jc w:val="center"/>
        <w:rPr>
          <w:b/>
        </w:rPr>
      </w:pPr>
      <w:r w:rsidRPr="00C35766">
        <w:rPr>
          <w:rFonts w:eastAsia="Times New Roman"/>
          <w:b/>
          <w:bCs/>
          <w:lang w:val="it-IT"/>
        </w:rPr>
        <w:t>Tabella 28 Regime di mantenimento</w:t>
      </w:r>
    </w:p>
    <w:tbl>
      <w:tblPr>
        <w:tblStyle w:val="TableNormal1"/>
        <w:tblW w:w="4222" w:type="pct"/>
        <w:jc w:val="center"/>
        <w:tblLook w:val="01E0" w:firstRow="1" w:lastRow="1" w:firstColumn="1" w:lastColumn="1" w:noHBand="0" w:noVBand="0"/>
      </w:tblPr>
      <w:tblGrid>
        <w:gridCol w:w="2325"/>
        <w:gridCol w:w="2844"/>
        <w:gridCol w:w="2843"/>
      </w:tblGrid>
      <w:tr w:rsidR="00B90373" w:rsidRPr="00C35766" w14:paraId="317052AA" w14:textId="77777777" w:rsidTr="00B3291C">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65CA1F72" w14:textId="273B0A29" w:rsidR="00B90373" w:rsidRPr="00C35766" w:rsidRDefault="00B90373" w:rsidP="00B3291C">
            <w:pPr>
              <w:pStyle w:val="TableParagraph"/>
              <w:keepNext/>
              <w:ind w:leftChars="59" w:left="130"/>
              <w:rPr>
                <w:rFonts w:ascii="Times New Roman" w:eastAsia="Times New Roman" w:hAnsi="Times New Roman" w:cs="Times New Roman"/>
              </w:rPr>
            </w:pPr>
            <w:r w:rsidRPr="00C35766">
              <w:rPr>
                <w:rFonts w:ascii="Times New Roman" w:eastAsia="Times New Roman" w:hAnsi="Times New Roman" w:cs="Times New Roman"/>
                <w:b/>
                <w:bCs/>
                <w:lang w:val="it-IT"/>
              </w:rPr>
              <w:t>Peso del paziente</w:t>
            </w:r>
            <w:r w:rsidRPr="00C35766">
              <w:rPr>
                <w:rFonts w:ascii="Times New Roman" w:eastAsia="Times New Roman" w:hAnsi="Times New Roman" w:cs="Times New Roman"/>
                <w:b/>
                <w:bCs/>
                <w:spacing w:val="-1"/>
                <w:lang w:val="it-IT"/>
              </w:rPr>
              <w:t> </w:t>
            </w:r>
          </w:p>
        </w:tc>
        <w:tc>
          <w:tcPr>
            <w:tcW w:w="1775" w:type="pct"/>
            <w:tcBorders>
              <w:top w:val="single" w:sz="5" w:space="0" w:color="000000"/>
              <w:left w:val="single" w:sz="5" w:space="0" w:color="000000"/>
              <w:bottom w:val="single" w:sz="5" w:space="0" w:color="000000"/>
              <w:right w:val="single" w:sz="5" w:space="0" w:color="000000"/>
            </w:tcBorders>
          </w:tcPr>
          <w:p w14:paraId="16253AA6" w14:textId="77777777" w:rsidR="00B90373" w:rsidRPr="00C35766" w:rsidRDefault="00B90373" w:rsidP="00933496">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2"/>
                <w:lang w:val="it-IT"/>
              </w:rPr>
              <w:t>Dose bassa</w:t>
            </w:r>
          </w:p>
        </w:tc>
        <w:tc>
          <w:tcPr>
            <w:tcW w:w="1774" w:type="pct"/>
            <w:tcBorders>
              <w:top w:val="single" w:sz="5" w:space="0" w:color="000000"/>
              <w:left w:val="single" w:sz="5" w:space="0" w:color="000000"/>
              <w:bottom w:val="single" w:sz="5" w:space="0" w:color="000000"/>
              <w:right w:val="single" w:sz="5" w:space="0" w:color="000000"/>
            </w:tcBorders>
          </w:tcPr>
          <w:p w14:paraId="2D47AACD" w14:textId="77777777" w:rsidR="00B90373" w:rsidRPr="00C35766" w:rsidRDefault="00B90373" w:rsidP="00B3291C">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 xml:space="preserve">Dose </w:t>
            </w:r>
            <w:r w:rsidRPr="00C35766">
              <w:rPr>
                <w:rFonts w:ascii="Times New Roman" w:eastAsia="Times New Roman" w:hAnsi="Times New Roman" w:cs="Times New Roman"/>
                <w:b/>
                <w:bCs/>
                <w:lang w:val="it-IT"/>
              </w:rPr>
              <w:t>standard</w:t>
            </w:r>
          </w:p>
        </w:tc>
      </w:tr>
      <w:tr w:rsidR="00B90373" w:rsidRPr="00C35766" w14:paraId="4F22D1E4" w14:textId="77777777" w:rsidTr="00B3291C">
        <w:trPr>
          <w:trHeight w:val="243"/>
          <w:jc w:val="center"/>
        </w:trPr>
        <w:tc>
          <w:tcPr>
            <w:tcW w:w="1451" w:type="pct"/>
            <w:tcBorders>
              <w:top w:val="single" w:sz="5" w:space="0" w:color="000000"/>
              <w:left w:val="single" w:sz="5" w:space="0" w:color="000000"/>
              <w:bottom w:val="single" w:sz="5" w:space="0" w:color="000000"/>
              <w:right w:val="single" w:sz="5" w:space="0" w:color="000000"/>
            </w:tcBorders>
          </w:tcPr>
          <w:p w14:paraId="3D201594"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1775" w:type="pct"/>
            <w:tcBorders>
              <w:top w:val="single" w:sz="5" w:space="0" w:color="000000"/>
              <w:left w:val="single" w:sz="5" w:space="0" w:color="000000"/>
              <w:bottom w:val="single" w:sz="5" w:space="0" w:color="000000"/>
              <w:right w:val="single" w:sz="5" w:space="0" w:color="000000"/>
            </w:tcBorders>
          </w:tcPr>
          <w:p w14:paraId="12E8B618"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10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049E7CB5"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r>
      <w:tr w:rsidR="00B90373" w:rsidRPr="00C35766" w14:paraId="34A78B30" w14:textId="77777777" w:rsidTr="00B3291C">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05DB0321"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1775" w:type="pct"/>
            <w:tcBorders>
              <w:top w:val="single" w:sz="5" w:space="0" w:color="000000"/>
              <w:left w:val="single" w:sz="5" w:space="0" w:color="000000"/>
              <w:bottom w:val="single" w:sz="5" w:space="0" w:color="000000"/>
              <w:right w:val="single" w:sz="5" w:space="0" w:color="000000"/>
            </w:tcBorders>
          </w:tcPr>
          <w:p w14:paraId="3E13C0A9"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16D2EBAA" w14:textId="77777777" w:rsidR="00B90373" w:rsidRPr="00C35766" w:rsidRDefault="00B90373" w:rsidP="0078780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r>
    </w:tbl>
    <w:p w14:paraId="1A936D48" w14:textId="77777777" w:rsidR="00B90373" w:rsidRPr="00C35766" w:rsidRDefault="00B90373" w:rsidP="00B90373">
      <w:pPr>
        <w:pStyle w:val="a3"/>
      </w:pPr>
    </w:p>
    <w:p w14:paraId="24D42984" w14:textId="77777777" w:rsidR="00B90373" w:rsidRPr="00C35766" w:rsidRDefault="00B90373" w:rsidP="00B90373">
      <w:pPr>
        <w:pStyle w:val="a3"/>
        <w:rPr>
          <w:rFonts w:eastAsia="Times New Roman"/>
        </w:rPr>
      </w:pPr>
      <w:r w:rsidRPr="00C35766">
        <w:rPr>
          <w:rFonts w:eastAsia="Times New Roman"/>
          <w:i/>
          <w:iCs/>
          <w:spacing w:val="-1"/>
          <w:u w:val="single" w:color="000000"/>
          <w:lang w:val="it-IT"/>
        </w:rPr>
        <w:t>Risultati di efficacia</w:t>
      </w:r>
    </w:p>
    <w:p w14:paraId="7A4975EE" w14:textId="77777777" w:rsidR="00B90373" w:rsidRPr="00C35766" w:rsidRDefault="00B90373" w:rsidP="00B90373">
      <w:pPr>
        <w:pStyle w:val="a3"/>
        <w:rPr>
          <w:sz w:val="19"/>
          <w:szCs w:val="19"/>
        </w:rPr>
      </w:pPr>
    </w:p>
    <w:p w14:paraId="6F3E2884" w14:textId="77777777" w:rsidR="00B90373" w:rsidRPr="00C35766" w:rsidRDefault="00B90373" w:rsidP="00B90373">
      <w:pPr>
        <w:pStyle w:val="a3"/>
        <w:rPr>
          <w:lang w:val="es-ES"/>
        </w:rPr>
      </w:pPr>
      <w:r w:rsidRPr="00C35766">
        <w:rPr>
          <w:rFonts w:eastAsia="Times New Roman"/>
          <w:lang w:val="it-IT"/>
        </w:rPr>
        <w:t xml:space="preserve">L’endpoint primario dello studio è stato la remissione clinica alla settimana 26, definita da un punteggio PCDAI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10.</w:t>
      </w:r>
    </w:p>
    <w:p w14:paraId="3EA52FF0" w14:textId="77777777" w:rsidR="00B90373" w:rsidRPr="00C35766" w:rsidRDefault="00B90373" w:rsidP="00B90373">
      <w:pPr>
        <w:pStyle w:val="a3"/>
        <w:rPr>
          <w:sz w:val="24"/>
          <w:szCs w:val="24"/>
          <w:lang w:val="es-ES"/>
        </w:rPr>
      </w:pPr>
    </w:p>
    <w:p w14:paraId="622CD7E3" w14:textId="17F1127A" w:rsidR="00B90373" w:rsidRPr="00C35766" w:rsidRDefault="00B90373" w:rsidP="00B90373">
      <w:pPr>
        <w:pStyle w:val="a3"/>
        <w:rPr>
          <w:lang w:val="it-IT"/>
        </w:rPr>
      </w:pPr>
      <w:r w:rsidRPr="00C35766">
        <w:rPr>
          <w:rFonts w:eastAsia="Times New Roman"/>
          <w:lang w:val="it-IT"/>
        </w:rPr>
        <w:t>Le percentuali di remissione clinica e di risposta clinica (definite come riduzione del punteggio PCDAI di almeno 15 punti dal basale) sono riportate nella Tabella 29. Le percentuali di interruzione dei corticosteroidi o degli immunomodulatori sono riportate nella Tabella 30.</w:t>
      </w:r>
    </w:p>
    <w:p w14:paraId="6D63072A" w14:textId="77777777" w:rsidR="00B90373" w:rsidRPr="00C35766" w:rsidRDefault="00B90373" w:rsidP="00B90373">
      <w:pPr>
        <w:rPr>
          <w:rFonts w:ascii="Times New Roman" w:hAnsi="Times New Roman" w:cs="Times New Roman"/>
          <w:lang w:val="it-IT"/>
        </w:rPr>
      </w:pPr>
    </w:p>
    <w:p w14:paraId="02AD66F8" w14:textId="77777777" w:rsidR="00B90373" w:rsidRPr="004F0B2E" w:rsidRDefault="00B90373" w:rsidP="00B90373">
      <w:pPr>
        <w:spacing w:before="7" w:line="90" w:lineRule="exact"/>
        <w:rPr>
          <w:rFonts w:ascii="Times New Roman" w:hAnsi="Times New Roman" w:cs="Times New Roman"/>
          <w:sz w:val="9"/>
          <w:szCs w:val="9"/>
          <w:lang w:val="it-IT"/>
        </w:rPr>
      </w:pPr>
    </w:p>
    <w:tbl>
      <w:tblPr>
        <w:tblStyle w:val="TableNormal1"/>
        <w:tblW w:w="8246" w:type="dxa"/>
        <w:jc w:val="center"/>
        <w:tblLayout w:type="fixed"/>
        <w:tblLook w:val="01E0" w:firstRow="1" w:lastRow="1" w:firstColumn="1" w:lastColumn="1" w:noHBand="0" w:noVBand="0"/>
      </w:tblPr>
      <w:tblGrid>
        <w:gridCol w:w="2867"/>
        <w:gridCol w:w="1995"/>
        <w:gridCol w:w="1965"/>
        <w:gridCol w:w="1419"/>
      </w:tblGrid>
      <w:tr w:rsidR="00B90373" w:rsidRPr="006501B3" w14:paraId="6748CB1C" w14:textId="77777777" w:rsidTr="00B3291C">
        <w:trPr>
          <w:trHeight w:val="331"/>
          <w:jc w:val="center"/>
        </w:trPr>
        <w:tc>
          <w:tcPr>
            <w:tcW w:w="8246" w:type="dxa"/>
            <w:gridSpan w:val="4"/>
            <w:tcBorders>
              <w:top w:val="single" w:sz="7" w:space="0" w:color="000000"/>
              <w:left w:val="single" w:sz="7" w:space="0" w:color="000000"/>
              <w:bottom w:val="single" w:sz="7" w:space="0" w:color="000000"/>
              <w:right w:val="single" w:sz="7" w:space="0" w:color="000000"/>
            </w:tcBorders>
          </w:tcPr>
          <w:p w14:paraId="4E1B199A" w14:textId="77777777" w:rsidR="00805BD0" w:rsidRPr="004F0B2E" w:rsidRDefault="00805BD0" w:rsidP="00805BD0">
            <w:pPr>
              <w:pStyle w:val="a3"/>
              <w:jc w:val="center"/>
              <w:rPr>
                <w:lang w:val="it-IT"/>
              </w:rPr>
            </w:pPr>
            <w:r w:rsidRPr="00C35766">
              <w:rPr>
                <w:rFonts w:eastAsia="Times New Roman"/>
                <w:b/>
                <w:bCs/>
                <w:lang w:val="it-IT"/>
              </w:rPr>
              <w:t>Tabella 29</w:t>
            </w:r>
          </w:p>
          <w:p w14:paraId="5153DF81" w14:textId="77777777" w:rsidR="00B90373" w:rsidRPr="00C35766" w:rsidRDefault="00B90373" w:rsidP="00787805">
            <w:pPr>
              <w:pStyle w:val="a3"/>
              <w:jc w:val="center"/>
              <w:rPr>
                <w:b/>
                <w:lang w:val="pt-BR"/>
              </w:rPr>
            </w:pPr>
            <w:r w:rsidRPr="00C35766">
              <w:rPr>
                <w:rFonts w:eastAsia="Times New Roman"/>
                <w:b/>
                <w:bCs/>
                <w:lang w:val="it-IT"/>
              </w:rPr>
              <w:t>Studio della Malattia di Crohn Pediatrica</w:t>
            </w:r>
          </w:p>
          <w:p w14:paraId="19B2468A" w14:textId="77777777" w:rsidR="00B90373" w:rsidRPr="00C35766" w:rsidRDefault="00B90373" w:rsidP="00787805">
            <w:pPr>
              <w:pStyle w:val="a3"/>
              <w:jc w:val="center"/>
              <w:rPr>
                <w:rFonts w:eastAsia="Times New Roman"/>
                <w:lang w:val="pt-BR"/>
              </w:rPr>
            </w:pPr>
            <w:r w:rsidRPr="00C35766">
              <w:rPr>
                <w:rFonts w:eastAsia="Times New Roman"/>
                <w:b/>
                <w:bCs/>
                <w:lang w:val="it-IT"/>
              </w:rPr>
              <w:t>PCDAI di Remissione e di Risposta Clinica</w:t>
            </w:r>
          </w:p>
        </w:tc>
      </w:tr>
      <w:tr w:rsidR="00B90373" w:rsidRPr="00C35766" w14:paraId="03EEA931" w14:textId="77777777" w:rsidTr="00B3291C">
        <w:trPr>
          <w:trHeight w:val="809"/>
          <w:jc w:val="center"/>
        </w:trPr>
        <w:tc>
          <w:tcPr>
            <w:tcW w:w="2867" w:type="dxa"/>
            <w:tcBorders>
              <w:top w:val="single" w:sz="7" w:space="0" w:color="000000"/>
              <w:left w:val="single" w:sz="7" w:space="0" w:color="000000"/>
              <w:bottom w:val="single" w:sz="7" w:space="0" w:color="000000"/>
              <w:right w:val="single" w:sz="7" w:space="0" w:color="000000"/>
            </w:tcBorders>
          </w:tcPr>
          <w:p w14:paraId="6EA4ED1A" w14:textId="77777777" w:rsidR="00B90373" w:rsidRPr="00C35766" w:rsidRDefault="00B90373" w:rsidP="00787805">
            <w:pPr>
              <w:rPr>
                <w:rFonts w:ascii="Times New Roman" w:hAnsi="Times New Roman" w:cs="Times New Roman"/>
                <w:lang w:val="pt-BR"/>
              </w:rPr>
            </w:pPr>
          </w:p>
        </w:tc>
        <w:tc>
          <w:tcPr>
            <w:tcW w:w="1995" w:type="dxa"/>
            <w:tcBorders>
              <w:top w:val="single" w:sz="7" w:space="0" w:color="000000"/>
              <w:left w:val="single" w:sz="7" w:space="0" w:color="000000"/>
              <w:bottom w:val="single" w:sz="7" w:space="0" w:color="000000"/>
              <w:right w:val="single" w:sz="7" w:space="0" w:color="000000"/>
            </w:tcBorders>
          </w:tcPr>
          <w:p w14:paraId="4828E8EB" w14:textId="77777777" w:rsidR="00B90373" w:rsidRPr="00C35766" w:rsidRDefault="00B90373" w:rsidP="00787805">
            <w:pPr>
              <w:pStyle w:val="TableParagraph"/>
              <w:spacing w:before="1" w:line="252" w:lineRule="exact"/>
              <w:ind w:left="111" w:right="98"/>
              <w:jc w:val="center"/>
              <w:rPr>
                <w:rFonts w:ascii="Times New Roman" w:eastAsia="Times New Roman" w:hAnsi="Times New Roman" w:cs="Times New Roman"/>
                <w:lang w:val="de-DE"/>
              </w:rPr>
            </w:pPr>
            <w:r w:rsidRPr="00C35766">
              <w:rPr>
                <w:rFonts w:ascii="Times New Roman" w:eastAsia="Times New Roman" w:hAnsi="Times New Roman" w:cs="Times New Roman"/>
                <w:b/>
                <w:bCs/>
                <w:spacing w:val="-1"/>
                <w:lang w:val="it-IT"/>
              </w:rPr>
              <w:t>Dose Standard 40/20 mg a settimane alterne</w:t>
            </w:r>
          </w:p>
          <w:p w14:paraId="647C5D8E" w14:textId="77777777" w:rsidR="00B90373" w:rsidRPr="00C35766" w:rsidRDefault="00B90373" w:rsidP="00787805">
            <w:pPr>
              <w:pStyle w:val="TableParagraph"/>
              <w:spacing w:line="251" w:lineRule="exact"/>
              <w:ind w:left="480" w:right="468"/>
              <w:jc w:val="center"/>
              <w:rPr>
                <w:rFonts w:ascii="Times New Roman" w:eastAsia="Times New Roman" w:hAnsi="Times New Roman" w:cs="Times New Roman"/>
                <w:lang w:val="de-DE"/>
              </w:rPr>
            </w:pPr>
            <w:r w:rsidRPr="00C35766">
              <w:rPr>
                <w:rFonts w:ascii="Times New Roman" w:eastAsia="Times New Roman" w:hAnsi="Times New Roman" w:cs="Times New Roman"/>
                <w:b/>
                <w:bCs/>
                <w:lang w:val="it-IT"/>
              </w:rPr>
              <w:t>N = 93</w:t>
            </w:r>
          </w:p>
        </w:tc>
        <w:tc>
          <w:tcPr>
            <w:tcW w:w="1965" w:type="dxa"/>
            <w:tcBorders>
              <w:top w:val="single" w:sz="7" w:space="0" w:color="000000"/>
              <w:left w:val="single" w:sz="7" w:space="0" w:color="000000"/>
              <w:bottom w:val="single" w:sz="7" w:space="0" w:color="000000"/>
              <w:right w:val="single" w:sz="7" w:space="0" w:color="000000"/>
            </w:tcBorders>
          </w:tcPr>
          <w:p w14:paraId="121DF6CB" w14:textId="77777777" w:rsidR="00B90373" w:rsidRPr="00C35766" w:rsidRDefault="00B90373" w:rsidP="00787805">
            <w:pPr>
              <w:pStyle w:val="TableParagraph"/>
              <w:spacing w:before="1" w:line="252" w:lineRule="exact"/>
              <w:ind w:left="157" w:right="142" w:firstLine="1"/>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Bassa dose 20/10 mg a settimane alterne</w:t>
            </w:r>
          </w:p>
          <w:p w14:paraId="229173EF" w14:textId="77777777" w:rsidR="00B90373" w:rsidRPr="00C35766" w:rsidRDefault="00B90373" w:rsidP="00787805">
            <w:pPr>
              <w:pStyle w:val="TableParagraph"/>
              <w:spacing w:line="251" w:lineRule="exact"/>
              <w:ind w:left="468" w:right="456"/>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 95</w:t>
            </w:r>
          </w:p>
        </w:tc>
        <w:tc>
          <w:tcPr>
            <w:tcW w:w="1417" w:type="dxa"/>
            <w:tcBorders>
              <w:top w:val="single" w:sz="7" w:space="0" w:color="000000"/>
              <w:left w:val="single" w:sz="7" w:space="0" w:color="000000"/>
              <w:bottom w:val="single" w:sz="7" w:space="0" w:color="000000"/>
              <w:right w:val="single" w:sz="7" w:space="0" w:color="000000"/>
            </w:tcBorders>
          </w:tcPr>
          <w:p w14:paraId="4119556A" w14:textId="77777777" w:rsidR="00B90373" w:rsidRPr="00C35766" w:rsidRDefault="00B90373" w:rsidP="00787805">
            <w:pPr>
              <w:pStyle w:val="TableParagraph"/>
              <w:spacing w:line="246" w:lineRule="exact"/>
              <w:ind w:left="169"/>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lang w:val="it-IT"/>
              </w:rPr>
              <w:t>*</w:t>
            </w:r>
          </w:p>
        </w:tc>
      </w:tr>
      <w:tr w:rsidR="00B90373" w:rsidRPr="00C35766" w14:paraId="65B2B181" w14:textId="77777777" w:rsidTr="00B3291C">
        <w:trPr>
          <w:trHeight w:val="177"/>
          <w:jc w:val="center"/>
        </w:trPr>
        <w:tc>
          <w:tcPr>
            <w:tcW w:w="2867" w:type="dxa"/>
            <w:tcBorders>
              <w:top w:val="single" w:sz="7" w:space="0" w:color="000000"/>
              <w:left w:val="single" w:sz="7" w:space="0" w:color="000000"/>
              <w:bottom w:val="single" w:sz="7" w:space="0" w:color="000000"/>
              <w:right w:val="single" w:sz="7" w:space="0" w:color="000000"/>
            </w:tcBorders>
          </w:tcPr>
          <w:p w14:paraId="75DD5C91" w14:textId="77777777" w:rsidR="00B90373" w:rsidRPr="00C35766" w:rsidRDefault="00B90373" w:rsidP="00787805">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lastRenderedPageBreak/>
              <w:t>Settimana 26</w:t>
            </w:r>
          </w:p>
        </w:tc>
        <w:tc>
          <w:tcPr>
            <w:tcW w:w="1995" w:type="dxa"/>
            <w:tcBorders>
              <w:top w:val="single" w:sz="7" w:space="0" w:color="000000"/>
              <w:left w:val="single" w:sz="7" w:space="0" w:color="000000"/>
              <w:bottom w:val="single" w:sz="7" w:space="0" w:color="000000"/>
              <w:right w:val="single" w:sz="7" w:space="0" w:color="000000"/>
            </w:tcBorders>
          </w:tcPr>
          <w:p w14:paraId="4835277A" w14:textId="77777777" w:rsidR="00B90373" w:rsidRPr="00C35766" w:rsidRDefault="00B90373" w:rsidP="00787805">
            <w:pPr>
              <w:rPr>
                <w:rFonts w:ascii="Times New Roman" w:hAnsi="Times New Roman" w:cs="Times New Roman"/>
              </w:rPr>
            </w:pPr>
          </w:p>
        </w:tc>
        <w:tc>
          <w:tcPr>
            <w:tcW w:w="1965" w:type="dxa"/>
            <w:tcBorders>
              <w:top w:val="single" w:sz="7" w:space="0" w:color="000000"/>
              <w:left w:val="single" w:sz="7" w:space="0" w:color="000000"/>
              <w:bottom w:val="single" w:sz="7" w:space="0" w:color="000000"/>
              <w:right w:val="single" w:sz="7" w:space="0" w:color="000000"/>
            </w:tcBorders>
          </w:tcPr>
          <w:p w14:paraId="3A385673" w14:textId="77777777" w:rsidR="00B90373" w:rsidRPr="00C35766" w:rsidRDefault="00B90373" w:rsidP="00787805">
            <w:pPr>
              <w:rPr>
                <w:rFonts w:ascii="Times New Roman" w:hAnsi="Times New Roman" w:cs="Times New Roman"/>
              </w:rPr>
            </w:pPr>
          </w:p>
        </w:tc>
        <w:tc>
          <w:tcPr>
            <w:tcW w:w="1417" w:type="dxa"/>
            <w:tcBorders>
              <w:top w:val="single" w:sz="7" w:space="0" w:color="000000"/>
              <w:left w:val="single" w:sz="7" w:space="0" w:color="000000"/>
              <w:bottom w:val="single" w:sz="7" w:space="0" w:color="000000"/>
              <w:right w:val="single" w:sz="7" w:space="0" w:color="000000"/>
            </w:tcBorders>
          </w:tcPr>
          <w:p w14:paraId="1E595F88" w14:textId="77777777" w:rsidR="00B90373" w:rsidRPr="00C35766" w:rsidRDefault="00B90373" w:rsidP="00787805">
            <w:pPr>
              <w:rPr>
                <w:rFonts w:ascii="Times New Roman" w:hAnsi="Times New Roman" w:cs="Times New Roman"/>
              </w:rPr>
            </w:pPr>
          </w:p>
        </w:tc>
      </w:tr>
      <w:tr w:rsidR="00B90373" w:rsidRPr="00C35766" w14:paraId="0175EB3D" w14:textId="77777777" w:rsidTr="00B3291C">
        <w:trPr>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13509E8C" w14:textId="77777777" w:rsidR="00B90373" w:rsidRPr="00C35766" w:rsidRDefault="00B90373" w:rsidP="00787805">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995" w:type="dxa"/>
            <w:tcBorders>
              <w:top w:val="single" w:sz="7" w:space="0" w:color="000000"/>
              <w:left w:val="single" w:sz="7" w:space="0" w:color="000000"/>
              <w:bottom w:val="single" w:sz="7" w:space="0" w:color="000000"/>
              <w:right w:val="single" w:sz="7" w:space="0" w:color="000000"/>
            </w:tcBorders>
          </w:tcPr>
          <w:p w14:paraId="16DF1DEE" w14:textId="77777777" w:rsidR="00B90373" w:rsidRPr="00C35766" w:rsidRDefault="00B90373" w:rsidP="00787805">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38,7%</w:t>
            </w:r>
          </w:p>
        </w:tc>
        <w:tc>
          <w:tcPr>
            <w:tcW w:w="1965" w:type="dxa"/>
            <w:tcBorders>
              <w:top w:val="single" w:sz="7" w:space="0" w:color="000000"/>
              <w:left w:val="single" w:sz="7" w:space="0" w:color="000000"/>
              <w:bottom w:val="single" w:sz="7" w:space="0" w:color="000000"/>
              <w:right w:val="single" w:sz="7" w:space="0" w:color="000000"/>
            </w:tcBorders>
          </w:tcPr>
          <w:p w14:paraId="088BE85D" w14:textId="77777777" w:rsidR="00B90373" w:rsidRPr="00C35766" w:rsidRDefault="00B90373" w:rsidP="00787805">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7" w:type="dxa"/>
            <w:tcBorders>
              <w:top w:val="single" w:sz="7" w:space="0" w:color="000000"/>
              <w:left w:val="single" w:sz="7" w:space="0" w:color="000000"/>
              <w:bottom w:val="single" w:sz="7" w:space="0" w:color="000000"/>
              <w:right w:val="single" w:sz="7" w:space="0" w:color="000000"/>
            </w:tcBorders>
          </w:tcPr>
          <w:p w14:paraId="7A5DF466" w14:textId="77777777" w:rsidR="00B90373" w:rsidRPr="00C35766" w:rsidRDefault="00B90373" w:rsidP="00787805">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0,075</w:t>
            </w:r>
          </w:p>
        </w:tc>
      </w:tr>
      <w:tr w:rsidR="00B90373" w:rsidRPr="00C35766" w14:paraId="5311F2C9" w14:textId="77777777" w:rsidTr="00B3291C">
        <w:trPr>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23CE3224" w14:textId="77777777" w:rsidR="00B90373" w:rsidRPr="00C35766" w:rsidRDefault="00B90373" w:rsidP="00787805">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1995" w:type="dxa"/>
            <w:tcBorders>
              <w:top w:val="single" w:sz="7" w:space="0" w:color="000000"/>
              <w:left w:val="single" w:sz="7" w:space="0" w:color="000000"/>
              <w:bottom w:val="single" w:sz="7" w:space="0" w:color="000000"/>
              <w:right w:val="single" w:sz="7" w:space="0" w:color="000000"/>
            </w:tcBorders>
          </w:tcPr>
          <w:p w14:paraId="386664A6" w14:textId="77777777" w:rsidR="00B90373" w:rsidRPr="00C35766" w:rsidRDefault="00B90373" w:rsidP="00787805">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59,1%</w:t>
            </w:r>
          </w:p>
        </w:tc>
        <w:tc>
          <w:tcPr>
            <w:tcW w:w="1965" w:type="dxa"/>
            <w:tcBorders>
              <w:top w:val="single" w:sz="7" w:space="0" w:color="000000"/>
              <w:left w:val="single" w:sz="7" w:space="0" w:color="000000"/>
              <w:bottom w:val="single" w:sz="7" w:space="0" w:color="000000"/>
              <w:right w:val="single" w:sz="7" w:space="0" w:color="000000"/>
            </w:tcBorders>
          </w:tcPr>
          <w:p w14:paraId="4B3003EA" w14:textId="77777777" w:rsidR="00B90373" w:rsidRPr="00C35766" w:rsidRDefault="00B90373" w:rsidP="00787805">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48,4</w:t>
            </w:r>
          </w:p>
        </w:tc>
        <w:tc>
          <w:tcPr>
            <w:tcW w:w="1417" w:type="dxa"/>
            <w:tcBorders>
              <w:top w:val="single" w:sz="7" w:space="0" w:color="000000"/>
              <w:left w:val="single" w:sz="7" w:space="0" w:color="000000"/>
              <w:bottom w:val="single" w:sz="7" w:space="0" w:color="000000"/>
              <w:right w:val="single" w:sz="7" w:space="0" w:color="000000"/>
            </w:tcBorders>
          </w:tcPr>
          <w:p w14:paraId="0C1314CF" w14:textId="77777777" w:rsidR="00B90373" w:rsidRPr="00C35766" w:rsidRDefault="00B90373" w:rsidP="00787805">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0,073</w:t>
            </w:r>
          </w:p>
        </w:tc>
      </w:tr>
      <w:tr w:rsidR="00B90373" w:rsidRPr="00C35766" w14:paraId="3EB3D768" w14:textId="77777777" w:rsidTr="00B3291C">
        <w:trPr>
          <w:trHeight w:val="177"/>
          <w:jc w:val="center"/>
        </w:trPr>
        <w:tc>
          <w:tcPr>
            <w:tcW w:w="2867" w:type="dxa"/>
            <w:tcBorders>
              <w:top w:val="single" w:sz="7" w:space="0" w:color="000000"/>
              <w:left w:val="single" w:sz="7" w:space="0" w:color="000000"/>
              <w:bottom w:val="single" w:sz="7" w:space="0" w:color="000000"/>
              <w:right w:val="single" w:sz="7" w:space="0" w:color="000000"/>
            </w:tcBorders>
          </w:tcPr>
          <w:p w14:paraId="729BDB96" w14:textId="77777777" w:rsidR="00B90373" w:rsidRPr="00C35766" w:rsidRDefault="00B90373" w:rsidP="00787805">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t>Settimana 52</w:t>
            </w:r>
          </w:p>
        </w:tc>
        <w:tc>
          <w:tcPr>
            <w:tcW w:w="1995" w:type="dxa"/>
            <w:tcBorders>
              <w:top w:val="single" w:sz="7" w:space="0" w:color="000000"/>
              <w:left w:val="single" w:sz="7" w:space="0" w:color="000000"/>
              <w:bottom w:val="single" w:sz="7" w:space="0" w:color="000000"/>
              <w:right w:val="single" w:sz="7" w:space="0" w:color="000000"/>
            </w:tcBorders>
          </w:tcPr>
          <w:p w14:paraId="60441023" w14:textId="77777777" w:rsidR="00B90373" w:rsidRPr="00C35766" w:rsidRDefault="00B90373" w:rsidP="00787805">
            <w:pPr>
              <w:rPr>
                <w:rFonts w:ascii="Times New Roman" w:hAnsi="Times New Roman" w:cs="Times New Roman"/>
              </w:rPr>
            </w:pPr>
          </w:p>
        </w:tc>
        <w:tc>
          <w:tcPr>
            <w:tcW w:w="1965" w:type="dxa"/>
            <w:tcBorders>
              <w:top w:val="single" w:sz="7" w:space="0" w:color="000000"/>
              <w:left w:val="single" w:sz="7" w:space="0" w:color="000000"/>
              <w:bottom w:val="single" w:sz="7" w:space="0" w:color="000000"/>
              <w:right w:val="single" w:sz="7" w:space="0" w:color="000000"/>
            </w:tcBorders>
          </w:tcPr>
          <w:p w14:paraId="2E2BF84A" w14:textId="77777777" w:rsidR="00B90373" w:rsidRPr="00C35766" w:rsidRDefault="00B90373" w:rsidP="00787805">
            <w:pPr>
              <w:rPr>
                <w:rFonts w:ascii="Times New Roman" w:hAnsi="Times New Roman" w:cs="Times New Roman"/>
              </w:rPr>
            </w:pPr>
          </w:p>
        </w:tc>
        <w:tc>
          <w:tcPr>
            <w:tcW w:w="1417" w:type="dxa"/>
            <w:tcBorders>
              <w:top w:val="single" w:sz="7" w:space="0" w:color="000000"/>
              <w:left w:val="single" w:sz="7" w:space="0" w:color="000000"/>
              <w:bottom w:val="single" w:sz="7" w:space="0" w:color="000000"/>
              <w:right w:val="single" w:sz="7" w:space="0" w:color="000000"/>
            </w:tcBorders>
          </w:tcPr>
          <w:p w14:paraId="67E10619" w14:textId="77777777" w:rsidR="00B90373" w:rsidRPr="00C35766" w:rsidRDefault="00B90373" w:rsidP="00787805">
            <w:pPr>
              <w:rPr>
                <w:rFonts w:ascii="Times New Roman" w:hAnsi="Times New Roman" w:cs="Times New Roman"/>
              </w:rPr>
            </w:pPr>
          </w:p>
        </w:tc>
      </w:tr>
      <w:tr w:rsidR="00B90373" w:rsidRPr="00C35766" w14:paraId="4829ECE8" w14:textId="77777777" w:rsidTr="00B3291C">
        <w:trPr>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145B80F5" w14:textId="77777777" w:rsidR="00B90373" w:rsidRPr="00C35766" w:rsidRDefault="00B90373" w:rsidP="00787805">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995" w:type="dxa"/>
            <w:tcBorders>
              <w:top w:val="single" w:sz="7" w:space="0" w:color="000000"/>
              <w:left w:val="single" w:sz="7" w:space="0" w:color="000000"/>
              <w:bottom w:val="single" w:sz="7" w:space="0" w:color="000000"/>
              <w:right w:val="single" w:sz="7" w:space="0" w:color="000000"/>
            </w:tcBorders>
          </w:tcPr>
          <w:p w14:paraId="156EF81F" w14:textId="77777777" w:rsidR="00B90373" w:rsidRPr="00C35766" w:rsidRDefault="00B90373" w:rsidP="00787805">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33,3%</w:t>
            </w:r>
          </w:p>
        </w:tc>
        <w:tc>
          <w:tcPr>
            <w:tcW w:w="1965" w:type="dxa"/>
            <w:tcBorders>
              <w:top w:val="single" w:sz="7" w:space="0" w:color="000000"/>
              <w:left w:val="single" w:sz="7" w:space="0" w:color="000000"/>
              <w:bottom w:val="single" w:sz="7" w:space="0" w:color="000000"/>
              <w:right w:val="single" w:sz="7" w:space="0" w:color="000000"/>
            </w:tcBorders>
          </w:tcPr>
          <w:p w14:paraId="5D316AD1" w14:textId="77777777" w:rsidR="00B90373" w:rsidRPr="00C35766" w:rsidRDefault="00B90373" w:rsidP="00787805">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23,2%</w:t>
            </w:r>
          </w:p>
        </w:tc>
        <w:tc>
          <w:tcPr>
            <w:tcW w:w="1417" w:type="dxa"/>
            <w:tcBorders>
              <w:top w:val="single" w:sz="7" w:space="0" w:color="000000"/>
              <w:left w:val="single" w:sz="7" w:space="0" w:color="000000"/>
              <w:bottom w:val="single" w:sz="7" w:space="0" w:color="000000"/>
              <w:right w:val="single" w:sz="7" w:space="0" w:color="000000"/>
            </w:tcBorders>
          </w:tcPr>
          <w:p w14:paraId="4BDBBE8C" w14:textId="77777777" w:rsidR="00B90373" w:rsidRPr="00C35766" w:rsidRDefault="00B90373" w:rsidP="00787805">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0,100</w:t>
            </w:r>
          </w:p>
        </w:tc>
      </w:tr>
      <w:tr w:rsidR="00B90373" w:rsidRPr="00C35766" w14:paraId="3A7262FC" w14:textId="77777777" w:rsidTr="00B3291C">
        <w:trPr>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0B725747" w14:textId="77777777" w:rsidR="00B90373" w:rsidRPr="00C35766" w:rsidRDefault="00B90373" w:rsidP="00787805">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1995" w:type="dxa"/>
            <w:tcBorders>
              <w:top w:val="single" w:sz="7" w:space="0" w:color="000000"/>
              <w:left w:val="single" w:sz="7" w:space="0" w:color="000000"/>
              <w:bottom w:val="single" w:sz="7" w:space="0" w:color="000000"/>
              <w:right w:val="single" w:sz="7" w:space="0" w:color="000000"/>
            </w:tcBorders>
          </w:tcPr>
          <w:p w14:paraId="3C8AEDD9" w14:textId="77777777" w:rsidR="00B90373" w:rsidRPr="00C35766" w:rsidRDefault="00B90373" w:rsidP="00787805">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41,9%</w:t>
            </w:r>
          </w:p>
        </w:tc>
        <w:tc>
          <w:tcPr>
            <w:tcW w:w="1965" w:type="dxa"/>
            <w:tcBorders>
              <w:top w:val="single" w:sz="7" w:space="0" w:color="000000"/>
              <w:left w:val="single" w:sz="7" w:space="0" w:color="000000"/>
              <w:bottom w:val="single" w:sz="7" w:space="0" w:color="000000"/>
              <w:right w:val="single" w:sz="7" w:space="0" w:color="000000"/>
            </w:tcBorders>
          </w:tcPr>
          <w:p w14:paraId="38D37A5F" w14:textId="77777777" w:rsidR="00B90373" w:rsidRPr="00C35766" w:rsidRDefault="00B90373" w:rsidP="00787805">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7" w:type="dxa"/>
            <w:tcBorders>
              <w:top w:val="single" w:sz="7" w:space="0" w:color="000000"/>
              <w:left w:val="single" w:sz="7" w:space="0" w:color="000000"/>
              <w:bottom w:val="single" w:sz="7" w:space="0" w:color="000000"/>
              <w:right w:val="single" w:sz="7" w:space="0" w:color="000000"/>
            </w:tcBorders>
          </w:tcPr>
          <w:p w14:paraId="240A4E81" w14:textId="77777777" w:rsidR="00B90373" w:rsidRPr="00C35766" w:rsidRDefault="00B90373" w:rsidP="00787805">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0,038</w:t>
            </w:r>
          </w:p>
        </w:tc>
      </w:tr>
      <w:tr w:rsidR="00B90373" w:rsidRPr="00494E69" w14:paraId="743D7F67" w14:textId="77777777" w:rsidTr="00B3291C">
        <w:trPr>
          <w:trHeight w:val="161"/>
          <w:jc w:val="center"/>
        </w:trPr>
        <w:tc>
          <w:tcPr>
            <w:tcW w:w="8246" w:type="dxa"/>
            <w:gridSpan w:val="4"/>
            <w:tcBorders>
              <w:top w:val="single" w:sz="7" w:space="0" w:color="000000"/>
              <w:left w:val="single" w:sz="7" w:space="0" w:color="000000"/>
              <w:bottom w:val="single" w:sz="7" w:space="0" w:color="000000"/>
              <w:right w:val="single" w:sz="7" w:space="0" w:color="000000"/>
            </w:tcBorders>
          </w:tcPr>
          <w:p w14:paraId="514C3942" w14:textId="77777777" w:rsidR="00B90373" w:rsidRPr="00C35766" w:rsidRDefault="00B90373" w:rsidP="00787805">
            <w:pPr>
              <w:pStyle w:val="TableParagraph"/>
              <w:spacing w:line="246" w:lineRule="exact"/>
              <w:ind w:left="13"/>
              <w:rPr>
                <w:rFonts w:ascii="Times New Roman" w:hAnsi="Times New Roman" w:cs="Times New Roman"/>
                <w:lang w:val="it-IT"/>
              </w:rPr>
            </w:pPr>
            <w:r w:rsidRPr="00C35766">
              <w:rPr>
                <w:rFonts w:ascii="Times New Roman" w:eastAsia="Times New Roman" w:hAnsi="Times New Roman" w:cs="Times New Roman"/>
                <w:lang w:val="it-IT"/>
              </w:rPr>
              <w:t xml:space="preserve">* confronto valore p per Dose Standard </w:t>
            </w:r>
            <w:r w:rsidRPr="00C35766">
              <w:rPr>
                <w:rFonts w:ascii="Times New Roman" w:hAnsi="Times New Roman" w:cs="Times New Roman"/>
                <w:lang w:val="it-IT"/>
              </w:rPr>
              <w:t>versus</w:t>
            </w:r>
            <w:r w:rsidRPr="00C35766">
              <w:rPr>
                <w:rFonts w:ascii="Times New Roman" w:eastAsia="Times New Roman" w:hAnsi="Times New Roman" w:cs="Times New Roman"/>
                <w:lang w:val="it-IT"/>
              </w:rPr>
              <w:t xml:space="preserve"> Bassa Dose.</w:t>
            </w:r>
          </w:p>
        </w:tc>
      </w:tr>
    </w:tbl>
    <w:p w14:paraId="35712390" w14:textId="77777777" w:rsidR="00B90373" w:rsidRPr="004F0B2E" w:rsidRDefault="00B90373" w:rsidP="00B90373">
      <w:pPr>
        <w:jc w:val="center"/>
        <w:rPr>
          <w:rFonts w:ascii="Times New Roman" w:hAnsi="Times New Roman" w:cs="Times New Roman"/>
          <w:sz w:val="24"/>
          <w:szCs w:val="24"/>
          <w:lang w:val="it-IT"/>
        </w:rPr>
      </w:pPr>
    </w:p>
    <w:tbl>
      <w:tblPr>
        <w:tblStyle w:val="TableNormal1"/>
        <w:tblW w:w="8827" w:type="dxa"/>
        <w:jc w:val="center"/>
        <w:tblLayout w:type="fixed"/>
        <w:tblLook w:val="01E0" w:firstRow="1" w:lastRow="1" w:firstColumn="1" w:lastColumn="1" w:noHBand="0" w:noVBand="0"/>
      </w:tblPr>
      <w:tblGrid>
        <w:gridCol w:w="3518"/>
        <w:gridCol w:w="1843"/>
        <w:gridCol w:w="1985"/>
        <w:gridCol w:w="1481"/>
      </w:tblGrid>
      <w:tr w:rsidR="00B90373" w:rsidRPr="00494E69" w14:paraId="7BDE278B" w14:textId="77777777" w:rsidTr="005A5DEF">
        <w:trPr>
          <w:jc w:val="center"/>
        </w:trPr>
        <w:tc>
          <w:tcPr>
            <w:tcW w:w="8827" w:type="dxa"/>
            <w:gridSpan w:val="4"/>
            <w:tcBorders>
              <w:top w:val="single" w:sz="7" w:space="0" w:color="000000"/>
              <w:left w:val="single" w:sz="7" w:space="0" w:color="000000"/>
              <w:bottom w:val="single" w:sz="7" w:space="0" w:color="000000"/>
              <w:right w:val="single" w:sz="7" w:space="0" w:color="000000"/>
            </w:tcBorders>
          </w:tcPr>
          <w:p w14:paraId="6069CE6C" w14:textId="77777777" w:rsidR="00805BD0" w:rsidRPr="00C35766" w:rsidRDefault="00805BD0" w:rsidP="00805BD0">
            <w:pPr>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Tabella 30</w:t>
            </w:r>
          </w:p>
          <w:p w14:paraId="506E2BF8" w14:textId="77777777" w:rsidR="00B90373" w:rsidRPr="00C35766" w:rsidRDefault="00B90373" w:rsidP="00787805">
            <w:pPr>
              <w:pStyle w:val="TableParagraph"/>
              <w:spacing w:before="3" w:line="252" w:lineRule="exact"/>
              <w:ind w:left="3239" w:right="962" w:hanging="438"/>
              <w:rPr>
                <w:rFonts w:ascii="Times New Roman" w:eastAsia="Times New Roman" w:hAnsi="Times New Roman" w:cs="Times New Roman"/>
                <w:lang w:val="es-ES"/>
              </w:rPr>
            </w:pPr>
            <w:r w:rsidRPr="00C35766">
              <w:rPr>
                <w:rFonts w:ascii="Times New Roman" w:eastAsia="Times New Roman" w:hAnsi="Times New Roman" w:cs="Times New Roman"/>
                <w:b/>
                <w:bCs/>
                <w:lang w:val="it-IT"/>
              </w:rPr>
              <w:t>Studio della Malattia di Crohn Pediatrica</w:t>
            </w:r>
          </w:p>
          <w:p w14:paraId="2D99AF13" w14:textId="77777777" w:rsidR="00B90373" w:rsidRPr="00C35766" w:rsidRDefault="00B90373" w:rsidP="00787805">
            <w:pPr>
              <w:pStyle w:val="TableParagraph"/>
              <w:spacing w:line="249" w:lineRule="exact"/>
              <w:ind w:left="431"/>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Interruzione dei corticosteroidi o immunomodulatori e remissione della fistola</w:t>
            </w:r>
          </w:p>
        </w:tc>
      </w:tr>
      <w:tr w:rsidR="00B90373" w:rsidRPr="00C35766" w14:paraId="066A92F7"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149FEFD1" w14:textId="77777777" w:rsidR="00B90373" w:rsidRPr="00C35766" w:rsidRDefault="00B90373" w:rsidP="00787805">
            <w:pPr>
              <w:rPr>
                <w:rFonts w:ascii="Times New Roman" w:hAnsi="Times New Roman" w:cs="Times New Roman"/>
                <w:lang w:val="pt-BR"/>
              </w:rPr>
            </w:pPr>
          </w:p>
        </w:tc>
        <w:tc>
          <w:tcPr>
            <w:tcW w:w="1843" w:type="dxa"/>
            <w:tcBorders>
              <w:top w:val="single" w:sz="7" w:space="0" w:color="000000"/>
              <w:left w:val="single" w:sz="7" w:space="0" w:color="000000"/>
              <w:bottom w:val="single" w:sz="7" w:space="0" w:color="000000"/>
              <w:right w:val="single" w:sz="7" w:space="0" w:color="000000"/>
            </w:tcBorders>
            <w:vAlign w:val="center"/>
          </w:tcPr>
          <w:p w14:paraId="56BFE331" w14:textId="77777777" w:rsidR="00B90373" w:rsidRPr="00C35766" w:rsidRDefault="00B90373" w:rsidP="00B3291C">
            <w:pPr>
              <w:pStyle w:val="TableParagraph"/>
              <w:spacing w:line="251" w:lineRule="exact"/>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standard</w:t>
            </w:r>
          </w:p>
          <w:p w14:paraId="1A7BA678" w14:textId="77777777" w:rsidR="00B90373" w:rsidRPr="00C35766" w:rsidRDefault="00B90373" w:rsidP="00B3291C">
            <w:pPr>
              <w:pStyle w:val="TableParagraph"/>
              <w:spacing w:before="1" w:line="252"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40/20 mg a settimane alterne</w:t>
            </w:r>
          </w:p>
        </w:tc>
        <w:tc>
          <w:tcPr>
            <w:tcW w:w="1985" w:type="dxa"/>
            <w:tcBorders>
              <w:top w:val="single" w:sz="7" w:space="0" w:color="000000"/>
              <w:left w:val="single" w:sz="7" w:space="0" w:color="000000"/>
              <w:bottom w:val="single" w:sz="7" w:space="0" w:color="000000"/>
              <w:right w:val="single" w:sz="7" w:space="0" w:color="000000"/>
            </w:tcBorders>
            <w:vAlign w:val="center"/>
          </w:tcPr>
          <w:p w14:paraId="14AE1101" w14:textId="77777777" w:rsidR="00B90373" w:rsidRPr="00C35766" w:rsidRDefault="00B90373" w:rsidP="00B3291C">
            <w:pPr>
              <w:pStyle w:val="TableParagraph"/>
              <w:spacing w:line="251" w:lineRule="exact"/>
              <w:ind w:right="31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Dose bassa</w:t>
            </w:r>
          </w:p>
          <w:p w14:paraId="74CF0ACF" w14:textId="77777777" w:rsidR="00B90373" w:rsidRPr="00C35766" w:rsidRDefault="00B90373" w:rsidP="00B3291C">
            <w:pPr>
              <w:pStyle w:val="TableParagraph"/>
              <w:spacing w:before="1" w:line="252" w:lineRule="exact"/>
              <w:ind w:right="143"/>
              <w:jc w:val="center"/>
              <w:rPr>
                <w:rFonts w:ascii="Times New Roman" w:eastAsia="Times New Roman" w:hAnsi="Times New Roman" w:cs="Times New Roman"/>
                <w:lang w:val="pt-BR"/>
              </w:rPr>
            </w:pPr>
            <w:r w:rsidRPr="00C35766">
              <w:rPr>
                <w:rFonts w:ascii="Times New Roman" w:eastAsia="Times New Roman" w:hAnsi="Times New Roman" w:cs="Times New Roman"/>
                <w:b/>
                <w:bCs/>
                <w:lang w:val="it-IT"/>
              </w:rPr>
              <w:t>20/10 mg a settimane alterne</w:t>
            </w:r>
          </w:p>
        </w:tc>
        <w:tc>
          <w:tcPr>
            <w:tcW w:w="1481" w:type="dxa"/>
            <w:tcBorders>
              <w:top w:val="single" w:sz="7" w:space="0" w:color="000000"/>
              <w:left w:val="single" w:sz="7" w:space="0" w:color="000000"/>
              <w:bottom w:val="single" w:sz="7" w:space="0" w:color="000000"/>
              <w:right w:val="single" w:sz="7" w:space="0" w:color="000000"/>
            </w:tcBorders>
            <w:vAlign w:val="center"/>
          </w:tcPr>
          <w:p w14:paraId="45DE90EC" w14:textId="54D0221F" w:rsidR="00B90373" w:rsidRPr="00C35766" w:rsidRDefault="00B90373" w:rsidP="00B3291C">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b/>
                <w:bCs/>
                <w:vertAlign w:val="superscript"/>
                <w:lang w:val="it-IT"/>
              </w:rPr>
              <w:t>1</w:t>
            </w:r>
          </w:p>
        </w:tc>
      </w:tr>
      <w:tr w:rsidR="00B90373" w:rsidRPr="00C35766" w14:paraId="7F2D25DF"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4194D06B" w14:textId="77777777" w:rsidR="00B90373" w:rsidRPr="00C35766" w:rsidRDefault="00B90373" w:rsidP="0078780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Corticosteroidi interrotti</w:t>
            </w:r>
          </w:p>
        </w:tc>
        <w:tc>
          <w:tcPr>
            <w:tcW w:w="1843" w:type="dxa"/>
            <w:tcBorders>
              <w:top w:val="single" w:sz="7" w:space="0" w:color="000000"/>
              <w:left w:val="single" w:sz="7" w:space="0" w:color="000000"/>
              <w:bottom w:val="single" w:sz="7" w:space="0" w:color="000000"/>
              <w:right w:val="single" w:sz="7" w:space="0" w:color="000000"/>
            </w:tcBorders>
          </w:tcPr>
          <w:p w14:paraId="050C65AD" w14:textId="77777777" w:rsidR="00B90373" w:rsidRPr="00C35766" w:rsidRDefault="00B90373" w:rsidP="00787805">
            <w:pPr>
              <w:pStyle w:val="TableParagraph"/>
              <w:spacing w:line="251" w:lineRule="exact"/>
              <w:ind w:left="546"/>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33</w:t>
            </w:r>
          </w:p>
        </w:tc>
        <w:tc>
          <w:tcPr>
            <w:tcW w:w="1985" w:type="dxa"/>
            <w:tcBorders>
              <w:top w:val="single" w:sz="7" w:space="0" w:color="000000"/>
              <w:left w:val="single" w:sz="7" w:space="0" w:color="000000"/>
              <w:bottom w:val="single" w:sz="7" w:space="0" w:color="000000"/>
              <w:right w:val="single" w:sz="7" w:space="0" w:color="000000"/>
            </w:tcBorders>
          </w:tcPr>
          <w:p w14:paraId="47A5584B" w14:textId="77777777" w:rsidR="00B90373" w:rsidRPr="00C35766" w:rsidRDefault="00B90373" w:rsidP="0078780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N=38</w:t>
            </w:r>
          </w:p>
        </w:tc>
        <w:tc>
          <w:tcPr>
            <w:tcW w:w="1481" w:type="dxa"/>
            <w:tcBorders>
              <w:top w:val="single" w:sz="7" w:space="0" w:color="000000"/>
              <w:left w:val="single" w:sz="7" w:space="0" w:color="000000"/>
              <w:bottom w:val="single" w:sz="7" w:space="0" w:color="000000"/>
              <w:right w:val="single" w:sz="7" w:space="0" w:color="000000"/>
            </w:tcBorders>
          </w:tcPr>
          <w:p w14:paraId="2D3902CC" w14:textId="77777777" w:rsidR="00B90373" w:rsidRPr="00C35766" w:rsidRDefault="00B90373" w:rsidP="00787805">
            <w:pPr>
              <w:rPr>
                <w:rFonts w:ascii="Times New Roman" w:hAnsi="Times New Roman" w:cs="Times New Roman"/>
              </w:rPr>
            </w:pPr>
          </w:p>
        </w:tc>
      </w:tr>
      <w:tr w:rsidR="00B90373" w:rsidRPr="00C35766" w14:paraId="7E89108F"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0212CD15" w14:textId="77777777" w:rsidR="00B90373" w:rsidRPr="00C35766" w:rsidRDefault="00B90373" w:rsidP="0078780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26</w:t>
            </w:r>
          </w:p>
        </w:tc>
        <w:tc>
          <w:tcPr>
            <w:tcW w:w="1843" w:type="dxa"/>
            <w:tcBorders>
              <w:top w:val="single" w:sz="7" w:space="0" w:color="000000"/>
              <w:left w:val="single" w:sz="7" w:space="0" w:color="000000"/>
              <w:bottom w:val="single" w:sz="7" w:space="0" w:color="000000"/>
              <w:right w:val="single" w:sz="7" w:space="0" w:color="000000"/>
            </w:tcBorders>
          </w:tcPr>
          <w:p w14:paraId="265255DA" w14:textId="77777777" w:rsidR="00B90373" w:rsidRPr="00C35766" w:rsidRDefault="00B90373" w:rsidP="0078780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84,8%</w:t>
            </w:r>
          </w:p>
        </w:tc>
        <w:tc>
          <w:tcPr>
            <w:tcW w:w="1985" w:type="dxa"/>
            <w:tcBorders>
              <w:top w:val="single" w:sz="7" w:space="0" w:color="000000"/>
              <w:left w:val="single" w:sz="7" w:space="0" w:color="000000"/>
              <w:bottom w:val="single" w:sz="7" w:space="0" w:color="000000"/>
              <w:right w:val="single" w:sz="7" w:space="0" w:color="000000"/>
            </w:tcBorders>
          </w:tcPr>
          <w:p w14:paraId="3FB46104" w14:textId="77777777" w:rsidR="00B90373" w:rsidRPr="00C35766" w:rsidRDefault="00B90373" w:rsidP="0078780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65,8%</w:t>
            </w:r>
          </w:p>
        </w:tc>
        <w:tc>
          <w:tcPr>
            <w:tcW w:w="1481" w:type="dxa"/>
            <w:tcBorders>
              <w:top w:val="single" w:sz="7" w:space="0" w:color="000000"/>
              <w:left w:val="single" w:sz="7" w:space="0" w:color="000000"/>
              <w:bottom w:val="single" w:sz="7" w:space="0" w:color="000000"/>
              <w:right w:val="single" w:sz="7" w:space="0" w:color="000000"/>
            </w:tcBorders>
          </w:tcPr>
          <w:p w14:paraId="05FAB89D" w14:textId="77777777" w:rsidR="00B90373" w:rsidRPr="00C35766" w:rsidRDefault="00B90373" w:rsidP="0078780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0,066</w:t>
            </w:r>
          </w:p>
        </w:tc>
      </w:tr>
      <w:tr w:rsidR="00B90373" w:rsidRPr="00C35766" w14:paraId="17C7EAC2"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6B4D409F" w14:textId="77777777" w:rsidR="00B90373" w:rsidRPr="00C35766" w:rsidRDefault="00B90373" w:rsidP="0078780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tcBorders>
              <w:top w:val="single" w:sz="7" w:space="0" w:color="000000"/>
              <w:left w:val="single" w:sz="7" w:space="0" w:color="000000"/>
              <w:bottom w:val="single" w:sz="7" w:space="0" w:color="000000"/>
              <w:right w:val="single" w:sz="7" w:space="0" w:color="000000"/>
            </w:tcBorders>
          </w:tcPr>
          <w:p w14:paraId="0DB50B93" w14:textId="77777777" w:rsidR="00B90373" w:rsidRPr="00C35766" w:rsidRDefault="00B90373" w:rsidP="0078780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69,7%</w:t>
            </w:r>
          </w:p>
        </w:tc>
        <w:tc>
          <w:tcPr>
            <w:tcW w:w="1985" w:type="dxa"/>
            <w:tcBorders>
              <w:top w:val="single" w:sz="7" w:space="0" w:color="000000"/>
              <w:left w:val="single" w:sz="7" w:space="0" w:color="000000"/>
              <w:bottom w:val="single" w:sz="7" w:space="0" w:color="000000"/>
              <w:right w:val="single" w:sz="7" w:space="0" w:color="000000"/>
            </w:tcBorders>
          </w:tcPr>
          <w:p w14:paraId="7589CAF5" w14:textId="77777777" w:rsidR="00B90373" w:rsidRPr="00C35766" w:rsidRDefault="00B90373" w:rsidP="0078780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60,5%</w:t>
            </w:r>
          </w:p>
        </w:tc>
        <w:tc>
          <w:tcPr>
            <w:tcW w:w="1481" w:type="dxa"/>
            <w:tcBorders>
              <w:top w:val="single" w:sz="7" w:space="0" w:color="000000"/>
              <w:left w:val="single" w:sz="7" w:space="0" w:color="000000"/>
              <w:bottom w:val="single" w:sz="7" w:space="0" w:color="000000"/>
              <w:right w:val="single" w:sz="7" w:space="0" w:color="000000"/>
            </w:tcBorders>
          </w:tcPr>
          <w:p w14:paraId="423C20ED" w14:textId="77777777" w:rsidR="00B90373" w:rsidRPr="00C35766" w:rsidRDefault="00B90373" w:rsidP="0078780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0,420</w:t>
            </w:r>
          </w:p>
        </w:tc>
      </w:tr>
      <w:tr w:rsidR="00B90373" w:rsidRPr="00C35766" w14:paraId="5121CE09"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6B85D2F7" w14:textId="77777777" w:rsidR="00B90373" w:rsidRPr="00C35766" w:rsidRDefault="00B90373" w:rsidP="0078780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Interruzione degli immunomodulatori</w:t>
            </w:r>
            <w:r w:rsidRPr="00C35766">
              <w:rPr>
                <w:rFonts w:ascii="Times New Roman" w:hAnsi="Times New Roman" w:cs="Times New Roman"/>
                <w:b/>
                <w:spacing w:val="-1"/>
                <w:vertAlign w:val="superscript"/>
                <w:lang w:val="it-IT"/>
              </w:rPr>
              <w:t>2</w:t>
            </w:r>
          </w:p>
        </w:tc>
        <w:tc>
          <w:tcPr>
            <w:tcW w:w="1843" w:type="dxa"/>
            <w:tcBorders>
              <w:top w:val="single" w:sz="7" w:space="0" w:color="000000"/>
              <w:left w:val="single" w:sz="7" w:space="0" w:color="000000"/>
              <w:bottom w:val="single" w:sz="7" w:space="0" w:color="000000"/>
              <w:right w:val="single" w:sz="7" w:space="0" w:color="000000"/>
            </w:tcBorders>
          </w:tcPr>
          <w:p w14:paraId="07FB3A4E" w14:textId="77777777" w:rsidR="00B90373" w:rsidRPr="00C35766" w:rsidRDefault="00B90373" w:rsidP="00787805">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N=60</w:t>
            </w:r>
          </w:p>
        </w:tc>
        <w:tc>
          <w:tcPr>
            <w:tcW w:w="1985" w:type="dxa"/>
            <w:tcBorders>
              <w:top w:val="single" w:sz="7" w:space="0" w:color="000000"/>
              <w:left w:val="single" w:sz="7" w:space="0" w:color="000000"/>
              <w:bottom w:val="single" w:sz="7" w:space="0" w:color="000000"/>
              <w:right w:val="single" w:sz="7" w:space="0" w:color="000000"/>
            </w:tcBorders>
          </w:tcPr>
          <w:p w14:paraId="4BF87D74" w14:textId="77777777" w:rsidR="00B90373" w:rsidRPr="00C35766" w:rsidRDefault="00B90373" w:rsidP="0078780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N=57</w:t>
            </w:r>
          </w:p>
        </w:tc>
        <w:tc>
          <w:tcPr>
            <w:tcW w:w="1481" w:type="dxa"/>
            <w:tcBorders>
              <w:top w:val="single" w:sz="7" w:space="0" w:color="000000"/>
              <w:left w:val="single" w:sz="7" w:space="0" w:color="000000"/>
              <w:bottom w:val="single" w:sz="7" w:space="0" w:color="000000"/>
              <w:right w:val="single" w:sz="7" w:space="0" w:color="000000"/>
            </w:tcBorders>
          </w:tcPr>
          <w:p w14:paraId="16F1B10C" w14:textId="77777777" w:rsidR="00B90373" w:rsidRPr="00C35766" w:rsidRDefault="00B90373" w:rsidP="00787805">
            <w:pPr>
              <w:rPr>
                <w:rFonts w:ascii="Times New Roman" w:hAnsi="Times New Roman" w:cs="Times New Roman"/>
              </w:rPr>
            </w:pPr>
          </w:p>
        </w:tc>
      </w:tr>
      <w:tr w:rsidR="00B90373" w:rsidRPr="00C35766" w14:paraId="61EBEDA0"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18E9FD59" w14:textId="77777777" w:rsidR="00B90373" w:rsidRPr="00C35766" w:rsidRDefault="00B90373" w:rsidP="0078780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tcBorders>
              <w:top w:val="single" w:sz="7" w:space="0" w:color="000000"/>
              <w:left w:val="single" w:sz="7" w:space="0" w:color="000000"/>
              <w:bottom w:val="single" w:sz="7" w:space="0" w:color="000000"/>
              <w:right w:val="single" w:sz="7" w:space="0" w:color="000000"/>
            </w:tcBorders>
          </w:tcPr>
          <w:p w14:paraId="63A8FD25" w14:textId="77777777" w:rsidR="00B90373" w:rsidRPr="00C35766" w:rsidRDefault="00B90373" w:rsidP="0078780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30,0%</w:t>
            </w:r>
          </w:p>
        </w:tc>
        <w:tc>
          <w:tcPr>
            <w:tcW w:w="1985" w:type="dxa"/>
            <w:tcBorders>
              <w:top w:val="single" w:sz="7" w:space="0" w:color="000000"/>
              <w:left w:val="single" w:sz="7" w:space="0" w:color="000000"/>
              <w:bottom w:val="single" w:sz="7" w:space="0" w:color="000000"/>
              <w:right w:val="single" w:sz="7" w:space="0" w:color="000000"/>
            </w:tcBorders>
          </w:tcPr>
          <w:p w14:paraId="65046F06" w14:textId="77777777" w:rsidR="00B90373" w:rsidRPr="00C35766" w:rsidRDefault="00B90373" w:rsidP="0078780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29,8%</w:t>
            </w:r>
          </w:p>
        </w:tc>
        <w:tc>
          <w:tcPr>
            <w:tcW w:w="1481" w:type="dxa"/>
            <w:tcBorders>
              <w:top w:val="single" w:sz="7" w:space="0" w:color="000000"/>
              <w:left w:val="single" w:sz="7" w:space="0" w:color="000000"/>
              <w:bottom w:val="single" w:sz="7" w:space="0" w:color="000000"/>
              <w:right w:val="single" w:sz="7" w:space="0" w:color="000000"/>
            </w:tcBorders>
          </w:tcPr>
          <w:p w14:paraId="7624194F" w14:textId="77777777" w:rsidR="00B90373" w:rsidRPr="00C35766" w:rsidRDefault="00B90373" w:rsidP="0078780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0,983</w:t>
            </w:r>
          </w:p>
        </w:tc>
      </w:tr>
      <w:tr w:rsidR="00B90373" w:rsidRPr="00C35766" w14:paraId="5276AF72"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3307EBC4" w14:textId="77777777" w:rsidR="00B90373" w:rsidRPr="00C35766" w:rsidRDefault="00B90373" w:rsidP="0078780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Remissione della fistola</w:t>
            </w:r>
            <w:r w:rsidRPr="00C35766">
              <w:rPr>
                <w:rFonts w:ascii="Times New Roman" w:eastAsia="Times New Roman" w:hAnsi="Times New Roman" w:cs="Times New Roman"/>
                <w:b/>
                <w:bCs/>
                <w:spacing w:val="-1"/>
                <w:vertAlign w:val="superscript"/>
                <w:lang w:val="it-IT"/>
              </w:rPr>
              <w:t>3</w:t>
            </w:r>
          </w:p>
        </w:tc>
        <w:tc>
          <w:tcPr>
            <w:tcW w:w="1843" w:type="dxa"/>
            <w:tcBorders>
              <w:top w:val="single" w:sz="7" w:space="0" w:color="000000"/>
              <w:left w:val="single" w:sz="7" w:space="0" w:color="000000"/>
              <w:bottom w:val="single" w:sz="7" w:space="0" w:color="000000"/>
              <w:right w:val="single" w:sz="7" w:space="0" w:color="000000"/>
            </w:tcBorders>
          </w:tcPr>
          <w:p w14:paraId="51EC9379" w14:textId="77777777" w:rsidR="00B90373" w:rsidRPr="00C35766" w:rsidRDefault="00B90373" w:rsidP="00787805">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w:t>
            </w:r>
          </w:p>
        </w:tc>
        <w:tc>
          <w:tcPr>
            <w:tcW w:w="1985" w:type="dxa"/>
            <w:tcBorders>
              <w:top w:val="single" w:sz="7" w:space="0" w:color="000000"/>
              <w:left w:val="single" w:sz="7" w:space="0" w:color="000000"/>
              <w:bottom w:val="single" w:sz="7" w:space="0" w:color="000000"/>
              <w:right w:val="single" w:sz="7" w:space="0" w:color="000000"/>
            </w:tcBorders>
          </w:tcPr>
          <w:p w14:paraId="7BE2578E" w14:textId="77777777" w:rsidR="00B90373" w:rsidRPr="00C35766" w:rsidRDefault="00B90373" w:rsidP="0078780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N=21</w:t>
            </w:r>
          </w:p>
        </w:tc>
        <w:tc>
          <w:tcPr>
            <w:tcW w:w="1481" w:type="dxa"/>
            <w:tcBorders>
              <w:top w:val="single" w:sz="7" w:space="0" w:color="000000"/>
              <w:left w:val="single" w:sz="7" w:space="0" w:color="000000"/>
              <w:bottom w:val="single" w:sz="7" w:space="0" w:color="000000"/>
              <w:right w:val="single" w:sz="7" w:space="0" w:color="000000"/>
            </w:tcBorders>
          </w:tcPr>
          <w:p w14:paraId="3545D12E" w14:textId="77777777" w:rsidR="00B90373" w:rsidRPr="00C35766" w:rsidRDefault="00B90373" w:rsidP="00787805">
            <w:pPr>
              <w:rPr>
                <w:rFonts w:ascii="Times New Roman" w:hAnsi="Times New Roman" w:cs="Times New Roman"/>
              </w:rPr>
            </w:pPr>
          </w:p>
        </w:tc>
      </w:tr>
      <w:tr w:rsidR="00B90373" w:rsidRPr="00C35766" w14:paraId="76CFE9AC" w14:textId="77777777" w:rsidTr="005A5DEF">
        <w:trPr>
          <w:jc w:val="center"/>
        </w:trPr>
        <w:tc>
          <w:tcPr>
            <w:tcW w:w="3518" w:type="dxa"/>
            <w:tcBorders>
              <w:top w:val="single" w:sz="7" w:space="0" w:color="000000"/>
              <w:left w:val="single" w:sz="7" w:space="0" w:color="000000"/>
              <w:bottom w:val="single" w:sz="7" w:space="0" w:color="000000"/>
              <w:right w:val="single" w:sz="7" w:space="0" w:color="000000"/>
            </w:tcBorders>
          </w:tcPr>
          <w:p w14:paraId="2E358B2C" w14:textId="77777777" w:rsidR="00B90373" w:rsidRPr="00C35766" w:rsidRDefault="00B90373" w:rsidP="0078780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26</w:t>
            </w:r>
          </w:p>
        </w:tc>
        <w:tc>
          <w:tcPr>
            <w:tcW w:w="1843" w:type="dxa"/>
            <w:tcBorders>
              <w:top w:val="single" w:sz="7" w:space="0" w:color="000000"/>
              <w:left w:val="single" w:sz="7" w:space="0" w:color="000000"/>
              <w:bottom w:val="single" w:sz="7" w:space="0" w:color="000000"/>
              <w:right w:val="single" w:sz="7" w:space="0" w:color="000000"/>
            </w:tcBorders>
          </w:tcPr>
          <w:p w14:paraId="5728D9E5" w14:textId="77777777" w:rsidR="00B90373" w:rsidRPr="00C35766" w:rsidRDefault="00B90373" w:rsidP="0078780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46,7%</w:t>
            </w:r>
          </w:p>
        </w:tc>
        <w:tc>
          <w:tcPr>
            <w:tcW w:w="1985" w:type="dxa"/>
            <w:tcBorders>
              <w:top w:val="single" w:sz="7" w:space="0" w:color="000000"/>
              <w:left w:val="single" w:sz="7" w:space="0" w:color="000000"/>
              <w:bottom w:val="single" w:sz="7" w:space="0" w:color="000000"/>
              <w:right w:val="single" w:sz="7" w:space="0" w:color="000000"/>
            </w:tcBorders>
          </w:tcPr>
          <w:p w14:paraId="553C07E6" w14:textId="77777777" w:rsidR="00B90373" w:rsidRPr="00C35766" w:rsidRDefault="00B90373" w:rsidP="0078780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38,1%</w:t>
            </w:r>
          </w:p>
        </w:tc>
        <w:tc>
          <w:tcPr>
            <w:tcW w:w="1481" w:type="dxa"/>
            <w:tcBorders>
              <w:top w:val="single" w:sz="7" w:space="0" w:color="000000"/>
              <w:left w:val="single" w:sz="7" w:space="0" w:color="000000"/>
              <w:bottom w:val="single" w:sz="7" w:space="0" w:color="000000"/>
              <w:right w:val="single" w:sz="7" w:space="0" w:color="000000"/>
            </w:tcBorders>
          </w:tcPr>
          <w:p w14:paraId="7B07D6FF" w14:textId="77777777" w:rsidR="00B90373" w:rsidRPr="00C35766" w:rsidRDefault="00B90373" w:rsidP="0078780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0,608</w:t>
            </w:r>
          </w:p>
        </w:tc>
      </w:tr>
      <w:tr w:rsidR="00B90373" w:rsidRPr="00C35766" w14:paraId="01DA9202" w14:textId="77777777" w:rsidTr="005A5DEF">
        <w:trPr>
          <w:jc w:val="center"/>
        </w:trPr>
        <w:tc>
          <w:tcPr>
            <w:tcW w:w="3518" w:type="dxa"/>
            <w:tcBorders>
              <w:top w:val="single" w:sz="7" w:space="0" w:color="000000"/>
              <w:left w:val="single" w:sz="7" w:space="0" w:color="000000"/>
              <w:bottom w:val="single" w:sz="5" w:space="0" w:color="000000"/>
              <w:right w:val="single" w:sz="7" w:space="0" w:color="000000"/>
            </w:tcBorders>
          </w:tcPr>
          <w:p w14:paraId="21446133" w14:textId="77777777" w:rsidR="00B90373" w:rsidRPr="00C35766" w:rsidRDefault="00B90373" w:rsidP="0078780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tcBorders>
              <w:top w:val="single" w:sz="7" w:space="0" w:color="000000"/>
              <w:left w:val="single" w:sz="7" w:space="0" w:color="000000"/>
              <w:bottom w:val="single" w:sz="5" w:space="0" w:color="000000"/>
              <w:right w:val="single" w:sz="7" w:space="0" w:color="000000"/>
            </w:tcBorders>
          </w:tcPr>
          <w:p w14:paraId="5751A2CA" w14:textId="77777777" w:rsidR="00B90373" w:rsidRPr="00C35766" w:rsidRDefault="00B90373" w:rsidP="0078780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40,0%</w:t>
            </w:r>
          </w:p>
        </w:tc>
        <w:tc>
          <w:tcPr>
            <w:tcW w:w="1985" w:type="dxa"/>
            <w:tcBorders>
              <w:top w:val="single" w:sz="7" w:space="0" w:color="000000"/>
              <w:left w:val="single" w:sz="7" w:space="0" w:color="000000"/>
              <w:bottom w:val="single" w:sz="5" w:space="0" w:color="000000"/>
              <w:right w:val="single" w:sz="7" w:space="0" w:color="000000"/>
            </w:tcBorders>
          </w:tcPr>
          <w:p w14:paraId="71DF013D" w14:textId="77777777" w:rsidR="00B90373" w:rsidRPr="00C35766" w:rsidRDefault="00B90373" w:rsidP="0078780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1481" w:type="dxa"/>
            <w:tcBorders>
              <w:top w:val="single" w:sz="7" w:space="0" w:color="000000"/>
              <w:left w:val="single" w:sz="7" w:space="0" w:color="000000"/>
              <w:bottom w:val="single" w:sz="5" w:space="0" w:color="000000"/>
              <w:right w:val="single" w:sz="7" w:space="0" w:color="000000"/>
            </w:tcBorders>
          </w:tcPr>
          <w:p w14:paraId="133F638B" w14:textId="77777777" w:rsidR="00B90373" w:rsidRPr="00C35766" w:rsidRDefault="00B90373" w:rsidP="0078780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0,303</w:t>
            </w:r>
          </w:p>
        </w:tc>
      </w:tr>
    </w:tbl>
    <w:p w14:paraId="39200748" w14:textId="4E898185" w:rsidR="00B90373" w:rsidRPr="00C35766" w:rsidRDefault="00620228" w:rsidP="00146E60">
      <w:pPr>
        <w:pStyle w:val="a3"/>
        <w:numPr>
          <w:ilvl w:val="0"/>
          <w:numId w:val="0"/>
        </w:numPr>
        <w:ind w:left="170"/>
        <w:rPr>
          <w:lang w:val="it-IT"/>
        </w:rPr>
      </w:pPr>
      <w:r w:rsidRPr="00146E60">
        <w:rPr>
          <w:rFonts w:eastAsia="Times New Roman"/>
          <w:vertAlign w:val="superscript"/>
          <w:lang w:val="it-IT"/>
        </w:rPr>
        <w:t>1</w:t>
      </w:r>
      <w:r>
        <w:rPr>
          <w:rFonts w:eastAsia="Times New Roman"/>
          <w:vertAlign w:val="superscript"/>
          <w:lang w:val="it-IT"/>
        </w:rPr>
        <w:t xml:space="preserve"> </w:t>
      </w:r>
      <w:r w:rsidR="00B90373" w:rsidRPr="00C35766">
        <w:rPr>
          <w:rFonts w:eastAsia="Times New Roman"/>
          <w:lang w:val="it-IT"/>
        </w:rPr>
        <w:t xml:space="preserve">confronto valore p per Dose Standard </w:t>
      </w:r>
      <w:r w:rsidR="00B90373" w:rsidRPr="00C35766">
        <w:rPr>
          <w:lang w:val="it-IT"/>
        </w:rPr>
        <w:t>versus</w:t>
      </w:r>
      <w:r w:rsidR="00B90373" w:rsidRPr="00C35766">
        <w:rPr>
          <w:rFonts w:eastAsia="Times New Roman"/>
          <w:lang w:val="it-IT"/>
        </w:rPr>
        <w:t xml:space="preserve"> Bassa Dose.</w:t>
      </w:r>
    </w:p>
    <w:p w14:paraId="1CC4239C" w14:textId="6B7D5BB1" w:rsidR="00B90373" w:rsidRPr="00C35766" w:rsidRDefault="00620228" w:rsidP="00146E60">
      <w:pPr>
        <w:pStyle w:val="a3"/>
        <w:numPr>
          <w:ilvl w:val="0"/>
          <w:numId w:val="0"/>
        </w:numPr>
        <w:ind w:left="170"/>
        <w:rPr>
          <w:lang w:val="it-IT"/>
        </w:rPr>
      </w:pPr>
      <w:r w:rsidRPr="00146E60">
        <w:rPr>
          <w:rFonts w:eastAsia="Times New Roman"/>
          <w:vertAlign w:val="superscript"/>
          <w:lang w:val="it-IT"/>
        </w:rPr>
        <w:t>2</w:t>
      </w:r>
      <w:r>
        <w:rPr>
          <w:rFonts w:eastAsia="Times New Roman"/>
          <w:vertAlign w:val="superscript"/>
          <w:lang w:val="it-IT"/>
        </w:rPr>
        <w:t xml:space="preserve"> </w:t>
      </w:r>
      <w:r w:rsidR="00B90373" w:rsidRPr="00C35766">
        <w:rPr>
          <w:rFonts w:eastAsia="Times New Roman"/>
          <w:lang w:val="it-IT"/>
        </w:rPr>
        <w:t>la terapia immunosoppressiva poteva essere interrotta solo alla o dopo la Settimana 26 a discrezione dello sperimentatore se il soggetto aveva raggiunto il criterio della risposta clinica</w:t>
      </w:r>
    </w:p>
    <w:p w14:paraId="2B96E8F8" w14:textId="17F53B21" w:rsidR="00B90373" w:rsidRPr="00C35766" w:rsidRDefault="00620228" w:rsidP="00146E60">
      <w:pPr>
        <w:pStyle w:val="a3"/>
        <w:numPr>
          <w:ilvl w:val="0"/>
          <w:numId w:val="0"/>
        </w:numPr>
        <w:ind w:left="170"/>
        <w:rPr>
          <w:lang w:val="it-IT"/>
        </w:rPr>
      </w:pPr>
      <w:r w:rsidRPr="00146E60">
        <w:rPr>
          <w:rFonts w:eastAsia="Times New Roman"/>
          <w:vertAlign w:val="superscript"/>
          <w:lang w:val="it-IT"/>
        </w:rPr>
        <w:t>3</w:t>
      </w:r>
      <w:r>
        <w:rPr>
          <w:rFonts w:eastAsia="Times New Roman"/>
          <w:vertAlign w:val="superscript"/>
          <w:lang w:val="it-IT"/>
        </w:rPr>
        <w:t xml:space="preserve"> </w:t>
      </w:r>
      <w:r w:rsidR="00B90373" w:rsidRPr="00C35766">
        <w:rPr>
          <w:rFonts w:eastAsia="Times New Roman"/>
          <w:lang w:val="it-IT"/>
        </w:rPr>
        <w:t>definito come chiusura di tutte le fistole che si stavano esaurendo al basale per almeno 2 visite consecutive post-basale</w:t>
      </w:r>
    </w:p>
    <w:p w14:paraId="57744F01" w14:textId="77777777" w:rsidR="00B90373" w:rsidRPr="00C35766" w:rsidRDefault="00B90373" w:rsidP="00B90373">
      <w:pPr>
        <w:spacing w:before="8" w:line="170" w:lineRule="exact"/>
        <w:rPr>
          <w:rFonts w:ascii="Times New Roman" w:hAnsi="Times New Roman" w:cs="Times New Roman"/>
          <w:sz w:val="17"/>
          <w:lang w:val="it-IT"/>
        </w:rPr>
      </w:pPr>
    </w:p>
    <w:p w14:paraId="2407BC32" w14:textId="77777777" w:rsidR="00B90373" w:rsidRPr="00C35766" w:rsidRDefault="00B90373" w:rsidP="00B90373">
      <w:pPr>
        <w:pStyle w:val="a3"/>
        <w:rPr>
          <w:lang w:val="pt-BR"/>
        </w:rPr>
      </w:pPr>
      <w:r w:rsidRPr="00C35766">
        <w:rPr>
          <w:rFonts w:eastAsia="Times New Roman"/>
          <w:lang w:val="it-IT"/>
        </w:rPr>
        <w:t>Per entrambi i gruppi di trattamento sono stati osservati incrementi (miglioramenti) statisticamente significativi dell’Indice di Massa Corporea e della velocità di accrescimento staturale dal basale alla Settimana 26 e 52.</w:t>
      </w:r>
    </w:p>
    <w:p w14:paraId="57CB940B" w14:textId="77777777" w:rsidR="00B90373" w:rsidRPr="00C35766" w:rsidRDefault="00B90373" w:rsidP="00B90373">
      <w:pPr>
        <w:spacing w:before="14" w:line="240" w:lineRule="exact"/>
        <w:rPr>
          <w:rFonts w:ascii="Times New Roman" w:hAnsi="Times New Roman" w:cs="Times New Roman"/>
          <w:sz w:val="24"/>
          <w:szCs w:val="24"/>
          <w:lang w:val="pt-BR"/>
        </w:rPr>
      </w:pPr>
    </w:p>
    <w:p w14:paraId="37FB4795" w14:textId="77777777" w:rsidR="00B90373" w:rsidRPr="00C35766" w:rsidRDefault="00B90373" w:rsidP="00B90373">
      <w:pPr>
        <w:pStyle w:val="a3"/>
        <w:rPr>
          <w:lang w:val="pt-BR"/>
        </w:rPr>
      </w:pPr>
      <w:r w:rsidRPr="00C35766">
        <w:rPr>
          <w:rFonts w:eastAsia="Times New Roman"/>
          <w:lang w:val="it-IT"/>
        </w:rPr>
        <w:t>In entrambi i gruppi di trattamento sono stati inoltre osservati miglioramenti statisticamente e clinicamente significativi rispetto al basale dei parametri di qualità di vita (incluso IMPACT III).</w:t>
      </w:r>
    </w:p>
    <w:p w14:paraId="3DF5F3F3" w14:textId="77777777" w:rsidR="00B90373" w:rsidRPr="00C35766" w:rsidRDefault="00B90373" w:rsidP="00B90373">
      <w:pPr>
        <w:pStyle w:val="a3"/>
        <w:rPr>
          <w:lang w:val="pt-BR"/>
        </w:rPr>
      </w:pPr>
    </w:p>
    <w:p w14:paraId="1F9C7C6F" w14:textId="77777777" w:rsidR="00B90373" w:rsidRPr="00C35766" w:rsidRDefault="00B90373" w:rsidP="00B90373">
      <w:pPr>
        <w:pStyle w:val="a3"/>
        <w:rPr>
          <w:lang w:val="it-IT"/>
        </w:rPr>
      </w:pPr>
      <w:r w:rsidRPr="00C35766">
        <w:rPr>
          <w:rFonts w:eastAsia="Times New Roman"/>
          <w:lang w:val="it-IT"/>
        </w:rPr>
        <w:t>Cento pazienti (n=100) dello Studio della Malattia di Crohn Pediatrica hanno continuato in uno studio di estensione in aperto a lungo termine. Dopo 5 anni di trattamento con adalimumab, il 74,0% (37/50) dei 50 pazienti rimasti nello studio ha continuato ad essere in remissione clinica e il 92,0% (46/50) dei pazienti ha continuato ad avere la risposta clinica per PCDAI.</w:t>
      </w:r>
    </w:p>
    <w:p w14:paraId="36AD8CB8" w14:textId="77777777" w:rsidR="00B90373" w:rsidRPr="004F0B2E" w:rsidRDefault="00B90373" w:rsidP="00B90373">
      <w:pPr>
        <w:rPr>
          <w:rFonts w:ascii="Times New Roman" w:hAnsi="Times New Roman" w:cs="Times New Roman"/>
          <w:lang w:val="it-IT"/>
        </w:rPr>
      </w:pPr>
    </w:p>
    <w:p w14:paraId="3AFC4B28" w14:textId="77777777" w:rsidR="00B90373" w:rsidRPr="004F0B2E" w:rsidRDefault="00B90373" w:rsidP="00B90373">
      <w:pPr>
        <w:keepNext/>
        <w:rPr>
          <w:rFonts w:ascii="Times New Roman" w:hAnsi="Times New Roman" w:cs="Times New Roman"/>
          <w:bCs/>
          <w:i/>
          <w:lang w:val="it-IT"/>
        </w:rPr>
      </w:pPr>
      <w:r w:rsidRPr="004F0B2E">
        <w:rPr>
          <w:rFonts w:ascii="Times New Roman" w:hAnsi="Times New Roman" w:cs="Times New Roman"/>
          <w:i/>
          <w:lang w:val="it-IT"/>
        </w:rPr>
        <w:t>Colite ulcerosa pediatrica</w:t>
      </w:r>
    </w:p>
    <w:p w14:paraId="7BDC0EFA" w14:textId="77777777" w:rsidR="00B90373" w:rsidRPr="004F0B2E" w:rsidRDefault="00B90373" w:rsidP="00B90373">
      <w:pPr>
        <w:keepNext/>
        <w:rPr>
          <w:rFonts w:ascii="Times New Roman" w:hAnsi="Times New Roman" w:cs="Times New Roman"/>
          <w:bCs/>
          <w:i/>
          <w:lang w:val="it-IT"/>
        </w:rPr>
      </w:pPr>
    </w:p>
    <w:p w14:paraId="443777AB" w14:textId="203D779A" w:rsidR="00B90373" w:rsidRPr="004F0B2E" w:rsidRDefault="00B90373" w:rsidP="00B90373">
      <w:pPr>
        <w:rPr>
          <w:rFonts w:ascii="Times New Roman" w:hAnsi="Times New Roman" w:cs="Times New Roman"/>
          <w:lang w:val="it-IT"/>
        </w:rPr>
      </w:pPr>
      <w:r w:rsidRPr="004F0B2E">
        <w:rPr>
          <w:rFonts w:ascii="Times New Roman" w:hAnsi="Times New Roman" w:cs="Times New Roman"/>
          <w:lang w:val="it-IT"/>
        </w:rPr>
        <w:t>La sicurezza e l'efficacia di adalimumab sono state valutate in uno studio multicentrico, randomizzato, in doppio cieco, condotto su 93 pazienti pediatrici di età compresa tra 5 e 17 anni affetti da colite ulcerosa da moderata a severa (Mayo Score da 6 a 12 con sottopunteggio endoscopico da 2 a 3 punti, confermato mediante endoscopia refertata da un operatore indipendente) che hanno avuto una risposta inadeguata o intolleranza alla terapia convenzionale. Circa il 16% dei pazienti nello studio aveva fallito un precedente trattamento con anti-TNF. Ai pazienti che avevano ricevuto corticosteroidi all'arruolamento è stato consentito di ridurre la terapia con corticosteroidi dopo la Settimana 4.</w:t>
      </w:r>
    </w:p>
    <w:p w14:paraId="1EF6B5DD" w14:textId="77777777" w:rsidR="00B90373" w:rsidRPr="004F0B2E" w:rsidRDefault="00B90373" w:rsidP="00B90373">
      <w:pPr>
        <w:rPr>
          <w:rFonts w:ascii="Times New Roman" w:hAnsi="Times New Roman" w:cs="Times New Roman"/>
          <w:lang w:val="it-IT"/>
        </w:rPr>
      </w:pPr>
    </w:p>
    <w:p w14:paraId="79AB917C" w14:textId="556E6109" w:rsidR="00B90373" w:rsidRPr="004F0B2E" w:rsidRDefault="00B90373" w:rsidP="00B90373">
      <w:pPr>
        <w:rPr>
          <w:rFonts w:ascii="Times New Roman" w:hAnsi="Times New Roman" w:cs="Times New Roman"/>
          <w:lang w:val="it-IT"/>
        </w:rPr>
      </w:pPr>
      <w:r w:rsidRPr="004F0B2E">
        <w:rPr>
          <w:rStyle w:val="normaltextrun"/>
          <w:rFonts w:ascii="Times New Roman" w:hAnsi="Times New Roman" w:cs="Times New Roman"/>
          <w:shd w:val="clear" w:color="auto" w:fill="FFFFFF"/>
          <w:lang w:val="it-IT"/>
        </w:rPr>
        <w:t xml:space="preserve">Nel periodo di induzione dello studio, 77 pazienti sono stati randomizzati 3:2 per ricevere un trattamento in doppio cieco con adalimumab a una dose di induzione di 2,4 mg/kg (massimo 160 mg) alla Settimana 0 e </w:t>
      </w:r>
      <w:r w:rsidRPr="004F0B2E">
        <w:rPr>
          <w:rStyle w:val="normaltextrun"/>
          <w:rFonts w:ascii="Times New Roman" w:hAnsi="Times New Roman" w:cs="Times New Roman"/>
          <w:shd w:val="clear" w:color="auto" w:fill="FFFFFF"/>
          <w:lang w:val="it-IT"/>
        </w:rPr>
        <w:lastRenderedPageBreak/>
        <w:t>alla Settimana 1 e di 1,2 mg/kg (massimo 80 mg) alla Settimana 2, oppure una dose di induzione di 2,4 mg/kg (massimo 160 mg) alla Settimana 0, placebo alla Settimana 1 e 1,2 mg/kg (massimo 80 mg) alla Settimana 2. Entrambi i gruppi hanno ricevuto 0,6 mg/kg (massimo 40 mg) alla Settimana 4 e alla Settimana 6. A seguito di un emendamento al disegno dello studio, i restanti 16 pazienti arruolati hanno ricevuto nel periodo di induzione un trattamento in aperto con adalimumab alla dose di induzione di 2,4 mg/kg (massimo 160 mg) alla Settimana 0 e alla Settimana 1 e di 1,2 mg/kg (massimo 80 mg) alla Settimana 2.</w:t>
      </w:r>
      <w:r w:rsidRPr="004F0B2E">
        <w:rPr>
          <w:rStyle w:val="eop"/>
          <w:rFonts w:ascii="Times New Roman" w:hAnsi="Times New Roman" w:cs="Times New Roman"/>
          <w:shd w:val="clear" w:color="auto" w:fill="FFFFFF"/>
          <w:lang w:val="it-IT"/>
        </w:rPr>
        <w:t> </w:t>
      </w:r>
    </w:p>
    <w:p w14:paraId="45F936B6" w14:textId="77777777" w:rsidR="00B90373" w:rsidRPr="004F0B2E" w:rsidRDefault="00B90373" w:rsidP="00B90373">
      <w:pPr>
        <w:rPr>
          <w:rFonts w:ascii="Times New Roman" w:hAnsi="Times New Roman" w:cs="Times New Roman"/>
          <w:lang w:val="it-IT"/>
        </w:rPr>
      </w:pPr>
    </w:p>
    <w:p w14:paraId="04B4B6EB" w14:textId="7D125CD2" w:rsidR="00B90373" w:rsidRPr="004F0B2E" w:rsidRDefault="00B90373" w:rsidP="00B90373">
      <w:pPr>
        <w:rPr>
          <w:rStyle w:val="eop"/>
          <w:rFonts w:ascii="Times New Roman" w:hAnsi="Times New Roman" w:cs="Times New Roman"/>
          <w:shd w:val="clear" w:color="auto" w:fill="FFFFFF"/>
          <w:lang w:val="it-IT"/>
        </w:rPr>
      </w:pPr>
      <w:r w:rsidRPr="004F0B2E">
        <w:rPr>
          <w:rStyle w:val="normaltextrun"/>
          <w:rFonts w:ascii="Times New Roman" w:hAnsi="Times New Roman" w:cs="Times New Roman"/>
          <w:shd w:val="clear" w:color="auto" w:fill="FFFFFF"/>
          <w:lang w:val="it-IT"/>
        </w:rPr>
        <w:t>Alla Settimana 8, 62 pazienti che avevano dimostrato una risposta clinica come indicato dal Partial Mayo Score (PMS; definito come una diminuzione del PMS ≥ 2 punti e ≥ 30% dal basale) sono stati randomizzati 1:1 a ricevere un trattamento di mantenimento in doppio cieco con adalimumab ad una dose di 0,6 mg/kg (massimo 40 mg) ogni settimana o ad una dose di mantenimento di 0,6 mg/kg (massimo 40 mg) a settimane alterne. Prima di un emendamento al disegno dello studio, altri 12 pazienti che avevano dimostrato una risposta clinica come indicato dal PMS, sono stati randomizzati a ricevere placebo ma non sono stati inclusi nell'analisi di conferma dell'efficacia.</w:t>
      </w:r>
    </w:p>
    <w:p w14:paraId="23D9FDD6" w14:textId="77777777" w:rsidR="00B90373" w:rsidRPr="004F0B2E" w:rsidRDefault="00B90373" w:rsidP="00B90373">
      <w:pPr>
        <w:rPr>
          <w:rFonts w:ascii="Times New Roman" w:hAnsi="Times New Roman" w:cs="Times New Roman"/>
          <w:lang w:val="it-IT"/>
        </w:rPr>
      </w:pPr>
    </w:p>
    <w:p w14:paraId="7CEBB183" w14:textId="77777777" w:rsidR="00B90373" w:rsidRPr="004F0B2E" w:rsidRDefault="00B90373" w:rsidP="00B90373">
      <w:pPr>
        <w:rPr>
          <w:rFonts w:ascii="Times New Roman" w:hAnsi="Times New Roman" w:cs="Times New Roman"/>
          <w:lang w:val="it-IT"/>
        </w:rPr>
      </w:pPr>
      <w:r w:rsidRPr="004F0B2E">
        <w:rPr>
          <w:rFonts w:ascii="Times New Roman" w:hAnsi="Times New Roman" w:cs="Times New Roman"/>
          <w:lang w:val="it-IT"/>
        </w:rPr>
        <w:t>La riacutizzazione della malattia è stata definita come un aumento del PMS di almeno 3 punti (per i pazienti con PMS da 0 a 2 alla Settimana 8), di almeno 2 punti (per i pazienti con PMS da 3 a 4 alla Settimana 8) o almeno di 1 punto (per i pazienti con PMS da 5 a 6 alla Settimana 8). </w:t>
      </w:r>
    </w:p>
    <w:p w14:paraId="7905E652" w14:textId="77777777" w:rsidR="00B90373" w:rsidRPr="004F0B2E" w:rsidRDefault="00B90373" w:rsidP="00B90373">
      <w:pPr>
        <w:rPr>
          <w:rFonts w:ascii="Times New Roman" w:hAnsi="Times New Roman" w:cs="Times New Roman"/>
          <w:lang w:val="it-IT"/>
        </w:rPr>
      </w:pPr>
    </w:p>
    <w:p w14:paraId="7261E22E" w14:textId="7C416CFC" w:rsidR="00B90373" w:rsidRPr="004F0B2E" w:rsidRDefault="00B90373" w:rsidP="00B90373">
      <w:pPr>
        <w:rPr>
          <w:rFonts w:ascii="Times New Roman" w:hAnsi="Times New Roman" w:cs="Times New Roman"/>
          <w:lang w:val="it-IT"/>
        </w:rPr>
      </w:pPr>
      <w:r w:rsidRPr="004F0B2E">
        <w:rPr>
          <w:rFonts w:ascii="Times New Roman" w:hAnsi="Times New Roman" w:cs="Times New Roman"/>
          <w:lang w:val="it-IT"/>
        </w:rPr>
        <w:t>I pazienti che hanno presentato i criteri di riacutizzazione di malattia alla Settimana 12 o successivamente, sono stati randomizzati a ricevere una dose di reinduzione di 2,4 mg/kg (massimo 160 mg) o una dose di 0,6 mg/kg (massimo 40 mg) e hanno continuato a ricevere successivamente il rispettivo regime di mantenimento. </w:t>
      </w:r>
    </w:p>
    <w:p w14:paraId="74FF0A76" w14:textId="77777777" w:rsidR="00805BD0" w:rsidRPr="004F0B2E" w:rsidRDefault="00805BD0" w:rsidP="00B90373">
      <w:pPr>
        <w:rPr>
          <w:rFonts w:ascii="Times New Roman" w:hAnsi="Times New Roman" w:cs="Times New Roman"/>
          <w:lang w:val="it-IT"/>
        </w:rPr>
      </w:pPr>
    </w:p>
    <w:p w14:paraId="302EEB6F" w14:textId="77777777" w:rsidR="00B90373" w:rsidRPr="00C35766" w:rsidRDefault="00B90373" w:rsidP="00B3291C">
      <w:pPr>
        <w:pStyle w:val="gtcbodytext"/>
        <w:spacing w:before="0" w:after="0" w:line="240" w:lineRule="auto"/>
        <w:rPr>
          <w:i/>
          <w:iCs/>
          <w:sz w:val="22"/>
          <w:szCs w:val="22"/>
          <w:lang w:val="it-IT"/>
        </w:rPr>
      </w:pPr>
      <w:r w:rsidRPr="00C35766">
        <w:rPr>
          <w:i/>
          <w:sz w:val="22"/>
          <w:szCs w:val="22"/>
          <w:lang w:val="it-IT"/>
        </w:rPr>
        <w:t>Risultati di efficacia</w:t>
      </w:r>
    </w:p>
    <w:p w14:paraId="130ACA62" w14:textId="77777777" w:rsidR="00B90373" w:rsidRPr="004F0B2E" w:rsidRDefault="00B90373" w:rsidP="00933496">
      <w:pPr>
        <w:rPr>
          <w:rFonts w:ascii="Times New Roman" w:hAnsi="Times New Roman" w:cs="Times New Roman"/>
          <w:lang w:val="it-IT"/>
        </w:rPr>
      </w:pPr>
    </w:p>
    <w:p w14:paraId="2002C8E7" w14:textId="77777777" w:rsidR="00B90373" w:rsidRPr="004F0B2E" w:rsidRDefault="00B90373" w:rsidP="00933496">
      <w:pPr>
        <w:rPr>
          <w:rFonts w:ascii="Times New Roman" w:hAnsi="Times New Roman" w:cs="Times New Roman"/>
          <w:lang w:val="it-IT"/>
        </w:rPr>
      </w:pPr>
      <w:r w:rsidRPr="004F0B2E">
        <w:rPr>
          <w:rFonts w:ascii="Times New Roman" w:hAnsi="Times New Roman" w:cs="Times New Roman"/>
          <w:lang w:val="it-IT"/>
        </w:rPr>
        <w:t>Gli endpoint co-primari dello studio sono stati la remissione clinica come indicato dal PMS (definita come PMS ≤ 2 e nessun sottopunteggio individuale &gt; 1) alla Settimana 8 e remissione clinica come indicato dal FMS (Full Mayo Score) (definito come Mayo Score ≤ 2 e nessun sottopunteggio individuale &gt; 1) alla Settimana 52 nei pazienti che avevano ottenuto una risposta clinica come indicato dal PMS alla Settimana 8.</w:t>
      </w:r>
    </w:p>
    <w:p w14:paraId="25E1FB58" w14:textId="77777777" w:rsidR="00B90373" w:rsidRPr="004F0B2E" w:rsidRDefault="00B90373" w:rsidP="00B3291C">
      <w:pPr>
        <w:textAlignment w:val="baseline"/>
        <w:rPr>
          <w:rFonts w:ascii="Times New Roman" w:hAnsi="Times New Roman" w:cs="Times New Roman"/>
          <w:lang w:val="it-IT" w:eastAsia="en-GB"/>
        </w:rPr>
      </w:pPr>
    </w:p>
    <w:p w14:paraId="69742600" w14:textId="2AD6AEDF" w:rsidR="00B90373" w:rsidRPr="004F0B2E" w:rsidRDefault="00B90373" w:rsidP="00B3291C">
      <w:pPr>
        <w:textAlignment w:val="baseline"/>
        <w:rPr>
          <w:rFonts w:ascii="Times New Roman" w:hAnsi="Times New Roman" w:cs="Times New Roman"/>
          <w:lang w:val="it-IT"/>
        </w:rPr>
      </w:pPr>
      <w:r w:rsidRPr="004F0B2E">
        <w:rPr>
          <w:rFonts w:ascii="Times New Roman" w:hAnsi="Times New Roman" w:cs="Times New Roman"/>
          <w:lang w:val="it-IT"/>
        </w:rPr>
        <w:t>I tassi di remissione clinica come indicato dal PMS alla Settimana 8 per i pazienti in ciascuno dei gruppi di induzione in doppio cieco di adalimumab sono mostrati nella Tabella 31. </w:t>
      </w:r>
    </w:p>
    <w:p w14:paraId="08FF58FD" w14:textId="77777777" w:rsidR="00805BD0" w:rsidRPr="004F0B2E" w:rsidRDefault="00805BD0" w:rsidP="00B3291C">
      <w:pPr>
        <w:textAlignment w:val="baseline"/>
        <w:rPr>
          <w:rFonts w:ascii="Times New Roman" w:hAnsi="Times New Roman" w:cs="Times New Roman"/>
          <w:lang w:val="it-IT"/>
        </w:rPr>
      </w:pPr>
    </w:p>
    <w:p w14:paraId="27E2AF55" w14:textId="39BB8D34" w:rsidR="00B90373" w:rsidRDefault="00B90373" w:rsidP="00B3291C">
      <w:pPr>
        <w:pStyle w:val="gtcbodytext"/>
        <w:spacing w:before="0" w:after="0" w:line="240" w:lineRule="auto"/>
        <w:jc w:val="center"/>
        <w:rPr>
          <w:b/>
          <w:sz w:val="22"/>
          <w:szCs w:val="22"/>
          <w:lang w:val="it-IT"/>
        </w:rPr>
      </w:pPr>
      <w:r w:rsidRPr="00C35766">
        <w:rPr>
          <w:b/>
          <w:sz w:val="22"/>
          <w:szCs w:val="22"/>
          <w:lang w:val="it-IT"/>
        </w:rPr>
        <w:t>Tabella 31</w:t>
      </w:r>
      <w:r w:rsidR="00F43377">
        <w:rPr>
          <w:b/>
          <w:sz w:val="22"/>
          <w:szCs w:val="22"/>
          <w:lang w:val="it-IT"/>
        </w:rPr>
        <w:t>.</w:t>
      </w:r>
      <w:r w:rsidRPr="00C35766">
        <w:rPr>
          <w:b/>
          <w:sz w:val="22"/>
          <w:szCs w:val="22"/>
          <w:lang w:val="it-IT"/>
        </w:rPr>
        <w:t xml:space="preserve"> Remissione Clinica in base al PMS a 8 Settimane</w:t>
      </w:r>
    </w:p>
    <w:tbl>
      <w:tblPr>
        <w:tblW w:w="4774" w:type="pct"/>
        <w:jc w:val="center"/>
        <w:tblLook w:val="04A0" w:firstRow="1" w:lastRow="0" w:firstColumn="1" w:lastColumn="0" w:noHBand="0" w:noVBand="1"/>
      </w:tblPr>
      <w:tblGrid>
        <w:gridCol w:w="2686"/>
        <w:gridCol w:w="3312"/>
        <w:gridCol w:w="3057"/>
      </w:tblGrid>
      <w:tr w:rsidR="00B90373" w:rsidRPr="00C35766" w14:paraId="283C7E6C" w14:textId="77777777" w:rsidTr="005A5DEF">
        <w:trPr>
          <w:jc w:val="center"/>
        </w:trPr>
        <w:tc>
          <w:tcPr>
            <w:tcW w:w="148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E6D27D8" w14:textId="77777777" w:rsidR="00B90373" w:rsidRPr="004F0B2E" w:rsidRDefault="00B90373" w:rsidP="00787805">
            <w:pPr>
              <w:rPr>
                <w:rFonts w:ascii="Times New Roman" w:hAnsi="Times New Roman" w:cs="Times New Roman"/>
                <w:lang w:val="it-IT"/>
              </w:rPr>
            </w:pPr>
          </w:p>
        </w:tc>
        <w:tc>
          <w:tcPr>
            <w:tcW w:w="182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C9E6CBF" w14:textId="58B8AB60" w:rsidR="00B90373" w:rsidRPr="00C35766" w:rsidRDefault="00B90373" w:rsidP="00787805">
            <w:pPr>
              <w:pStyle w:val="paragraph"/>
              <w:spacing w:before="0" w:beforeAutospacing="0" w:after="0" w:afterAutospacing="0"/>
              <w:jc w:val="center"/>
              <w:textAlignment w:val="baseline"/>
              <w:rPr>
                <w:b/>
                <w:bCs/>
                <w:sz w:val="22"/>
                <w:szCs w:val="22"/>
              </w:rPr>
            </w:pPr>
            <w:r w:rsidRPr="00C35766">
              <w:rPr>
                <w:rStyle w:val="spellingerror"/>
                <w:b/>
                <w:sz w:val="22"/>
                <w:szCs w:val="22"/>
              </w:rPr>
              <w:t>Adalimumab</w:t>
            </w:r>
            <w:r w:rsidRPr="00C35766">
              <w:rPr>
                <w:rStyle w:val="spellingerror"/>
                <w:b/>
                <w:sz w:val="22"/>
                <w:szCs w:val="22"/>
                <w:vertAlign w:val="superscript"/>
              </w:rPr>
              <w:t>a</w:t>
            </w:r>
            <w:r w:rsidRPr="00C35766">
              <w:rPr>
                <w:rStyle w:val="eop"/>
                <w:b/>
                <w:sz w:val="22"/>
                <w:szCs w:val="22"/>
              </w:rPr>
              <w:t> </w:t>
            </w:r>
          </w:p>
          <w:p w14:paraId="64BECF13" w14:textId="77777777" w:rsidR="00B90373" w:rsidRPr="004F0B2E" w:rsidRDefault="00B90373" w:rsidP="00787805">
            <w:pPr>
              <w:jc w:val="center"/>
              <w:rPr>
                <w:rStyle w:val="eop"/>
                <w:rFonts w:ascii="Times New Roman" w:hAnsi="Times New Roman" w:cs="Times New Roman"/>
                <w:b/>
                <w:bCs/>
                <w:lang w:val="it-IT"/>
              </w:rPr>
            </w:pPr>
            <w:r w:rsidRPr="004F0B2E">
              <w:rPr>
                <w:rStyle w:val="normaltextrun"/>
                <w:rFonts w:ascii="Times New Roman" w:hAnsi="Times New Roman" w:cs="Times New Roman"/>
                <w:b/>
                <w:lang w:val="it-IT"/>
              </w:rPr>
              <w:t>Massimo 160 mg alla Settimana 0/Placebo alla Settimana 1</w:t>
            </w:r>
            <w:r w:rsidRPr="004F0B2E">
              <w:rPr>
                <w:rStyle w:val="eop"/>
                <w:rFonts w:ascii="Times New Roman" w:hAnsi="Times New Roman" w:cs="Times New Roman"/>
                <w:b/>
                <w:lang w:val="it-IT"/>
              </w:rPr>
              <w:t> </w:t>
            </w:r>
          </w:p>
          <w:p w14:paraId="071AF721" w14:textId="77777777" w:rsidR="00B90373" w:rsidRPr="00C35766" w:rsidRDefault="00B90373" w:rsidP="00787805">
            <w:pPr>
              <w:jc w:val="center"/>
              <w:rPr>
                <w:rFonts w:ascii="Times New Roman" w:hAnsi="Times New Roman" w:cs="Times New Roman"/>
              </w:rPr>
            </w:pPr>
            <w:r w:rsidRPr="00C35766">
              <w:rPr>
                <w:rStyle w:val="eop"/>
                <w:rFonts w:ascii="Times New Roman" w:hAnsi="Times New Roman" w:cs="Times New Roman"/>
              </w:rPr>
              <w:t>N=30</w:t>
            </w:r>
          </w:p>
        </w:tc>
        <w:tc>
          <w:tcPr>
            <w:tcW w:w="16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875DB1" w14:textId="02E07EAF" w:rsidR="00B90373" w:rsidRPr="00C35766" w:rsidRDefault="00B90373" w:rsidP="00787805">
            <w:pPr>
              <w:pStyle w:val="paragraph"/>
              <w:spacing w:before="0" w:beforeAutospacing="0" w:after="0" w:afterAutospacing="0"/>
              <w:jc w:val="center"/>
              <w:textAlignment w:val="baseline"/>
              <w:rPr>
                <w:b/>
                <w:bCs/>
                <w:sz w:val="22"/>
                <w:szCs w:val="22"/>
              </w:rPr>
            </w:pPr>
            <w:r w:rsidRPr="00C35766">
              <w:rPr>
                <w:rStyle w:val="spellingerror"/>
                <w:b/>
                <w:sz w:val="22"/>
                <w:szCs w:val="22"/>
              </w:rPr>
              <w:t>Adalimumab</w:t>
            </w:r>
            <w:r w:rsidRPr="00C35766">
              <w:rPr>
                <w:rStyle w:val="spellingerror"/>
                <w:b/>
                <w:sz w:val="22"/>
                <w:szCs w:val="22"/>
                <w:vertAlign w:val="superscript"/>
              </w:rPr>
              <w:t>b</w:t>
            </w:r>
            <w:r w:rsidRPr="00C35766">
              <w:rPr>
                <w:rStyle w:val="normaltextrun"/>
                <w:b/>
                <w:sz w:val="22"/>
                <w:szCs w:val="22"/>
                <w:vertAlign w:val="superscript"/>
              </w:rPr>
              <w:t>, c</w:t>
            </w:r>
            <w:r w:rsidRPr="00C35766">
              <w:rPr>
                <w:rStyle w:val="eop"/>
                <w:b/>
                <w:sz w:val="22"/>
                <w:szCs w:val="22"/>
              </w:rPr>
              <w:t> </w:t>
            </w:r>
          </w:p>
          <w:p w14:paraId="54222BB0" w14:textId="77777777" w:rsidR="00B90373" w:rsidRPr="004F0B2E" w:rsidRDefault="00B90373" w:rsidP="00787805">
            <w:pPr>
              <w:jc w:val="center"/>
              <w:rPr>
                <w:rStyle w:val="eop"/>
                <w:rFonts w:ascii="Times New Roman" w:hAnsi="Times New Roman" w:cs="Times New Roman"/>
                <w:b/>
                <w:bCs/>
                <w:lang w:val="it-IT"/>
              </w:rPr>
            </w:pPr>
            <w:r w:rsidRPr="004F0B2E">
              <w:rPr>
                <w:rStyle w:val="normaltextrun"/>
                <w:rFonts w:ascii="Times New Roman" w:hAnsi="Times New Roman" w:cs="Times New Roman"/>
                <w:b/>
                <w:lang w:val="it-IT"/>
              </w:rPr>
              <w:t>Massimo 160 mg alla Settimana 0 e alla Settimana 1</w:t>
            </w:r>
            <w:r w:rsidRPr="004F0B2E">
              <w:rPr>
                <w:rStyle w:val="eop"/>
                <w:rFonts w:ascii="Times New Roman" w:hAnsi="Times New Roman" w:cs="Times New Roman"/>
                <w:b/>
                <w:lang w:val="it-IT"/>
              </w:rPr>
              <w:t> </w:t>
            </w:r>
          </w:p>
          <w:p w14:paraId="3DF2D75A" w14:textId="77777777" w:rsidR="00B90373" w:rsidRPr="00C35766" w:rsidRDefault="00B90373" w:rsidP="00787805">
            <w:pPr>
              <w:jc w:val="center"/>
              <w:rPr>
                <w:rFonts w:ascii="Times New Roman" w:hAnsi="Times New Roman" w:cs="Times New Roman"/>
              </w:rPr>
            </w:pPr>
            <w:r w:rsidRPr="00C35766">
              <w:rPr>
                <w:rStyle w:val="eop"/>
                <w:rFonts w:ascii="Times New Roman" w:hAnsi="Times New Roman" w:cs="Times New Roman"/>
              </w:rPr>
              <w:t>N=47</w:t>
            </w:r>
          </w:p>
        </w:tc>
      </w:tr>
      <w:tr w:rsidR="00B90373" w:rsidRPr="00C35766" w14:paraId="0D0BD204" w14:textId="77777777" w:rsidTr="005A5DEF">
        <w:trPr>
          <w:jc w:val="center"/>
        </w:trPr>
        <w:tc>
          <w:tcPr>
            <w:tcW w:w="148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3CAD033" w14:textId="77777777" w:rsidR="00B90373" w:rsidRPr="00C35766" w:rsidRDefault="00B90373" w:rsidP="00787805">
            <w:pPr>
              <w:rPr>
                <w:rFonts w:ascii="Times New Roman" w:hAnsi="Times New Roman" w:cs="Times New Roman"/>
              </w:rPr>
            </w:pPr>
            <w:r w:rsidRPr="00C35766">
              <w:rPr>
                <w:rFonts w:ascii="Times New Roman" w:hAnsi="Times New Roman" w:cs="Times New Roman"/>
              </w:rPr>
              <w:t>Remissione clinica</w:t>
            </w:r>
          </w:p>
        </w:tc>
        <w:tc>
          <w:tcPr>
            <w:tcW w:w="182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6A1FBA3"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13/30 (43,3%)</w:t>
            </w:r>
          </w:p>
        </w:tc>
        <w:tc>
          <w:tcPr>
            <w:tcW w:w="16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F3F5E28" w14:textId="77777777" w:rsidR="00B90373" w:rsidRPr="00C35766" w:rsidRDefault="00B90373" w:rsidP="00787805">
            <w:pPr>
              <w:jc w:val="center"/>
              <w:rPr>
                <w:rFonts w:ascii="Times New Roman" w:hAnsi="Times New Roman" w:cs="Times New Roman"/>
                <w:vertAlign w:val="superscript"/>
              </w:rPr>
            </w:pPr>
            <w:r w:rsidRPr="00C35766">
              <w:rPr>
                <w:rFonts w:ascii="Times New Roman" w:hAnsi="Times New Roman" w:cs="Times New Roman"/>
              </w:rPr>
              <w:t>28/47 (59,6%)</w:t>
            </w:r>
          </w:p>
        </w:tc>
      </w:tr>
      <w:tr w:rsidR="00B90373" w:rsidRPr="00494E69" w14:paraId="6C0D93F4" w14:textId="77777777" w:rsidTr="00933A6C">
        <w:trPr>
          <w:trHeight w:val="251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984A0BF" w14:textId="1A6DD4D7"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vertAlign w:val="superscript"/>
              </w:rPr>
              <w:t>a</w:t>
            </w:r>
            <w:r w:rsidRPr="00C35766">
              <w:rPr>
                <w:rStyle w:val="normaltextrun"/>
                <w:sz w:val="22"/>
                <w:szCs w:val="22"/>
              </w:rPr>
              <w:t>Adalimumab 2,4 mg/kg (massimo 160 mg) alla Settimana 0, placebo alla Settimana 1 e 1,2 mg/kg (massimo 80 mg) alla Settimana 2</w:t>
            </w:r>
            <w:r w:rsidRPr="00C35766">
              <w:rPr>
                <w:rStyle w:val="eop"/>
                <w:sz w:val="22"/>
                <w:szCs w:val="22"/>
              </w:rPr>
              <w:t> </w:t>
            </w:r>
          </w:p>
          <w:p w14:paraId="10178932" w14:textId="7BB340B5"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vertAlign w:val="superscript"/>
              </w:rPr>
              <w:t>b</w:t>
            </w:r>
            <w:r w:rsidRPr="00C35766">
              <w:rPr>
                <w:rStyle w:val="normaltextrun"/>
                <w:sz w:val="22"/>
                <w:szCs w:val="22"/>
              </w:rPr>
              <w:t>Adalimumab 2,4 mg/kg (massimo 160 mg) alla Settimana 0 e alla Settimana 1 e 1,2 mg/kg (massimo 80 mg) alla Settimana 2</w:t>
            </w:r>
            <w:r w:rsidRPr="00C35766">
              <w:rPr>
                <w:rStyle w:val="eop"/>
                <w:sz w:val="22"/>
                <w:szCs w:val="22"/>
              </w:rPr>
              <w:t> </w:t>
            </w:r>
          </w:p>
          <w:p w14:paraId="71F6F36A" w14:textId="7CAEA022"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vertAlign w:val="superscript"/>
              </w:rPr>
              <w:t>c</w:t>
            </w:r>
            <w:r w:rsidRPr="00C35766">
              <w:rPr>
                <w:rStyle w:val="normaltextrun"/>
                <w:sz w:val="22"/>
                <w:szCs w:val="22"/>
              </w:rPr>
              <w:t>Senza includere la dose di Induzione in aperto di adalimumab 2,4 mg/kg (massimo 160 mg) alla Settimana 0 e alla Settimana 1 e 1,2 mg/kg (massimo 80 mg) alla Settimana 2</w:t>
            </w:r>
          </w:p>
          <w:p w14:paraId="29E528D0" w14:textId="77777777"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rPr>
              <w:t>Nota 1: entrambi i gruppi di induzione hanno ricevuto 0,6 mg/kg (massimo 40 mg) alla Settimana 4 e alla Settimana 6</w:t>
            </w:r>
            <w:r w:rsidRPr="00C35766">
              <w:rPr>
                <w:rStyle w:val="eop"/>
                <w:sz w:val="22"/>
                <w:szCs w:val="22"/>
              </w:rPr>
              <w:t> </w:t>
            </w:r>
          </w:p>
          <w:p w14:paraId="575B7E6A" w14:textId="77777777"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rPr>
              <w:t>Nota 2: i pazienti con valori mancanti alla Settimana 8 sono stati considerati come non aver raggiunto</w:t>
            </w:r>
            <w:r w:rsidRPr="00C35766">
              <w:rPr>
                <w:rStyle w:val="normaltextrun"/>
              </w:rPr>
              <w:t xml:space="preserve"> </w:t>
            </w:r>
            <w:r w:rsidRPr="00C35766">
              <w:rPr>
                <w:rStyle w:val="normaltextrun"/>
                <w:sz w:val="22"/>
                <w:szCs w:val="22"/>
              </w:rPr>
              <w:t>l'endpoint</w:t>
            </w:r>
            <w:r w:rsidRPr="00C35766">
              <w:rPr>
                <w:rStyle w:val="eop"/>
                <w:sz w:val="22"/>
                <w:szCs w:val="22"/>
              </w:rPr>
              <w:t> </w:t>
            </w:r>
          </w:p>
        </w:tc>
      </w:tr>
    </w:tbl>
    <w:p w14:paraId="5FF1E39C" w14:textId="77777777" w:rsidR="00B90373" w:rsidRPr="004F0B2E" w:rsidRDefault="00B90373" w:rsidP="00B90373">
      <w:pPr>
        <w:rPr>
          <w:rFonts w:ascii="Times New Roman" w:hAnsi="Times New Roman" w:cs="Times New Roman"/>
          <w:lang w:val="it-IT"/>
        </w:rPr>
      </w:pPr>
    </w:p>
    <w:p w14:paraId="5DB5CE22" w14:textId="52AE43AE" w:rsidR="00B90373" w:rsidRPr="004F0B2E" w:rsidRDefault="00B90373" w:rsidP="00B90373">
      <w:pPr>
        <w:rPr>
          <w:rFonts w:ascii="Times New Roman" w:hAnsi="Times New Roman" w:cs="Times New Roman"/>
          <w:lang w:val="it-IT"/>
        </w:rPr>
      </w:pPr>
      <w:r w:rsidRPr="004F0B2E">
        <w:rPr>
          <w:rStyle w:val="normaltextrun"/>
          <w:rFonts w:ascii="Times New Roman" w:hAnsi="Times New Roman" w:cs="Times New Roman"/>
          <w:shd w:val="clear" w:color="auto" w:fill="FFFFFF"/>
          <w:lang w:val="it-IT"/>
        </w:rPr>
        <w:lastRenderedPageBreak/>
        <w:t xml:space="preserve">Alla Settimana 52, nei pazienti che avevano ricevuto adalimumab alle dosi di mantenimento massima in doppio cieco di 40 mg </w:t>
      </w:r>
      <w:r w:rsidRPr="004F0B2E">
        <w:rPr>
          <w:rStyle w:val="spellingerror"/>
          <w:rFonts w:ascii="Times New Roman" w:hAnsi="Times New Roman" w:cs="Times New Roman"/>
          <w:shd w:val="clear" w:color="auto" w:fill="FFFFFF"/>
          <w:lang w:val="it-IT"/>
        </w:rPr>
        <w:t>a settimane alterne</w:t>
      </w:r>
      <w:r w:rsidRPr="004F0B2E">
        <w:rPr>
          <w:rStyle w:val="normaltextrun"/>
          <w:rFonts w:ascii="Times New Roman" w:hAnsi="Times New Roman" w:cs="Times New Roman"/>
          <w:shd w:val="clear" w:color="auto" w:fill="FFFFFF"/>
          <w:lang w:val="it-IT"/>
        </w:rPr>
        <w:t xml:space="preserve"> (0,6 mg/kg) e massima di 40 mg </w:t>
      </w:r>
      <w:r w:rsidRPr="004F0B2E">
        <w:rPr>
          <w:rStyle w:val="spellingerror"/>
          <w:rFonts w:ascii="Times New Roman" w:hAnsi="Times New Roman" w:cs="Times New Roman"/>
          <w:shd w:val="clear" w:color="auto" w:fill="FFFFFF"/>
          <w:lang w:val="it-IT"/>
        </w:rPr>
        <w:t>a settimana</w:t>
      </w:r>
      <w:r w:rsidRPr="004F0B2E">
        <w:rPr>
          <w:rStyle w:val="normaltextrun"/>
          <w:rFonts w:ascii="Times New Roman" w:hAnsi="Times New Roman" w:cs="Times New Roman"/>
          <w:shd w:val="clear" w:color="auto" w:fill="FFFFFF"/>
          <w:lang w:val="it-IT"/>
        </w:rPr>
        <w:t xml:space="preserve"> (0,6 mg/kg), sono state valutate la remissione clinica come indicato dal FMS nei responder alla Settimana 8, la risposta clinica come indicato dal FMS (definita come una diminuzione del Mayo Score ≥ 3 punti e ≥ 30% dal basale) nei responder alla Settimana 8, la guarigione della mucosa come indicato dal FMS (definita come Mayo Score per endoscopia ≤ 1) nei responder alla Settimana 8, la remissione clinica come indicato dal FMS nei soggetti in remissione alla Settimana 8 e la proporzione di soggetti in remissione senza corticosteroidi come indicato dal FMS nei responder alla Settimana 8 (Tabella 32).</w:t>
      </w:r>
    </w:p>
    <w:p w14:paraId="22B1CEDC" w14:textId="77777777" w:rsidR="00B90373" w:rsidRPr="004F0B2E" w:rsidRDefault="00B90373" w:rsidP="00B90373">
      <w:pPr>
        <w:jc w:val="center"/>
        <w:textAlignment w:val="baseline"/>
        <w:rPr>
          <w:rFonts w:ascii="Times New Roman" w:hAnsi="Times New Roman" w:cs="Times New Roman"/>
          <w:b/>
          <w:lang w:val="it-IT" w:eastAsia="en-GB"/>
        </w:rPr>
      </w:pPr>
    </w:p>
    <w:p w14:paraId="6E30BC95" w14:textId="77777777" w:rsidR="00620228" w:rsidRPr="004F0B2E" w:rsidRDefault="00B90373" w:rsidP="00B90373">
      <w:pPr>
        <w:keepNext/>
        <w:jc w:val="center"/>
        <w:textAlignment w:val="baseline"/>
        <w:rPr>
          <w:rFonts w:ascii="Times New Roman" w:hAnsi="Times New Roman" w:cs="Times New Roman"/>
          <w:b/>
          <w:lang w:val="it-IT"/>
        </w:rPr>
      </w:pPr>
      <w:r w:rsidRPr="004F0B2E">
        <w:rPr>
          <w:rFonts w:ascii="Times New Roman" w:hAnsi="Times New Roman" w:cs="Times New Roman"/>
          <w:b/>
          <w:lang w:val="it-IT"/>
        </w:rPr>
        <w:t>Tabella 32</w:t>
      </w:r>
      <w:r w:rsidR="00F43377" w:rsidRPr="004F0B2E">
        <w:rPr>
          <w:rFonts w:ascii="Times New Roman" w:hAnsi="Times New Roman" w:cs="Times New Roman"/>
          <w:b/>
          <w:lang w:val="it-IT"/>
        </w:rPr>
        <w:t>.</w:t>
      </w:r>
      <w:r w:rsidRPr="004F0B2E">
        <w:rPr>
          <w:rFonts w:ascii="Times New Roman" w:hAnsi="Times New Roman" w:cs="Times New Roman"/>
          <w:b/>
          <w:lang w:val="it-IT"/>
        </w:rPr>
        <w:t xml:space="preserve"> Risultati di Efficacia a 52 Settimane</w:t>
      </w:r>
    </w:p>
    <w:tbl>
      <w:tblPr>
        <w:tblW w:w="800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67"/>
        <w:gridCol w:w="2409"/>
        <w:gridCol w:w="2633"/>
      </w:tblGrid>
      <w:tr w:rsidR="00B90373" w:rsidRPr="00494E69" w14:paraId="157585D3" w14:textId="77777777" w:rsidTr="005A5DEF">
        <w:trPr>
          <w:trHeight w:val="912"/>
          <w:jc w:val="center"/>
        </w:trPr>
        <w:tc>
          <w:tcPr>
            <w:tcW w:w="2967" w:type="dxa"/>
            <w:tcBorders>
              <w:top w:val="single" w:sz="6" w:space="0" w:color="auto"/>
              <w:left w:val="single" w:sz="6" w:space="0" w:color="auto"/>
              <w:bottom w:val="single" w:sz="6" w:space="0" w:color="auto"/>
              <w:right w:val="single" w:sz="6" w:space="0" w:color="auto"/>
            </w:tcBorders>
            <w:hideMark/>
          </w:tcPr>
          <w:p w14:paraId="7C40B89D" w14:textId="77777777" w:rsidR="00B90373" w:rsidRPr="004F0B2E" w:rsidRDefault="00B90373" w:rsidP="00787805">
            <w:pPr>
              <w:jc w:val="center"/>
              <w:textAlignment w:val="baseline"/>
              <w:rPr>
                <w:rFonts w:ascii="Times New Roman" w:hAnsi="Times New Roman" w:cs="Times New Roman"/>
                <w:lang w:val="it-IT" w:eastAsia="en-GB"/>
              </w:rPr>
            </w:pPr>
          </w:p>
        </w:tc>
        <w:tc>
          <w:tcPr>
            <w:tcW w:w="2409" w:type="dxa"/>
            <w:tcBorders>
              <w:top w:val="single" w:sz="6" w:space="0" w:color="auto"/>
              <w:left w:val="nil"/>
              <w:bottom w:val="single" w:sz="6" w:space="0" w:color="auto"/>
              <w:right w:val="single" w:sz="6" w:space="0" w:color="auto"/>
            </w:tcBorders>
            <w:vAlign w:val="center"/>
            <w:hideMark/>
          </w:tcPr>
          <w:p w14:paraId="59F74E9A" w14:textId="13360438" w:rsidR="00B90373" w:rsidRPr="004F0B2E" w:rsidRDefault="00B90373" w:rsidP="00787805">
            <w:pPr>
              <w:jc w:val="center"/>
              <w:textAlignment w:val="baseline"/>
              <w:rPr>
                <w:rFonts w:ascii="Times New Roman" w:hAnsi="Times New Roman" w:cs="Times New Roman"/>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a</w:t>
            </w:r>
            <w:r w:rsidRPr="004F0B2E">
              <w:rPr>
                <w:rFonts w:ascii="Times New Roman" w:hAnsi="Times New Roman" w:cs="Times New Roman"/>
                <w:b/>
                <w:lang w:val="it-IT"/>
              </w:rPr>
              <w:t> </w:t>
            </w:r>
            <w:r w:rsidRPr="004F0B2E">
              <w:rPr>
                <w:rFonts w:ascii="Times New Roman" w:hAnsi="Times New Roman" w:cs="Times New Roman"/>
                <w:lang w:val="it-IT"/>
              </w:rPr>
              <w:t> </w:t>
            </w:r>
          </w:p>
          <w:p w14:paraId="7F8F559D" w14:textId="77777777" w:rsidR="00B90373" w:rsidRPr="004F0B2E" w:rsidRDefault="00B90373" w:rsidP="00787805">
            <w:pPr>
              <w:jc w:val="center"/>
              <w:textAlignment w:val="baseline"/>
              <w:rPr>
                <w:rFonts w:ascii="Times New Roman" w:hAnsi="Times New Roman" w:cs="Times New Roman"/>
                <w:lang w:val="it-IT"/>
              </w:rPr>
            </w:pPr>
            <w:r w:rsidRPr="004F0B2E">
              <w:rPr>
                <w:rFonts w:ascii="Times New Roman" w:hAnsi="Times New Roman" w:cs="Times New Roman"/>
                <w:b/>
                <w:lang w:val="it-IT"/>
              </w:rPr>
              <w:t>Massimo 40 mg a settimane alterne</w:t>
            </w:r>
            <w:r w:rsidRPr="004F0B2E">
              <w:rPr>
                <w:rFonts w:ascii="Times New Roman" w:hAnsi="Times New Roman" w:cs="Times New Roman"/>
                <w:lang w:val="it-IT"/>
              </w:rPr>
              <w:t> </w:t>
            </w:r>
          </w:p>
          <w:p w14:paraId="38D468EA"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N=31</w:t>
            </w:r>
          </w:p>
        </w:tc>
        <w:tc>
          <w:tcPr>
            <w:tcW w:w="2633" w:type="dxa"/>
            <w:tcBorders>
              <w:top w:val="single" w:sz="6" w:space="0" w:color="auto"/>
              <w:left w:val="nil"/>
              <w:bottom w:val="single" w:sz="6" w:space="0" w:color="auto"/>
              <w:right w:val="single" w:sz="6" w:space="0" w:color="auto"/>
            </w:tcBorders>
            <w:vAlign w:val="center"/>
            <w:hideMark/>
          </w:tcPr>
          <w:p w14:paraId="47C99CAB" w14:textId="0A522D05" w:rsidR="00B90373" w:rsidRPr="004F0B2E" w:rsidRDefault="00B90373" w:rsidP="00787805">
            <w:pPr>
              <w:jc w:val="center"/>
              <w:textAlignment w:val="baseline"/>
              <w:rPr>
                <w:rFonts w:ascii="Times New Roman" w:hAnsi="Times New Roman" w:cs="Times New Roman"/>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b</w:t>
            </w:r>
            <w:r w:rsidRPr="004F0B2E">
              <w:rPr>
                <w:rFonts w:ascii="Times New Roman" w:hAnsi="Times New Roman" w:cs="Times New Roman"/>
                <w:b/>
                <w:lang w:val="it-IT"/>
              </w:rPr>
              <w:t> </w:t>
            </w:r>
            <w:r w:rsidRPr="004F0B2E">
              <w:rPr>
                <w:rFonts w:ascii="Times New Roman" w:hAnsi="Times New Roman" w:cs="Times New Roman"/>
                <w:lang w:val="it-IT"/>
              </w:rPr>
              <w:t> </w:t>
            </w:r>
          </w:p>
          <w:p w14:paraId="1C8C26C9" w14:textId="77777777" w:rsidR="00B90373" w:rsidRPr="004F0B2E" w:rsidRDefault="00B90373" w:rsidP="00787805">
            <w:pPr>
              <w:jc w:val="center"/>
              <w:textAlignment w:val="baseline"/>
              <w:rPr>
                <w:rFonts w:ascii="Times New Roman" w:hAnsi="Times New Roman" w:cs="Times New Roman"/>
                <w:lang w:val="it-IT"/>
              </w:rPr>
            </w:pPr>
            <w:r w:rsidRPr="004F0B2E">
              <w:rPr>
                <w:rFonts w:ascii="Times New Roman" w:hAnsi="Times New Roman" w:cs="Times New Roman"/>
                <w:b/>
                <w:lang w:val="it-IT"/>
              </w:rPr>
              <w:t>Massimo 40 mg a settimana</w:t>
            </w:r>
            <w:r w:rsidRPr="004F0B2E">
              <w:rPr>
                <w:rFonts w:ascii="Times New Roman" w:hAnsi="Times New Roman" w:cs="Times New Roman"/>
                <w:lang w:val="it-IT"/>
              </w:rPr>
              <w:t> </w:t>
            </w:r>
          </w:p>
          <w:p w14:paraId="47B8BE9E" w14:textId="77777777" w:rsidR="00B90373" w:rsidRPr="004F0B2E" w:rsidRDefault="00B90373" w:rsidP="00787805">
            <w:pPr>
              <w:jc w:val="center"/>
              <w:textAlignment w:val="baseline"/>
              <w:rPr>
                <w:rFonts w:ascii="Times New Roman" w:hAnsi="Times New Roman" w:cs="Times New Roman"/>
                <w:lang w:val="it-IT"/>
              </w:rPr>
            </w:pPr>
            <w:r w:rsidRPr="004F0B2E">
              <w:rPr>
                <w:rFonts w:ascii="Times New Roman" w:hAnsi="Times New Roman" w:cs="Times New Roman"/>
                <w:lang w:val="it-IT"/>
              </w:rPr>
              <w:t>N=31</w:t>
            </w:r>
          </w:p>
        </w:tc>
      </w:tr>
      <w:tr w:rsidR="00B90373" w:rsidRPr="00C35766" w14:paraId="5F0CDEF7" w14:textId="77777777" w:rsidTr="005A5DEF">
        <w:trPr>
          <w:trHeight w:val="570"/>
          <w:jc w:val="center"/>
        </w:trPr>
        <w:tc>
          <w:tcPr>
            <w:tcW w:w="2967" w:type="dxa"/>
            <w:tcBorders>
              <w:top w:val="nil"/>
              <w:left w:val="single" w:sz="6" w:space="0" w:color="auto"/>
              <w:bottom w:val="single" w:sz="6" w:space="0" w:color="auto"/>
              <w:right w:val="single" w:sz="6" w:space="0" w:color="auto"/>
            </w:tcBorders>
            <w:vAlign w:val="center"/>
            <w:hideMark/>
          </w:tcPr>
          <w:p w14:paraId="589B9BA2"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Remissione clinica nei responder PMS alla Settimana 8 </w:t>
            </w:r>
          </w:p>
        </w:tc>
        <w:tc>
          <w:tcPr>
            <w:tcW w:w="2409" w:type="dxa"/>
            <w:tcBorders>
              <w:top w:val="nil"/>
              <w:left w:val="nil"/>
              <w:bottom w:val="single" w:sz="6" w:space="0" w:color="auto"/>
              <w:right w:val="single" w:sz="6" w:space="0" w:color="auto"/>
            </w:tcBorders>
            <w:vAlign w:val="center"/>
            <w:hideMark/>
          </w:tcPr>
          <w:p w14:paraId="64AE8797"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9/31 (29,0%) </w:t>
            </w:r>
          </w:p>
        </w:tc>
        <w:tc>
          <w:tcPr>
            <w:tcW w:w="2633" w:type="dxa"/>
            <w:tcBorders>
              <w:top w:val="nil"/>
              <w:left w:val="nil"/>
              <w:bottom w:val="single" w:sz="6" w:space="0" w:color="auto"/>
              <w:right w:val="single" w:sz="6" w:space="0" w:color="auto"/>
            </w:tcBorders>
            <w:vAlign w:val="center"/>
            <w:hideMark/>
          </w:tcPr>
          <w:p w14:paraId="1694A1B8"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14/31 (45,2%)</w:t>
            </w:r>
          </w:p>
        </w:tc>
      </w:tr>
      <w:tr w:rsidR="00B90373" w:rsidRPr="00C35766" w14:paraId="2D6C31CE" w14:textId="77777777" w:rsidTr="005A5DEF">
        <w:trPr>
          <w:trHeight w:val="555"/>
          <w:jc w:val="center"/>
        </w:trPr>
        <w:tc>
          <w:tcPr>
            <w:tcW w:w="2967" w:type="dxa"/>
            <w:tcBorders>
              <w:top w:val="nil"/>
              <w:left w:val="single" w:sz="6" w:space="0" w:color="auto"/>
              <w:bottom w:val="single" w:sz="6" w:space="0" w:color="auto"/>
              <w:right w:val="single" w:sz="6" w:space="0" w:color="auto"/>
            </w:tcBorders>
            <w:vAlign w:val="center"/>
            <w:hideMark/>
          </w:tcPr>
          <w:p w14:paraId="0BD2A2BE"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Risposta clinica nei responder PMS alla Settimana 8 </w:t>
            </w:r>
          </w:p>
        </w:tc>
        <w:tc>
          <w:tcPr>
            <w:tcW w:w="2409" w:type="dxa"/>
            <w:tcBorders>
              <w:top w:val="nil"/>
              <w:left w:val="nil"/>
              <w:bottom w:val="single" w:sz="6" w:space="0" w:color="auto"/>
              <w:right w:val="single" w:sz="6" w:space="0" w:color="auto"/>
            </w:tcBorders>
            <w:vAlign w:val="center"/>
            <w:hideMark/>
          </w:tcPr>
          <w:p w14:paraId="2ABA13EA"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19/31 (61,3%) </w:t>
            </w:r>
          </w:p>
        </w:tc>
        <w:tc>
          <w:tcPr>
            <w:tcW w:w="2633" w:type="dxa"/>
            <w:tcBorders>
              <w:top w:val="nil"/>
              <w:left w:val="nil"/>
              <w:bottom w:val="single" w:sz="6" w:space="0" w:color="auto"/>
              <w:right w:val="single" w:sz="6" w:space="0" w:color="auto"/>
            </w:tcBorders>
            <w:vAlign w:val="center"/>
            <w:hideMark/>
          </w:tcPr>
          <w:p w14:paraId="3F9AB706"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21/31 (67,7%) </w:t>
            </w:r>
          </w:p>
        </w:tc>
      </w:tr>
      <w:tr w:rsidR="00B90373" w:rsidRPr="00C35766" w14:paraId="6D480664" w14:textId="77777777" w:rsidTr="005A5DEF">
        <w:trPr>
          <w:jc w:val="center"/>
        </w:trPr>
        <w:tc>
          <w:tcPr>
            <w:tcW w:w="2967" w:type="dxa"/>
            <w:tcBorders>
              <w:top w:val="nil"/>
              <w:left w:val="single" w:sz="6" w:space="0" w:color="auto"/>
              <w:bottom w:val="single" w:sz="6" w:space="0" w:color="auto"/>
              <w:right w:val="single" w:sz="6" w:space="0" w:color="auto"/>
            </w:tcBorders>
            <w:vAlign w:val="center"/>
            <w:hideMark/>
          </w:tcPr>
          <w:p w14:paraId="2ABF7066"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Guarigione della mucosa nei responder PMS alla Settimana 8 </w:t>
            </w:r>
          </w:p>
        </w:tc>
        <w:tc>
          <w:tcPr>
            <w:tcW w:w="2409" w:type="dxa"/>
            <w:tcBorders>
              <w:top w:val="nil"/>
              <w:left w:val="nil"/>
              <w:bottom w:val="single" w:sz="6" w:space="0" w:color="auto"/>
              <w:right w:val="single" w:sz="6" w:space="0" w:color="auto"/>
            </w:tcBorders>
            <w:vAlign w:val="center"/>
            <w:hideMark/>
          </w:tcPr>
          <w:p w14:paraId="0D47B440"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12/31 (38,7%) </w:t>
            </w:r>
          </w:p>
        </w:tc>
        <w:tc>
          <w:tcPr>
            <w:tcW w:w="2633" w:type="dxa"/>
            <w:tcBorders>
              <w:top w:val="nil"/>
              <w:left w:val="nil"/>
              <w:bottom w:val="single" w:sz="6" w:space="0" w:color="auto"/>
              <w:right w:val="single" w:sz="6" w:space="0" w:color="auto"/>
            </w:tcBorders>
            <w:vAlign w:val="center"/>
            <w:hideMark/>
          </w:tcPr>
          <w:p w14:paraId="12DAC1C3"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16/31 (51,6%) </w:t>
            </w:r>
          </w:p>
        </w:tc>
      </w:tr>
      <w:tr w:rsidR="00B90373" w:rsidRPr="00C35766" w14:paraId="2A4BFB33" w14:textId="77777777" w:rsidTr="005A5DEF">
        <w:trPr>
          <w:jc w:val="center"/>
        </w:trPr>
        <w:tc>
          <w:tcPr>
            <w:tcW w:w="2967" w:type="dxa"/>
            <w:tcBorders>
              <w:top w:val="nil"/>
              <w:left w:val="single" w:sz="6" w:space="0" w:color="auto"/>
              <w:bottom w:val="single" w:sz="6" w:space="0" w:color="auto"/>
              <w:right w:val="single" w:sz="6" w:space="0" w:color="auto"/>
            </w:tcBorders>
            <w:vAlign w:val="center"/>
            <w:hideMark/>
          </w:tcPr>
          <w:p w14:paraId="7F2A1F23"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Remissione clinica nei soggetti in remissione PMS alla Settimana 8 </w:t>
            </w:r>
          </w:p>
        </w:tc>
        <w:tc>
          <w:tcPr>
            <w:tcW w:w="2409" w:type="dxa"/>
            <w:tcBorders>
              <w:top w:val="nil"/>
              <w:left w:val="nil"/>
              <w:bottom w:val="single" w:sz="6" w:space="0" w:color="auto"/>
              <w:right w:val="single" w:sz="6" w:space="0" w:color="auto"/>
            </w:tcBorders>
            <w:vAlign w:val="center"/>
            <w:hideMark/>
          </w:tcPr>
          <w:p w14:paraId="0DF988D0"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9/21 (42,9%) </w:t>
            </w:r>
          </w:p>
        </w:tc>
        <w:tc>
          <w:tcPr>
            <w:tcW w:w="2633" w:type="dxa"/>
            <w:tcBorders>
              <w:top w:val="nil"/>
              <w:left w:val="nil"/>
              <w:bottom w:val="single" w:sz="6" w:space="0" w:color="auto"/>
              <w:right w:val="single" w:sz="6" w:space="0" w:color="auto"/>
            </w:tcBorders>
            <w:vAlign w:val="center"/>
            <w:hideMark/>
          </w:tcPr>
          <w:p w14:paraId="39025A38"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10/22 (45,5%) </w:t>
            </w:r>
          </w:p>
        </w:tc>
      </w:tr>
      <w:tr w:rsidR="00B90373" w:rsidRPr="00C35766" w14:paraId="09B1F951" w14:textId="77777777" w:rsidTr="005A5DEF">
        <w:trPr>
          <w:jc w:val="center"/>
        </w:trPr>
        <w:tc>
          <w:tcPr>
            <w:tcW w:w="2967" w:type="dxa"/>
            <w:tcBorders>
              <w:top w:val="nil"/>
              <w:left w:val="single" w:sz="6" w:space="0" w:color="auto"/>
              <w:bottom w:val="single" w:sz="6" w:space="0" w:color="auto"/>
              <w:right w:val="single" w:sz="6" w:space="0" w:color="auto"/>
            </w:tcBorders>
            <w:vAlign w:val="center"/>
            <w:hideMark/>
          </w:tcPr>
          <w:p w14:paraId="3FF099BC"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Remissione senza corticosteroidi nei responder PMS alla Settimana 8</w:t>
            </w:r>
            <w:r w:rsidRPr="004F0B2E">
              <w:rPr>
                <w:rFonts w:ascii="Times New Roman" w:hAnsi="Times New Roman" w:cs="Times New Roman"/>
                <w:vertAlign w:val="superscript"/>
                <w:lang w:val="it-IT"/>
              </w:rPr>
              <w:t>c</w:t>
            </w:r>
            <w:r w:rsidRPr="004F0B2E">
              <w:rPr>
                <w:rFonts w:ascii="Times New Roman" w:hAnsi="Times New Roman" w:cs="Times New Roman"/>
                <w:lang w:val="it-IT"/>
              </w:rPr>
              <w:t> </w:t>
            </w:r>
          </w:p>
        </w:tc>
        <w:tc>
          <w:tcPr>
            <w:tcW w:w="2409" w:type="dxa"/>
            <w:tcBorders>
              <w:top w:val="nil"/>
              <w:left w:val="nil"/>
              <w:bottom w:val="single" w:sz="6" w:space="0" w:color="auto"/>
              <w:right w:val="single" w:sz="6" w:space="0" w:color="auto"/>
            </w:tcBorders>
            <w:vAlign w:val="center"/>
            <w:hideMark/>
          </w:tcPr>
          <w:p w14:paraId="0C46A2B5"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4/13 (30,8%) </w:t>
            </w:r>
          </w:p>
        </w:tc>
        <w:tc>
          <w:tcPr>
            <w:tcW w:w="2633" w:type="dxa"/>
            <w:tcBorders>
              <w:top w:val="nil"/>
              <w:left w:val="nil"/>
              <w:bottom w:val="single" w:sz="6" w:space="0" w:color="auto"/>
              <w:right w:val="single" w:sz="6" w:space="0" w:color="auto"/>
            </w:tcBorders>
            <w:vAlign w:val="center"/>
            <w:hideMark/>
          </w:tcPr>
          <w:p w14:paraId="0CDCB254" w14:textId="77777777" w:rsidR="00B90373" w:rsidRPr="00C35766" w:rsidRDefault="00B90373" w:rsidP="00787805">
            <w:pPr>
              <w:jc w:val="center"/>
              <w:textAlignment w:val="baseline"/>
              <w:rPr>
                <w:rFonts w:ascii="Times New Roman" w:hAnsi="Times New Roman" w:cs="Times New Roman"/>
              </w:rPr>
            </w:pPr>
            <w:r w:rsidRPr="00C35766">
              <w:rPr>
                <w:rFonts w:ascii="Times New Roman" w:hAnsi="Times New Roman" w:cs="Times New Roman"/>
              </w:rPr>
              <w:t>5/16 (31,3%) </w:t>
            </w:r>
          </w:p>
        </w:tc>
      </w:tr>
      <w:tr w:rsidR="00B90373" w:rsidRPr="006501B3" w14:paraId="6F49EDA8" w14:textId="77777777" w:rsidTr="005A5DEF">
        <w:trPr>
          <w:jc w:val="center"/>
        </w:trPr>
        <w:tc>
          <w:tcPr>
            <w:tcW w:w="8009" w:type="dxa"/>
            <w:gridSpan w:val="3"/>
            <w:tcBorders>
              <w:top w:val="nil"/>
              <w:left w:val="single" w:sz="6" w:space="0" w:color="auto"/>
              <w:bottom w:val="single" w:sz="6" w:space="0" w:color="auto"/>
              <w:right w:val="single" w:sz="6" w:space="0" w:color="auto"/>
            </w:tcBorders>
            <w:hideMark/>
          </w:tcPr>
          <w:p w14:paraId="0BB63FC4" w14:textId="28081F35"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vertAlign w:val="superscript"/>
                <w:lang w:val="it-IT"/>
              </w:rPr>
              <w:t>a</w:t>
            </w:r>
            <w:r w:rsidRPr="004F0B2E">
              <w:rPr>
                <w:rFonts w:ascii="Times New Roman" w:hAnsi="Times New Roman" w:cs="Times New Roman"/>
                <w:lang w:val="it-IT"/>
              </w:rPr>
              <w:t>Adalimumab 0,6 mg/kg (massimo 40 mg) a settimane alterne</w:t>
            </w:r>
            <w:r w:rsidRPr="004F0B2E">
              <w:rPr>
                <w:rFonts w:ascii="Times New Roman" w:hAnsi="Times New Roman" w:cs="Times New Roman"/>
                <w:sz w:val="20"/>
                <w:szCs w:val="20"/>
                <w:lang w:val="it-IT"/>
              </w:rPr>
              <w:t> </w:t>
            </w:r>
          </w:p>
          <w:p w14:paraId="69B9038A" w14:textId="7455A546"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vertAlign w:val="superscript"/>
                <w:lang w:val="it-IT"/>
              </w:rPr>
              <w:t>b</w:t>
            </w:r>
            <w:r w:rsidRPr="004F0B2E">
              <w:rPr>
                <w:rFonts w:ascii="Times New Roman" w:hAnsi="Times New Roman" w:cs="Times New Roman"/>
                <w:lang w:val="it-IT"/>
              </w:rPr>
              <w:t>Adalimumab 0,6 mg/kg (massimo 40 mg) ogni settimana </w:t>
            </w:r>
          </w:p>
          <w:p w14:paraId="79C9ADF4"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vertAlign w:val="superscript"/>
                <w:lang w:val="it-IT"/>
              </w:rPr>
              <w:t>c</w:t>
            </w:r>
            <w:r w:rsidRPr="004F0B2E">
              <w:rPr>
                <w:rFonts w:ascii="Times New Roman" w:hAnsi="Times New Roman" w:cs="Times New Roman"/>
                <w:lang w:val="it-IT"/>
              </w:rPr>
              <w:t>In pazienti che ricevono corticosteroidi concomitanti al basale </w:t>
            </w:r>
          </w:p>
          <w:p w14:paraId="49236E43" w14:textId="77777777" w:rsidR="00B90373" w:rsidRPr="004F0B2E" w:rsidRDefault="00B90373" w:rsidP="00787805">
            <w:pPr>
              <w:textAlignment w:val="baseline"/>
              <w:rPr>
                <w:rFonts w:ascii="Times New Roman" w:hAnsi="Times New Roman" w:cs="Times New Roman"/>
                <w:lang w:val="it-IT"/>
              </w:rPr>
            </w:pPr>
            <w:r w:rsidRPr="004F0B2E">
              <w:rPr>
                <w:rFonts w:ascii="Times New Roman" w:hAnsi="Times New Roman" w:cs="Times New Roman"/>
                <w:lang w:val="it-IT"/>
              </w:rPr>
              <w:t>Nota: i pazienti con valori mancanti alla Settimana 52 o che sono stati randomizzati a ricevere un trattamento di reinduzione o mantenimento sono stati considerati non responder per gli endpoint della Settimana 52 </w:t>
            </w:r>
          </w:p>
        </w:tc>
      </w:tr>
    </w:tbl>
    <w:p w14:paraId="022F46C3" w14:textId="77777777" w:rsidR="00B90373" w:rsidRPr="004F0B2E" w:rsidRDefault="00B90373" w:rsidP="00B90373">
      <w:pPr>
        <w:rPr>
          <w:rFonts w:ascii="Times New Roman" w:hAnsi="Times New Roman" w:cs="Times New Roman"/>
          <w:lang w:val="it-IT"/>
        </w:rPr>
      </w:pPr>
    </w:p>
    <w:p w14:paraId="6ABA5CB6" w14:textId="77777777" w:rsidR="00B90373" w:rsidRPr="004F0B2E" w:rsidRDefault="00B90373" w:rsidP="00B90373">
      <w:pPr>
        <w:rPr>
          <w:rFonts w:ascii="Times New Roman" w:hAnsi="Times New Roman" w:cs="Times New Roman"/>
          <w:lang w:val="it-IT"/>
        </w:rPr>
      </w:pPr>
      <w:r w:rsidRPr="004F0B2E">
        <w:rPr>
          <w:rFonts w:ascii="Times New Roman" w:hAnsi="Times New Roman" w:cs="Times New Roman"/>
          <w:lang w:val="it-IT"/>
        </w:rPr>
        <w:t xml:space="preserve">Ulteriori endpoint di efficacia esplorativi includevano la risposta clinica secondo il PUCAI (Pediatric Ulcerative Colitis Activity Index) (definita come una diminuzione del PUCAI ≥ 20 punti dal basale) e la remissione clinica come indicato dal PUCAI (definita come PUCAI &lt; 10) alla Settimana 8 e alla Settimana 52 (Tabella 33). </w:t>
      </w:r>
    </w:p>
    <w:p w14:paraId="7CB9EEB2" w14:textId="77777777" w:rsidR="005A5DEF" w:rsidRPr="004F0B2E" w:rsidRDefault="005A5DEF" w:rsidP="00B90373">
      <w:pPr>
        <w:rPr>
          <w:rFonts w:ascii="Times New Roman" w:hAnsi="Times New Roman" w:cs="Times New Roman"/>
          <w:lang w:val="it-IT"/>
        </w:rPr>
      </w:pPr>
    </w:p>
    <w:tbl>
      <w:tblPr>
        <w:tblW w:w="8971" w:type="dxa"/>
        <w:jc w:val="center"/>
        <w:tblCellMar>
          <w:left w:w="0" w:type="dxa"/>
          <w:right w:w="0" w:type="dxa"/>
        </w:tblCellMar>
        <w:tblLook w:val="04A0" w:firstRow="1" w:lastRow="0" w:firstColumn="1" w:lastColumn="0" w:noHBand="0" w:noVBand="1"/>
      </w:tblPr>
      <w:tblGrid>
        <w:gridCol w:w="3643"/>
        <w:gridCol w:w="2898"/>
        <w:gridCol w:w="2430"/>
      </w:tblGrid>
      <w:tr w:rsidR="00B90373" w:rsidRPr="006501B3" w14:paraId="2C1FC5F8" w14:textId="77777777" w:rsidTr="00933A6C">
        <w:trPr>
          <w:trHeight w:val="60"/>
          <w:jc w:val="center"/>
        </w:trPr>
        <w:tc>
          <w:tcPr>
            <w:tcW w:w="8971" w:type="dxa"/>
            <w:gridSpan w:val="3"/>
            <w:tcBorders>
              <w:bottom w:val="single" w:sz="4" w:space="0" w:color="auto"/>
            </w:tcBorders>
            <w:tcMar>
              <w:top w:w="0" w:type="dxa"/>
              <w:left w:w="108" w:type="dxa"/>
              <w:bottom w:w="0" w:type="dxa"/>
              <w:right w:w="108" w:type="dxa"/>
            </w:tcMar>
          </w:tcPr>
          <w:p w14:paraId="770F96F9" w14:textId="04071D2D" w:rsidR="005A5DEF" w:rsidRPr="004F0B2E" w:rsidRDefault="00B90373" w:rsidP="005A5DEF">
            <w:pPr>
              <w:jc w:val="center"/>
              <w:rPr>
                <w:rFonts w:ascii="Times New Roman" w:hAnsi="Times New Roman" w:cs="Times New Roman"/>
                <w:b/>
                <w:bCs/>
                <w:lang w:val="it-IT"/>
              </w:rPr>
            </w:pPr>
            <w:bookmarkStart w:id="9" w:name="_Hlk51667533"/>
            <w:r w:rsidRPr="004F0B2E">
              <w:rPr>
                <w:rFonts w:ascii="Times New Roman" w:hAnsi="Times New Roman" w:cs="Times New Roman"/>
                <w:b/>
                <w:lang w:val="it-IT"/>
              </w:rPr>
              <w:t>Tabella 33</w:t>
            </w:r>
            <w:r w:rsidR="00F43377" w:rsidRPr="004F0B2E">
              <w:rPr>
                <w:rFonts w:ascii="Times New Roman" w:hAnsi="Times New Roman" w:cs="Times New Roman"/>
                <w:b/>
                <w:lang w:val="it-IT"/>
              </w:rPr>
              <w:t>.</w:t>
            </w:r>
            <w:r w:rsidRPr="004F0B2E">
              <w:rPr>
                <w:rFonts w:ascii="Times New Roman" w:hAnsi="Times New Roman" w:cs="Times New Roman"/>
                <w:b/>
                <w:lang w:val="it-IT"/>
              </w:rPr>
              <w:t xml:space="preserve"> Risultati degli Endpoint Esplorativi in base al PUCAI</w:t>
            </w:r>
          </w:p>
        </w:tc>
      </w:tr>
      <w:tr w:rsidR="00B90373" w:rsidRPr="00C35766" w14:paraId="3D3D5F45" w14:textId="77777777" w:rsidTr="00933A6C">
        <w:trPr>
          <w:trHeight w:val="265"/>
          <w:jc w:val="center"/>
        </w:trPr>
        <w:tc>
          <w:tcPr>
            <w:tcW w:w="364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FA8A24" w14:textId="77777777" w:rsidR="00B90373" w:rsidRPr="004F0B2E" w:rsidRDefault="00B90373" w:rsidP="00787805">
            <w:pPr>
              <w:rPr>
                <w:rFonts w:ascii="Times New Roman" w:hAnsi="Times New Roman" w:cs="Times New Roman"/>
                <w:lang w:val="it-IT"/>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92791E" w14:textId="77777777" w:rsidR="00B90373" w:rsidRPr="00C35766" w:rsidRDefault="00B90373" w:rsidP="00787805">
            <w:pPr>
              <w:jc w:val="center"/>
              <w:rPr>
                <w:rFonts w:ascii="Times New Roman" w:hAnsi="Times New Roman" w:cs="Times New Roman"/>
                <w:b/>
                <w:bCs/>
              </w:rPr>
            </w:pPr>
            <w:r w:rsidRPr="00C35766">
              <w:rPr>
                <w:rFonts w:ascii="Times New Roman" w:hAnsi="Times New Roman" w:cs="Times New Roman"/>
                <w:b/>
              </w:rPr>
              <w:t>Settimana 8</w:t>
            </w:r>
          </w:p>
        </w:tc>
      </w:tr>
      <w:tr w:rsidR="00B90373" w:rsidRPr="00C35766" w14:paraId="24DED9E8" w14:textId="77777777" w:rsidTr="00933A6C">
        <w:trPr>
          <w:trHeight w:val="1042"/>
          <w:jc w:val="center"/>
        </w:trPr>
        <w:tc>
          <w:tcPr>
            <w:tcW w:w="364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7CBF24" w14:textId="77777777" w:rsidR="00B90373" w:rsidRPr="00C35766" w:rsidRDefault="00B90373" w:rsidP="00787805">
            <w:pPr>
              <w:rPr>
                <w:rFonts w:ascii="Times New Roman" w:hAnsi="Times New Roman" w:cs="Times New Roman"/>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BDC98E" w14:textId="71380C6B" w:rsidR="00B90373" w:rsidRPr="004F0B2E" w:rsidRDefault="00B90373" w:rsidP="00787805">
            <w:pPr>
              <w:jc w:val="center"/>
              <w:rPr>
                <w:rFonts w:ascii="Times New Roman" w:hAnsi="Times New Roman" w:cs="Times New Roman"/>
                <w:b/>
                <w:bCs/>
                <w:vertAlign w:val="superscript"/>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a</w:t>
            </w:r>
          </w:p>
          <w:p w14:paraId="4DEA21A1" w14:textId="77777777" w:rsidR="00B90373" w:rsidRPr="004F0B2E" w:rsidRDefault="00B90373" w:rsidP="00787805">
            <w:pPr>
              <w:jc w:val="center"/>
              <w:rPr>
                <w:rFonts w:ascii="Times New Roman" w:hAnsi="Times New Roman" w:cs="Times New Roman"/>
                <w:b/>
                <w:bCs/>
                <w:lang w:val="it-IT"/>
              </w:rPr>
            </w:pPr>
            <w:r w:rsidRPr="004F0B2E">
              <w:rPr>
                <w:rFonts w:ascii="Times New Roman" w:hAnsi="Times New Roman" w:cs="Times New Roman"/>
                <w:b/>
                <w:lang w:val="it-IT"/>
              </w:rPr>
              <w:t>Massimo 160 mg alla Settimana 0/Placebo alla Settimana 1</w:t>
            </w:r>
          </w:p>
          <w:p w14:paraId="2A18FD8C"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C3B875" w14:textId="717960EA" w:rsidR="00B90373" w:rsidRPr="004F0B2E" w:rsidRDefault="00B90373" w:rsidP="00787805">
            <w:pPr>
              <w:jc w:val="center"/>
              <w:rPr>
                <w:rFonts w:ascii="Times New Roman" w:hAnsi="Times New Roman" w:cs="Times New Roman"/>
                <w:b/>
                <w:bCs/>
                <w:vertAlign w:val="superscript"/>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b,c</w:t>
            </w:r>
          </w:p>
          <w:p w14:paraId="3E8816C1" w14:textId="77777777" w:rsidR="00B90373" w:rsidRPr="004F0B2E" w:rsidRDefault="00B90373" w:rsidP="00787805">
            <w:pPr>
              <w:jc w:val="center"/>
              <w:rPr>
                <w:rFonts w:ascii="Times New Roman" w:hAnsi="Times New Roman" w:cs="Times New Roman"/>
                <w:b/>
                <w:bCs/>
                <w:lang w:val="it-IT"/>
              </w:rPr>
            </w:pPr>
            <w:r w:rsidRPr="004F0B2E">
              <w:rPr>
                <w:rFonts w:ascii="Times New Roman" w:hAnsi="Times New Roman" w:cs="Times New Roman"/>
                <w:b/>
                <w:lang w:val="it-IT"/>
              </w:rPr>
              <w:t>Massimo 160 mg alla Settimana 0 e alla Settimana 1</w:t>
            </w:r>
          </w:p>
          <w:p w14:paraId="05DDB113"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N=47</w:t>
            </w:r>
          </w:p>
        </w:tc>
      </w:tr>
      <w:tr w:rsidR="00B90373" w:rsidRPr="00C35766" w14:paraId="06BFB17A" w14:textId="77777777" w:rsidTr="00933A6C">
        <w:trPr>
          <w:trHeight w:val="202"/>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A4F02" w14:textId="77777777" w:rsidR="00B90373" w:rsidRPr="004F0B2E" w:rsidRDefault="00B90373" w:rsidP="00787805">
            <w:pPr>
              <w:rPr>
                <w:rFonts w:ascii="Times New Roman" w:hAnsi="Times New Roman" w:cs="Times New Roman"/>
                <w:lang w:val="it-IT"/>
              </w:rPr>
            </w:pPr>
            <w:r w:rsidRPr="004F0B2E">
              <w:rPr>
                <w:rFonts w:ascii="Times New Roman" w:hAnsi="Times New Roman" w:cs="Times New Roman"/>
                <w:lang w:val="it-IT"/>
              </w:rPr>
              <w:t>Remissione clinica in base al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795BC44"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66473E9"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22/47 (46,8%)</w:t>
            </w:r>
          </w:p>
        </w:tc>
      </w:tr>
      <w:tr w:rsidR="00B90373" w:rsidRPr="00C35766" w14:paraId="2877526C" w14:textId="77777777" w:rsidTr="00933A6C">
        <w:trPr>
          <w:trHeight w:val="238"/>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08444E" w14:textId="77777777" w:rsidR="00B90373" w:rsidRPr="004F0B2E" w:rsidRDefault="00B90373" w:rsidP="00787805">
            <w:pPr>
              <w:rPr>
                <w:rFonts w:ascii="Times New Roman" w:hAnsi="Times New Roman" w:cs="Times New Roman"/>
                <w:lang w:val="it-IT"/>
              </w:rPr>
            </w:pPr>
            <w:r w:rsidRPr="004F0B2E">
              <w:rPr>
                <w:rFonts w:ascii="Times New Roman" w:hAnsi="Times New Roman" w:cs="Times New Roman"/>
                <w:lang w:val="it-IT"/>
              </w:rPr>
              <w:t>Risposta clinica in base al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31138A"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C77F9C"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32/47 (68,1%)</w:t>
            </w:r>
          </w:p>
        </w:tc>
      </w:tr>
      <w:tr w:rsidR="00B90373" w:rsidRPr="00C35766" w14:paraId="306B0927" w14:textId="77777777" w:rsidTr="00933A6C">
        <w:trPr>
          <w:trHeight w:val="238"/>
          <w:jc w:val="center"/>
        </w:trPr>
        <w:tc>
          <w:tcPr>
            <w:tcW w:w="3643" w:type="dxa"/>
            <w:vMerge w:val="restart"/>
            <w:tcBorders>
              <w:top w:val="nil"/>
              <w:left w:val="single" w:sz="8" w:space="0" w:color="auto"/>
              <w:right w:val="single" w:sz="8" w:space="0" w:color="auto"/>
            </w:tcBorders>
            <w:tcMar>
              <w:top w:w="0" w:type="dxa"/>
              <w:left w:w="108" w:type="dxa"/>
              <w:bottom w:w="0" w:type="dxa"/>
              <w:right w:w="108" w:type="dxa"/>
            </w:tcMar>
          </w:tcPr>
          <w:p w14:paraId="04A1CF68" w14:textId="77777777" w:rsidR="00B90373" w:rsidRPr="00C35766" w:rsidRDefault="00B90373" w:rsidP="00787805">
            <w:pPr>
              <w:rPr>
                <w:rFonts w:ascii="Times New Roman" w:hAnsi="Times New Roman" w:cs="Times New Roma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tcPr>
          <w:p w14:paraId="4E9E77E9" w14:textId="77777777" w:rsidR="00B90373" w:rsidRPr="00C35766" w:rsidRDefault="00B90373" w:rsidP="00787805">
            <w:pPr>
              <w:jc w:val="center"/>
              <w:rPr>
                <w:rFonts w:ascii="Times New Roman" w:hAnsi="Times New Roman" w:cs="Times New Roman"/>
                <w:b/>
                <w:bCs/>
              </w:rPr>
            </w:pPr>
            <w:r w:rsidRPr="00C35766">
              <w:rPr>
                <w:rFonts w:ascii="Times New Roman" w:hAnsi="Times New Roman" w:cs="Times New Roman"/>
                <w:b/>
              </w:rPr>
              <w:t>Settimana 52</w:t>
            </w:r>
          </w:p>
        </w:tc>
      </w:tr>
      <w:tr w:rsidR="00B90373" w:rsidRPr="00494E69" w14:paraId="4FBF04E6" w14:textId="77777777" w:rsidTr="00933A6C">
        <w:trPr>
          <w:trHeight w:val="238"/>
          <w:jc w:val="center"/>
        </w:trPr>
        <w:tc>
          <w:tcPr>
            <w:tcW w:w="3643"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154AD90A" w14:textId="77777777" w:rsidR="00B90373" w:rsidRPr="00C35766" w:rsidRDefault="00B90373" w:rsidP="00787805">
            <w:pPr>
              <w:rPr>
                <w:rFonts w:ascii="Times New Roman" w:hAnsi="Times New Roman" w:cs="Times New Roma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73750D20" w14:textId="561ACE1D" w:rsidR="00B90373" w:rsidRPr="004F0B2E" w:rsidRDefault="00B90373" w:rsidP="00787805">
            <w:pPr>
              <w:jc w:val="center"/>
              <w:rPr>
                <w:rFonts w:ascii="Times New Roman" w:hAnsi="Times New Roman" w:cs="Times New Roman"/>
                <w:b/>
                <w:bCs/>
                <w:vertAlign w:val="superscript"/>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d</w:t>
            </w:r>
          </w:p>
          <w:p w14:paraId="6C85832D" w14:textId="77777777" w:rsidR="00B90373" w:rsidRPr="004F0B2E" w:rsidRDefault="00B90373" w:rsidP="00787805">
            <w:pPr>
              <w:jc w:val="center"/>
              <w:rPr>
                <w:rFonts w:ascii="Times New Roman" w:hAnsi="Times New Roman" w:cs="Times New Roman"/>
                <w:b/>
                <w:bCs/>
                <w:lang w:val="it-IT"/>
              </w:rPr>
            </w:pPr>
            <w:r w:rsidRPr="004F0B2E">
              <w:rPr>
                <w:rFonts w:ascii="Times New Roman" w:hAnsi="Times New Roman" w:cs="Times New Roman"/>
                <w:b/>
                <w:lang w:val="it-IT"/>
              </w:rPr>
              <w:t>Massimo 40 mg a settimane alterne</w:t>
            </w:r>
          </w:p>
          <w:p w14:paraId="59064D9B"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N=31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61DC21AD" w14:textId="3141E439" w:rsidR="00B90373" w:rsidRPr="004F0B2E" w:rsidRDefault="00B90373" w:rsidP="00787805">
            <w:pPr>
              <w:jc w:val="center"/>
              <w:rPr>
                <w:rFonts w:ascii="Times New Roman" w:hAnsi="Times New Roman" w:cs="Times New Roman"/>
                <w:b/>
                <w:bCs/>
                <w:vertAlign w:val="superscript"/>
                <w:lang w:val="it-IT"/>
              </w:rPr>
            </w:pPr>
            <w:r w:rsidRPr="004F0B2E">
              <w:rPr>
                <w:rFonts w:ascii="Times New Roman" w:hAnsi="Times New Roman" w:cs="Times New Roman"/>
                <w:b/>
                <w:lang w:val="it-IT"/>
              </w:rPr>
              <w:t>Adalimumab</w:t>
            </w:r>
            <w:r w:rsidRPr="004F0B2E">
              <w:rPr>
                <w:rFonts w:ascii="Times New Roman" w:hAnsi="Times New Roman" w:cs="Times New Roman"/>
                <w:b/>
                <w:vertAlign w:val="superscript"/>
                <w:lang w:val="it-IT"/>
              </w:rPr>
              <w:t>e</w:t>
            </w:r>
          </w:p>
          <w:p w14:paraId="5504D90A" w14:textId="77777777" w:rsidR="00B90373" w:rsidRPr="004F0B2E" w:rsidRDefault="00B90373" w:rsidP="00787805">
            <w:pPr>
              <w:jc w:val="center"/>
              <w:rPr>
                <w:rFonts w:ascii="Times New Roman" w:hAnsi="Times New Roman" w:cs="Times New Roman"/>
                <w:b/>
                <w:bCs/>
                <w:lang w:val="it-IT"/>
              </w:rPr>
            </w:pPr>
            <w:r w:rsidRPr="004F0B2E">
              <w:rPr>
                <w:rFonts w:ascii="Times New Roman" w:hAnsi="Times New Roman" w:cs="Times New Roman"/>
                <w:b/>
                <w:lang w:val="it-IT"/>
              </w:rPr>
              <w:t>Massimo 40 mg a settimana</w:t>
            </w:r>
          </w:p>
          <w:p w14:paraId="360743C1" w14:textId="77777777" w:rsidR="00B90373" w:rsidRPr="004F0B2E" w:rsidRDefault="00B90373" w:rsidP="00787805">
            <w:pPr>
              <w:jc w:val="center"/>
              <w:rPr>
                <w:rFonts w:ascii="Times New Roman" w:hAnsi="Times New Roman" w:cs="Times New Roman"/>
                <w:lang w:val="it-IT"/>
              </w:rPr>
            </w:pPr>
            <w:r w:rsidRPr="004F0B2E">
              <w:rPr>
                <w:rFonts w:ascii="Times New Roman" w:hAnsi="Times New Roman" w:cs="Times New Roman"/>
                <w:lang w:val="it-IT"/>
              </w:rPr>
              <w:t>N=31</w:t>
            </w:r>
          </w:p>
        </w:tc>
      </w:tr>
      <w:tr w:rsidR="00B90373" w:rsidRPr="00C35766" w14:paraId="48D31074" w14:textId="77777777" w:rsidTr="00933A6C">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E2BD7D3" w14:textId="77777777" w:rsidR="00B90373" w:rsidRPr="004F0B2E" w:rsidRDefault="00B90373" w:rsidP="00787805">
            <w:pPr>
              <w:rPr>
                <w:rFonts w:ascii="Times New Roman" w:hAnsi="Times New Roman" w:cs="Times New Roman"/>
                <w:lang w:val="it-IT"/>
              </w:rPr>
            </w:pPr>
            <w:r w:rsidRPr="004F0B2E">
              <w:rPr>
                <w:rFonts w:ascii="Times New Roman" w:hAnsi="Times New Roman" w:cs="Times New Roman"/>
                <w:lang w:val="it-IT"/>
              </w:rPr>
              <w:lastRenderedPageBreak/>
              <w:t>Remissione clinica in base al PUCAI nei responder PMS alla Settimana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2303A58D"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5DF2DB47"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18/31 (58,1%)</w:t>
            </w:r>
          </w:p>
        </w:tc>
      </w:tr>
      <w:tr w:rsidR="00B90373" w:rsidRPr="00C35766" w14:paraId="6601B4C6" w14:textId="77777777" w:rsidTr="00933A6C">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42B0DED" w14:textId="77777777" w:rsidR="00B90373" w:rsidRPr="004F0B2E" w:rsidRDefault="00B90373" w:rsidP="00787805">
            <w:pPr>
              <w:rPr>
                <w:rFonts w:ascii="Times New Roman" w:hAnsi="Times New Roman" w:cs="Times New Roman"/>
                <w:lang w:val="it-IT"/>
              </w:rPr>
            </w:pPr>
            <w:r w:rsidRPr="004F0B2E">
              <w:rPr>
                <w:rFonts w:ascii="Times New Roman" w:hAnsi="Times New Roman" w:cs="Times New Roman"/>
                <w:lang w:val="it-IT"/>
              </w:rPr>
              <w:t>Risposta clinica in base al PUCAI nei responder PMS alla Settimana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62C22A7E"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4DE5051B" w14:textId="77777777" w:rsidR="00B90373" w:rsidRPr="00C35766" w:rsidRDefault="00B90373" w:rsidP="00787805">
            <w:pPr>
              <w:jc w:val="center"/>
              <w:rPr>
                <w:rFonts w:ascii="Times New Roman" w:hAnsi="Times New Roman" w:cs="Times New Roman"/>
              </w:rPr>
            </w:pPr>
            <w:r w:rsidRPr="00C35766">
              <w:rPr>
                <w:rFonts w:ascii="Times New Roman" w:hAnsi="Times New Roman" w:cs="Times New Roman"/>
              </w:rPr>
              <w:t>16/31 (51,6%)</w:t>
            </w:r>
          </w:p>
        </w:tc>
      </w:tr>
      <w:tr w:rsidR="00B90373" w:rsidRPr="006501B3" w14:paraId="14F85EC1" w14:textId="77777777" w:rsidTr="00933A6C">
        <w:trPr>
          <w:trHeight w:val="533"/>
          <w:jc w:val="center"/>
        </w:trPr>
        <w:tc>
          <w:tcPr>
            <w:tcW w:w="8971"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6A80F335" w14:textId="5B084E92" w:rsidR="00B90373" w:rsidRPr="004F0B2E" w:rsidRDefault="00B90373" w:rsidP="00787805">
            <w:pPr>
              <w:rPr>
                <w:rStyle w:val="eop"/>
                <w:rFonts w:ascii="Times New Roman" w:hAnsi="Times New Roman" w:cs="Times New Roman"/>
                <w:lang w:val="it-IT"/>
              </w:rPr>
            </w:pPr>
            <w:r w:rsidRPr="004F0B2E">
              <w:rPr>
                <w:rFonts w:ascii="Times New Roman" w:hAnsi="Times New Roman" w:cs="Times New Roman"/>
                <w:vertAlign w:val="superscript"/>
                <w:lang w:val="it-IT"/>
              </w:rPr>
              <w:t>a</w:t>
            </w:r>
            <w:r w:rsidRPr="004F0B2E">
              <w:rPr>
                <w:rStyle w:val="normaltextrun"/>
                <w:rFonts w:ascii="Times New Roman" w:hAnsi="Times New Roman" w:cs="Times New Roman"/>
                <w:lang w:val="it-IT"/>
              </w:rPr>
              <w:t>Adalimumab 2,4 mg/kg (massimo 160 mg) alla Settimana 0, placebo alla Settimana 1 e 1,2 mg/kg (massimo 80 mg) alla Settimana 2</w:t>
            </w:r>
            <w:r w:rsidRPr="004F0B2E">
              <w:rPr>
                <w:rStyle w:val="eop"/>
                <w:rFonts w:ascii="Times New Roman" w:hAnsi="Times New Roman" w:cs="Times New Roman"/>
                <w:lang w:val="it-IT"/>
              </w:rPr>
              <w:t> </w:t>
            </w:r>
          </w:p>
          <w:p w14:paraId="6FFF2BF1" w14:textId="22DC3109" w:rsidR="00B90373" w:rsidRPr="00C35766" w:rsidRDefault="00B90373" w:rsidP="00787805">
            <w:pPr>
              <w:pStyle w:val="paragraph"/>
              <w:spacing w:before="0" w:beforeAutospacing="0" w:after="0" w:afterAutospacing="0"/>
              <w:textAlignment w:val="baseline"/>
              <w:rPr>
                <w:rStyle w:val="eop"/>
                <w:sz w:val="22"/>
                <w:szCs w:val="22"/>
              </w:rPr>
            </w:pPr>
            <w:r w:rsidRPr="00C35766">
              <w:rPr>
                <w:sz w:val="22"/>
                <w:szCs w:val="22"/>
                <w:vertAlign w:val="superscript"/>
              </w:rPr>
              <w:t>b</w:t>
            </w:r>
            <w:r w:rsidRPr="00C35766">
              <w:rPr>
                <w:rStyle w:val="normaltextrun"/>
              </w:rPr>
              <w:t>A</w:t>
            </w:r>
            <w:r w:rsidRPr="00C35766">
              <w:rPr>
                <w:rStyle w:val="normaltextrun"/>
                <w:sz w:val="22"/>
                <w:szCs w:val="22"/>
              </w:rPr>
              <w:t>dalimumab 2,4 mg/kg (massimo 160 mg) alla Settimana 0 e alla Settimana 1 e 1,2 mg/kg (massimo 80 mg) alla Settimana 2</w:t>
            </w:r>
            <w:r w:rsidRPr="00C35766">
              <w:rPr>
                <w:rStyle w:val="eop"/>
                <w:sz w:val="22"/>
                <w:szCs w:val="22"/>
              </w:rPr>
              <w:t> </w:t>
            </w:r>
          </w:p>
          <w:p w14:paraId="2B45A7C6" w14:textId="6462F950" w:rsidR="00B90373" w:rsidRPr="00C35766" w:rsidRDefault="00B90373" w:rsidP="00787805">
            <w:pPr>
              <w:pStyle w:val="paragraph"/>
              <w:spacing w:before="0" w:beforeAutospacing="0" w:after="0" w:afterAutospacing="0"/>
              <w:textAlignment w:val="baseline"/>
              <w:rPr>
                <w:rStyle w:val="normaltextrun"/>
                <w:sz w:val="22"/>
                <w:szCs w:val="22"/>
              </w:rPr>
            </w:pPr>
            <w:r w:rsidRPr="00C35766">
              <w:rPr>
                <w:rStyle w:val="normaltextrun"/>
                <w:sz w:val="22"/>
                <w:szCs w:val="22"/>
                <w:vertAlign w:val="superscript"/>
              </w:rPr>
              <w:t>c</w:t>
            </w:r>
            <w:r w:rsidRPr="00C35766">
              <w:rPr>
                <w:rStyle w:val="normaltextrun"/>
                <w:sz w:val="22"/>
                <w:szCs w:val="22"/>
              </w:rPr>
              <w:t>Senza includere la dose di Induzione in aperto di adalimumab 2,4 mg/kg (massimo 160 mg) alla Settimana 0 e alla Settimana 1 e 1,2 mg/kg (massimo 80 mg) alla Settimana 2</w:t>
            </w:r>
          </w:p>
          <w:p w14:paraId="2A422E13" w14:textId="5013111A"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vertAlign w:val="superscript"/>
              </w:rPr>
              <w:t>d</w:t>
            </w:r>
            <w:r w:rsidRPr="00C35766">
              <w:rPr>
                <w:sz w:val="22"/>
                <w:szCs w:val="22"/>
              </w:rPr>
              <w:t>adalimumab 0,6 mg/kg (massimo 40 mg) a settimane alterne</w:t>
            </w:r>
          </w:p>
          <w:p w14:paraId="47EE4BE5" w14:textId="10E69D59" w:rsidR="00B90373" w:rsidRPr="004F0B2E" w:rsidRDefault="00B90373" w:rsidP="00787805">
            <w:pPr>
              <w:rPr>
                <w:rFonts w:ascii="Times New Roman" w:hAnsi="Times New Roman" w:cs="Times New Roman"/>
                <w:lang w:val="it-IT"/>
              </w:rPr>
            </w:pPr>
            <w:r w:rsidRPr="004F0B2E">
              <w:rPr>
                <w:rFonts w:ascii="Times New Roman" w:hAnsi="Times New Roman" w:cs="Times New Roman"/>
                <w:vertAlign w:val="superscript"/>
                <w:lang w:val="it-IT"/>
              </w:rPr>
              <w:t>e</w:t>
            </w:r>
            <w:r w:rsidRPr="004F0B2E">
              <w:rPr>
                <w:rFonts w:ascii="Times New Roman" w:hAnsi="Times New Roman" w:cs="Times New Roman"/>
                <w:lang w:val="it-IT"/>
              </w:rPr>
              <w:t>adalimumab 0,6 mg/kg (massimo 40 mg) ogni settimana</w:t>
            </w:r>
          </w:p>
          <w:p w14:paraId="1BE2647D" w14:textId="77777777" w:rsidR="00B90373" w:rsidRPr="00C35766" w:rsidRDefault="00B90373" w:rsidP="00787805">
            <w:pPr>
              <w:pStyle w:val="paragraph"/>
              <w:spacing w:before="0" w:beforeAutospacing="0" w:after="0" w:afterAutospacing="0"/>
              <w:textAlignment w:val="baseline"/>
              <w:rPr>
                <w:sz w:val="22"/>
                <w:szCs w:val="22"/>
              </w:rPr>
            </w:pPr>
            <w:r w:rsidRPr="00C35766">
              <w:rPr>
                <w:rStyle w:val="normaltextrun"/>
                <w:sz w:val="22"/>
                <w:szCs w:val="22"/>
              </w:rPr>
              <w:t>Nota 1: entrambi i gruppi di induzione hanno ricevuto 0,6 mg/kg (massimo 40 mg) alla Settimana 4 e alla Settimana 6</w:t>
            </w:r>
            <w:r w:rsidRPr="00C35766">
              <w:rPr>
                <w:rStyle w:val="eop"/>
                <w:sz w:val="22"/>
                <w:szCs w:val="22"/>
              </w:rPr>
              <w:t> </w:t>
            </w:r>
          </w:p>
          <w:p w14:paraId="5735D026" w14:textId="77777777" w:rsidR="00B90373" w:rsidRPr="00C35766" w:rsidRDefault="00B90373" w:rsidP="00787805">
            <w:pPr>
              <w:pStyle w:val="paragraph"/>
              <w:spacing w:before="0" w:beforeAutospacing="0" w:after="0" w:afterAutospacing="0"/>
              <w:textAlignment w:val="baseline"/>
              <w:rPr>
                <w:rStyle w:val="eop"/>
                <w:sz w:val="22"/>
                <w:szCs w:val="22"/>
              </w:rPr>
            </w:pPr>
            <w:r w:rsidRPr="00C35766">
              <w:rPr>
                <w:rStyle w:val="normaltextrun"/>
                <w:sz w:val="22"/>
                <w:szCs w:val="22"/>
              </w:rPr>
              <w:t>Nota 2: i pazienti con valori mancanti alla Settimana 8 sono stati considerati come non aver raggiunto gli endpoint</w:t>
            </w:r>
            <w:r w:rsidRPr="00C35766">
              <w:rPr>
                <w:rStyle w:val="eop"/>
                <w:sz w:val="22"/>
                <w:szCs w:val="22"/>
              </w:rPr>
              <w:t> </w:t>
            </w:r>
          </w:p>
          <w:p w14:paraId="467F193F" w14:textId="77777777" w:rsidR="00B90373" w:rsidRPr="00C35766" w:rsidRDefault="00B90373" w:rsidP="00787805">
            <w:pPr>
              <w:pStyle w:val="paragraph"/>
              <w:spacing w:before="0" w:beforeAutospacing="0" w:after="0" w:afterAutospacing="0"/>
              <w:textAlignment w:val="baseline"/>
              <w:rPr>
                <w:sz w:val="22"/>
                <w:szCs w:val="22"/>
              </w:rPr>
            </w:pPr>
            <w:r w:rsidRPr="00C35766">
              <w:rPr>
                <w:rStyle w:val="eop"/>
                <w:sz w:val="22"/>
                <w:szCs w:val="22"/>
              </w:rPr>
              <w:t xml:space="preserve">Nota 3: </w:t>
            </w:r>
            <w:r w:rsidRPr="00C35766">
              <w:rPr>
                <w:sz w:val="22"/>
                <w:szCs w:val="22"/>
              </w:rPr>
              <w:t>i pazienti con valori mancanti alla Settimana 52 o che sono stati randomizzati a ricevere un trattamento di reinduzione o mantenimento sono stati considerati non responder per gli endpoint della Settimana 52</w:t>
            </w:r>
          </w:p>
        </w:tc>
      </w:tr>
      <w:bookmarkEnd w:id="9"/>
    </w:tbl>
    <w:p w14:paraId="1757D5ED" w14:textId="77777777" w:rsidR="00B90373" w:rsidRPr="004F0B2E" w:rsidRDefault="00B90373" w:rsidP="00B90373">
      <w:pPr>
        <w:rPr>
          <w:rFonts w:ascii="Times New Roman" w:hAnsi="Times New Roman" w:cs="Times New Roman"/>
          <w:lang w:val="it-IT"/>
        </w:rPr>
      </w:pPr>
    </w:p>
    <w:p w14:paraId="1FB6A756" w14:textId="3F1D72A4" w:rsidR="00B90373" w:rsidRPr="004F0B2E" w:rsidRDefault="00B90373" w:rsidP="00B90373">
      <w:pPr>
        <w:rPr>
          <w:rFonts w:ascii="Times New Roman" w:hAnsi="Times New Roman" w:cs="Times New Roman"/>
          <w:lang w:val="it-IT"/>
        </w:rPr>
      </w:pPr>
      <w:r w:rsidRPr="004F0B2E">
        <w:rPr>
          <w:rFonts w:ascii="Times New Roman" w:hAnsi="Times New Roman" w:cs="Times New Roman"/>
          <w:lang w:val="it-IT"/>
        </w:rPr>
        <w:t>Dei pazienti trattati con adalimumab che hanno ricevuto un trattamento di reinduzione durante il periodo di mantenimento, 2/6 (33%) hanno raggiunto una risposta clinica in base al FMS alla Settimana 52.</w:t>
      </w:r>
    </w:p>
    <w:p w14:paraId="3D3E5799" w14:textId="77777777" w:rsidR="00B90373" w:rsidRPr="004F0B2E" w:rsidRDefault="00B90373" w:rsidP="00B90373">
      <w:pPr>
        <w:rPr>
          <w:rFonts w:ascii="Times New Roman" w:hAnsi="Times New Roman" w:cs="Times New Roman"/>
          <w:lang w:val="it-IT"/>
        </w:rPr>
      </w:pPr>
    </w:p>
    <w:p w14:paraId="1BB35BC1" w14:textId="77777777" w:rsidR="00B90373" w:rsidRPr="00AF25F1" w:rsidRDefault="00B90373" w:rsidP="00B90373">
      <w:pPr>
        <w:keepNext/>
        <w:rPr>
          <w:rFonts w:ascii="Times New Roman" w:hAnsi="Times New Roman" w:cs="Times New Roman"/>
          <w:bCs/>
          <w:i/>
          <w:u w:val="single"/>
          <w:lang w:val="it-IT"/>
        </w:rPr>
      </w:pPr>
      <w:r w:rsidRPr="00AF25F1">
        <w:rPr>
          <w:rFonts w:ascii="Times New Roman" w:hAnsi="Times New Roman" w:cs="Times New Roman"/>
          <w:i/>
          <w:u w:val="single"/>
          <w:lang w:val="it-IT"/>
        </w:rPr>
        <w:t>Qualità della vita</w:t>
      </w:r>
    </w:p>
    <w:p w14:paraId="4AD3C66A" w14:textId="77777777" w:rsidR="00B90373" w:rsidRPr="004F0B2E" w:rsidRDefault="00B90373" w:rsidP="00B90373">
      <w:pPr>
        <w:keepNext/>
        <w:rPr>
          <w:rFonts w:ascii="Times New Roman" w:hAnsi="Times New Roman" w:cs="Times New Roman"/>
          <w:bCs/>
          <w:i/>
          <w:lang w:val="it-IT"/>
        </w:rPr>
      </w:pPr>
    </w:p>
    <w:p w14:paraId="396FBF67" w14:textId="53C99E6F" w:rsidR="00B90373" w:rsidRPr="004F0B2E" w:rsidRDefault="00B90373" w:rsidP="00B90373">
      <w:pPr>
        <w:keepNext/>
        <w:rPr>
          <w:rFonts w:ascii="Times New Roman" w:hAnsi="Times New Roman" w:cs="Times New Roman"/>
          <w:lang w:val="it-IT"/>
        </w:rPr>
      </w:pPr>
      <w:r w:rsidRPr="004F0B2E">
        <w:rPr>
          <w:rFonts w:ascii="Times New Roman" w:hAnsi="Times New Roman" w:cs="Times New Roman"/>
          <w:lang w:val="it-IT"/>
        </w:rPr>
        <w:t xml:space="preserve">Miglioramenti clinicamente significativi rispetto al basale sono stati osservati nei punteggi IMPACT III e WPAI (Work Productivity and Activity Impairment) dei caregiver per i gruppi trattati con adalimumab. </w:t>
      </w:r>
    </w:p>
    <w:p w14:paraId="0F0EA5AB" w14:textId="77777777" w:rsidR="00B90373" w:rsidRPr="004F0B2E" w:rsidRDefault="00B90373" w:rsidP="00B90373">
      <w:pPr>
        <w:keepNext/>
        <w:rPr>
          <w:rFonts w:ascii="Times New Roman" w:hAnsi="Times New Roman" w:cs="Times New Roman"/>
          <w:lang w:val="it-IT"/>
        </w:rPr>
      </w:pPr>
    </w:p>
    <w:p w14:paraId="3ACBDAA5" w14:textId="3FF63D08" w:rsidR="00B90373" w:rsidRPr="00C35766" w:rsidRDefault="00B90373" w:rsidP="00B3291C">
      <w:pPr>
        <w:spacing w:before="1"/>
        <w:rPr>
          <w:rFonts w:ascii="Times New Roman" w:hAnsi="Times New Roman" w:cs="Times New Roman"/>
          <w:sz w:val="18"/>
          <w:szCs w:val="18"/>
          <w:lang w:val="it-IT"/>
        </w:rPr>
      </w:pPr>
      <w:r w:rsidRPr="004F0B2E">
        <w:rPr>
          <w:rFonts w:ascii="Times New Roman" w:hAnsi="Times New Roman" w:cs="Times New Roman"/>
          <w:lang w:val="it-IT"/>
        </w:rPr>
        <w:t xml:space="preserve">Aumenti clinicamente significativi (miglioramento) rispetto al basale della velocità di crescita in altezza sono stati osservati per i gruppi trattati con adalimumab e aumenti clinicamente significativi (miglioramento) rispetto al basale dell'indice di massa corporea sono stati osservati nei soggetti trattati con la dose di </w:t>
      </w:r>
      <w:r w:rsidRPr="004F0B2E">
        <w:rPr>
          <w:rStyle w:val="normaltextrun"/>
          <w:rFonts w:ascii="Times New Roman" w:hAnsi="Times New Roman" w:cs="Times New Roman"/>
          <w:lang w:val="it-IT"/>
        </w:rPr>
        <w:t>mantenimento</w:t>
      </w:r>
      <w:r w:rsidRPr="004F0B2E">
        <w:rPr>
          <w:rFonts w:ascii="Times New Roman" w:hAnsi="Times New Roman" w:cs="Times New Roman"/>
          <w:lang w:val="it-IT"/>
        </w:rPr>
        <w:t xml:space="preserve"> di massimo 40 mg (0,6 mg/kg) ogni settimana.</w:t>
      </w:r>
    </w:p>
    <w:p w14:paraId="3999BF4B" w14:textId="77777777" w:rsidR="00B90373" w:rsidRPr="00C35766" w:rsidRDefault="00B90373">
      <w:pPr>
        <w:spacing w:before="1" w:line="180" w:lineRule="exact"/>
        <w:rPr>
          <w:rFonts w:ascii="Times New Roman" w:hAnsi="Times New Roman" w:cs="Times New Roman"/>
          <w:sz w:val="18"/>
          <w:szCs w:val="18"/>
          <w:lang w:val="it-IT"/>
        </w:rPr>
      </w:pPr>
    </w:p>
    <w:p w14:paraId="7937019F" w14:textId="77777777" w:rsidR="00B90373" w:rsidRPr="00C35766" w:rsidRDefault="00B90373" w:rsidP="00B90373">
      <w:pPr>
        <w:pStyle w:val="a3"/>
        <w:rPr>
          <w:rFonts w:eastAsia="Times New Roman"/>
          <w:lang w:val="es-ES"/>
        </w:rPr>
      </w:pPr>
      <w:r w:rsidRPr="00C35766">
        <w:rPr>
          <w:rFonts w:eastAsia="Times New Roman"/>
          <w:i/>
          <w:iCs/>
          <w:spacing w:val="-1"/>
          <w:lang w:val="it-IT"/>
        </w:rPr>
        <w:t>Uveite pediatrica</w:t>
      </w:r>
    </w:p>
    <w:p w14:paraId="4E462CD8" w14:textId="77777777" w:rsidR="00B90373" w:rsidRPr="00C35766" w:rsidRDefault="00B90373" w:rsidP="00B90373">
      <w:pPr>
        <w:pStyle w:val="a3"/>
        <w:rPr>
          <w:sz w:val="24"/>
          <w:szCs w:val="24"/>
          <w:lang w:val="es-ES"/>
        </w:rPr>
      </w:pPr>
    </w:p>
    <w:p w14:paraId="75332C83" w14:textId="2ED72025" w:rsidR="00B90373" w:rsidRPr="00C35766" w:rsidRDefault="00B90373" w:rsidP="00B90373">
      <w:pPr>
        <w:pStyle w:val="a3"/>
        <w:rPr>
          <w:lang w:val="it-IT"/>
        </w:rPr>
      </w:pPr>
      <w:r w:rsidRPr="00C35766">
        <w:rPr>
          <w:rFonts w:eastAsia="Times New Roman"/>
          <w:lang w:val="it-IT"/>
        </w:rPr>
        <w:t>La sicurezza e l’efficacia di adalimumab sono state valutate in uno studio randomizzato, controllato, in doppio cieco su 90 pazienti pediatrici dai 2 ai &lt;</w:t>
      </w:r>
      <w:r w:rsidR="000F35BA" w:rsidRPr="00C35766">
        <w:rPr>
          <w:rFonts w:eastAsia="Times New Roman"/>
          <w:lang w:val="it-IT"/>
        </w:rPr>
        <w:t xml:space="preserve"> </w:t>
      </w:r>
      <w:r w:rsidRPr="00C35766">
        <w:rPr>
          <w:rFonts w:eastAsia="Times New Roman"/>
          <w:lang w:val="it-IT"/>
        </w:rPr>
        <w:t>18 anni di età con uveite anteriore non infettiva attiva associata ad artrite idiopatica giovanile (JIA) refrattari ad almeno 12 settimane di trattamento con metotressato. I pazienti hanno ricevuto placebo oppure 20 mg di adalimumab (se &lt;</w:t>
      </w:r>
      <w:r w:rsidR="000F35BA" w:rsidRPr="00C35766">
        <w:rPr>
          <w:rFonts w:eastAsia="Times New Roman"/>
          <w:lang w:val="it-IT"/>
        </w:rPr>
        <w:t xml:space="preserve"> </w:t>
      </w:r>
      <w:r w:rsidRPr="00C35766">
        <w:rPr>
          <w:rFonts w:eastAsia="Times New Roman"/>
          <w:lang w:val="it-IT"/>
        </w:rPr>
        <w:t>30 kg) o 40 mg di adalimumab (se ≥</w:t>
      </w:r>
      <w:r w:rsidR="000F35BA" w:rsidRPr="00C35766">
        <w:rPr>
          <w:rFonts w:eastAsia="Times New Roman"/>
          <w:lang w:val="it-IT"/>
        </w:rPr>
        <w:t xml:space="preserve"> </w:t>
      </w:r>
      <w:r w:rsidRPr="00C35766">
        <w:rPr>
          <w:rFonts w:eastAsia="Times New Roman"/>
          <w:lang w:val="it-IT"/>
        </w:rPr>
        <w:t>30 kg) a settimane alterne in associazione con la loro dose basale di metotressato.</w:t>
      </w:r>
    </w:p>
    <w:p w14:paraId="473F99D2" w14:textId="77777777" w:rsidR="00B90373" w:rsidRPr="00C35766" w:rsidRDefault="00B90373" w:rsidP="00B90373">
      <w:pPr>
        <w:pStyle w:val="a3"/>
        <w:rPr>
          <w:lang w:val="it-IT"/>
        </w:rPr>
      </w:pPr>
      <w:r w:rsidRPr="00C35766">
        <w:rPr>
          <w:rFonts w:eastAsia="Times New Roman"/>
          <w:lang w:val="it-IT"/>
        </w:rPr>
        <w:t>L'endpoint primario di efficacia in entrambi gli studi era il “tempo al fallimento del trattamento”. I criteri che definivano il fallimento del trattamento erano il peggioramento o l’assenza prolungata di un miglioramento dell’infiammazione oculare o il miglioramento parziale con sviluppo di comorbidità oculari prolungate o peggioramento delle comorbidità oculari esistenti, l’uso non consentito di medicinali concomitanti e la sospensione del trattamento per un periodo di tempo prolungato.</w:t>
      </w:r>
    </w:p>
    <w:p w14:paraId="6DFCED6B" w14:textId="77777777" w:rsidR="00B90373" w:rsidRPr="00C35766" w:rsidRDefault="00B90373" w:rsidP="00B90373">
      <w:pPr>
        <w:pStyle w:val="a3"/>
        <w:rPr>
          <w:sz w:val="24"/>
          <w:szCs w:val="24"/>
          <w:lang w:val="it-IT"/>
        </w:rPr>
      </w:pPr>
    </w:p>
    <w:p w14:paraId="1B2D23CD" w14:textId="77777777" w:rsidR="00B90373" w:rsidRPr="00C35766" w:rsidRDefault="00B90373" w:rsidP="00B90373">
      <w:pPr>
        <w:pStyle w:val="a3"/>
        <w:rPr>
          <w:rFonts w:eastAsia="Times New Roman"/>
          <w:lang w:val="it-IT"/>
        </w:rPr>
      </w:pPr>
      <w:r w:rsidRPr="00C35766">
        <w:rPr>
          <w:rFonts w:eastAsia="Times New Roman"/>
          <w:i/>
          <w:iCs/>
          <w:spacing w:val="-1"/>
          <w:u w:val="single" w:color="000000"/>
          <w:lang w:val="it-IT"/>
        </w:rPr>
        <w:t>Risposta clinica</w:t>
      </w:r>
    </w:p>
    <w:p w14:paraId="2DC321C0" w14:textId="77777777" w:rsidR="00B90373" w:rsidRPr="00C35766" w:rsidRDefault="00B90373" w:rsidP="00B90373">
      <w:pPr>
        <w:pStyle w:val="a3"/>
        <w:rPr>
          <w:sz w:val="20"/>
          <w:szCs w:val="20"/>
          <w:lang w:val="it-IT"/>
        </w:rPr>
      </w:pPr>
    </w:p>
    <w:p w14:paraId="31F29805" w14:textId="30D8DCD7" w:rsidR="00B90373" w:rsidRPr="00C35766" w:rsidRDefault="00B90373" w:rsidP="00B90373">
      <w:pPr>
        <w:pStyle w:val="a3"/>
        <w:rPr>
          <w:lang w:val="es-ES"/>
        </w:rPr>
      </w:pPr>
      <w:r w:rsidRPr="00C35766">
        <w:rPr>
          <w:rFonts w:eastAsia="Times New Roman"/>
          <w:lang w:val="it-IT"/>
        </w:rPr>
        <w:t>Adalimumab ha ritardato in misura significativa il tempo al fallimento del trattamento rispetto al placebo (vedere Figura 3, P &lt;</w:t>
      </w:r>
      <w:r w:rsidR="000F35BA" w:rsidRPr="00C35766">
        <w:rPr>
          <w:rFonts w:eastAsia="Times New Roman"/>
          <w:lang w:val="it-IT"/>
        </w:rPr>
        <w:t xml:space="preserve"> </w:t>
      </w:r>
      <w:r w:rsidRPr="00C35766">
        <w:rPr>
          <w:rFonts w:eastAsia="Times New Roman"/>
          <w:lang w:val="it-IT"/>
        </w:rPr>
        <w:t xml:space="preserve">0,0001 dal test dei ranghi logaritmici). La mediana del tempo al fallimento del trattamento è stata di 24,1 settimane per i soggetti trattati con placebo, mentre la mediana del tempo al fallimento del trattamento è risultata non valutabile per i soggetti trattati con adalimumab in quanto meno di metà di questi soggetti è andata incontro a fallimento del trattamento. Adalimumab ha ridotto in maniera significativa il rischio di fallimento del trattamento nella misura del 75% rispetto al placebo, come </w:t>
      </w:r>
      <w:r w:rsidRPr="00C35766">
        <w:rPr>
          <w:rFonts w:eastAsia="Times New Roman"/>
          <w:lang w:val="it-IT"/>
        </w:rPr>
        <w:lastRenderedPageBreak/>
        <w:t>evidenziato dal rapporto di rischio (HR = 0,25 [IC al 95%: 0,12; 0,49]).</w:t>
      </w:r>
    </w:p>
    <w:p w14:paraId="2BCEBF1B" w14:textId="77777777" w:rsidR="00B90373" w:rsidRPr="00C35766" w:rsidRDefault="00B90373" w:rsidP="00B90373">
      <w:pPr>
        <w:spacing w:line="200" w:lineRule="exact"/>
        <w:rPr>
          <w:rFonts w:ascii="Times New Roman" w:hAnsi="Times New Roman" w:cs="Times New Roman"/>
          <w:sz w:val="20"/>
          <w:szCs w:val="20"/>
          <w:lang w:val="es-ES"/>
        </w:rPr>
      </w:pPr>
    </w:p>
    <w:p w14:paraId="3586262E" w14:textId="4FB86548" w:rsidR="00B90373" w:rsidRPr="00C35766" w:rsidRDefault="00B90373" w:rsidP="00B90373">
      <w:pPr>
        <w:pStyle w:val="a3"/>
        <w:jc w:val="center"/>
        <w:rPr>
          <w:b/>
          <w:lang w:val="es-ES"/>
        </w:rPr>
      </w:pPr>
      <w:r w:rsidRPr="00C35766">
        <w:rPr>
          <w:rFonts w:eastAsia="Times New Roman"/>
          <w:b/>
          <w:bCs/>
          <w:lang w:val="it-IT"/>
        </w:rPr>
        <w:t>Figura 3: curve di Kaplan-Meier del tempo al fallimento del trattamento nello studio sull’uveite pediatrica</w:t>
      </w:r>
    </w:p>
    <w:p w14:paraId="76739577" w14:textId="77777777" w:rsidR="00B90373" w:rsidRPr="00C35766" w:rsidRDefault="00B90373" w:rsidP="00B90373">
      <w:pPr>
        <w:spacing w:before="16" w:line="240" w:lineRule="exact"/>
        <w:rPr>
          <w:rFonts w:ascii="Times New Roman" w:hAnsi="Times New Roman" w:cs="Times New Roman"/>
          <w:sz w:val="24"/>
          <w:szCs w:val="24"/>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295" behindDoc="1" locked="0" layoutInCell="1" allowOverlap="1" wp14:anchorId="6138099B" wp14:editId="2B6F0510">
                <wp:simplePos x="0" y="0"/>
                <wp:positionH relativeFrom="page">
                  <wp:posOffset>968829</wp:posOffset>
                </wp:positionH>
                <wp:positionV relativeFrom="paragraph">
                  <wp:posOffset>50891</wp:posOffset>
                </wp:positionV>
                <wp:extent cx="206828" cy="3791585"/>
                <wp:effectExtent l="0" t="0" r="3175" b="18415"/>
                <wp:wrapNone/>
                <wp:docPr id="3"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28" cy="3791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2785" w14:textId="77777777" w:rsidR="00D97785" w:rsidRDefault="00D97785" w:rsidP="00B90373">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8099B" id="Text Box 3876" o:spid="_x0000_s1033" type="#_x0000_t202" style="position:absolute;margin-left:76.3pt;margin-top:4pt;width:16.3pt;height:298.55pt;z-index:-2516581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" filled="f" stroked="f">
                <v:textbox style="layout-flow:vertical;mso-layout-flow-alt:bottom-to-top" inset="0,0,0,0">
                  <w:txbxContent>
                    <w:p w14:paraId="5B8F2785" w14:textId="77777777" w:rsidR="00D97785" w:rsidRDefault="00D97785" w:rsidP="00B90373">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v:textbox>
                <w10:wrap anchorx="page"/>
              </v:shape>
            </w:pict>
          </mc:Fallback>
        </mc:AlternateContent>
      </w:r>
    </w:p>
    <w:p w14:paraId="4B39DF81" w14:textId="722C4BBD" w:rsidR="00B90373" w:rsidRPr="00C35766" w:rsidRDefault="00933A6C" w:rsidP="00B90373">
      <w:pPr>
        <w:ind w:left="687" w:right="10920"/>
        <w:rPr>
          <w:rFonts w:ascii="Times New Roman" w:eastAsia="Times New Roman" w:hAnsi="Times New Roman" w:cs="Times New Roman"/>
          <w:sz w:val="20"/>
          <w:szCs w:val="20"/>
        </w:rPr>
      </w:pP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97" behindDoc="0" locked="0" layoutInCell="1" allowOverlap="1" wp14:anchorId="41F9DCBA" wp14:editId="1C3456EC">
                <wp:simplePos x="0" y="0"/>
                <wp:positionH relativeFrom="column">
                  <wp:posOffset>553085</wp:posOffset>
                </wp:positionH>
                <wp:positionV relativeFrom="paragraph">
                  <wp:posOffset>3579809</wp:posOffset>
                </wp:positionV>
                <wp:extent cx="222637" cy="273685"/>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222637" cy="2736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41F7A" w14:textId="77777777" w:rsidR="00D97785" w:rsidRPr="00933A6C" w:rsidRDefault="00D97785" w:rsidP="00B90373">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A</w:t>
                            </w:r>
                          </w:p>
                          <w:p w14:paraId="27D88648" w14:textId="77777777" w:rsidR="00D97785" w:rsidRPr="00933A6C" w:rsidRDefault="00D97785" w:rsidP="00B90373">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1F9DCBA" id="Text Box 40" o:spid="_x0000_s1034" type="#_x0000_t202" style="position:absolute;left:0;text-align:left;margin-left:43.55pt;margin-top:281.85pt;width:17.55pt;height:21.5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" fillcolor="white [3212]" stroked="f" strokeweight=".5pt">
                <v:textbox inset="0,0,0,0">
                  <w:txbxContent>
                    <w:p w14:paraId="7F241F7A" w14:textId="77777777" w:rsidR="00D97785" w:rsidRPr="00933A6C" w:rsidRDefault="00D97785" w:rsidP="00B90373">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A</w:t>
                      </w:r>
                    </w:p>
                    <w:p w14:paraId="27D88648" w14:textId="77777777" w:rsidR="00D97785" w:rsidRPr="00933A6C" w:rsidRDefault="00D97785" w:rsidP="00B90373">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P</w:t>
                      </w:r>
                    </w:p>
                  </w:txbxContent>
                </v:textbox>
              </v:shape>
            </w:pict>
          </mc:Fallback>
        </mc:AlternateContent>
      </w:r>
      <w:r w:rsidR="00B90373"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96" behindDoc="0" locked="0" layoutInCell="1" allowOverlap="1" wp14:anchorId="6F086705" wp14:editId="7BF76A17">
                <wp:simplePos x="0" y="0"/>
                <wp:positionH relativeFrom="column">
                  <wp:posOffset>400398</wp:posOffset>
                </wp:positionH>
                <wp:positionV relativeFrom="paragraph">
                  <wp:posOffset>16447</wp:posOffset>
                </wp:positionV>
                <wp:extent cx="225865" cy="3519377"/>
                <wp:effectExtent l="0" t="0" r="3175" b="5080"/>
                <wp:wrapNone/>
                <wp:docPr id="74" name="Text Box 74"/>
                <wp:cNvGraphicFramePr/>
                <a:graphic xmlns:a="http://schemas.openxmlformats.org/drawingml/2006/main">
                  <a:graphicData uri="http://schemas.microsoft.com/office/word/2010/wordprocessingShape">
                    <wps:wsp>
                      <wps:cNvSpPr txBox="1"/>
                      <wps:spPr>
                        <a:xfrm>
                          <a:off x="0" y="0"/>
                          <a:ext cx="225865"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7F29D"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194320EB"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3F528D78"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5D0A13FA"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66AD406D"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1F8D70F0"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F086705" id="Text Box 74" o:spid="_x0000_s1035" type="#_x0000_t202" style="position:absolute;left:0;text-align:left;margin-left:31.55pt;margin-top:1.3pt;width:17.8pt;height:277.1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" fillcolor="white [3212]" stroked="f" strokeweight=".5pt">
                <v:textbox inset="0,0,0,0">
                  <w:txbxContent>
                    <w:p w14:paraId="0D97F29D"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194320EB"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3F528D78"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5D0A13FA"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66AD406D"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1F8D70F0" w14:textId="77777777" w:rsidR="00D97785" w:rsidRDefault="00D97785" w:rsidP="00B90373">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v:textbox>
              </v:shape>
            </w:pict>
          </mc:Fallback>
        </mc:AlternateContent>
      </w:r>
      <w:r w:rsidR="00B90373" w:rsidRPr="00C35766">
        <w:rPr>
          <w:rFonts w:ascii="Times New Roman" w:hAnsi="Times New Roman" w:cs="Times New Roman"/>
          <w:noProof/>
          <w:lang w:eastAsia="ko-KR"/>
        </w:rPr>
        <w:drawing>
          <wp:inline distT="0" distB="0" distL="0" distR="0" wp14:anchorId="2FB82409" wp14:editId="0A487FCF">
            <wp:extent cx="5460365" cy="3871356"/>
            <wp:effectExtent l="0" t="0" r="6985" b="0"/>
            <wp:docPr id="77"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7369" cy="3876322"/>
                    </a:xfrm>
                    <a:prstGeom prst="rect">
                      <a:avLst/>
                    </a:prstGeom>
                    <a:noFill/>
                    <a:ln>
                      <a:noFill/>
                    </a:ln>
                  </pic:spPr>
                </pic:pic>
              </a:graphicData>
            </a:graphic>
          </wp:inline>
        </w:drawing>
      </w:r>
    </w:p>
    <w:p w14:paraId="064039A6" w14:textId="711FF5F9" w:rsidR="00B90373" w:rsidRPr="00C35766" w:rsidRDefault="00B90373" w:rsidP="00B90373">
      <w:pPr>
        <w:spacing w:before="36"/>
        <w:ind w:left="479"/>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(SETTIMANE)</w:t>
      </w:r>
    </w:p>
    <w:p w14:paraId="68F04A5A" w14:textId="42235287" w:rsidR="00B90373" w:rsidRPr="00C35766" w:rsidRDefault="00B90373" w:rsidP="00B90373">
      <w:pPr>
        <w:pStyle w:val="a3"/>
        <w:rPr>
          <w:lang w:val="pt-BR"/>
        </w:rPr>
      </w:pPr>
      <w:r w:rsidRPr="00C35766">
        <w:rPr>
          <w:noProof/>
          <w:lang w:eastAsia="ko-KR"/>
        </w:rPr>
        <w:drawing>
          <wp:anchor distT="0" distB="0" distL="114300" distR="114300" simplePos="0" relativeHeight="251658294" behindDoc="1" locked="0" layoutInCell="1" allowOverlap="1" wp14:anchorId="5083B3E3" wp14:editId="75B141F0">
            <wp:simplePos x="0" y="0"/>
            <wp:positionH relativeFrom="page">
              <wp:posOffset>5091430</wp:posOffset>
            </wp:positionH>
            <wp:positionV relativeFrom="paragraph">
              <wp:posOffset>67310</wp:posOffset>
            </wp:positionV>
            <wp:extent cx="452755" cy="86995"/>
            <wp:effectExtent l="0" t="0" r="0" b="0"/>
            <wp:wrapNone/>
            <wp:docPr id="88"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Trattamento</w:t>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noProof/>
          <w:lang w:eastAsia="ko-KR"/>
        </w:rPr>
        <w:drawing>
          <wp:inline distT="0" distB="0" distL="0" distR="0" wp14:anchorId="70A7473D" wp14:editId="2C3B84BB">
            <wp:extent cx="457200" cy="127000"/>
            <wp:effectExtent l="0" t="0" r="0" b="0"/>
            <wp:docPr id="9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65614F9C" w14:textId="77777777" w:rsidR="00B90373" w:rsidRPr="00C35766" w:rsidRDefault="00B90373" w:rsidP="00B90373">
      <w:pPr>
        <w:pStyle w:val="a3"/>
        <w:rPr>
          <w:lang w:val="pt-BR"/>
        </w:rPr>
      </w:pPr>
      <w:r w:rsidRPr="00C35766">
        <w:rPr>
          <w:rFonts w:eastAsia="Times New Roman"/>
          <w:lang w:val="it-IT"/>
        </w:rPr>
        <w:t>Nota: P = Placebo (numero a rischio); A = Adalimumab (numero a rischio).</w:t>
      </w:r>
    </w:p>
    <w:p w14:paraId="4DAC912B" w14:textId="78F50DB4" w:rsidR="00953B2E" w:rsidRPr="00C35766" w:rsidRDefault="00953B2E">
      <w:pPr>
        <w:spacing w:before="16" w:line="240" w:lineRule="exact"/>
        <w:rPr>
          <w:rFonts w:ascii="Times New Roman" w:hAnsi="Times New Roman" w:cs="Times New Roman"/>
          <w:sz w:val="24"/>
          <w:szCs w:val="24"/>
          <w:lang w:val="es-ES"/>
        </w:rPr>
      </w:pPr>
    </w:p>
    <w:p w14:paraId="7049F097" w14:textId="77777777" w:rsidR="00953B2E" w:rsidRPr="00C35766" w:rsidRDefault="005F0C19" w:rsidP="00787805">
      <w:pPr>
        <w:widowControl/>
        <w:numPr>
          <w:ilvl w:val="1"/>
          <w:numId w:val="29"/>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farmacocinetiche</w:t>
      </w:r>
    </w:p>
    <w:p w14:paraId="5F9FC61E" w14:textId="77777777" w:rsidR="00953B2E" w:rsidRPr="00C35766" w:rsidRDefault="00953B2E">
      <w:pPr>
        <w:spacing w:before="9" w:line="240" w:lineRule="exact"/>
        <w:rPr>
          <w:rFonts w:ascii="Times New Roman" w:hAnsi="Times New Roman" w:cs="Times New Roman"/>
          <w:sz w:val="24"/>
          <w:szCs w:val="24"/>
        </w:rPr>
      </w:pPr>
    </w:p>
    <w:p w14:paraId="0F805115" w14:textId="77777777" w:rsidR="00953B2E" w:rsidRPr="00C35766" w:rsidRDefault="005F0C19">
      <w:pPr>
        <w:pStyle w:val="a3"/>
        <w:rPr>
          <w:u w:val="single"/>
        </w:rPr>
      </w:pPr>
      <w:r w:rsidRPr="00C35766">
        <w:rPr>
          <w:rFonts w:eastAsia="Times New Roman"/>
          <w:u w:val="single" w:color="000000"/>
          <w:lang w:val="it-IT"/>
        </w:rPr>
        <w:t>Assorbimento e distribuzione</w:t>
      </w:r>
    </w:p>
    <w:p w14:paraId="48B3407C" w14:textId="77777777" w:rsidR="00953B2E" w:rsidRPr="00C35766" w:rsidRDefault="00953B2E">
      <w:pPr>
        <w:spacing w:before="1" w:line="180" w:lineRule="exact"/>
        <w:rPr>
          <w:rFonts w:ascii="Times New Roman" w:hAnsi="Times New Roman" w:cs="Times New Roman"/>
          <w:sz w:val="18"/>
          <w:szCs w:val="18"/>
        </w:rPr>
      </w:pPr>
    </w:p>
    <w:p w14:paraId="1FBDB52F" w14:textId="146D8A3E" w:rsidR="00953B2E" w:rsidRPr="00C35766" w:rsidRDefault="005F0C19">
      <w:pPr>
        <w:pStyle w:val="a3"/>
        <w:rPr>
          <w:lang w:val="it-IT"/>
        </w:rPr>
      </w:pPr>
      <w:r w:rsidRPr="00C35766">
        <w:rPr>
          <w:rFonts w:eastAsia="Times New Roman"/>
          <w:lang w:val="it-IT"/>
        </w:rPr>
        <w:t>Dopo la somministrazione sottocutanea di una singola dose di 40 mg, l’assorbimento e la distribuzione di adalimumab sono stati lenti, con picchi di concentrazione sierica raggiunti circa 5 giorni dopo la somministrazione. La biodisponibilità media assoluta di adalimumab rilevata nei tre studi dopo un</w:t>
      </w:r>
      <w:r w:rsidR="00935701" w:rsidRPr="00C35766">
        <w:rPr>
          <w:rFonts w:eastAsia="Times New Roman"/>
          <w:lang w:val="it-IT"/>
        </w:rPr>
        <w:t>’unica</w:t>
      </w:r>
      <w:r w:rsidRPr="00C35766">
        <w:rPr>
          <w:rFonts w:eastAsia="Times New Roman"/>
          <w:lang w:val="it-IT"/>
        </w:rPr>
        <w:t xml:space="preserve"> dose sottocutanea di 40 mg è stata del 64%. Dopo dosi endovenose singole da 0,25 a 10 mg/kg, le concentrazioni sono state proporzionali alla dose. Dopo dosi di 0,5 mg/kg (~40 mg), la clearance è variata da 11 a 15 </w:t>
      </w:r>
      <w:r w:rsidR="00331973" w:rsidRPr="00C35766">
        <w:rPr>
          <w:rFonts w:eastAsia="Times New Roman"/>
          <w:lang w:val="it-IT"/>
        </w:rPr>
        <w:t>mL</w:t>
      </w:r>
      <w:r w:rsidRPr="00C35766">
        <w:rPr>
          <w:rFonts w:eastAsia="Times New Roman"/>
          <w:lang w:val="it-IT"/>
        </w:rPr>
        <w:t>/ora, il volume di distribuzione (V</w:t>
      </w:r>
      <w:r w:rsidRPr="00C35766">
        <w:rPr>
          <w:rFonts w:eastAsia="Times New Roman"/>
          <w:sz w:val="14"/>
          <w:szCs w:val="14"/>
          <w:lang w:val="it-IT"/>
        </w:rPr>
        <w:t>ss</w:t>
      </w:r>
      <w:r w:rsidRPr="00C35766">
        <w:rPr>
          <w:rFonts w:eastAsia="Times New Roman"/>
          <w:lang w:val="it-IT"/>
        </w:rPr>
        <w:t>) è variato dai 5 ai 6 litri, e l’emivita media della fase finale è stata di circa due settimane. Le concentrazioni di adalimumab nel liquido sinoviale in diversi pazienti affetti da artrite reumatoide sono state del 31-96% rispetto a quelle sieriche.</w:t>
      </w:r>
    </w:p>
    <w:p w14:paraId="4BDC8146" w14:textId="77777777" w:rsidR="00953B2E" w:rsidRPr="00C35766" w:rsidRDefault="00953B2E">
      <w:pPr>
        <w:spacing w:before="14" w:line="240" w:lineRule="exact"/>
        <w:rPr>
          <w:rFonts w:ascii="Times New Roman" w:hAnsi="Times New Roman" w:cs="Times New Roman"/>
          <w:sz w:val="24"/>
          <w:szCs w:val="24"/>
          <w:lang w:val="it-IT"/>
        </w:rPr>
      </w:pPr>
    </w:p>
    <w:p w14:paraId="655832EB" w14:textId="70D2A065" w:rsidR="00953B2E" w:rsidRPr="00C35766" w:rsidRDefault="005F0C19">
      <w:pPr>
        <w:pStyle w:val="a3"/>
        <w:rPr>
          <w:lang w:val="pt-BR"/>
        </w:rPr>
      </w:pPr>
      <w:r w:rsidRPr="00C35766">
        <w:rPr>
          <w:rFonts w:eastAsia="Times New Roman"/>
          <w:lang w:val="it-IT"/>
        </w:rPr>
        <w:t xml:space="preserve">In seguito a somministrazione sottocutanea di 40 mg di adalimumab ogni due settimane in pazienti adulti con artrite reumatoide (AR) le concentrazioni minime </w:t>
      </w:r>
      <w:r w:rsidR="00C7089F" w:rsidRPr="00C35766">
        <w:rPr>
          <w:rFonts w:eastAsia="Times New Roman"/>
          <w:lang w:val="it-IT"/>
        </w:rPr>
        <w:t xml:space="preserve">allo stato stazionario </w:t>
      </w:r>
      <w:r w:rsidRPr="00C35766">
        <w:rPr>
          <w:rFonts w:eastAsia="Times New Roman"/>
          <w:lang w:val="it-IT"/>
        </w:rPr>
        <w:t xml:space="preserve">sono state in media di circa 5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(senza terapia concomitante con metotressato) e 8-9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(in </w:t>
      </w:r>
      <w:r w:rsidR="00C7089F" w:rsidRPr="00C35766">
        <w:rPr>
          <w:rFonts w:eastAsia="Times New Roman"/>
          <w:lang w:val="it-IT"/>
        </w:rPr>
        <w:t xml:space="preserve">associazione </w:t>
      </w:r>
      <w:r w:rsidRPr="00C35766">
        <w:rPr>
          <w:rFonts w:eastAsia="Times New Roman"/>
          <w:lang w:val="it-IT"/>
        </w:rPr>
        <w:t xml:space="preserve">con metotressato). I livelli sierici minimi di adalimumab </w:t>
      </w:r>
      <w:r w:rsidR="00C7089F" w:rsidRPr="00C35766">
        <w:rPr>
          <w:rFonts w:eastAsia="Times New Roman"/>
          <w:lang w:val="it-IT"/>
        </w:rPr>
        <w:t xml:space="preserve">allo stato stazionario </w:t>
      </w:r>
      <w:r w:rsidRPr="00C35766">
        <w:rPr>
          <w:rFonts w:eastAsia="Times New Roman"/>
          <w:lang w:val="it-IT"/>
        </w:rPr>
        <w:t xml:space="preserve">a seguito di dosaggi sottocutanei da 20, 40 e 80 mg ogni 2 settimane </w:t>
      </w:r>
      <w:r w:rsidR="00C7089F" w:rsidRPr="00C35766">
        <w:rPr>
          <w:rFonts w:eastAsia="Times New Roman"/>
          <w:lang w:val="it-IT"/>
        </w:rPr>
        <w:t xml:space="preserve">e </w:t>
      </w:r>
      <w:r w:rsidRPr="00C35766">
        <w:rPr>
          <w:rFonts w:eastAsia="Times New Roman"/>
          <w:lang w:val="it-IT"/>
        </w:rPr>
        <w:t>settimanalmente sono aumentati approssimativamente in maniera pressoché dose-dipendente.</w:t>
      </w:r>
    </w:p>
    <w:p w14:paraId="03A64F12" w14:textId="77777777" w:rsidR="00953B2E" w:rsidRPr="00C35766" w:rsidRDefault="00953B2E">
      <w:pPr>
        <w:spacing w:before="8" w:line="240" w:lineRule="exact"/>
        <w:rPr>
          <w:rFonts w:ascii="Times New Roman" w:hAnsi="Times New Roman" w:cs="Times New Roman"/>
          <w:sz w:val="24"/>
          <w:szCs w:val="24"/>
          <w:lang w:val="pt-BR"/>
        </w:rPr>
      </w:pPr>
    </w:p>
    <w:p w14:paraId="1E341605" w14:textId="228877D2" w:rsidR="00953B2E" w:rsidRPr="00C35766" w:rsidRDefault="005F0C19">
      <w:pPr>
        <w:pStyle w:val="a3"/>
        <w:rPr>
          <w:lang w:val="pt-BR"/>
        </w:rPr>
      </w:pPr>
      <w:r w:rsidRPr="00C35766">
        <w:rPr>
          <w:rFonts w:eastAsia="Times New Roman"/>
          <w:lang w:val="it-IT"/>
        </w:rPr>
        <w:t>In seguito alla somministrazione di 24 mg/m</w:t>
      </w:r>
      <w:r w:rsidRPr="00C35766">
        <w:rPr>
          <w:vertAlign w:val="superscript"/>
          <w:lang w:val="it-IT"/>
        </w:rPr>
        <w:t>2</w:t>
      </w:r>
      <w:r w:rsidRPr="00C35766">
        <w:rPr>
          <w:rFonts w:eastAsia="Times New Roman"/>
          <w:sz w:val="14"/>
          <w:szCs w:val="14"/>
          <w:lang w:val="it-IT"/>
        </w:rPr>
        <w:t xml:space="preserve"> </w:t>
      </w:r>
      <w:r w:rsidRPr="00C35766">
        <w:rPr>
          <w:rFonts w:eastAsia="Times New Roman"/>
          <w:lang w:val="it-IT"/>
        </w:rPr>
        <w:t xml:space="preserve">di adalimumab (massimo 40 mg) per via sottocutanea a </w:t>
      </w:r>
      <w:r w:rsidRPr="00C35766">
        <w:rPr>
          <w:rFonts w:eastAsia="Times New Roman"/>
          <w:lang w:val="it-IT"/>
        </w:rPr>
        <w:lastRenderedPageBreak/>
        <w:t>settimane alterne a pazienti di età dai 4 ai 17 anni affetti da artrite idiopatica giovanile poliarticolare (JIA), la concentrazione sierica minima media allo stato stazionario di adalimumab (valori misurati a partire dalla settimana 20 fino alla 48) è stata pari a 5,6 ± 5,6 µg/</w:t>
      </w:r>
      <w:r w:rsidR="00331973" w:rsidRPr="00C35766">
        <w:rPr>
          <w:rFonts w:eastAsia="Times New Roman"/>
          <w:lang w:val="it-IT"/>
        </w:rPr>
        <w:t>mL</w:t>
      </w:r>
      <w:r w:rsidRPr="00C35766">
        <w:rPr>
          <w:rFonts w:eastAsia="Times New Roman"/>
          <w:lang w:val="it-IT"/>
        </w:rPr>
        <w:t xml:space="preserve"> (102% CV) con adalimumab senza l’uso concomitante di metotressato ed a 10,9 ± 5,2 µg/</w:t>
      </w:r>
      <w:r w:rsidR="00331973" w:rsidRPr="00C35766">
        <w:rPr>
          <w:rFonts w:eastAsia="Times New Roman"/>
          <w:lang w:val="it-IT"/>
        </w:rPr>
        <w:t>mL</w:t>
      </w:r>
      <w:r w:rsidRPr="00C35766">
        <w:rPr>
          <w:rFonts w:eastAsia="Times New Roman"/>
          <w:lang w:val="it-IT"/>
        </w:rPr>
        <w:t xml:space="preserve"> (47,7% CV) con metotressato somministrato in concomitanza.</w:t>
      </w:r>
    </w:p>
    <w:p w14:paraId="4F3D854C" w14:textId="77777777" w:rsidR="00953B2E" w:rsidRPr="00C35766" w:rsidRDefault="00953B2E">
      <w:pPr>
        <w:spacing w:before="13" w:line="240" w:lineRule="exact"/>
        <w:rPr>
          <w:rFonts w:ascii="Times New Roman" w:hAnsi="Times New Roman" w:cs="Times New Roman"/>
          <w:sz w:val="24"/>
          <w:szCs w:val="24"/>
          <w:lang w:val="pt-BR"/>
        </w:rPr>
      </w:pPr>
    </w:p>
    <w:p w14:paraId="062F9964" w14:textId="33126D36" w:rsidR="00953B2E" w:rsidRPr="00C35766" w:rsidRDefault="005F0C19">
      <w:pPr>
        <w:pStyle w:val="a3"/>
        <w:rPr>
          <w:lang w:val="pt-BR"/>
        </w:rPr>
      </w:pPr>
      <w:r w:rsidRPr="00C35766">
        <w:rPr>
          <w:rFonts w:eastAsia="Times New Roman"/>
          <w:lang w:val="it-IT"/>
        </w:rPr>
        <w:t xml:space="preserve">Nei pazienti affetti da artrite giovanile poliarticolare idiopatica che </w:t>
      </w:r>
      <w:r w:rsidR="00C7089F" w:rsidRPr="00C35766">
        <w:rPr>
          <w:rFonts w:eastAsia="Times New Roman"/>
          <w:lang w:val="it-IT"/>
        </w:rPr>
        <w:t>avevano da</w:t>
      </w:r>
      <w:r w:rsidRPr="00C35766">
        <w:rPr>
          <w:rFonts w:eastAsia="Times New Roman"/>
          <w:lang w:val="it-IT"/>
        </w:rPr>
        <w:t xml:space="preserve"> 2 a 4 anni di età </w:t>
      </w:r>
      <w:r w:rsidR="00C7089F" w:rsidRPr="00C35766">
        <w:rPr>
          <w:rFonts w:eastAsia="Times New Roman"/>
          <w:lang w:val="it-IT"/>
        </w:rPr>
        <w:t>(inclusi pazienti di</w:t>
      </w:r>
      <w:r w:rsidRPr="00C35766">
        <w:rPr>
          <w:rFonts w:eastAsia="Times New Roman"/>
          <w:lang w:val="it-IT"/>
        </w:rPr>
        <w:t xml:space="preserve"> 4 </w:t>
      </w:r>
      <w:r w:rsidR="00C7089F" w:rsidRPr="00C35766">
        <w:rPr>
          <w:rFonts w:eastAsia="Times New Roman"/>
          <w:lang w:val="it-IT"/>
        </w:rPr>
        <w:t xml:space="preserve">anni di età) </w:t>
      </w:r>
      <w:r w:rsidRPr="00C35766">
        <w:rPr>
          <w:rFonts w:eastAsia="Times New Roman"/>
          <w:lang w:val="it-IT"/>
        </w:rPr>
        <w:t xml:space="preserve">e di peso &lt; 15 kg trattati con adalimumab </w:t>
      </w:r>
      <w:r w:rsidR="00581FAF" w:rsidRPr="00C35766">
        <w:rPr>
          <w:rFonts w:eastAsia="Times New Roman"/>
          <w:lang w:val="it-IT"/>
        </w:rPr>
        <w:t xml:space="preserve">alla dose di </w:t>
      </w:r>
      <w:r w:rsidRPr="00C35766">
        <w:rPr>
          <w:rFonts w:eastAsia="Times New Roman"/>
          <w:lang w:val="it-IT"/>
        </w:rPr>
        <w:t>24 mg/m</w:t>
      </w:r>
      <w:r w:rsidRPr="00C35766">
        <w:rPr>
          <w:vertAlign w:val="superscript"/>
          <w:lang w:val="it-IT"/>
        </w:rPr>
        <w:t>2</w:t>
      </w:r>
      <w:r w:rsidRPr="00C35766">
        <w:rPr>
          <w:rFonts w:eastAsia="Times New Roman"/>
          <w:lang w:val="it-IT"/>
        </w:rPr>
        <w:t>, la media</w:t>
      </w:r>
      <w:r w:rsidR="00581FAF" w:rsidRPr="00C35766">
        <w:rPr>
          <w:rFonts w:eastAsia="Times New Roman"/>
          <w:lang w:val="it-IT"/>
        </w:rPr>
        <w:t>del</w:t>
      </w:r>
      <w:r w:rsidRPr="00C35766">
        <w:rPr>
          <w:rFonts w:eastAsia="Times New Roman"/>
          <w:lang w:val="it-IT"/>
        </w:rPr>
        <w:t xml:space="preserve">le concentrazioni sieriche minime di adalimumab </w:t>
      </w:r>
      <w:r w:rsidR="00581FAF" w:rsidRPr="00C35766">
        <w:rPr>
          <w:rFonts w:eastAsia="Times New Roman"/>
          <w:lang w:val="it-IT"/>
        </w:rPr>
        <w:t xml:space="preserve">allo stato stazionario </w:t>
      </w:r>
      <w:r w:rsidRPr="00C35766">
        <w:rPr>
          <w:rFonts w:eastAsia="Times New Roman"/>
          <w:lang w:val="it-IT"/>
        </w:rPr>
        <w:t>è stata 6,0 ± 6,1 µg/</w:t>
      </w:r>
      <w:r w:rsidR="00331973" w:rsidRPr="00C35766">
        <w:rPr>
          <w:rFonts w:eastAsia="Times New Roman"/>
          <w:lang w:val="it-IT"/>
        </w:rPr>
        <w:t>mL</w:t>
      </w:r>
      <w:r w:rsidRPr="00C35766">
        <w:rPr>
          <w:rFonts w:eastAsia="Times New Roman"/>
          <w:lang w:val="it-IT"/>
        </w:rPr>
        <w:t xml:space="preserve"> (101% CV) per adalimumab senza terapia concomitante con metotressato e 7,9 ± 5,6 µg/</w:t>
      </w:r>
      <w:r w:rsidR="00331973" w:rsidRPr="00C35766">
        <w:rPr>
          <w:rFonts w:eastAsia="Times New Roman"/>
          <w:lang w:val="it-IT"/>
        </w:rPr>
        <w:t>mL</w:t>
      </w:r>
      <w:r w:rsidRPr="00C35766">
        <w:rPr>
          <w:rFonts w:eastAsia="Times New Roman"/>
          <w:lang w:val="it-IT"/>
        </w:rPr>
        <w:t xml:space="preserve"> (71,2% CV) con terapia concomitante con metotressato.</w:t>
      </w:r>
    </w:p>
    <w:p w14:paraId="6B1C5091" w14:textId="77777777" w:rsidR="00953B2E" w:rsidRPr="00C35766" w:rsidRDefault="00953B2E">
      <w:pPr>
        <w:spacing w:before="6" w:line="240" w:lineRule="exact"/>
        <w:rPr>
          <w:rFonts w:ascii="Times New Roman" w:hAnsi="Times New Roman" w:cs="Times New Roman"/>
          <w:sz w:val="24"/>
          <w:szCs w:val="24"/>
          <w:lang w:val="pt-BR"/>
        </w:rPr>
      </w:pPr>
    </w:p>
    <w:p w14:paraId="384BB034" w14:textId="2F86D424" w:rsidR="00953B2E" w:rsidRPr="00C35766" w:rsidRDefault="005F0C19">
      <w:pPr>
        <w:pStyle w:val="a3"/>
        <w:rPr>
          <w:lang w:val="pt-BR"/>
        </w:rPr>
      </w:pPr>
      <w:r w:rsidRPr="00C35766">
        <w:rPr>
          <w:rFonts w:eastAsia="Times New Roman"/>
          <w:lang w:val="it-IT"/>
        </w:rPr>
        <w:t>A seguito della somministrazione sottocutanea di 24 mg/m</w:t>
      </w:r>
      <w:r w:rsidRPr="00C35766">
        <w:rPr>
          <w:vertAlign w:val="superscript"/>
          <w:lang w:val="it-IT"/>
        </w:rPr>
        <w:t>2</w:t>
      </w:r>
      <w:r w:rsidRPr="00C35766">
        <w:rPr>
          <w:rFonts w:eastAsia="Times New Roman"/>
          <w:sz w:val="14"/>
          <w:szCs w:val="14"/>
          <w:lang w:val="it-IT"/>
        </w:rPr>
        <w:t xml:space="preserve"> </w:t>
      </w:r>
      <w:r w:rsidRPr="00C35766">
        <w:rPr>
          <w:rFonts w:eastAsia="Times New Roman"/>
          <w:lang w:val="it-IT"/>
        </w:rPr>
        <w:t xml:space="preserve">(massimo 40 mg), a settimane alterne a pazienti di età compresa tra 6 e 17 anni con artrite associata ad entesite, le concentrazioni sieriche </w:t>
      </w:r>
      <w:r w:rsidR="00581FAF" w:rsidRPr="00C35766">
        <w:rPr>
          <w:rFonts w:eastAsia="Times New Roman"/>
          <w:lang w:val="it-IT"/>
        </w:rPr>
        <w:t xml:space="preserve">medie minime </w:t>
      </w:r>
      <w:r w:rsidRPr="00C35766">
        <w:rPr>
          <w:rFonts w:eastAsia="Times New Roman"/>
          <w:lang w:val="it-IT"/>
        </w:rPr>
        <w:t xml:space="preserve">di adalimumab allo stato stazionario (valori misurati alla settimana 24) sono </w:t>
      </w:r>
      <w:r w:rsidR="00581FAF" w:rsidRPr="00C35766">
        <w:rPr>
          <w:rFonts w:eastAsia="Times New Roman"/>
          <w:lang w:val="it-IT"/>
        </w:rPr>
        <w:t xml:space="preserve">state </w:t>
      </w:r>
      <w:r w:rsidRPr="00C35766">
        <w:rPr>
          <w:rFonts w:eastAsia="Times New Roman"/>
          <w:lang w:val="it-IT"/>
        </w:rPr>
        <w:t>di 8,8 ± 6,6 μg/</w:t>
      </w:r>
      <w:r w:rsidR="00331973" w:rsidRPr="00C35766">
        <w:rPr>
          <w:rFonts w:eastAsia="Times New Roman"/>
          <w:lang w:val="it-IT"/>
        </w:rPr>
        <w:t>mL</w:t>
      </w:r>
      <w:r w:rsidRPr="00C35766">
        <w:rPr>
          <w:rFonts w:eastAsia="Times New Roman"/>
          <w:lang w:val="it-IT"/>
        </w:rPr>
        <w:t xml:space="preserve"> per adalimumab senza l’uso concomitante di metotressato e di 11,8 ± 4,3 μg/</w:t>
      </w:r>
      <w:r w:rsidR="00331973" w:rsidRPr="00C35766">
        <w:rPr>
          <w:rFonts w:eastAsia="Times New Roman"/>
          <w:lang w:val="it-IT"/>
        </w:rPr>
        <w:t>mL</w:t>
      </w:r>
      <w:r w:rsidRPr="00C35766">
        <w:rPr>
          <w:rFonts w:eastAsia="Times New Roman"/>
          <w:lang w:val="it-IT"/>
        </w:rPr>
        <w:t xml:space="preserve"> in co-somministrazione con metotressato.</w:t>
      </w:r>
    </w:p>
    <w:p w14:paraId="4AB39986" w14:textId="77777777" w:rsidR="00953B2E" w:rsidRPr="00C35766" w:rsidRDefault="00953B2E">
      <w:pPr>
        <w:pStyle w:val="a3"/>
        <w:rPr>
          <w:sz w:val="24"/>
          <w:szCs w:val="24"/>
          <w:lang w:val="pt-BR"/>
        </w:rPr>
      </w:pPr>
    </w:p>
    <w:p w14:paraId="67159354" w14:textId="136DE3A2" w:rsidR="00953B2E" w:rsidRPr="00C35766" w:rsidRDefault="005F0C19">
      <w:pPr>
        <w:pStyle w:val="a3"/>
        <w:rPr>
          <w:lang w:val="pt-BR"/>
        </w:rPr>
      </w:pPr>
      <w:r w:rsidRPr="00C35766">
        <w:rPr>
          <w:rFonts w:eastAsia="Times New Roman"/>
          <w:lang w:val="it-IT"/>
        </w:rPr>
        <w:t xml:space="preserve">Dopo somministrazione sottocutanea di 40 mg di adalimumab a settimane alterne in pazienti adulti con spondiloartrite assiale non radiografica, la concentrazione media (±DS) minima allo stato stazionario alla settimana 68 è stata di 8,0 ± 4,6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w:t>
      </w:r>
    </w:p>
    <w:p w14:paraId="41C1DBB3" w14:textId="77777777" w:rsidR="00953B2E" w:rsidRPr="00C35766" w:rsidRDefault="00953B2E">
      <w:pPr>
        <w:pStyle w:val="a3"/>
        <w:rPr>
          <w:lang w:val="pt-BR"/>
        </w:rPr>
      </w:pPr>
    </w:p>
    <w:p w14:paraId="4516483B" w14:textId="351AA2D3" w:rsidR="00953B2E" w:rsidRPr="00C35766" w:rsidRDefault="005F0C19">
      <w:pPr>
        <w:pStyle w:val="a3"/>
        <w:rPr>
          <w:lang w:val="pt-BR"/>
        </w:rPr>
      </w:pPr>
      <w:r w:rsidRPr="00C35766">
        <w:rPr>
          <w:rFonts w:eastAsia="Times New Roman"/>
          <w:lang w:val="it-IT"/>
        </w:rPr>
        <w:t xml:space="preserve">Nei pazienti adulti affetti da psoriasi la concentrazione minima </w:t>
      </w:r>
      <w:r w:rsidR="00581FAF" w:rsidRPr="00C35766">
        <w:rPr>
          <w:rFonts w:eastAsia="Times New Roman"/>
          <w:lang w:val="it-IT"/>
        </w:rPr>
        <w:t xml:space="preserve">allo stato stazionario </w:t>
      </w:r>
      <w:r w:rsidRPr="00C35766">
        <w:rPr>
          <w:rFonts w:eastAsia="Times New Roman"/>
          <w:lang w:val="it-IT"/>
        </w:rPr>
        <w:t xml:space="preserve">è risultata essere in media di circa 5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durante il trattamento con una dose di adalimumab pari a 40 mg, somministrata a settimane alterne, in monoterapia.</w:t>
      </w:r>
    </w:p>
    <w:p w14:paraId="02DDCFFC" w14:textId="77777777" w:rsidR="00953B2E" w:rsidRPr="00C35766" w:rsidRDefault="00953B2E">
      <w:pPr>
        <w:spacing w:before="11" w:line="240" w:lineRule="exact"/>
        <w:rPr>
          <w:rFonts w:ascii="Times New Roman" w:hAnsi="Times New Roman" w:cs="Times New Roman"/>
          <w:sz w:val="24"/>
          <w:szCs w:val="24"/>
          <w:lang w:val="pt-BR"/>
        </w:rPr>
      </w:pPr>
    </w:p>
    <w:p w14:paraId="1280B424" w14:textId="2DCF5E42" w:rsidR="00953B2E" w:rsidRPr="00C35766" w:rsidRDefault="005F0C19">
      <w:pPr>
        <w:pStyle w:val="a3"/>
        <w:rPr>
          <w:lang w:val="pt-BR"/>
        </w:rPr>
      </w:pPr>
      <w:r w:rsidRPr="00C35766">
        <w:rPr>
          <w:rFonts w:eastAsia="Times New Roman"/>
          <w:lang w:val="it-IT"/>
        </w:rPr>
        <w:t>Dopo la somministrazione di 0,8 mg/kg (massimo 40 mg) per via sottocutanea a settimane alterne nei pazienti pediatrici con psoriasi cronica a placche, l</w:t>
      </w:r>
      <w:r w:rsidR="00581FAF" w:rsidRPr="00C35766">
        <w:rPr>
          <w:rFonts w:eastAsia="Times New Roman"/>
          <w:lang w:val="it-IT"/>
        </w:rPr>
        <w:t>a</w:t>
      </w:r>
      <w:r w:rsidRPr="00C35766">
        <w:rPr>
          <w:rFonts w:eastAsia="Times New Roman"/>
          <w:lang w:val="it-IT"/>
        </w:rPr>
        <w:t xml:space="preserve"> concentrazion</w:t>
      </w:r>
      <w:r w:rsidR="00581FAF" w:rsidRPr="00C35766">
        <w:rPr>
          <w:rFonts w:eastAsia="Times New Roman"/>
          <w:lang w:val="it-IT"/>
        </w:rPr>
        <w:t>e</w:t>
      </w:r>
      <w:r w:rsidRPr="00C35766">
        <w:rPr>
          <w:rFonts w:eastAsia="Times New Roman"/>
          <w:lang w:val="it-IT"/>
        </w:rPr>
        <w:t xml:space="preserve"> medi</w:t>
      </w:r>
      <w:r w:rsidR="00581FAF" w:rsidRPr="00C35766">
        <w:rPr>
          <w:rFonts w:eastAsia="Times New Roman"/>
          <w:lang w:val="it-IT"/>
        </w:rPr>
        <w:t>a</w:t>
      </w:r>
      <w:r w:rsidRPr="00C35766">
        <w:rPr>
          <w:rFonts w:eastAsia="Times New Roman"/>
          <w:lang w:val="it-IT"/>
        </w:rPr>
        <w:t xml:space="preserve"> (±SD) minim</w:t>
      </w:r>
      <w:r w:rsidR="00581FAF" w:rsidRPr="00C35766">
        <w:rPr>
          <w:rFonts w:eastAsia="Times New Roman"/>
          <w:lang w:val="it-IT"/>
        </w:rPr>
        <w:t>a</w:t>
      </w:r>
      <w:r w:rsidRPr="00C35766">
        <w:rPr>
          <w:rFonts w:eastAsia="Times New Roman"/>
          <w:lang w:val="it-IT"/>
        </w:rPr>
        <w:t xml:space="preserve"> di adalimumab allo stato stazionario era circa 7,4 ± 5,8 µg/</w:t>
      </w:r>
      <w:r w:rsidR="00331973" w:rsidRPr="00C35766">
        <w:rPr>
          <w:rFonts w:eastAsia="Times New Roman"/>
          <w:lang w:val="it-IT"/>
        </w:rPr>
        <w:t>mL</w:t>
      </w:r>
      <w:r w:rsidRPr="00C35766">
        <w:rPr>
          <w:rFonts w:eastAsia="Times New Roman"/>
          <w:lang w:val="it-IT"/>
        </w:rPr>
        <w:t xml:space="preserve"> (79% CV).</w:t>
      </w:r>
    </w:p>
    <w:p w14:paraId="6E8B8864" w14:textId="77777777" w:rsidR="00953B2E" w:rsidRPr="00C35766" w:rsidRDefault="00953B2E">
      <w:pPr>
        <w:spacing w:before="13" w:line="240" w:lineRule="exact"/>
        <w:rPr>
          <w:rFonts w:ascii="Times New Roman" w:hAnsi="Times New Roman" w:cs="Times New Roman"/>
          <w:sz w:val="24"/>
          <w:szCs w:val="24"/>
          <w:lang w:val="pt-BR"/>
        </w:rPr>
      </w:pPr>
    </w:p>
    <w:p w14:paraId="79FC67D3" w14:textId="4555B4D6" w:rsidR="00953B2E" w:rsidRPr="00C35766" w:rsidRDefault="005F0C19">
      <w:pPr>
        <w:pStyle w:val="a3"/>
        <w:rPr>
          <w:lang w:val="it-IT"/>
        </w:rPr>
      </w:pPr>
      <w:r w:rsidRPr="00C35766">
        <w:rPr>
          <w:rFonts w:eastAsia="Times New Roman"/>
          <w:lang w:val="it-IT"/>
        </w:rPr>
        <w:t>Nei pazienti adulti con idrosadenite suppurativa, una dose pari a 160 mg di adalimumab alla settimana 0 seguita da 80 mg alla settimana 2 ha ottenuto concentrazioni sieriche minime di adalimumab di circa 7-8 μg/</w:t>
      </w:r>
      <w:r w:rsidR="00331973" w:rsidRPr="00C35766">
        <w:rPr>
          <w:rFonts w:eastAsia="Times New Roman"/>
          <w:lang w:val="it-IT"/>
        </w:rPr>
        <w:t>mL</w:t>
      </w:r>
      <w:r w:rsidRPr="00C35766">
        <w:rPr>
          <w:rFonts w:eastAsia="Times New Roman"/>
          <w:lang w:val="it-IT"/>
        </w:rPr>
        <w:t xml:space="preserve"> alla settimana 2 e alla settimana 4. Le concentrazioni medie minime allo stato stazionario alla settimana 12 fino alla settimana 36 erano circa 8-10 μg/</w:t>
      </w:r>
      <w:r w:rsidR="00331973" w:rsidRPr="00C35766">
        <w:rPr>
          <w:rFonts w:eastAsia="Times New Roman"/>
          <w:lang w:val="it-IT"/>
        </w:rPr>
        <w:t>mL</w:t>
      </w:r>
      <w:r w:rsidRPr="00C35766">
        <w:rPr>
          <w:rFonts w:eastAsia="Times New Roman"/>
          <w:lang w:val="it-IT"/>
        </w:rPr>
        <w:t xml:space="preserve"> durante il trattamento con adalimumab 40 mg a settimana.</w:t>
      </w:r>
    </w:p>
    <w:p w14:paraId="63280176" w14:textId="77777777" w:rsidR="00953B2E" w:rsidRPr="00C35766" w:rsidRDefault="00953B2E">
      <w:pPr>
        <w:spacing w:before="13" w:line="240" w:lineRule="exact"/>
        <w:rPr>
          <w:rFonts w:ascii="Times New Roman" w:hAnsi="Times New Roman" w:cs="Times New Roman"/>
          <w:sz w:val="24"/>
          <w:szCs w:val="24"/>
          <w:lang w:val="it-IT"/>
        </w:rPr>
      </w:pPr>
    </w:p>
    <w:p w14:paraId="10CCF6CB" w14:textId="2925A60D" w:rsidR="00953B2E" w:rsidRPr="00C35766" w:rsidRDefault="005F0C19">
      <w:pPr>
        <w:pStyle w:val="a3"/>
        <w:rPr>
          <w:lang w:val="it-IT"/>
        </w:rPr>
      </w:pPr>
      <w:r w:rsidRPr="00C35766">
        <w:rPr>
          <w:rFonts w:eastAsia="Times New Roman"/>
          <w:lang w:val="it-IT"/>
        </w:rPr>
        <w:t>L’esposizione ad adalimumab nei pazienti adolescenti con HS è stata predetta usando modelli e simulazione farmacocinetic</w:t>
      </w:r>
      <w:r w:rsidR="00581FAF" w:rsidRPr="00C35766">
        <w:rPr>
          <w:rFonts w:eastAsia="Times New Roman"/>
          <w:lang w:val="it-IT"/>
        </w:rPr>
        <w:t>he</w:t>
      </w:r>
      <w:r w:rsidRPr="00C35766">
        <w:rPr>
          <w:rFonts w:eastAsia="Times New Roman"/>
          <w:lang w:val="it-IT"/>
        </w:rPr>
        <w:t xml:space="preserve"> di popolazione basati sulla farmacocinetica cross-indicazione in altri pazienti pediatrici (psoriasi pediatrica, artrite idiopatica giovanile, malattia di Crohn pediatrica e artrite associata ad entesite). Lo schema posologico raccomandato per gli adolescenti con HS è di 40 mg a settimane alterne. Dato che l’esposizione ad adalimumab potrebbe essere influenzata dalla massa corporea, gli adolescenti che hanno un peso corporeo maggiore e una risposta inadeguata possono beneficiare della dose raccomandata per gli adulti di 40 mg ogni settimana.</w:t>
      </w:r>
    </w:p>
    <w:p w14:paraId="222484F1" w14:textId="77777777" w:rsidR="00953B2E" w:rsidRPr="00C35766" w:rsidRDefault="00953B2E">
      <w:pPr>
        <w:spacing w:before="13" w:line="240" w:lineRule="exact"/>
        <w:rPr>
          <w:rFonts w:ascii="Times New Roman" w:hAnsi="Times New Roman" w:cs="Times New Roman"/>
          <w:sz w:val="24"/>
          <w:szCs w:val="24"/>
          <w:lang w:val="it-IT"/>
        </w:rPr>
      </w:pPr>
    </w:p>
    <w:p w14:paraId="6E0CD80E" w14:textId="518B36D9" w:rsidR="00953B2E" w:rsidRPr="00C35766" w:rsidRDefault="005F0C19">
      <w:pPr>
        <w:pStyle w:val="a3"/>
        <w:rPr>
          <w:lang w:val="it-IT"/>
        </w:rPr>
      </w:pPr>
      <w:r w:rsidRPr="00C35766">
        <w:rPr>
          <w:rFonts w:eastAsia="Times New Roman"/>
          <w:lang w:val="it-IT"/>
        </w:rPr>
        <w:t xml:space="preserve">Nei pazienti con malattia di Crohn, la dose di carico con 80 mg di adalimumab alla settimana 0 seguita da 40 mg di adalimumab alla settimana 2 ha ottenuto concentrazioni sieriche minime di adalimumab di circa 5,5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durante il periodo di induzione. Una dose di carico con 160 mg di adalimumab alla settimana 0 seguita da 80 mg di adalimumab alla settimana 2 ha ottenuto concentrazioni sieriche minime di adalimumab di circa 12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durante il periodo di induzione. Sono stati osservati livelli medi minimi allo stato stazionario di circa 7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nei pazienti con malattia di Crohn che hanno ricevuto una dose di mantenimento di 40 mg di adalimumab ogni due settimane.</w:t>
      </w:r>
    </w:p>
    <w:p w14:paraId="7DC98E5D" w14:textId="77777777" w:rsidR="00953B2E" w:rsidRPr="00C35766" w:rsidRDefault="00953B2E">
      <w:pPr>
        <w:spacing w:before="11" w:line="240" w:lineRule="exact"/>
        <w:rPr>
          <w:rFonts w:ascii="Times New Roman" w:hAnsi="Times New Roman" w:cs="Times New Roman"/>
          <w:sz w:val="24"/>
          <w:szCs w:val="24"/>
          <w:lang w:val="it-IT"/>
        </w:rPr>
      </w:pPr>
    </w:p>
    <w:p w14:paraId="38677A99" w14:textId="4C5CB431" w:rsidR="00953B2E" w:rsidRPr="00C35766" w:rsidRDefault="005F0C19">
      <w:pPr>
        <w:pStyle w:val="a3"/>
        <w:rPr>
          <w:lang w:val="it-IT"/>
        </w:rPr>
      </w:pPr>
      <w:r w:rsidRPr="00C35766">
        <w:rPr>
          <w:rFonts w:eastAsia="Times New Roman"/>
          <w:lang w:val="it-IT"/>
        </w:rPr>
        <w:t xml:space="preserve">Nei pazienti pediatrici con MC di grado da moderato a severo, la dose di induzione di adalimumab in </w:t>
      </w:r>
      <w:r w:rsidRPr="00C35766">
        <w:rPr>
          <w:rFonts w:eastAsia="Times New Roman"/>
          <w:lang w:val="it-IT"/>
        </w:rPr>
        <w:lastRenderedPageBreak/>
        <w:t xml:space="preserve">aperto era 160/80 mg o 80/40 mg alle settimane 0 e 2, rispettivamente, a seconda del cut-off del peso corporeo a 40 kg. Alla settimana 4, i pazienti erano randomizzati 1:1 sulla base del peso corporeo nei gruppi del trattamento di mantenimento o alla Dose Standard (40/20 mg a settimane alterne) o alla Dose Bassa (20/10 mg a settimane alterne). Le concentrazioni sieriche medie (±SD) dei livelli minimi di adalimumab raggiunte alla settimana 4 erano 15,7±6,6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per i pazienti ≥ 40 kg (160/80 mg) e 10,6±6,1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per i pazienti &lt; 40 kg (80/40 mg).</w:t>
      </w:r>
    </w:p>
    <w:p w14:paraId="74D72050" w14:textId="77777777" w:rsidR="00953B2E" w:rsidRPr="00C35766" w:rsidRDefault="00953B2E">
      <w:pPr>
        <w:spacing w:before="7" w:line="240" w:lineRule="exact"/>
        <w:rPr>
          <w:rFonts w:ascii="Times New Roman" w:hAnsi="Times New Roman" w:cs="Times New Roman"/>
          <w:sz w:val="24"/>
          <w:szCs w:val="24"/>
          <w:lang w:val="it-IT"/>
        </w:rPr>
      </w:pPr>
    </w:p>
    <w:p w14:paraId="7BFF8A01" w14:textId="779161E3" w:rsidR="00953B2E" w:rsidRPr="00C35766" w:rsidRDefault="005F0C19">
      <w:pPr>
        <w:pStyle w:val="a3"/>
        <w:rPr>
          <w:lang w:val="it-IT"/>
        </w:rPr>
      </w:pPr>
      <w:r w:rsidRPr="00C35766">
        <w:rPr>
          <w:rFonts w:eastAsia="Times New Roman"/>
          <w:lang w:val="it-IT"/>
        </w:rPr>
        <w:t xml:space="preserve">Per i pazienti che rimanevano nella loro terapia randomizzata, le concentrazioni medie dei livelli minimi (±SD) di adalimumab alla settimana 52 erano 9,5±5,6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per il gruppo a Dose Standard e 3,5±2,2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per il gruppo a Bassa Dose. Le concentrazioni medie dei livelli minimi erano mantenute nei pazienti che continuavano a ricevere il trattamento di adalimumab a settimane alterne per 52 settimane. Per i pazienti che aumentavano la dose da un regime a settimane alterne a uno settimanale, le concentrazioni sieriche medie (±SD) di adalimumab alla settimana 52 erano 15,3±11,4μg/</w:t>
      </w:r>
      <w:r w:rsidR="00331973" w:rsidRPr="00C35766">
        <w:rPr>
          <w:rFonts w:eastAsia="Times New Roman"/>
          <w:lang w:val="it-IT"/>
        </w:rPr>
        <w:t>mL</w:t>
      </w:r>
      <w:r w:rsidRPr="00C35766">
        <w:rPr>
          <w:rFonts w:eastAsia="Times New Roman"/>
          <w:lang w:val="it-IT"/>
        </w:rPr>
        <w:t xml:space="preserve"> (40/20 mg, a settimana) </w:t>
      </w:r>
      <w:r w:rsidR="0091500F" w:rsidRPr="00C35766">
        <w:rPr>
          <w:rFonts w:eastAsia="Times New Roman"/>
          <w:lang w:val="it-IT"/>
        </w:rPr>
        <w:t xml:space="preserve">e </w:t>
      </w:r>
      <w:r w:rsidRPr="00C35766">
        <w:rPr>
          <w:rFonts w:eastAsia="Times New Roman"/>
          <w:lang w:val="it-IT"/>
        </w:rPr>
        <w:t>6,7±3,5 μg/</w:t>
      </w:r>
      <w:r w:rsidR="00331973" w:rsidRPr="00C35766">
        <w:rPr>
          <w:rFonts w:eastAsia="Times New Roman"/>
          <w:lang w:val="it-IT"/>
        </w:rPr>
        <w:t>mL</w:t>
      </w:r>
      <w:r w:rsidRPr="00C35766">
        <w:rPr>
          <w:rFonts w:eastAsia="Times New Roman"/>
          <w:lang w:val="it-IT"/>
        </w:rPr>
        <w:t xml:space="preserve"> (20/10 mg, a settimana).</w:t>
      </w:r>
    </w:p>
    <w:p w14:paraId="155E4CC4" w14:textId="77777777" w:rsidR="00953B2E" w:rsidRPr="00C35766" w:rsidRDefault="00953B2E">
      <w:pPr>
        <w:spacing w:before="11" w:line="240" w:lineRule="exact"/>
        <w:rPr>
          <w:rFonts w:ascii="Times New Roman" w:hAnsi="Times New Roman" w:cs="Times New Roman"/>
          <w:sz w:val="24"/>
          <w:szCs w:val="24"/>
          <w:lang w:val="it-IT"/>
        </w:rPr>
      </w:pPr>
    </w:p>
    <w:p w14:paraId="5DB3AD2E" w14:textId="780D1378" w:rsidR="00953B2E" w:rsidRPr="00C35766" w:rsidRDefault="005F0C19">
      <w:pPr>
        <w:pStyle w:val="a3"/>
        <w:rPr>
          <w:lang w:val="it-IT"/>
        </w:rPr>
      </w:pPr>
      <w:r w:rsidRPr="00C35766">
        <w:rPr>
          <w:rFonts w:eastAsia="Times New Roman"/>
          <w:lang w:val="it-IT"/>
        </w:rPr>
        <w:t>Nei pazienti affetti da colite ulcerosa, una dose di carico di 160 mg di adalimumab alla settimana 0 seguita da 80</w:t>
      </w:r>
      <w:r w:rsidR="0091500F" w:rsidRPr="00C35766">
        <w:rPr>
          <w:rFonts w:eastAsia="Times New Roman"/>
          <w:lang w:val="it-IT"/>
        </w:rPr>
        <w:t xml:space="preserve"> </w:t>
      </w:r>
      <w:r w:rsidRPr="00C35766">
        <w:rPr>
          <w:rFonts w:eastAsia="Times New Roman"/>
          <w:lang w:val="it-IT"/>
        </w:rPr>
        <w:t>mg di adalimumab alla settimana 2 ha ottenuto una concentrazione sierica minima di adalimumab di circa 12</w:t>
      </w:r>
      <w:r w:rsidR="0091500F" w:rsidRPr="00C35766">
        <w:rPr>
          <w:rFonts w:eastAsia="Times New Roman"/>
          <w:lang w:val="it-IT"/>
        </w:rPr>
        <w:t xml:space="preserve">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durante il periodo di induzione. Sono stati osservati livelli medi minimi allo stato stazionario di circa 8 </w:t>
      </w:r>
      <w:r w:rsidRPr="00C35766">
        <w:rPr>
          <w:rFonts w:eastAsia="Symbol"/>
          <w:lang w:val="it-IT"/>
        </w:rPr>
        <w:sym w:font="Symbol" w:char="F06D"/>
      </w:r>
      <w:r w:rsidRPr="00C35766">
        <w:rPr>
          <w:rFonts w:eastAsia="Times New Roman"/>
          <w:lang w:val="it-IT"/>
        </w:rPr>
        <w:t>g/</w:t>
      </w:r>
      <w:r w:rsidR="00331973" w:rsidRPr="00C35766">
        <w:rPr>
          <w:rFonts w:eastAsia="Times New Roman"/>
          <w:lang w:val="it-IT"/>
        </w:rPr>
        <w:t>mL</w:t>
      </w:r>
      <w:r w:rsidRPr="00C35766">
        <w:rPr>
          <w:rFonts w:eastAsia="Times New Roman"/>
          <w:lang w:val="it-IT"/>
        </w:rPr>
        <w:t xml:space="preserve"> nei pazienti con colite ulcerosa che hanno ricevuto una dose di mantenimento di 40 mg di adalimumab ogni due settimane.</w:t>
      </w:r>
    </w:p>
    <w:p w14:paraId="51079D78" w14:textId="40AFB0E5" w:rsidR="00953B2E" w:rsidRPr="00C35766" w:rsidRDefault="00953B2E">
      <w:pPr>
        <w:spacing w:before="14" w:line="240" w:lineRule="exact"/>
        <w:rPr>
          <w:rFonts w:ascii="Times New Roman" w:hAnsi="Times New Roman" w:cs="Times New Roman"/>
          <w:sz w:val="24"/>
          <w:szCs w:val="24"/>
          <w:lang w:val="it-IT"/>
        </w:rPr>
      </w:pPr>
    </w:p>
    <w:p w14:paraId="390F4F4A" w14:textId="77777777" w:rsidR="001F24B7" w:rsidRPr="00C35766" w:rsidRDefault="001F24B7" w:rsidP="001F24B7">
      <w:pPr>
        <w:rPr>
          <w:rFonts w:ascii="Times New Roman" w:hAnsi="Times New Roman" w:cs="Times New Roman"/>
          <w:lang w:val="it-IT"/>
        </w:rPr>
      </w:pPr>
      <w:r w:rsidRPr="00C35766">
        <w:rPr>
          <w:rFonts w:ascii="Times New Roman" w:hAnsi="Times New Roman" w:cs="Times New Roman"/>
          <w:lang w:val="it-IT"/>
        </w:rPr>
        <w:t>A seguito della somministrazione sottocutanea di una dose di 0,6 mg/kg (massimo 40 mg) a settimane alterne basata sul peso corporeo, in pazienti pediatrici con colite ulcerosa, la concentrazione media minima di adalimumab sierico all’equilibrio è stata di 5,01±3,28 µg/ml alla Settimana 52. Per i pazienti che hanno ricevuto 0,6 mg/kg (massimo 40 mg) ogni settimana, la concentrazione media minima (±DS) di adalimumab sierico all’equilibrio è stata di 15,7±5,60 </w:t>
      </w:r>
      <w:r w:rsidRPr="00C35766">
        <w:rPr>
          <w:rFonts w:ascii="Times New Roman" w:hAnsi="Times New Roman" w:cs="Times New Roman"/>
        </w:rPr>
        <w:t>μ</w:t>
      </w:r>
      <w:r w:rsidRPr="00C35766">
        <w:rPr>
          <w:rFonts w:ascii="Times New Roman" w:hAnsi="Times New Roman" w:cs="Times New Roman"/>
          <w:lang w:val="it-IT"/>
        </w:rPr>
        <w:t>g/ml alla Settimana 52.</w:t>
      </w:r>
    </w:p>
    <w:p w14:paraId="2F2225D2" w14:textId="77777777" w:rsidR="001F24B7" w:rsidRPr="00C35766" w:rsidRDefault="001F24B7">
      <w:pPr>
        <w:spacing w:before="14" w:line="240" w:lineRule="exact"/>
        <w:rPr>
          <w:rFonts w:ascii="Times New Roman" w:hAnsi="Times New Roman" w:cs="Times New Roman"/>
          <w:sz w:val="24"/>
          <w:szCs w:val="24"/>
          <w:lang w:val="it-IT"/>
        </w:rPr>
      </w:pPr>
    </w:p>
    <w:p w14:paraId="2C30E3AE" w14:textId="075FE458" w:rsidR="00953B2E" w:rsidRPr="00C35766" w:rsidRDefault="005F0C19">
      <w:pPr>
        <w:pStyle w:val="a3"/>
        <w:rPr>
          <w:lang w:val="it-IT"/>
        </w:rPr>
      </w:pPr>
      <w:r w:rsidRPr="00C35766">
        <w:rPr>
          <w:rFonts w:eastAsia="Times New Roman"/>
          <w:spacing w:val="-2"/>
          <w:lang w:val="it-IT"/>
        </w:rPr>
        <w:t xml:space="preserve">Nei pazienti adulti affetti da uveite, una dose di carico di 80 mg di adalimumab alla settimana 0 seguita da 40 mg di adalimumab a settimane alterne a partire dalla settimana 1 ha determinato concentrazioni medie allo stato stazionario di circa 8-10 </w:t>
      </w:r>
      <w:r w:rsidRPr="00C35766">
        <w:rPr>
          <w:rFonts w:eastAsia="Symbol"/>
          <w:spacing w:val="-2"/>
          <w:lang w:val="it-IT"/>
        </w:rPr>
        <w:sym w:font="Symbol" w:char="F06D"/>
      </w:r>
      <w:r w:rsidRPr="00C35766">
        <w:rPr>
          <w:rFonts w:eastAsia="Times New Roman"/>
          <w:spacing w:val="-2"/>
          <w:lang w:val="it-IT"/>
        </w:rPr>
        <w:t>g/</w:t>
      </w:r>
      <w:r w:rsidR="00933496" w:rsidRPr="00C35766">
        <w:rPr>
          <w:rFonts w:eastAsia="Times New Roman"/>
          <w:spacing w:val="-2"/>
          <w:lang w:val="it-IT"/>
        </w:rPr>
        <w:t>ml</w:t>
      </w:r>
      <w:r w:rsidRPr="00C35766">
        <w:rPr>
          <w:rFonts w:eastAsia="Times New Roman"/>
          <w:spacing w:val="-2"/>
          <w:lang w:val="it-IT"/>
        </w:rPr>
        <w:t>.</w:t>
      </w:r>
    </w:p>
    <w:p w14:paraId="6A9B50F1" w14:textId="77777777" w:rsidR="00953B2E" w:rsidRPr="00C35766" w:rsidRDefault="00953B2E">
      <w:pPr>
        <w:spacing w:before="13" w:line="240" w:lineRule="exact"/>
        <w:rPr>
          <w:rFonts w:ascii="Times New Roman" w:hAnsi="Times New Roman" w:cs="Times New Roman"/>
          <w:sz w:val="24"/>
          <w:szCs w:val="24"/>
          <w:lang w:val="it-IT"/>
        </w:rPr>
      </w:pPr>
    </w:p>
    <w:p w14:paraId="637D195F" w14:textId="21F72085" w:rsidR="00953B2E" w:rsidRPr="00C35766" w:rsidRDefault="005F0C19">
      <w:pPr>
        <w:pStyle w:val="a3"/>
        <w:rPr>
          <w:lang w:val="it-IT"/>
        </w:rPr>
      </w:pPr>
      <w:r w:rsidRPr="00C35766">
        <w:rPr>
          <w:rFonts w:eastAsia="Times New Roman"/>
          <w:lang w:val="it-IT"/>
        </w:rPr>
        <w:t>L’esposizione ad adalimumab nei pazienti pediatrici con uveite è stata predetta usando modelli e simulazione farmacocinetic</w:t>
      </w:r>
      <w:r w:rsidR="00633D3F" w:rsidRPr="00C35766">
        <w:rPr>
          <w:rFonts w:eastAsia="Times New Roman"/>
          <w:lang w:val="it-IT"/>
        </w:rPr>
        <w:t>i</w:t>
      </w:r>
      <w:r w:rsidRPr="00C35766">
        <w:rPr>
          <w:rFonts w:eastAsia="Times New Roman"/>
          <w:lang w:val="it-IT"/>
        </w:rPr>
        <w:t xml:space="preserve"> di popolazione basati sulla farmacocinetica cross-indicazione in altri pazienti pediatrici (psoriasi pediatrica, artrite idiopatica giovanile, malattia di Crohn pediatrica e artrite associata ad entesite). Non sono disponibili dati sull’esposizione clinica relativi all’uso di una dose di carico nei bambini di età inferiore ai 6 anni. Le esposizioni previste indicano che in assenza di metotressato una dose di carico potrebbe causare un aumento iniziale dell’esposizione sistemica.</w:t>
      </w:r>
    </w:p>
    <w:p w14:paraId="514339F6" w14:textId="77777777" w:rsidR="00953B2E" w:rsidRPr="00C35766" w:rsidRDefault="00953B2E">
      <w:pPr>
        <w:spacing w:before="13" w:line="240" w:lineRule="exact"/>
        <w:rPr>
          <w:rFonts w:ascii="Times New Roman" w:hAnsi="Times New Roman" w:cs="Times New Roman"/>
          <w:sz w:val="24"/>
          <w:szCs w:val="24"/>
          <w:lang w:val="it-IT"/>
        </w:rPr>
      </w:pPr>
    </w:p>
    <w:p w14:paraId="1B137427" w14:textId="5FC5A7AD" w:rsidR="00953B2E" w:rsidRPr="00C35766" w:rsidRDefault="005F0C19">
      <w:pPr>
        <w:pStyle w:val="a3"/>
        <w:rPr>
          <w:lang w:val="it-IT"/>
        </w:rPr>
      </w:pPr>
      <w:r w:rsidRPr="00C35766">
        <w:rPr>
          <w:rFonts w:eastAsia="Times New Roman"/>
          <w:lang w:val="it-IT"/>
        </w:rPr>
        <w:t xml:space="preserve">Dal modello e dalla simulazione </w:t>
      </w:r>
      <w:r w:rsidR="00633D3F" w:rsidRPr="00C35766">
        <w:rPr>
          <w:rFonts w:eastAsia="Times New Roman"/>
          <w:lang w:val="it-IT"/>
        </w:rPr>
        <w:t xml:space="preserve">farmacocinetici </w:t>
      </w:r>
      <w:r w:rsidRPr="00C35766">
        <w:rPr>
          <w:rFonts w:eastAsia="Times New Roman"/>
          <w:lang w:val="it-IT"/>
        </w:rPr>
        <w:t xml:space="preserve">e </w:t>
      </w:r>
      <w:r w:rsidR="00633D3F" w:rsidRPr="00C35766">
        <w:rPr>
          <w:rFonts w:eastAsia="Times New Roman"/>
          <w:lang w:val="it-IT"/>
        </w:rPr>
        <w:t>farmacocinetici</w:t>
      </w:r>
      <w:r w:rsidRPr="00C35766">
        <w:rPr>
          <w:rFonts w:eastAsia="Times New Roman"/>
          <w:lang w:val="it-IT"/>
        </w:rPr>
        <w:t xml:space="preserve">/ </w:t>
      </w:r>
      <w:r w:rsidR="00633D3F" w:rsidRPr="00C35766">
        <w:rPr>
          <w:rFonts w:eastAsia="Times New Roman"/>
          <w:lang w:val="it-IT"/>
        </w:rPr>
        <w:t xml:space="preserve">farmacodinamici </w:t>
      </w:r>
      <w:r w:rsidRPr="00C35766">
        <w:rPr>
          <w:rFonts w:eastAsia="Times New Roman"/>
          <w:lang w:val="it-IT"/>
        </w:rPr>
        <w:t xml:space="preserve">di popolazione è stato previsto che l’esposizione e l'efficacia di adalimumab sono paragonabili in pazienti trattati con 80 mg a settimane alterne e in quelli trattati con 40 mg ogni settimana (compresi i pazienti adulti con AR, HS, CU, MC o Ps, pazienti </w:t>
      </w:r>
      <w:r w:rsidR="00633D3F" w:rsidRPr="00C35766">
        <w:rPr>
          <w:rFonts w:eastAsia="Times New Roman"/>
          <w:lang w:val="it-IT"/>
        </w:rPr>
        <w:t xml:space="preserve">adolescenti </w:t>
      </w:r>
      <w:r w:rsidRPr="00C35766">
        <w:rPr>
          <w:rFonts w:eastAsia="Times New Roman"/>
          <w:lang w:val="it-IT"/>
        </w:rPr>
        <w:t>con HS e pazienti pediatrici ≥ 40 kg con MC</w:t>
      </w:r>
      <w:r w:rsidR="001F24B7" w:rsidRPr="00C35766">
        <w:rPr>
          <w:color w:val="000000"/>
          <w:lang w:val="it-IT"/>
        </w:rPr>
        <w:t xml:space="preserve"> e CU</w:t>
      </w:r>
      <w:r w:rsidRPr="00C35766">
        <w:rPr>
          <w:rFonts w:eastAsia="Times New Roman"/>
          <w:lang w:val="it-IT"/>
        </w:rPr>
        <w:t xml:space="preserve">). </w:t>
      </w:r>
    </w:p>
    <w:p w14:paraId="545BB137" w14:textId="77777777" w:rsidR="00953B2E" w:rsidRPr="00C35766" w:rsidRDefault="00953B2E">
      <w:pPr>
        <w:spacing w:before="13" w:line="240" w:lineRule="exact"/>
        <w:rPr>
          <w:rFonts w:ascii="Times New Roman" w:hAnsi="Times New Roman" w:cs="Times New Roman"/>
          <w:sz w:val="24"/>
          <w:szCs w:val="24"/>
          <w:lang w:val="it-IT"/>
        </w:rPr>
      </w:pPr>
    </w:p>
    <w:p w14:paraId="5CAA7BE5" w14:textId="77777777" w:rsidR="00953B2E" w:rsidRPr="00C35766" w:rsidRDefault="005F0C19">
      <w:pPr>
        <w:pStyle w:val="a3"/>
        <w:rPr>
          <w:u w:val="single"/>
          <w:lang w:val="it-IT"/>
        </w:rPr>
      </w:pPr>
      <w:r w:rsidRPr="00C35766">
        <w:rPr>
          <w:rFonts w:eastAsia="Times New Roman"/>
          <w:u w:val="single" w:color="000000"/>
          <w:lang w:val="it-IT"/>
        </w:rPr>
        <w:t>Rapporto esposizione-risposta nella popolazione pediatrica</w:t>
      </w:r>
    </w:p>
    <w:p w14:paraId="135FF622" w14:textId="77777777" w:rsidR="00953B2E" w:rsidRPr="00C35766" w:rsidRDefault="00953B2E">
      <w:pPr>
        <w:pStyle w:val="a3"/>
        <w:rPr>
          <w:lang w:val="it-IT"/>
        </w:rPr>
      </w:pPr>
    </w:p>
    <w:p w14:paraId="63722614" w14:textId="04C7B9B2" w:rsidR="00953B2E" w:rsidRPr="00C35766" w:rsidRDefault="005F0C19">
      <w:pPr>
        <w:pStyle w:val="a3"/>
        <w:rPr>
          <w:lang w:val="it-IT"/>
        </w:rPr>
      </w:pPr>
      <w:r w:rsidRPr="00C35766">
        <w:rPr>
          <w:rFonts w:eastAsia="Times New Roman"/>
          <w:lang w:val="it-IT"/>
        </w:rPr>
        <w:t>Sulla base dei risultati degli studi clinici in pazienti con JIA (pJIA e ERA), è stato stabilito un rapporto esposizione-risposta tra le concentrazioni plasmatiche e la risposta PedACR 50.  La concentrazione plasmatica apparente di adalimumab che produce metà della massima probabilità di risposta PedACR 50 (EC50) è stata 3 μg/</w:t>
      </w:r>
      <w:r w:rsidR="00331973" w:rsidRPr="00C35766">
        <w:rPr>
          <w:rFonts w:eastAsia="Times New Roman"/>
          <w:lang w:val="it-IT"/>
        </w:rPr>
        <w:t>mL</w:t>
      </w:r>
      <w:r w:rsidRPr="00C35766">
        <w:rPr>
          <w:rFonts w:eastAsia="Times New Roman"/>
          <w:lang w:val="it-IT"/>
        </w:rPr>
        <w:t xml:space="preserve"> (95% IC: 1-6 μg/</w:t>
      </w:r>
      <w:r w:rsidR="00933496" w:rsidRPr="00C35766">
        <w:rPr>
          <w:rFonts w:eastAsia="Times New Roman"/>
          <w:lang w:val="it-IT"/>
        </w:rPr>
        <w:t>ml</w:t>
      </w:r>
      <w:r w:rsidRPr="00C35766">
        <w:rPr>
          <w:rFonts w:eastAsia="Times New Roman"/>
          <w:lang w:val="it-IT"/>
        </w:rPr>
        <w:t>).</w:t>
      </w:r>
    </w:p>
    <w:p w14:paraId="2D2BC228" w14:textId="77777777" w:rsidR="00953B2E" w:rsidRPr="00C35766" w:rsidRDefault="00953B2E">
      <w:pPr>
        <w:spacing w:before="13" w:line="240" w:lineRule="exact"/>
        <w:rPr>
          <w:rFonts w:ascii="Times New Roman" w:hAnsi="Times New Roman" w:cs="Times New Roman"/>
          <w:sz w:val="24"/>
          <w:szCs w:val="24"/>
          <w:lang w:val="it-IT"/>
        </w:rPr>
      </w:pPr>
    </w:p>
    <w:p w14:paraId="02C439CC" w14:textId="687958E0" w:rsidR="00953B2E" w:rsidRPr="00C35766" w:rsidRDefault="005F0C19">
      <w:pPr>
        <w:pStyle w:val="a3"/>
        <w:rPr>
          <w:lang w:val="it-IT"/>
        </w:rPr>
      </w:pPr>
      <w:r w:rsidRPr="00C35766">
        <w:rPr>
          <w:rFonts w:eastAsia="Times New Roman"/>
          <w:lang w:val="it-IT"/>
        </w:rPr>
        <w:t xml:space="preserve">I rapporti esposizione-risposta tra la concentrazione di adalimumab e l’efficacia in pazienti pediatrici affetti da psoriasi cronica a placche di grado severo sono stati stabiliti per PASI 75 e PGA corrispondente a remissione totale della malattia o a persistenza di malattia minima rispettivamente. PASI 75 e PGA </w:t>
      </w:r>
      <w:r w:rsidRPr="00C35766">
        <w:rPr>
          <w:rFonts w:eastAsia="Times New Roman"/>
          <w:lang w:val="it-IT"/>
        </w:rPr>
        <w:lastRenderedPageBreak/>
        <w:t>corrispondente a remissione totale della malattia o a persistenza di malattia minima sono aumentati all’aumentare delle concentrazioni di adalimumab, entrambi con una simile EC50 apparente di circa 4,5 μg/</w:t>
      </w:r>
      <w:r w:rsidR="00331973" w:rsidRPr="00C35766">
        <w:rPr>
          <w:rFonts w:eastAsia="Times New Roman"/>
          <w:lang w:val="it-IT"/>
        </w:rPr>
        <w:t>mL</w:t>
      </w:r>
      <w:r w:rsidRPr="00C35766">
        <w:rPr>
          <w:rFonts w:eastAsia="Times New Roman"/>
          <w:lang w:val="it-IT"/>
        </w:rPr>
        <w:t xml:space="preserve"> (95% IC 0,4-47,6 e 1,9-10,5, rispettivamente).</w:t>
      </w:r>
    </w:p>
    <w:p w14:paraId="3CEA029A" w14:textId="77777777" w:rsidR="00953B2E" w:rsidRPr="00C35766" w:rsidRDefault="00953B2E">
      <w:pPr>
        <w:spacing w:before="13" w:line="240" w:lineRule="exact"/>
        <w:rPr>
          <w:rFonts w:ascii="Times New Roman" w:hAnsi="Times New Roman" w:cs="Times New Roman"/>
          <w:sz w:val="24"/>
          <w:szCs w:val="24"/>
          <w:lang w:val="it-IT"/>
        </w:rPr>
      </w:pPr>
    </w:p>
    <w:p w14:paraId="7872B053" w14:textId="77777777" w:rsidR="00953B2E" w:rsidRPr="00C35766" w:rsidRDefault="005F0C19">
      <w:pPr>
        <w:pStyle w:val="a3"/>
        <w:rPr>
          <w:u w:val="single"/>
          <w:lang w:val="es-ES"/>
        </w:rPr>
      </w:pPr>
      <w:r w:rsidRPr="00C35766">
        <w:rPr>
          <w:rFonts w:eastAsia="Times New Roman"/>
          <w:u w:val="single" w:color="000000"/>
          <w:lang w:val="it-IT"/>
        </w:rPr>
        <w:t>Eliminazione</w:t>
      </w:r>
    </w:p>
    <w:p w14:paraId="62E363F3" w14:textId="77777777" w:rsidR="00953B2E" w:rsidRPr="00C35766" w:rsidRDefault="00953B2E">
      <w:pPr>
        <w:spacing w:before="1" w:line="180" w:lineRule="exact"/>
        <w:rPr>
          <w:rFonts w:ascii="Times New Roman" w:hAnsi="Times New Roman" w:cs="Times New Roman"/>
          <w:sz w:val="18"/>
          <w:szCs w:val="18"/>
          <w:lang w:val="es-ES"/>
        </w:rPr>
      </w:pPr>
    </w:p>
    <w:p w14:paraId="487E4E99" w14:textId="77777777" w:rsidR="00953B2E" w:rsidRPr="00C35766" w:rsidRDefault="005F0C19">
      <w:pPr>
        <w:pStyle w:val="a3"/>
        <w:rPr>
          <w:lang w:val="it-IT"/>
        </w:rPr>
      </w:pPr>
      <w:r w:rsidRPr="00C35766">
        <w:rPr>
          <w:rFonts w:eastAsia="Times New Roman"/>
          <w:lang w:val="it-IT"/>
        </w:rPr>
        <w:t>Le analisi farmacocinetiche di popolazione, su un campione di più di 1.300 pazienti con AR, hanno evidenziato una tendenza ad un apparente aumento della clearance di adalimumab con l’aumentare del peso corporeo. Dopo correzione per le differenze di peso corporeo, sesso ed età sono risultati avere un effetto minimo sulla clearance di adalimumab. I livelli sierici di adalimumab libero (non legato agli anticorpi anti-adalimumab – AAA) sono stati più bassi nei pazienti con titoli misurabili di AAA.</w:t>
      </w:r>
    </w:p>
    <w:p w14:paraId="309A1DF2" w14:textId="77777777" w:rsidR="00953B2E" w:rsidRPr="00C35766" w:rsidRDefault="00953B2E">
      <w:pPr>
        <w:spacing w:before="13" w:line="240" w:lineRule="exact"/>
        <w:rPr>
          <w:rFonts w:ascii="Times New Roman" w:hAnsi="Times New Roman" w:cs="Times New Roman"/>
          <w:sz w:val="24"/>
          <w:szCs w:val="24"/>
          <w:lang w:val="it-IT"/>
        </w:rPr>
      </w:pPr>
    </w:p>
    <w:p w14:paraId="237BA901" w14:textId="253179B9" w:rsidR="00953B2E" w:rsidRPr="00C35766" w:rsidRDefault="00633D3F">
      <w:pPr>
        <w:pStyle w:val="a3"/>
        <w:rPr>
          <w:u w:val="single"/>
          <w:lang w:val="es-ES"/>
        </w:rPr>
      </w:pPr>
      <w:r w:rsidRPr="00C35766">
        <w:rPr>
          <w:rFonts w:eastAsia="Times New Roman"/>
          <w:u w:val="single" w:color="000000"/>
          <w:lang w:val="it-IT"/>
        </w:rPr>
        <w:t xml:space="preserve">Compromissione </w:t>
      </w:r>
      <w:r w:rsidR="005F0C19" w:rsidRPr="00C35766">
        <w:rPr>
          <w:rFonts w:eastAsia="Times New Roman"/>
          <w:u w:val="single" w:color="000000"/>
          <w:lang w:val="it-IT"/>
        </w:rPr>
        <w:t>epatica o renale</w:t>
      </w:r>
    </w:p>
    <w:p w14:paraId="5A0F47E7" w14:textId="77777777" w:rsidR="00953B2E" w:rsidRPr="00C35766" w:rsidRDefault="00953B2E">
      <w:pPr>
        <w:spacing w:before="1" w:line="180" w:lineRule="exact"/>
        <w:rPr>
          <w:rFonts w:ascii="Times New Roman" w:hAnsi="Times New Roman" w:cs="Times New Roman"/>
          <w:sz w:val="18"/>
          <w:szCs w:val="18"/>
          <w:lang w:val="es-ES"/>
        </w:rPr>
      </w:pPr>
    </w:p>
    <w:p w14:paraId="17466022" w14:textId="76176B1F" w:rsidR="00953B2E" w:rsidRPr="00C35766" w:rsidRDefault="005F0C19">
      <w:pPr>
        <w:pStyle w:val="a3"/>
        <w:rPr>
          <w:lang w:val="es-ES"/>
        </w:rPr>
      </w:pPr>
      <w:r w:rsidRPr="00C35766">
        <w:rPr>
          <w:rFonts w:eastAsia="Times New Roman"/>
          <w:lang w:val="it-IT"/>
        </w:rPr>
        <w:t xml:space="preserve">Adalimumab non è stato studiato in pazienti con </w:t>
      </w:r>
      <w:r w:rsidR="00633D3F" w:rsidRPr="00C35766">
        <w:rPr>
          <w:rFonts w:eastAsia="Times New Roman"/>
          <w:lang w:val="it-IT"/>
        </w:rPr>
        <w:t xml:space="preserve">compromissione </w:t>
      </w:r>
      <w:r w:rsidRPr="00C35766">
        <w:rPr>
          <w:rFonts w:eastAsia="Times New Roman"/>
          <w:lang w:val="it-IT"/>
        </w:rPr>
        <w:t>epatica o renale.</w:t>
      </w:r>
    </w:p>
    <w:p w14:paraId="01E2AB75" w14:textId="77777777" w:rsidR="00953B2E" w:rsidRPr="00C35766" w:rsidRDefault="00953B2E">
      <w:pPr>
        <w:spacing w:before="18" w:line="240" w:lineRule="exact"/>
        <w:rPr>
          <w:rFonts w:ascii="Times New Roman" w:hAnsi="Times New Roman" w:cs="Times New Roman"/>
          <w:sz w:val="24"/>
          <w:szCs w:val="24"/>
          <w:lang w:val="es-ES"/>
        </w:rPr>
      </w:pPr>
    </w:p>
    <w:p w14:paraId="6FD85655" w14:textId="77777777" w:rsidR="00953B2E" w:rsidRPr="00C35766" w:rsidRDefault="005F0C19" w:rsidP="00787805">
      <w:pPr>
        <w:widowControl/>
        <w:numPr>
          <w:ilvl w:val="1"/>
          <w:numId w:val="29"/>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Dati preclinici di sicurezza</w:t>
      </w:r>
    </w:p>
    <w:p w14:paraId="5974E8E0" w14:textId="77777777" w:rsidR="00953B2E" w:rsidRPr="00C35766" w:rsidRDefault="00953B2E">
      <w:pPr>
        <w:spacing w:before="6" w:line="240" w:lineRule="exact"/>
        <w:rPr>
          <w:rFonts w:ascii="Times New Roman" w:hAnsi="Times New Roman" w:cs="Times New Roman"/>
          <w:sz w:val="24"/>
          <w:szCs w:val="24"/>
        </w:rPr>
      </w:pPr>
    </w:p>
    <w:p w14:paraId="7516BCCD" w14:textId="7B7577F3" w:rsidR="00953B2E" w:rsidRPr="00C35766" w:rsidRDefault="005F0C19">
      <w:pPr>
        <w:pStyle w:val="a3"/>
        <w:rPr>
          <w:lang w:val="pt-BR"/>
        </w:rPr>
      </w:pPr>
      <w:r w:rsidRPr="00C35766">
        <w:rPr>
          <w:rFonts w:eastAsia="Times New Roman"/>
          <w:lang w:val="it-IT"/>
        </w:rPr>
        <w:t xml:space="preserve">I dati </w:t>
      </w:r>
      <w:r w:rsidR="00633D3F" w:rsidRPr="00C35766">
        <w:rPr>
          <w:rFonts w:eastAsia="Times New Roman"/>
          <w:lang w:val="it-IT"/>
        </w:rPr>
        <w:t xml:space="preserve">non clinici </w:t>
      </w:r>
      <w:r w:rsidRPr="00C35766">
        <w:rPr>
          <w:rFonts w:eastAsia="Times New Roman"/>
          <w:lang w:val="it-IT"/>
        </w:rPr>
        <w:t>non rivelano rischi particolari per l’uomo sulla base di studi di tossicità a dosi singole, tossicità a dosi ripetute e genotossicità.</w:t>
      </w:r>
    </w:p>
    <w:p w14:paraId="0456061A" w14:textId="77777777" w:rsidR="00953B2E" w:rsidRPr="00C35766" w:rsidRDefault="00953B2E">
      <w:pPr>
        <w:spacing w:before="12" w:line="240" w:lineRule="exact"/>
        <w:rPr>
          <w:rFonts w:ascii="Times New Roman" w:hAnsi="Times New Roman" w:cs="Times New Roman"/>
          <w:sz w:val="24"/>
          <w:szCs w:val="24"/>
          <w:lang w:val="pt-BR"/>
        </w:rPr>
      </w:pPr>
    </w:p>
    <w:p w14:paraId="7334D036" w14:textId="6487907F" w:rsidR="00953B2E" w:rsidRPr="00C35766" w:rsidRDefault="005F0C19">
      <w:pPr>
        <w:pStyle w:val="a3"/>
        <w:rPr>
          <w:rFonts w:eastAsia="Times New Roman"/>
          <w:lang w:val="it-IT"/>
        </w:rPr>
      </w:pPr>
      <w:r w:rsidRPr="00C35766">
        <w:rPr>
          <w:rFonts w:eastAsia="Times New Roman"/>
          <w:lang w:val="it-IT"/>
        </w:rPr>
        <w:t xml:space="preserve">È stato condotto uno studio sulla tossicità nello sviluppo embrio-fetale/sviluppo perinatale in scimmie </w:t>
      </w:r>
      <w:r w:rsidR="00633D3F" w:rsidRPr="00C35766">
        <w:rPr>
          <w:rFonts w:eastAsia="Times New Roman"/>
          <w:lang w:val="it-IT"/>
        </w:rPr>
        <w:t xml:space="preserve">cynomolgus </w:t>
      </w:r>
      <w:r w:rsidRPr="00C35766">
        <w:rPr>
          <w:rFonts w:eastAsia="Times New Roman"/>
          <w:lang w:val="it-IT"/>
        </w:rPr>
        <w:t>con dosaggi di 0,30 e 100 mg/kg (9-17 scimmie/gruppo); tale studio non ha evidenziato danni fetali provocati da adalimumab. Sia le prove di cancerogenesi che le valutazioni standard sulla fertilità e sulla tossicità postnatale non sono state condotte con adalimumab a causa di mancanza di modelli appropriati per un anticorpo con limitata reattività crociata per il TNF nei roditori e lo sviluppo di anticorpi neutralizzanti nei roditori.</w:t>
      </w:r>
    </w:p>
    <w:p w14:paraId="4C248D5F" w14:textId="77777777" w:rsidR="00953B2E" w:rsidRPr="00C35766" w:rsidRDefault="00953B2E">
      <w:pPr>
        <w:pStyle w:val="a3"/>
        <w:rPr>
          <w:rFonts w:eastAsia="Times New Roman"/>
          <w:lang w:val="it-IT"/>
        </w:rPr>
      </w:pPr>
    </w:p>
    <w:p w14:paraId="315042C4" w14:textId="77777777" w:rsidR="00953B2E" w:rsidRPr="00C35766" w:rsidRDefault="00953B2E">
      <w:pPr>
        <w:pStyle w:val="a3"/>
        <w:rPr>
          <w:rFonts w:eastAsia="Times New Roman"/>
          <w:lang w:val="it-IT"/>
        </w:rPr>
      </w:pPr>
    </w:p>
    <w:p w14:paraId="6F1E1717" w14:textId="77777777" w:rsidR="00953B2E" w:rsidRPr="00C35766" w:rsidRDefault="005F0C19" w:rsidP="00787805">
      <w:pPr>
        <w:widowControl/>
        <w:numPr>
          <w:ilvl w:val="0"/>
          <w:numId w:val="25"/>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INFORMAZIONI FARMACEUTICHE</w:t>
      </w:r>
    </w:p>
    <w:p w14:paraId="7068CEE7" w14:textId="77777777" w:rsidR="00953B2E" w:rsidRPr="00C35766" w:rsidRDefault="00953B2E">
      <w:pPr>
        <w:spacing w:before="13" w:line="240" w:lineRule="exact"/>
        <w:rPr>
          <w:rFonts w:ascii="Times New Roman" w:hAnsi="Times New Roman" w:cs="Times New Roman"/>
          <w:sz w:val="24"/>
          <w:szCs w:val="24"/>
        </w:rPr>
      </w:pPr>
    </w:p>
    <w:p w14:paraId="7FD6765D"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Elenco degli eccipienti</w:t>
      </w:r>
    </w:p>
    <w:p w14:paraId="6187D721" w14:textId="77777777" w:rsidR="00953B2E" w:rsidRPr="00C35766" w:rsidRDefault="00953B2E">
      <w:pPr>
        <w:spacing w:line="240" w:lineRule="exact"/>
        <w:rPr>
          <w:rFonts w:ascii="Times New Roman" w:hAnsi="Times New Roman" w:cs="Times New Roman"/>
          <w:sz w:val="24"/>
          <w:szCs w:val="24"/>
        </w:rPr>
      </w:pPr>
    </w:p>
    <w:p w14:paraId="3354E4E1" w14:textId="77777777" w:rsidR="00953B2E" w:rsidRPr="00C35766" w:rsidRDefault="005F0C19">
      <w:pPr>
        <w:pStyle w:val="a3"/>
      </w:pPr>
      <w:r w:rsidRPr="00C35766">
        <w:rPr>
          <w:rFonts w:eastAsia="Times New Roman"/>
          <w:lang w:val="it-IT"/>
        </w:rPr>
        <w:t>Acido acetico</w:t>
      </w:r>
    </w:p>
    <w:p w14:paraId="5ADD680C" w14:textId="77777777" w:rsidR="00953B2E" w:rsidRPr="00C35766" w:rsidRDefault="005F0C19">
      <w:pPr>
        <w:pStyle w:val="a3"/>
      </w:pPr>
      <w:r w:rsidRPr="00C35766">
        <w:rPr>
          <w:rFonts w:eastAsia="Times New Roman"/>
          <w:lang w:val="it-IT"/>
        </w:rPr>
        <w:t>Sodio acetato triidrato</w:t>
      </w:r>
    </w:p>
    <w:p w14:paraId="7AED8C2B" w14:textId="77777777" w:rsidR="00953B2E" w:rsidRPr="00C35766" w:rsidRDefault="005F0C19">
      <w:pPr>
        <w:pStyle w:val="a3"/>
      </w:pPr>
      <w:r w:rsidRPr="00C35766">
        <w:rPr>
          <w:rFonts w:eastAsia="Times New Roman"/>
          <w:lang w:val="it-IT"/>
        </w:rPr>
        <w:t>Glicina</w:t>
      </w:r>
    </w:p>
    <w:p w14:paraId="06273879" w14:textId="77777777" w:rsidR="00953B2E" w:rsidRPr="00C35766" w:rsidRDefault="005F0C19">
      <w:pPr>
        <w:pStyle w:val="a3"/>
      </w:pPr>
      <w:r w:rsidRPr="00C35766">
        <w:rPr>
          <w:rFonts w:eastAsia="Times New Roman"/>
          <w:lang w:val="it-IT"/>
        </w:rPr>
        <w:t>Polisorbato 80</w:t>
      </w:r>
    </w:p>
    <w:p w14:paraId="29AE2E55" w14:textId="77777777" w:rsidR="00953B2E" w:rsidRPr="00C35766" w:rsidRDefault="005F0C19">
      <w:pPr>
        <w:pStyle w:val="a3"/>
      </w:pPr>
      <w:r w:rsidRPr="00C35766">
        <w:rPr>
          <w:rFonts w:eastAsia="Times New Roman"/>
          <w:lang w:val="it-IT"/>
        </w:rPr>
        <w:t>Acqua per preparazioni iniettabili</w:t>
      </w:r>
    </w:p>
    <w:p w14:paraId="1A344B72" w14:textId="77777777" w:rsidR="00953B2E" w:rsidRPr="00C35766" w:rsidRDefault="00953B2E">
      <w:pPr>
        <w:spacing w:line="240" w:lineRule="exact"/>
        <w:rPr>
          <w:rFonts w:ascii="Times New Roman" w:hAnsi="Times New Roman" w:cs="Times New Roman"/>
          <w:sz w:val="24"/>
          <w:szCs w:val="24"/>
        </w:rPr>
      </w:pPr>
    </w:p>
    <w:p w14:paraId="633F22B6"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Incompatibilità</w:t>
      </w:r>
    </w:p>
    <w:p w14:paraId="08239934" w14:textId="77777777" w:rsidR="00953B2E" w:rsidRPr="00C35766" w:rsidRDefault="00953B2E">
      <w:pPr>
        <w:spacing w:line="240" w:lineRule="exact"/>
        <w:rPr>
          <w:rFonts w:ascii="Times New Roman" w:hAnsi="Times New Roman" w:cs="Times New Roman"/>
          <w:sz w:val="24"/>
          <w:szCs w:val="24"/>
        </w:rPr>
      </w:pPr>
    </w:p>
    <w:p w14:paraId="58B927BF" w14:textId="77777777" w:rsidR="00953B2E" w:rsidRPr="00C35766" w:rsidRDefault="005F0C19">
      <w:pPr>
        <w:pStyle w:val="a3"/>
        <w:rPr>
          <w:lang w:val="it-IT"/>
        </w:rPr>
      </w:pPr>
      <w:r w:rsidRPr="00C35766">
        <w:rPr>
          <w:rFonts w:eastAsia="Times New Roman"/>
          <w:lang w:val="it-IT"/>
        </w:rPr>
        <w:t>In assenza di studi di compatibilità, questo medicinale non deve essere miscelato con altri medicinali.</w:t>
      </w:r>
    </w:p>
    <w:p w14:paraId="5236ABA5" w14:textId="77777777" w:rsidR="00953B2E" w:rsidRPr="00C35766" w:rsidRDefault="00953B2E">
      <w:pPr>
        <w:spacing w:line="240" w:lineRule="exact"/>
        <w:rPr>
          <w:rFonts w:ascii="Times New Roman" w:hAnsi="Times New Roman" w:cs="Times New Roman"/>
          <w:sz w:val="24"/>
          <w:lang w:val="it-IT"/>
        </w:rPr>
      </w:pPr>
    </w:p>
    <w:p w14:paraId="1663A9F1"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Periodo di validità</w:t>
      </w:r>
    </w:p>
    <w:p w14:paraId="087B4398" w14:textId="77777777" w:rsidR="00953B2E" w:rsidRPr="00C35766" w:rsidRDefault="00953B2E">
      <w:pPr>
        <w:spacing w:line="240" w:lineRule="exact"/>
        <w:rPr>
          <w:rFonts w:ascii="Times New Roman" w:hAnsi="Times New Roman" w:cs="Times New Roman"/>
          <w:sz w:val="24"/>
          <w:szCs w:val="24"/>
        </w:rPr>
      </w:pPr>
    </w:p>
    <w:p w14:paraId="7BDCC4CE" w14:textId="0FFCD996" w:rsidR="00953B2E" w:rsidRPr="00C35766" w:rsidRDefault="00CC3B59">
      <w:pPr>
        <w:pStyle w:val="a3"/>
      </w:pPr>
      <w:r w:rsidRPr="00C35766">
        <w:rPr>
          <w:rFonts w:eastAsia="Times New Roman"/>
          <w:lang w:val="it-IT"/>
        </w:rPr>
        <w:t>3</w:t>
      </w:r>
      <w:r w:rsidR="005F0C19" w:rsidRPr="00C35766">
        <w:rPr>
          <w:rFonts w:eastAsia="Times New Roman"/>
          <w:lang w:val="it-IT"/>
        </w:rPr>
        <w:t xml:space="preserve"> anni</w:t>
      </w:r>
    </w:p>
    <w:p w14:paraId="5F770194" w14:textId="77777777" w:rsidR="00953B2E" w:rsidRPr="00C35766" w:rsidRDefault="00953B2E">
      <w:pPr>
        <w:spacing w:line="240" w:lineRule="exact"/>
        <w:rPr>
          <w:rFonts w:ascii="Times New Roman" w:hAnsi="Times New Roman" w:cs="Times New Roman"/>
          <w:sz w:val="24"/>
          <w:szCs w:val="24"/>
        </w:rPr>
      </w:pPr>
    </w:p>
    <w:p w14:paraId="73847696"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la conservazione</w:t>
      </w:r>
    </w:p>
    <w:p w14:paraId="3BC640F1" w14:textId="77777777" w:rsidR="00953B2E" w:rsidRPr="00C35766" w:rsidRDefault="00953B2E">
      <w:pPr>
        <w:spacing w:line="260" w:lineRule="exact"/>
        <w:rPr>
          <w:rFonts w:ascii="Times New Roman" w:hAnsi="Times New Roman" w:cs="Times New Roman"/>
          <w:sz w:val="26"/>
          <w:szCs w:val="26"/>
        </w:rPr>
      </w:pPr>
    </w:p>
    <w:p w14:paraId="3FB63F7B" w14:textId="77777777" w:rsidR="00953B2E" w:rsidRPr="00C35766" w:rsidRDefault="005F0C19">
      <w:pPr>
        <w:pStyle w:val="a3"/>
        <w:rPr>
          <w:lang w:val="es-ES"/>
        </w:rPr>
      </w:pPr>
      <w:r w:rsidRPr="00C35766">
        <w:rPr>
          <w:rFonts w:eastAsia="Times New Roman"/>
          <w:lang w:val="it-IT"/>
        </w:rPr>
        <w:t>Conservare in frigorifero (2</w:t>
      </w:r>
      <w:r w:rsidRPr="00C35766">
        <w:rPr>
          <w:rFonts w:eastAsia="Symbol"/>
          <w:lang w:val="it-IT"/>
        </w:rPr>
        <w:sym w:font="Symbol" w:char="F0B0"/>
      </w:r>
      <w:r w:rsidRPr="00C35766">
        <w:rPr>
          <w:rFonts w:eastAsia="Times New Roman"/>
          <w:lang w:val="it-IT"/>
        </w:rPr>
        <w:t>C – 8</w:t>
      </w:r>
      <w:r w:rsidRPr="00C35766">
        <w:rPr>
          <w:rFonts w:eastAsia="Symbol"/>
          <w:lang w:val="it-IT"/>
        </w:rPr>
        <w:sym w:font="Symbol" w:char="F0B0"/>
      </w:r>
      <w:r w:rsidRPr="00C35766">
        <w:rPr>
          <w:rFonts w:eastAsia="Times New Roman"/>
          <w:lang w:val="it-IT"/>
        </w:rPr>
        <w:t xml:space="preserve">C). Non congelare. </w:t>
      </w:r>
    </w:p>
    <w:p w14:paraId="4DAE3B08" w14:textId="53201636" w:rsidR="00953B2E" w:rsidRPr="00C35766" w:rsidRDefault="00A0684E">
      <w:pPr>
        <w:pStyle w:val="a3"/>
        <w:rPr>
          <w:lang w:val="es-ES"/>
        </w:rPr>
      </w:pPr>
      <w:r>
        <w:rPr>
          <w:rFonts w:eastAsia="Times New Roman"/>
          <w:lang w:val="it-IT"/>
        </w:rPr>
        <w:t>Tenere</w:t>
      </w:r>
      <w:r w:rsidR="005F0C19" w:rsidRPr="00C35766">
        <w:rPr>
          <w:rFonts w:eastAsia="Times New Roman"/>
          <w:lang w:val="it-IT"/>
        </w:rPr>
        <w:t xml:space="preserve"> la siringa </w:t>
      </w:r>
      <w:r w:rsidR="0092097A" w:rsidRPr="00C35766">
        <w:rPr>
          <w:rFonts w:eastAsia="Times New Roman"/>
          <w:lang w:val="it-IT"/>
        </w:rPr>
        <w:t>pre-riempita</w:t>
      </w:r>
      <w:r w:rsidR="005F0C19" w:rsidRPr="00C35766">
        <w:rPr>
          <w:rFonts w:eastAsia="Times New Roman"/>
          <w:lang w:val="it-IT"/>
        </w:rPr>
        <w:t xml:space="preserve"> o la penna </w:t>
      </w:r>
      <w:r w:rsidR="0092097A" w:rsidRPr="00C35766">
        <w:rPr>
          <w:rFonts w:eastAsia="Times New Roman"/>
          <w:lang w:val="it-IT"/>
        </w:rPr>
        <w:t>pre-riempita</w:t>
      </w:r>
      <w:r w:rsidR="005F0C19" w:rsidRPr="00C35766">
        <w:rPr>
          <w:rFonts w:eastAsia="Times New Roman"/>
          <w:lang w:val="it-IT"/>
        </w:rPr>
        <w:t xml:space="preserve"> nell’imballaggio esterno per </w:t>
      </w:r>
      <w:r w:rsidR="00943215" w:rsidRPr="00C35766">
        <w:rPr>
          <w:rFonts w:eastAsia="Times New Roman"/>
          <w:lang w:val="it-IT"/>
        </w:rPr>
        <w:t>protegger</w:t>
      </w:r>
      <w:r w:rsidR="00943215">
        <w:rPr>
          <w:rFonts w:eastAsia="Times New Roman"/>
          <w:lang w:val="it-IT"/>
        </w:rPr>
        <w:t>e il medicinale</w:t>
      </w:r>
      <w:r w:rsidR="005F0C19" w:rsidRPr="00C35766">
        <w:rPr>
          <w:rFonts w:eastAsia="Times New Roman"/>
          <w:lang w:val="it-IT"/>
        </w:rPr>
        <w:t xml:space="preserve"> dalla luce.</w:t>
      </w:r>
    </w:p>
    <w:p w14:paraId="301B8A95" w14:textId="77777777" w:rsidR="00953B2E" w:rsidRPr="00C35766" w:rsidRDefault="00953B2E">
      <w:pPr>
        <w:spacing w:line="240" w:lineRule="exact"/>
        <w:rPr>
          <w:rFonts w:ascii="Times New Roman" w:hAnsi="Times New Roman" w:cs="Times New Roman"/>
          <w:sz w:val="24"/>
          <w:szCs w:val="24"/>
          <w:lang w:val="es-ES"/>
        </w:rPr>
      </w:pPr>
    </w:p>
    <w:p w14:paraId="2BA04674" w14:textId="2D50B98B" w:rsidR="00953B2E" w:rsidRPr="00C35766" w:rsidRDefault="005F0C19">
      <w:pPr>
        <w:pStyle w:val="a3"/>
        <w:rPr>
          <w:lang w:val="it-IT"/>
        </w:rPr>
      </w:pPr>
      <w:r w:rsidRPr="00C35766">
        <w:rPr>
          <w:rFonts w:eastAsia="Times New Roman"/>
          <w:lang w:val="it-IT"/>
        </w:rPr>
        <w:t xml:space="preserve">Una singola siringa </w:t>
      </w:r>
      <w:r w:rsidR="0092097A" w:rsidRPr="00C35766">
        <w:rPr>
          <w:rFonts w:eastAsia="Times New Roman"/>
          <w:lang w:val="it-IT"/>
        </w:rPr>
        <w:t>pre-riempita</w:t>
      </w:r>
      <w:r w:rsidRPr="00C35766">
        <w:rPr>
          <w:rFonts w:eastAsia="Times New Roman"/>
          <w:lang w:val="it-IT"/>
        </w:rPr>
        <w:t xml:space="preserve"> o penna </w:t>
      </w:r>
      <w:r w:rsidR="0092097A" w:rsidRPr="00C35766">
        <w:rPr>
          <w:rFonts w:eastAsia="Times New Roman"/>
          <w:lang w:val="it-IT"/>
        </w:rPr>
        <w:t>pre-riempita</w:t>
      </w:r>
      <w:r w:rsidRPr="00C35766">
        <w:rPr>
          <w:rFonts w:eastAsia="Times New Roman"/>
          <w:lang w:val="it-IT"/>
        </w:rPr>
        <w:t xml:space="preserve"> di Yuflyma può essere conservata a temperature fino </w:t>
      </w:r>
      <w:r w:rsidRPr="00C35766">
        <w:rPr>
          <w:rFonts w:eastAsia="Times New Roman"/>
          <w:lang w:val="it-IT"/>
        </w:rPr>
        <w:lastRenderedPageBreak/>
        <w:t>a un massimo di 25°C per un periodo di non oltre 3</w:t>
      </w:r>
      <w:r w:rsidR="00A62C62">
        <w:rPr>
          <w:rFonts w:eastAsia="Times New Roman"/>
          <w:lang w:val="it-IT"/>
        </w:rPr>
        <w:t>1</w:t>
      </w:r>
      <w:r w:rsidRPr="00C35766">
        <w:rPr>
          <w:rFonts w:eastAsia="Times New Roman"/>
          <w:lang w:val="it-IT"/>
        </w:rPr>
        <w:t xml:space="preserve"> giorni. La siringa o penna </w:t>
      </w:r>
      <w:r w:rsidR="0092097A" w:rsidRPr="00C35766">
        <w:rPr>
          <w:rFonts w:eastAsia="Times New Roman"/>
          <w:lang w:val="it-IT"/>
        </w:rPr>
        <w:t>pre-riempita</w:t>
      </w:r>
      <w:r w:rsidRPr="00C35766">
        <w:rPr>
          <w:rFonts w:eastAsia="Times New Roman"/>
          <w:lang w:val="it-IT"/>
        </w:rPr>
        <w:t xml:space="preserve"> deve essere protetta dalla luce e gettata se non usata durante il periodo dei 3</w:t>
      </w:r>
      <w:r w:rsidR="00A62C62">
        <w:rPr>
          <w:rFonts w:eastAsia="Times New Roman"/>
          <w:lang w:val="it-IT"/>
        </w:rPr>
        <w:t>1</w:t>
      </w:r>
      <w:r w:rsidRPr="00C35766">
        <w:rPr>
          <w:rFonts w:eastAsia="Times New Roman"/>
          <w:lang w:val="it-IT"/>
        </w:rPr>
        <w:t xml:space="preserve"> giorni.</w:t>
      </w:r>
    </w:p>
    <w:p w14:paraId="3EBB9F31" w14:textId="77777777" w:rsidR="00953B2E" w:rsidRPr="00C35766" w:rsidRDefault="00953B2E">
      <w:pPr>
        <w:spacing w:line="240" w:lineRule="exact"/>
        <w:rPr>
          <w:rFonts w:ascii="Times New Roman" w:hAnsi="Times New Roman" w:cs="Times New Roman"/>
          <w:sz w:val="24"/>
          <w:szCs w:val="24"/>
          <w:lang w:val="it-IT"/>
        </w:rPr>
      </w:pPr>
    </w:p>
    <w:p w14:paraId="3ED6E67B"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Natura e contenuto del contenitore</w:t>
      </w:r>
    </w:p>
    <w:p w14:paraId="5554C1B1" w14:textId="77777777" w:rsidR="00953B2E" w:rsidRPr="00C35766" w:rsidRDefault="00953B2E">
      <w:pPr>
        <w:pStyle w:val="a4"/>
        <w:spacing w:line="240" w:lineRule="exact"/>
        <w:rPr>
          <w:rFonts w:ascii="Times New Roman" w:hAnsi="Times New Roman" w:cs="Times New Roman"/>
          <w:sz w:val="24"/>
          <w:szCs w:val="24"/>
        </w:rPr>
      </w:pPr>
    </w:p>
    <w:p w14:paraId="2F97884E" w14:textId="769E3989" w:rsidR="00953B2E" w:rsidRPr="00C35766" w:rsidRDefault="005F0C19">
      <w:pPr>
        <w:pStyle w:val="a3"/>
        <w:rPr>
          <w:u w:val="single"/>
          <w:lang w:val="it-IT"/>
        </w:rPr>
      </w:pPr>
      <w:r w:rsidRPr="00C35766">
        <w:rPr>
          <w:rFonts w:eastAsia="Times New Roman"/>
          <w:u w:val="single"/>
          <w:lang w:val="it-IT"/>
        </w:rPr>
        <w:t xml:space="preserve">Yuflyma 40 </w:t>
      </w:r>
      <w:r w:rsidR="00943215">
        <w:rPr>
          <w:rFonts w:eastAsia="Times New Roman"/>
          <w:u w:val="single"/>
          <w:lang w:val="it-IT"/>
        </w:rPr>
        <w:t xml:space="preserve">mg </w:t>
      </w:r>
      <w:r w:rsidRPr="00C35766">
        <w:rPr>
          <w:rFonts w:eastAsia="Times New Roman"/>
          <w:u w:val="single"/>
          <w:lang w:val="it-IT"/>
        </w:rPr>
        <w:t xml:space="preserve">soluzione iniettabile in siringa </w:t>
      </w:r>
      <w:r w:rsidR="0092097A" w:rsidRPr="00C35766">
        <w:rPr>
          <w:rFonts w:eastAsia="Times New Roman"/>
          <w:u w:val="single"/>
          <w:lang w:val="it-IT"/>
        </w:rPr>
        <w:t>pre-riempita</w:t>
      </w:r>
    </w:p>
    <w:p w14:paraId="6354EC7B" w14:textId="77777777" w:rsidR="00953B2E" w:rsidRPr="00C35766" w:rsidRDefault="00953B2E">
      <w:pPr>
        <w:pStyle w:val="a3"/>
        <w:rPr>
          <w:u w:val="single"/>
          <w:lang w:val="it-IT"/>
        </w:rPr>
      </w:pPr>
    </w:p>
    <w:p w14:paraId="4C0103D9" w14:textId="4794330D" w:rsidR="00953B2E" w:rsidRPr="00C35766" w:rsidRDefault="005F0C19">
      <w:pPr>
        <w:pStyle w:val="a3"/>
        <w:rPr>
          <w:lang w:val="es-ES"/>
        </w:rPr>
      </w:pPr>
      <w:r w:rsidRPr="00C35766">
        <w:rPr>
          <w:rFonts w:eastAsia="Times New Roman"/>
          <w:lang w:val="it-IT"/>
        </w:rPr>
        <w:t xml:space="preserve">Soluzione iniettabile in una siringa </w:t>
      </w:r>
      <w:r w:rsidR="0092097A" w:rsidRPr="00C35766">
        <w:rPr>
          <w:rFonts w:eastAsia="Times New Roman"/>
          <w:lang w:val="it-IT"/>
        </w:rPr>
        <w:t>pre-riempita</w:t>
      </w:r>
      <w:r w:rsidRPr="00C35766">
        <w:rPr>
          <w:rFonts w:eastAsia="Times New Roman"/>
          <w:lang w:val="it-IT"/>
        </w:rPr>
        <w:t xml:space="preserve"> (vetro tipo I) con un tappo a stantuffo (gomma bromobutilica) e un ago con cappuccio (elastomero termoplastico).</w:t>
      </w:r>
    </w:p>
    <w:p w14:paraId="5DFD7B84" w14:textId="77777777" w:rsidR="00953B2E" w:rsidRPr="00C35766" w:rsidRDefault="00953B2E">
      <w:pPr>
        <w:spacing w:line="240" w:lineRule="exact"/>
        <w:rPr>
          <w:rFonts w:ascii="Times New Roman" w:hAnsi="Times New Roman" w:cs="Times New Roman"/>
          <w:sz w:val="24"/>
          <w:szCs w:val="24"/>
          <w:lang w:val="es-ES"/>
        </w:rPr>
      </w:pPr>
    </w:p>
    <w:p w14:paraId="60784F11" w14:textId="77777777" w:rsidR="00953B2E" w:rsidRPr="00C35766" w:rsidRDefault="005F0C19">
      <w:pPr>
        <w:pStyle w:val="a3"/>
      </w:pPr>
      <w:r w:rsidRPr="00C35766">
        <w:rPr>
          <w:rFonts w:eastAsia="Times New Roman"/>
          <w:lang w:val="it-IT"/>
        </w:rPr>
        <w:t>Confezioni:</w:t>
      </w:r>
    </w:p>
    <w:p w14:paraId="027E3066" w14:textId="4D65BA9F"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1 siringa </w:t>
      </w:r>
      <w:r w:rsidR="0092097A" w:rsidRPr="00C35766">
        <w:rPr>
          <w:rFonts w:eastAsia="Times New Roman"/>
          <w:lang w:val="it-IT"/>
        </w:rPr>
        <w:t>pre-riempita</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con 2 tamponi imbevuti di alcol.</w:t>
      </w:r>
    </w:p>
    <w:p w14:paraId="3E1357C7" w14:textId="0CCEDA35"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2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071B32E8" w14:textId="70CB2E07"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4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397CAEF2" w14:textId="6835635F"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6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7F504A62" w14:textId="77777777" w:rsidR="00953B2E" w:rsidRPr="00C35766" w:rsidRDefault="00953B2E">
      <w:pPr>
        <w:spacing w:before="13" w:line="240" w:lineRule="exact"/>
        <w:rPr>
          <w:rFonts w:ascii="Times New Roman" w:hAnsi="Times New Roman" w:cs="Times New Roman"/>
          <w:sz w:val="24"/>
          <w:szCs w:val="24"/>
          <w:lang w:val="es-ES"/>
        </w:rPr>
      </w:pPr>
    </w:p>
    <w:p w14:paraId="464294F3" w14:textId="63322926" w:rsidR="00953B2E" w:rsidRPr="00C35766" w:rsidRDefault="005F0C19">
      <w:pPr>
        <w:pStyle w:val="a3"/>
        <w:rPr>
          <w:u w:val="single"/>
          <w:lang w:val="es-ES"/>
        </w:rPr>
      </w:pPr>
      <w:r w:rsidRPr="00C35766">
        <w:rPr>
          <w:rFonts w:eastAsia="Times New Roman"/>
          <w:u w:val="single"/>
          <w:lang w:val="it-IT"/>
        </w:rPr>
        <w:t xml:space="preserve">Yuflyma 40 mg soluzione iniettabile in siringa </w:t>
      </w:r>
      <w:r w:rsidR="0092097A" w:rsidRPr="00C35766">
        <w:rPr>
          <w:rFonts w:eastAsia="Times New Roman"/>
          <w:u w:val="single"/>
          <w:lang w:val="it-IT"/>
        </w:rPr>
        <w:t>pre-riempita</w:t>
      </w:r>
      <w:r w:rsidRPr="00C35766">
        <w:rPr>
          <w:rFonts w:eastAsia="Times New Roman"/>
          <w:u w:val="single"/>
          <w:lang w:val="it-IT"/>
        </w:rPr>
        <w:t xml:space="preserve"> con dispositivo di sicurezza per l’ago</w:t>
      </w:r>
    </w:p>
    <w:p w14:paraId="03591828" w14:textId="77777777" w:rsidR="00953B2E" w:rsidRPr="00C35766" w:rsidRDefault="00953B2E">
      <w:pPr>
        <w:pStyle w:val="a3"/>
        <w:rPr>
          <w:u w:val="single"/>
          <w:lang w:val="es-ES"/>
        </w:rPr>
      </w:pPr>
    </w:p>
    <w:p w14:paraId="0C005CE6" w14:textId="77777777" w:rsidR="00953B2E" w:rsidRPr="00C35766" w:rsidRDefault="005F0C19">
      <w:pPr>
        <w:pStyle w:val="a3"/>
        <w:rPr>
          <w:lang w:val="es-ES"/>
        </w:rPr>
      </w:pPr>
      <w:r w:rsidRPr="00C35766">
        <w:rPr>
          <w:rFonts w:eastAsia="Times New Roman"/>
          <w:lang w:val="it-IT"/>
        </w:rPr>
        <w:t>La siringa è di vetro tipo I con un tappo a stantuffo (gomma bromobutilica) e un ago con cappuccio (elastomero termoplastico).</w:t>
      </w:r>
    </w:p>
    <w:p w14:paraId="04F89709" w14:textId="77777777" w:rsidR="00953B2E" w:rsidRPr="00C35766" w:rsidRDefault="00953B2E">
      <w:pPr>
        <w:spacing w:line="240" w:lineRule="exact"/>
        <w:rPr>
          <w:rFonts w:ascii="Times New Roman" w:hAnsi="Times New Roman" w:cs="Times New Roman"/>
          <w:sz w:val="24"/>
          <w:szCs w:val="24"/>
          <w:lang w:val="es-ES"/>
        </w:rPr>
      </w:pPr>
    </w:p>
    <w:p w14:paraId="4FC6DF94" w14:textId="77777777" w:rsidR="00953B2E" w:rsidRPr="00C35766" w:rsidRDefault="005F0C19">
      <w:pPr>
        <w:pStyle w:val="a3"/>
      </w:pPr>
      <w:r w:rsidRPr="00C35766">
        <w:rPr>
          <w:rFonts w:eastAsia="Times New Roman"/>
          <w:lang w:val="it-IT"/>
        </w:rPr>
        <w:t>Confezioni:</w:t>
      </w:r>
    </w:p>
    <w:p w14:paraId="1B7C0A28" w14:textId="342DEFFA" w:rsidR="00953B2E" w:rsidRPr="00C35766" w:rsidRDefault="005F0C19" w:rsidP="00787805">
      <w:pPr>
        <w:pStyle w:val="a3"/>
        <w:numPr>
          <w:ilvl w:val="0"/>
          <w:numId w:val="15"/>
        </w:numPr>
        <w:ind w:left="660" w:hanging="660"/>
        <w:rPr>
          <w:lang w:val="it-IT"/>
        </w:rPr>
      </w:pPr>
      <w:r w:rsidRPr="00C35766">
        <w:rPr>
          <w:rFonts w:eastAsia="Times New Roman"/>
          <w:lang w:val="it-IT"/>
        </w:rPr>
        <w:t xml:space="preserve">1 siringa </w:t>
      </w:r>
      <w:r w:rsidR="0092097A" w:rsidRPr="00C35766">
        <w:rPr>
          <w:rFonts w:eastAsia="Times New Roman"/>
          <w:lang w:val="it-IT"/>
        </w:rPr>
        <w:t>pre-riempita</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con dispositivo di sicurezza per l’ago e 2 tamponi imbevuti di alcol.</w:t>
      </w:r>
    </w:p>
    <w:p w14:paraId="009E6EC3" w14:textId="22E88913"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2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dispositivo di sicurezza per l’ago e 1 tampone imbevuto di alcol.</w:t>
      </w:r>
    </w:p>
    <w:p w14:paraId="590BD43A" w14:textId="4DE1A642"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4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dispositivo di sicurezza per l’ago e 1 tampone imbevuto di alcol.</w:t>
      </w:r>
    </w:p>
    <w:p w14:paraId="35D9A76A" w14:textId="6D639DFF" w:rsidR="00953B2E" w:rsidRPr="00C35766" w:rsidRDefault="005F0C19" w:rsidP="00787805">
      <w:pPr>
        <w:pStyle w:val="a3"/>
        <w:numPr>
          <w:ilvl w:val="0"/>
          <w:numId w:val="15"/>
        </w:numPr>
        <w:ind w:left="660" w:hanging="660"/>
        <w:rPr>
          <w:lang w:val="es-ES"/>
        </w:rPr>
      </w:pPr>
      <w:r w:rsidRPr="00C35766">
        <w:rPr>
          <w:rFonts w:eastAsia="Times New Roman"/>
          <w:lang w:val="it-IT"/>
        </w:rPr>
        <w:t xml:space="preserve">6 siringhe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dispositivo di sicurezza per l’ago e 1 tampone imbevuto di alcol.</w:t>
      </w:r>
    </w:p>
    <w:p w14:paraId="79F8537D" w14:textId="77777777" w:rsidR="00953B2E" w:rsidRPr="00C35766" w:rsidRDefault="00953B2E">
      <w:pPr>
        <w:spacing w:line="252" w:lineRule="exact"/>
        <w:rPr>
          <w:rFonts w:ascii="Times New Roman" w:hAnsi="Times New Roman" w:cs="Times New Roman"/>
          <w:lang w:val="es-ES"/>
        </w:rPr>
      </w:pPr>
    </w:p>
    <w:p w14:paraId="46A7D546" w14:textId="21B13008" w:rsidR="00953B2E" w:rsidRPr="00C35766" w:rsidRDefault="005F0C19">
      <w:pPr>
        <w:pStyle w:val="a3"/>
        <w:rPr>
          <w:u w:val="single"/>
          <w:lang w:val="es-ES"/>
        </w:rPr>
      </w:pPr>
      <w:r w:rsidRPr="00C35766">
        <w:rPr>
          <w:rFonts w:eastAsia="Times New Roman"/>
          <w:u w:val="single"/>
          <w:lang w:val="it-IT"/>
        </w:rPr>
        <w:t xml:space="preserve">Yuflyma 40 mg soluzione iniettabile in penna </w:t>
      </w:r>
      <w:r w:rsidR="0092097A" w:rsidRPr="00C35766">
        <w:rPr>
          <w:rFonts w:eastAsia="Times New Roman"/>
          <w:u w:val="single"/>
          <w:lang w:val="it-IT"/>
        </w:rPr>
        <w:t>pre-riempita</w:t>
      </w:r>
    </w:p>
    <w:p w14:paraId="2FADC9CE" w14:textId="77777777" w:rsidR="00953B2E" w:rsidRPr="00C35766" w:rsidRDefault="00953B2E">
      <w:pPr>
        <w:pStyle w:val="a3"/>
        <w:rPr>
          <w:u w:val="single"/>
          <w:lang w:val="es-ES"/>
        </w:rPr>
      </w:pPr>
    </w:p>
    <w:p w14:paraId="3923A27A" w14:textId="168120C1" w:rsidR="00953B2E" w:rsidRPr="00C35766" w:rsidRDefault="005F0C19">
      <w:pPr>
        <w:pStyle w:val="a3"/>
        <w:rPr>
          <w:lang w:val="es-ES"/>
        </w:rPr>
      </w:pPr>
      <w:r w:rsidRPr="00C35766">
        <w:rPr>
          <w:rFonts w:eastAsia="Times New Roman"/>
          <w:lang w:val="it-IT"/>
        </w:rPr>
        <w:t xml:space="preserve">Soluzione iniettabile in una penna </w:t>
      </w:r>
      <w:r w:rsidR="0092097A" w:rsidRPr="00C35766">
        <w:rPr>
          <w:rFonts w:eastAsia="Times New Roman"/>
          <w:lang w:val="it-IT"/>
        </w:rPr>
        <w:t>pre-riempita</w:t>
      </w:r>
      <w:r w:rsidRPr="00C35766">
        <w:rPr>
          <w:rFonts w:eastAsia="Times New Roman"/>
          <w:lang w:val="it-IT"/>
        </w:rPr>
        <w:t xml:space="preserve"> pronta per l’utilizzo da parte del paziente, contenente una siringa </w:t>
      </w:r>
      <w:r w:rsidR="0092097A" w:rsidRPr="00C35766">
        <w:rPr>
          <w:rFonts w:eastAsia="Times New Roman"/>
          <w:lang w:val="it-IT"/>
        </w:rPr>
        <w:t>pre-riempita</w:t>
      </w:r>
      <w:r w:rsidRPr="00C35766">
        <w:rPr>
          <w:rFonts w:eastAsia="Times New Roman"/>
          <w:lang w:val="it-IT"/>
        </w:rPr>
        <w:t>. La siringa all’interno della penna è di vetro tipo I con un tappo a stantuffo (gomma bromobutilica) e un ago con cappuccio (elastomero termoplastico).</w:t>
      </w:r>
    </w:p>
    <w:p w14:paraId="271CF677" w14:textId="77777777" w:rsidR="00953B2E" w:rsidRPr="00C35766" w:rsidRDefault="00953B2E">
      <w:pPr>
        <w:spacing w:line="240" w:lineRule="exact"/>
        <w:rPr>
          <w:rFonts w:ascii="Times New Roman" w:hAnsi="Times New Roman" w:cs="Times New Roman"/>
          <w:sz w:val="24"/>
          <w:szCs w:val="24"/>
          <w:lang w:val="es-ES"/>
        </w:rPr>
      </w:pPr>
    </w:p>
    <w:p w14:paraId="1D280C66" w14:textId="77777777" w:rsidR="00953B2E" w:rsidRPr="00C35766" w:rsidRDefault="005F0C19">
      <w:pPr>
        <w:pStyle w:val="a3"/>
      </w:pPr>
      <w:r w:rsidRPr="00C35766">
        <w:rPr>
          <w:rFonts w:eastAsia="Times New Roman"/>
          <w:lang w:val="it-IT"/>
        </w:rPr>
        <w:t>Confezioni:</w:t>
      </w:r>
    </w:p>
    <w:p w14:paraId="24705E60" w14:textId="0A876B5F" w:rsidR="00953B2E" w:rsidRPr="00C35766" w:rsidRDefault="005F0C19" w:rsidP="00787805">
      <w:pPr>
        <w:pStyle w:val="a3"/>
        <w:numPr>
          <w:ilvl w:val="1"/>
          <w:numId w:val="15"/>
        </w:numPr>
        <w:ind w:left="660" w:hanging="660"/>
        <w:rPr>
          <w:lang w:val="es-ES"/>
        </w:rPr>
      </w:pPr>
      <w:r w:rsidRPr="00C35766">
        <w:rPr>
          <w:rFonts w:eastAsia="Times New Roman"/>
          <w:lang w:val="it-IT"/>
        </w:rPr>
        <w:t xml:space="preserve">1 penna </w:t>
      </w:r>
      <w:r w:rsidR="0092097A" w:rsidRPr="00C35766">
        <w:rPr>
          <w:rFonts w:eastAsia="Times New Roman"/>
          <w:lang w:val="it-IT"/>
        </w:rPr>
        <w:t>pre-riempita</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con 2 tamponi imbevuti di alcol.</w:t>
      </w:r>
    </w:p>
    <w:p w14:paraId="05E160FF" w14:textId="069993A8" w:rsidR="00953B2E" w:rsidRPr="00C35766" w:rsidRDefault="005F0C19" w:rsidP="00787805">
      <w:pPr>
        <w:pStyle w:val="a3"/>
        <w:numPr>
          <w:ilvl w:val="1"/>
          <w:numId w:val="15"/>
        </w:numPr>
        <w:ind w:left="660" w:hanging="660"/>
        <w:rPr>
          <w:lang w:val="es-ES"/>
        </w:rPr>
      </w:pPr>
      <w:r w:rsidRPr="00C35766">
        <w:rPr>
          <w:rFonts w:eastAsia="Times New Roman"/>
          <w:lang w:val="it-IT"/>
        </w:rPr>
        <w:t xml:space="preserve">2 penne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3252BB21" w14:textId="528EEB4C" w:rsidR="00953B2E" w:rsidRPr="00C35766" w:rsidRDefault="005F0C19" w:rsidP="00787805">
      <w:pPr>
        <w:pStyle w:val="a3"/>
        <w:numPr>
          <w:ilvl w:val="1"/>
          <w:numId w:val="15"/>
        </w:numPr>
        <w:ind w:left="660" w:hanging="660"/>
        <w:rPr>
          <w:lang w:val="es-ES"/>
        </w:rPr>
      </w:pPr>
      <w:r w:rsidRPr="00C35766">
        <w:rPr>
          <w:rFonts w:eastAsia="Times New Roman"/>
          <w:lang w:val="it-IT"/>
        </w:rPr>
        <w:t xml:space="preserve">4 penne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2AE1A613" w14:textId="374532BA" w:rsidR="00953B2E" w:rsidRPr="00C35766" w:rsidRDefault="005F0C19" w:rsidP="00787805">
      <w:pPr>
        <w:pStyle w:val="a3"/>
        <w:numPr>
          <w:ilvl w:val="1"/>
          <w:numId w:val="15"/>
        </w:numPr>
        <w:ind w:left="660" w:hanging="660"/>
        <w:rPr>
          <w:lang w:val="es-ES"/>
        </w:rPr>
      </w:pPr>
      <w:r w:rsidRPr="00C35766">
        <w:rPr>
          <w:rFonts w:eastAsia="Times New Roman"/>
          <w:lang w:val="it-IT"/>
        </w:rPr>
        <w:t xml:space="preserve">6 penne </w:t>
      </w:r>
      <w:r w:rsidR="00B82D29" w:rsidRPr="00C35766">
        <w:rPr>
          <w:rFonts w:eastAsia="Times New Roman"/>
          <w:lang w:val="it-IT"/>
        </w:rPr>
        <w:t>pre-riempite</w:t>
      </w:r>
      <w:r w:rsidRPr="00C35766">
        <w:rPr>
          <w:rFonts w:eastAsia="Times New Roman"/>
          <w:lang w:val="it-IT"/>
        </w:rPr>
        <w:t xml:space="preserve"> (0,4 </w:t>
      </w:r>
      <w:r w:rsidR="00331973" w:rsidRPr="00C35766">
        <w:rPr>
          <w:rFonts w:eastAsia="Times New Roman"/>
          <w:lang w:val="it-IT"/>
        </w:rPr>
        <w:t>mL</w:t>
      </w:r>
      <w:r w:rsidRPr="00C35766">
        <w:rPr>
          <w:rFonts w:eastAsia="Times New Roman"/>
          <w:lang w:val="it-IT"/>
        </w:rPr>
        <w:t xml:space="preserve"> di soluzione sterile), ciascuna con 1 tampone imbevuto di alcol.</w:t>
      </w:r>
    </w:p>
    <w:p w14:paraId="2DACEC83" w14:textId="77777777" w:rsidR="00953B2E" w:rsidRPr="00C35766" w:rsidRDefault="00953B2E">
      <w:pPr>
        <w:spacing w:before="10" w:line="240" w:lineRule="exact"/>
        <w:rPr>
          <w:rFonts w:ascii="Times New Roman" w:hAnsi="Times New Roman" w:cs="Times New Roman"/>
          <w:sz w:val="24"/>
          <w:szCs w:val="24"/>
          <w:lang w:val="es-ES"/>
        </w:rPr>
      </w:pPr>
    </w:p>
    <w:p w14:paraId="5DFA2D9D" w14:textId="77777777" w:rsidR="00953B2E" w:rsidRPr="00C35766" w:rsidRDefault="005F0C19">
      <w:pPr>
        <w:pStyle w:val="a3"/>
        <w:rPr>
          <w:lang w:val="fr-FR"/>
        </w:rPr>
      </w:pPr>
      <w:r w:rsidRPr="00C35766">
        <w:rPr>
          <w:rFonts w:eastAsia="Times New Roman"/>
          <w:lang w:val="it-IT"/>
        </w:rPr>
        <w:t>È possibile che non tutte le confezioni siano commercializzate.</w:t>
      </w:r>
    </w:p>
    <w:p w14:paraId="61B4B993" w14:textId="77777777" w:rsidR="00953B2E" w:rsidRPr="00C35766" w:rsidRDefault="00953B2E">
      <w:pPr>
        <w:widowControl/>
        <w:tabs>
          <w:tab w:val="left" w:pos="567"/>
        </w:tabs>
        <w:spacing w:line="260" w:lineRule="exact"/>
        <w:rPr>
          <w:rFonts w:ascii="Times New Roman" w:eastAsia="Times New Roman" w:hAnsi="Times New Roman" w:cs="Times New Roman"/>
          <w:b/>
          <w:noProof/>
          <w:lang w:val="fr-FR"/>
        </w:rPr>
      </w:pPr>
    </w:p>
    <w:p w14:paraId="6D401890" w14:textId="77777777" w:rsidR="00953B2E" w:rsidRPr="00C35766" w:rsidRDefault="005F0C19" w:rsidP="00787805">
      <w:pPr>
        <w:widowControl/>
        <w:numPr>
          <w:ilvl w:val="1"/>
          <w:numId w:val="30"/>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lo smaltimento</w:t>
      </w:r>
    </w:p>
    <w:p w14:paraId="4EFB3630" w14:textId="77777777" w:rsidR="00953B2E" w:rsidRPr="00C35766" w:rsidRDefault="00953B2E">
      <w:pPr>
        <w:spacing w:before="12" w:line="240" w:lineRule="exact"/>
        <w:rPr>
          <w:rFonts w:ascii="Times New Roman" w:hAnsi="Times New Roman" w:cs="Times New Roman"/>
          <w:sz w:val="24"/>
          <w:szCs w:val="24"/>
        </w:rPr>
      </w:pPr>
    </w:p>
    <w:p w14:paraId="165A9C3E" w14:textId="77777777" w:rsidR="00953B2E" w:rsidRPr="00C35766" w:rsidRDefault="005F0C19">
      <w:pPr>
        <w:pStyle w:val="a3"/>
        <w:rPr>
          <w:lang w:val="it-IT"/>
        </w:rPr>
      </w:pPr>
      <w:r w:rsidRPr="00C35766">
        <w:rPr>
          <w:rFonts w:eastAsia="Times New Roman"/>
          <w:lang w:val="it-IT"/>
        </w:rPr>
        <w:t xml:space="preserve">Il medicinale non utilizzato e i rifiuti derivati da tale medicinale devono essere smaltiti in conformità alla normativa locale vigente. </w:t>
      </w:r>
    </w:p>
    <w:p w14:paraId="2D28B0F8" w14:textId="77777777" w:rsidR="00953B2E" w:rsidRPr="00C35766" w:rsidRDefault="00953B2E">
      <w:pPr>
        <w:spacing w:line="200" w:lineRule="exact"/>
        <w:rPr>
          <w:rFonts w:ascii="Times New Roman" w:hAnsi="Times New Roman" w:cs="Times New Roman"/>
          <w:sz w:val="20"/>
          <w:lang w:val="it-IT"/>
        </w:rPr>
      </w:pPr>
    </w:p>
    <w:p w14:paraId="0D19E7A6" w14:textId="77777777" w:rsidR="00953B2E" w:rsidRPr="00C35766" w:rsidRDefault="00953B2E">
      <w:pPr>
        <w:widowControl/>
        <w:tabs>
          <w:tab w:val="left" w:pos="567"/>
        </w:tabs>
        <w:spacing w:line="260" w:lineRule="exact"/>
        <w:rPr>
          <w:rFonts w:ascii="Times New Roman" w:hAnsi="Times New Roman" w:cs="Times New Roman"/>
          <w:b/>
          <w:lang w:val="it-IT"/>
        </w:rPr>
      </w:pPr>
    </w:p>
    <w:p w14:paraId="35D87EB5" w14:textId="77777777" w:rsidR="00953B2E" w:rsidRPr="00C35766" w:rsidRDefault="005F0C19" w:rsidP="00787805">
      <w:pPr>
        <w:widowControl/>
        <w:numPr>
          <w:ilvl w:val="0"/>
          <w:numId w:val="25"/>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TITOLARE DELL’AUTORIZZAZIONE ALL’IMMISSIONE IN COMMERCIO</w:t>
      </w:r>
    </w:p>
    <w:p w14:paraId="4D81B075" w14:textId="77777777" w:rsidR="00953B2E" w:rsidRPr="00C35766" w:rsidRDefault="00953B2E">
      <w:pPr>
        <w:spacing w:before="12" w:line="240" w:lineRule="exact"/>
        <w:rPr>
          <w:rFonts w:ascii="Times New Roman" w:hAnsi="Times New Roman" w:cs="Times New Roman"/>
          <w:sz w:val="24"/>
          <w:szCs w:val="24"/>
        </w:rPr>
      </w:pPr>
    </w:p>
    <w:p w14:paraId="035B5605" w14:textId="77777777" w:rsidR="00A02C1D" w:rsidRPr="00C35766" w:rsidRDefault="00A02C1D" w:rsidP="00A02C1D">
      <w:pPr>
        <w:spacing w:before="12" w:line="240" w:lineRule="exact"/>
        <w:rPr>
          <w:rFonts w:ascii="Times New Roman" w:hAnsi="Times New Roman" w:cs="Times New Roman"/>
        </w:rPr>
      </w:pPr>
      <w:r w:rsidRPr="00C35766">
        <w:rPr>
          <w:rFonts w:ascii="Times New Roman" w:hAnsi="Times New Roman" w:cs="Times New Roman"/>
        </w:rPr>
        <w:lastRenderedPageBreak/>
        <w:t xml:space="preserve">Celltrion Healthcare Hungary Kft. </w:t>
      </w:r>
    </w:p>
    <w:p w14:paraId="61FFA54D" w14:textId="77777777" w:rsidR="00A02C1D" w:rsidRPr="00C35766" w:rsidRDefault="00A02C1D" w:rsidP="00A02C1D">
      <w:pPr>
        <w:spacing w:before="12" w:line="240" w:lineRule="exact"/>
        <w:rPr>
          <w:rFonts w:ascii="Times New Roman" w:hAnsi="Times New Roman" w:cs="Times New Roman"/>
        </w:rPr>
      </w:pPr>
      <w:r w:rsidRPr="00C35766">
        <w:rPr>
          <w:rFonts w:ascii="Times New Roman" w:hAnsi="Times New Roman" w:cs="Times New Roman"/>
        </w:rPr>
        <w:t>1062 Budapest</w:t>
      </w:r>
    </w:p>
    <w:p w14:paraId="34C29EE4" w14:textId="344A2458" w:rsidR="00953B2E" w:rsidRPr="00C35766" w:rsidRDefault="00A02C1D" w:rsidP="00C2234C">
      <w:pPr>
        <w:pStyle w:val="a3"/>
        <w:rPr>
          <w:vanish/>
        </w:rPr>
      </w:pPr>
      <w:r w:rsidRPr="00D95C47">
        <w:t>Váci út 1-3. WestEnd Office Building B torony</w:t>
      </w:r>
    </w:p>
    <w:p w14:paraId="29565A69" w14:textId="77777777" w:rsidR="00953B2E" w:rsidRPr="00C35766" w:rsidRDefault="005F0C19">
      <w:pPr>
        <w:pStyle w:val="a3"/>
      </w:pPr>
      <w:r w:rsidRPr="00C35766">
        <w:rPr>
          <w:rFonts w:eastAsia="Times New Roman"/>
          <w:lang w:val="it-IT"/>
        </w:rPr>
        <w:t>Ungheria</w:t>
      </w:r>
    </w:p>
    <w:p w14:paraId="70D72FDB" w14:textId="77777777" w:rsidR="00953B2E" w:rsidRPr="00C35766" w:rsidRDefault="00953B2E">
      <w:pPr>
        <w:spacing w:line="200" w:lineRule="exact"/>
        <w:rPr>
          <w:rFonts w:ascii="Times New Roman" w:hAnsi="Times New Roman" w:cs="Times New Roman"/>
          <w:sz w:val="20"/>
          <w:szCs w:val="20"/>
        </w:rPr>
      </w:pPr>
    </w:p>
    <w:p w14:paraId="0A53C9DE" w14:textId="77777777" w:rsidR="00953B2E" w:rsidRPr="00C35766" w:rsidRDefault="00953B2E">
      <w:pPr>
        <w:spacing w:line="200" w:lineRule="exact"/>
        <w:rPr>
          <w:rFonts w:ascii="Times New Roman" w:hAnsi="Times New Roman" w:cs="Times New Roman"/>
          <w:sz w:val="20"/>
          <w:szCs w:val="20"/>
        </w:rPr>
      </w:pPr>
    </w:p>
    <w:p w14:paraId="4B73ECF0" w14:textId="77777777" w:rsidR="00953B2E" w:rsidRPr="00C35766" w:rsidRDefault="005F0C19" w:rsidP="00787805">
      <w:pPr>
        <w:widowControl/>
        <w:numPr>
          <w:ilvl w:val="0"/>
          <w:numId w:val="25"/>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NUMERI DELL’AUTORIZZAZIONE ALL’IMMISSIONE IN COMMERCIO</w:t>
      </w:r>
    </w:p>
    <w:p w14:paraId="3955A23B" w14:textId="77777777" w:rsidR="00953B2E" w:rsidRPr="00C35766" w:rsidRDefault="00953B2E">
      <w:pPr>
        <w:spacing w:before="9" w:line="240" w:lineRule="exact"/>
        <w:rPr>
          <w:rFonts w:ascii="Times New Roman" w:hAnsi="Times New Roman" w:cs="Times New Roman"/>
          <w:sz w:val="24"/>
          <w:szCs w:val="24"/>
        </w:rPr>
      </w:pPr>
    </w:p>
    <w:p w14:paraId="253D929E" w14:textId="1A48A2B9" w:rsidR="00953B2E" w:rsidRPr="00C35766" w:rsidRDefault="005F0C19">
      <w:pPr>
        <w:pStyle w:val="a3"/>
        <w:rPr>
          <w:u w:val="single"/>
          <w:lang w:val="it-IT"/>
        </w:rPr>
      </w:pPr>
      <w:r w:rsidRPr="00C35766">
        <w:rPr>
          <w:rFonts w:eastAsia="Times New Roman"/>
          <w:u w:val="single" w:color="000000"/>
          <w:lang w:val="it-IT"/>
        </w:rPr>
        <w:t xml:space="preserve">Yuflyma 40 </w:t>
      </w:r>
      <w:r w:rsidR="00CA35C0">
        <w:rPr>
          <w:rFonts w:eastAsia="Times New Roman"/>
          <w:u w:val="single" w:color="000000"/>
          <w:lang w:val="it-IT"/>
        </w:rPr>
        <w:t xml:space="preserve">mg </w:t>
      </w:r>
      <w:r w:rsidRPr="00C35766">
        <w:rPr>
          <w:rFonts w:eastAsia="Times New Roman"/>
          <w:u w:val="single" w:color="000000"/>
          <w:lang w:val="it-IT"/>
        </w:rPr>
        <w:t xml:space="preserve">soluzione iniettabile in siringa </w:t>
      </w:r>
      <w:r w:rsidR="0092097A" w:rsidRPr="00C35766">
        <w:rPr>
          <w:rFonts w:eastAsia="Times New Roman"/>
          <w:u w:val="single" w:color="000000"/>
          <w:lang w:val="it-IT"/>
        </w:rPr>
        <w:t>pre-riempita</w:t>
      </w:r>
    </w:p>
    <w:p w14:paraId="462E816D" w14:textId="77777777" w:rsidR="00953B2E" w:rsidRPr="00C35766" w:rsidRDefault="00953B2E">
      <w:pPr>
        <w:pStyle w:val="a3"/>
        <w:rPr>
          <w:lang w:val="it-IT"/>
        </w:rPr>
      </w:pPr>
    </w:p>
    <w:p w14:paraId="01281E20" w14:textId="77777777" w:rsidR="00953B2E" w:rsidRPr="00C35766" w:rsidRDefault="005F0C19">
      <w:pPr>
        <w:pStyle w:val="a3"/>
        <w:rPr>
          <w:lang w:val="it-IT"/>
        </w:rPr>
      </w:pPr>
      <w:r w:rsidRPr="00C35766">
        <w:rPr>
          <w:rFonts w:eastAsia="Times New Roman"/>
          <w:lang w:val="it-IT"/>
        </w:rPr>
        <w:t>EU/</w:t>
      </w:r>
      <w:r w:rsidRPr="00C35766">
        <w:rPr>
          <w:rFonts w:eastAsia="Times New Roman"/>
          <w:color w:val="000000"/>
          <w:lang w:val="it-IT"/>
        </w:rPr>
        <w:t>1/20/1513/001</w:t>
      </w:r>
    </w:p>
    <w:p w14:paraId="7B1857D6" w14:textId="77777777" w:rsidR="00953B2E" w:rsidRPr="00C35766" w:rsidRDefault="005F0C19">
      <w:pPr>
        <w:pStyle w:val="a3"/>
        <w:rPr>
          <w:color w:val="000000"/>
          <w:lang w:val="it-IT"/>
        </w:rPr>
      </w:pPr>
      <w:r w:rsidRPr="00C35766">
        <w:rPr>
          <w:rFonts w:eastAsia="Times New Roman"/>
          <w:color w:val="000000"/>
          <w:lang w:val="it-IT"/>
        </w:rPr>
        <w:t>EU/1/20/1513/002</w:t>
      </w:r>
    </w:p>
    <w:p w14:paraId="6FEE9F02" w14:textId="77777777" w:rsidR="00953B2E" w:rsidRPr="00C35766" w:rsidRDefault="005F0C19">
      <w:pPr>
        <w:pStyle w:val="a3"/>
        <w:rPr>
          <w:lang w:val="it-IT"/>
        </w:rPr>
      </w:pPr>
      <w:r w:rsidRPr="00C35766">
        <w:rPr>
          <w:rFonts w:eastAsia="Times New Roman"/>
          <w:color w:val="000000"/>
          <w:lang w:val="it-IT"/>
        </w:rPr>
        <w:t>EU/1/20/1513/</w:t>
      </w:r>
      <w:r w:rsidRPr="00C35766">
        <w:rPr>
          <w:rFonts w:eastAsia="Times New Roman"/>
          <w:lang w:val="it-IT"/>
        </w:rPr>
        <w:t>003</w:t>
      </w:r>
    </w:p>
    <w:p w14:paraId="3056F541" w14:textId="77777777" w:rsidR="00953B2E" w:rsidRPr="00C35766" w:rsidRDefault="005F0C19">
      <w:pPr>
        <w:pStyle w:val="a3"/>
        <w:rPr>
          <w:lang w:val="it-IT"/>
        </w:rPr>
      </w:pPr>
      <w:r w:rsidRPr="00C35766">
        <w:rPr>
          <w:rFonts w:eastAsia="Times New Roman"/>
          <w:color w:val="000000"/>
          <w:lang w:val="it-IT"/>
        </w:rPr>
        <w:t>EU/1/20/1513/</w:t>
      </w:r>
      <w:r w:rsidRPr="00C35766">
        <w:rPr>
          <w:rFonts w:eastAsia="Times New Roman"/>
          <w:lang w:val="it-IT"/>
        </w:rPr>
        <w:t>004</w:t>
      </w:r>
    </w:p>
    <w:p w14:paraId="130B9D40" w14:textId="77777777" w:rsidR="00953B2E" w:rsidRPr="00C35766" w:rsidRDefault="00953B2E">
      <w:pPr>
        <w:spacing w:before="14" w:line="240" w:lineRule="exact"/>
        <w:rPr>
          <w:rFonts w:ascii="Times New Roman" w:hAnsi="Times New Roman" w:cs="Times New Roman"/>
          <w:sz w:val="24"/>
          <w:lang w:val="it-IT"/>
        </w:rPr>
      </w:pPr>
    </w:p>
    <w:p w14:paraId="3F9C6389" w14:textId="4A2C6C64" w:rsidR="00953B2E" w:rsidRPr="00C35766" w:rsidRDefault="005F0C19">
      <w:pPr>
        <w:pStyle w:val="a3"/>
        <w:rPr>
          <w:u w:val="single" w:color="000000"/>
          <w:lang w:val="es-ES"/>
        </w:rPr>
      </w:pPr>
      <w:r w:rsidRPr="00C35766">
        <w:rPr>
          <w:rFonts w:eastAsia="Times New Roman"/>
          <w:u w:val="single" w:color="000000"/>
          <w:lang w:val="it-IT"/>
        </w:rPr>
        <w:t xml:space="preserve">Yuflyma 40 mg soluzione iniettabile in siringa </w:t>
      </w:r>
      <w:r w:rsidR="0092097A" w:rsidRPr="00C35766">
        <w:rPr>
          <w:rFonts w:eastAsia="Times New Roman"/>
          <w:u w:val="single" w:color="000000"/>
          <w:lang w:val="it-IT"/>
        </w:rPr>
        <w:t>pre-riempita</w:t>
      </w:r>
      <w:r w:rsidRPr="00C35766">
        <w:rPr>
          <w:rFonts w:eastAsia="Times New Roman"/>
          <w:u w:val="single" w:color="000000"/>
          <w:lang w:val="it-IT"/>
        </w:rPr>
        <w:t xml:space="preserve"> con dispositivo di sicurezza per l’ago</w:t>
      </w:r>
    </w:p>
    <w:p w14:paraId="6DA35CF4" w14:textId="77777777" w:rsidR="00953B2E" w:rsidRPr="00C35766" w:rsidRDefault="00953B2E">
      <w:pPr>
        <w:pStyle w:val="a3"/>
        <w:rPr>
          <w:lang w:val="nn-NO"/>
        </w:rPr>
      </w:pPr>
    </w:p>
    <w:p w14:paraId="2F31E2D8" w14:textId="77777777" w:rsidR="00953B2E" w:rsidRPr="00C35766" w:rsidRDefault="005F0C19">
      <w:pPr>
        <w:pStyle w:val="a3"/>
        <w:rPr>
          <w:lang w:val="nn-NO"/>
        </w:rPr>
      </w:pPr>
      <w:r w:rsidRPr="00C35766">
        <w:rPr>
          <w:rFonts w:eastAsia="Times New Roman"/>
          <w:color w:val="000000"/>
          <w:lang w:val="it-IT"/>
        </w:rPr>
        <w:t>EU/1/20/1513</w:t>
      </w:r>
      <w:r w:rsidRPr="00C35766">
        <w:rPr>
          <w:rFonts w:eastAsia="Times New Roman"/>
          <w:lang w:val="it-IT"/>
        </w:rPr>
        <w:t>/005</w:t>
      </w:r>
    </w:p>
    <w:p w14:paraId="27D84905" w14:textId="77777777" w:rsidR="00953B2E" w:rsidRPr="00C35766" w:rsidRDefault="005F0C19">
      <w:pPr>
        <w:pStyle w:val="a3"/>
        <w:rPr>
          <w:lang w:val="nn-NO"/>
        </w:rPr>
      </w:pPr>
      <w:r w:rsidRPr="00C35766">
        <w:rPr>
          <w:rFonts w:eastAsia="Times New Roman"/>
          <w:color w:val="000000"/>
          <w:lang w:val="it-IT"/>
        </w:rPr>
        <w:t>EU/1/20/1513/</w:t>
      </w:r>
      <w:r w:rsidRPr="00C35766">
        <w:rPr>
          <w:rFonts w:eastAsia="Times New Roman"/>
          <w:lang w:val="it-IT"/>
        </w:rPr>
        <w:t>006</w:t>
      </w:r>
    </w:p>
    <w:p w14:paraId="2F760269" w14:textId="77777777" w:rsidR="00953B2E" w:rsidRPr="00C35766" w:rsidRDefault="005F0C19">
      <w:pPr>
        <w:pStyle w:val="a3"/>
        <w:rPr>
          <w:lang w:val="nn-NO"/>
        </w:rPr>
      </w:pPr>
      <w:r w:rsidRPr="00C35766">
        <w:rPr>
          <w:rFonts w:eastAsia="Times New Roman"/>
          <w:color w:val="000000"/>
          <w:lang w:val="it-IT"/>
        </w:rPr>
        <w:t>EU/1/20/1513/</w:t>
      </w:r>
      <w:r w:rsidRPr="00C35766">
        <w:rPr>
          <w:rFonts w:eastAsia="Times New Roman"/>
          <w:lang w:val="it-IT"/>
        </w:rPr>
        <w:t>007</w:t>
      </w:r>
    </w:p>
    <w:p w14:paraId="5D473575" w14:textId="77777777" w:rsidR="00953B2E" w:rsidRPr="00C35766" w:rsidRDefault="005F0C19">
      <w:pPr>
        <w:pStyle w:val="a3"/>
        <w:rPr>
          <w:lang w:val="nn-NO"/>
        </w:rPr>
      </w:pPr>
      <w:r w:rsidRPr="00C35766">
        <w:rPr>
          <w:rFonts w:eastAsia="Times New Roman"/>
          <w:color w:val="000000"/>
          <w:lang w:val="it-IT"/>
        </w:rPr>
        <w:t>EU/1/20/1513/</w:t>
      </w:r>
      <w:r w:rsidRPr="00C35766">
        <w:rPr>
          <w:rFonts w:eastAsia="Times New Roman"/>
          <w:lang w:val="it-IT"/>
        </w:rPr>
        <w:t>008</w:t>
      </w:r>
    </w:p>
    <w:p w14:paraId="0FDAB601" w14:textId="77777777" w:rsidR="00953B2E" w:rsidRPr="00C35766" w:rsidRDefault="00953B2E">
      <w:pPr>
        <w:spacing w:before="14" w:line="240" w:lineRule="exact"/>
        <w:rPr>
          <w:rFonts w:ascii="Times New Roman" w:hAnsi="Times New Roman" w:cs="Times New Roman"/>
          <w:sz w:val="24"/>
          <w:szCs w:val="24"/>
          <w:lang w:val="nn-NO"/>
        </w:rPr>
      </w:pPr>
    </w:p>
    <w:p w14:paraId="5484F870" w14:textId="25470CC6" w:rsidR="00953B2E" w:rsidRPr="00C35766" w:rsidRDefault="005F0C19">
      <w:pPr>
        <w:pStyle w:val="a3"/>
        <w:rPr>
          <w:u w:val="single"/>
          <w:lang w:val="nn-NO"/>
        </w:rPr>
      </w:pPr>
      <w:r w:rsidRPr="00C35766">
        <w:rPr>
          <w:rFonts w:eastAsia="Times New Roman"/>
          <w:u w:val="single" w:color="000000"/>
          <w:lang w:val="it-IT"/>
        </w:rPr>
        <w:t xml:space="preserve">Yuflyma 40 mg soluzione iniettabile in penna </w:t>
      </w:r>
      <w:r w:rsidR="0092097A" w:rsidRPr="00C35766">
        <w:rPr>
          <w:rFonts w:eastAsia="Times New Roman"/>
          <w:u w:val="single" w:color="000000"/>
          <w:lang w:val="it-IT"/>
        </w:rPr>
        <w:t>pre-riempita</w:t>
      </w:r>
    </w:p>
    <w:p w14:paraId="0C3BC3BF" w14:textId="77777777" w:rsidR="00953B2E" w:rsidRPr="00C35766" w:rsidRDefault="00953B2E">
      <w:pPr>
        <w:pStyle w:val="a3"/>
        <w:rPr>
          <w:lang w:val="nn-NO"/>
        </w:rPr>
      </w:pPr>
    </w:p>
    <w:p w14:paraId="6BD12ECE" w14:textId="77777777" w:rsidR="00953B2E" w:rsidRPr="00C35766" w:rsidRDefault="005F0C19">
      <w:pPr>
        <w:pStyle w:val="a3"/>
        <w:rPr>
          <w:lang w:val="nn-NO"/>
        </w:rPr>
      </w:pPr>
      <w:r w:rsidRPr="00C35766">
        <w:rPr>
          <w:rFonts w:eastAsia="Times New Roman"/>
          <w:color w:val="000000"/>
          <w:lang w:val="it-IT"/>
        </w:rPr>
        <w:t>EU/1/20/1513</w:t>
      </w:r>
      <w:r w:rsidRPr="00C35766">
        <w:rPr>
          <w:rFonts w:eastAsia="Times New Roman"/>
          <w:lang w:val="it-IT"/>
        </w:rPr>
        <w:t>/009</w:t>
      </w:r>
    </w:p>
    <w:p w14:paraId="52FD8C6C" w14:textId="77777777" w:rsidR="00953B2E" w:rsidRPr="00C35766" w:rsidRDefault="005F0C19">
      <w:pPr>
        <w:pStyle w:val="a3"/>
        <w:rPr>
          <w:lang w:val="fr-FR"/>
        </w:rPr>
      </w:pPr>
      <w:r w:rsidRPr="00C35766">
        <w:rPr>
          <w:rFonts w:eastAsia="Times New Roman"/>
          <w:color w:val="000000"/>
          <w:lang w:val="it-IT"/>
        </w:rPr>
        <w:t>EU/1/20/1513/</w:t>
      </w:r>
      <w:r w:rsidRPr="00C35766">
        <w:rPr>
          <w:rFonts w:eastAsia="Times New Roman"/>
          <w:lang w:val="it-IT"/>
        </w:rPr>
        <w:t>010</w:t>
      </w:r>
    </w:p>
    <w:p w14:paraId="6400E12D" w14:textId="77777777" w:rsidR="00953B2E" w:rsidRPr="00C35766" w:rsidRDefault="005F0C19">
      <w:pPr>
        <w:pStyle w:val="a3"/>
        <w:rPr>
          <w:lang w:val="fr-FR"/>
        </w:rPr>
      </w:pPr>
      <w:r w:rsidRPr="00C35766">
        <w:rPr>
          <w:rFonts w:eastAsia="Times New Roman"/>
          <w:color w:val="000000"/>
          <w:lang w:val="it-IT"/>
        </w:rPr>
        <w:t>EU/1/20/1513/</w:t>
      </w:r>
      <w:r w:rsidRPr="00C35766">
        <w:rPr>
          <w:rFonts w:eastAsia="Times New Roman"/>
          <w:lang w:val="it-IT"/>
        </w:rPr>
        <w:t>011</w:t>
      </w:r>
    </w:p>
    <w:p w14:paraId="10CB624D" w14:textId="77777777" w:rsidR="00953B2E" w:rsidRPr="00C35766" w:rsidRDefault="005F0C19">
      <w:pPr>
        <w:pStyle w:val="a3"/>
        <w:rPr>
          <w:lang w:val="fr-FR"/>
        </w:rPr>
      </w:pPr>
      <w:r w:rsidRPr="00C35766">
        <w:rPr>
          <w:rFonts w:eastAsia="Times New Roman"/>
          <w:color w:val="000000"/>
          <w:lang w:val="it-IT"/>
        </w:rPr>
        <w:t>EU/1/20/1513/</w:t>
      </w:r>
      <w:r w:rsidRPr="00C35766">
        <w:rPr>
          <w:rFonts w:eastAsia="Times New Roman"/>
          <w:lang w:val="it-IT"/>
        </w:rPr>
        <w:t>012</w:t>
      </w:r>
    </w:p>
    <w:p w14:paraId="6586ED7A" w14:textId="77777777" w:rsidR="00953B2E" w:rsidRPr="00C35766" w:rsidRDefault="00953B2E">
      <w:pPr>
        <w:pStyle w:val="a3"/>
        <w:rPr>
          <w:lang w:val="fr-FR"/>
        </w:rPr>
      </w:pPr>
    </w:p>
    <w:p w14:paraId="0451426E" w14:textId="77777777" w:rsidR="00953B2E" w:rsidRPr="00C35766" w:rsidRDefault="00953B2E">
      <w:pPr>
        <w:spacing w:line="200" w:lineRule="exact"/>
        <w:rPr>
          <w:rFonts w:ascii="Times New Roman" w:hAnsi="Times New Roman" w:cs="Times New Roman"/>
          <w:sz w:val="20"/>
          <w:szCs w:val="20"/>
          <w:lang w:val="fr-FR"/>
        </w:rPr>
      </w:pPr>
    </w:p>
    <w:p w14:paraId="3C6E3906" w14:textId="77777777" w:rsidR="00953B2E" w:rsidRPr="00C35766" w:rsidRDefault="005F0C19" w:rsidP="00787805">
      <w:pPr>
        <w:widowControl/>
        <w:numPr>
          <w:ilvl w:val="0"/>
          <w:numId w:val="25"/>
        </w:numPr>
        <w:tabs>
          <w:tab w:val="left" w:pos="567"/>
        </w:tabs>
        <w:spacing w:line="260" w:lineRule="exact"/>
        <w:ind w:left="0" w:firstLine="0"/>
        <w:rPr>
          <w:rFonts w:ascii="Times New Roman" w:hAnsi="Times New Roman" w:cs="Times New Roman"/>
          <w:b/>
          <w:lang w:val="it-IT"/>
        </w:rPr>
      </w:pPr>
      <w:r w:rsidRPr="00C35766">
        <w:rPr>
          <w:rFonts w:ascii="Times New Roman" w:eastAsia="Times New Roman" w:hAnsi="Times New Roman" w:cs="Times New Roman"/>
          <w:b/>
          <w:bCs/>
          <w:noProof/>
          <w:lang w:val="it-IT"/>
        </w:rPr>
        <w:t>DATA DELLA PRIMA AUTORIZZAZIONE/RINNOVO DELL’AUTORIZZAZIONE</w:t>
      </w:r>
    </w:p>
    <w:p w14:paraId="6B8E6475" w14:textId="77777777" w:rsidR="00953B2E" w:rsidRPr="00C35766" w:rsidRDefault="00953B2E">
      <w:pPr>
        <w:widowControl/>
        <w:tabs>
          <w:tab w:val="left" w:pos="567"/>
        </w:tabs>
        <w:spacing w:line="260" w:lineRule="exact"/>
        <w:rPr>
          <w:rFonts w:ascii="Times New Roman" w:hAnsi="Times New Roman" w:cs="Times New Roman"/>
          <w:b/>
          <w:lang w:val="it-IT"/>
        </w:rPr>
      </w:pPr>
    </w:p>
    <w:p w14:paraId="50B0CF12" w14:textId="584C0183" w:rsidR="00953B2E" w:rsidRPr="004F0B2E" w:rsidRDefault="005F0C19">
      <w:pPr>
        <w:widowControl/>
        <w:tabs>
          <w:tab w:val="left" w:pos="567"/>
        </w:tabs>
        <w:spacing w:line="260" w:lineRule="exact"/>
        <w:rPr>
          <w:rFonts w:ascii="Times New Roman" w:eastAsia="Times New Roman" w:hAnsi="Times New Roman" w:cs="Times New Roman"/>
          <w:bCs/>
          <w:noProof/>
          <w:lang w:val="it-IT"/>
        </w:rPr>
      </w:pPr>
      <w:r w:rsidRPr="00C35766">
        <w:rPr>
          <w:rFonts w:ascii="Times New Roman" w:eastAsia="Times New Roman" w:hAnsi="Times New Roman" w:cs="Times New Roman"/>
          <w:bCs/>
          <w:noProof/>
          <w:lang w:val="it-IT"/>
        </w:rPr>
        <w:t>Data della prima autorizzazione:</w:t>
      </w:r>
      <w:r w:rsidR="00871923" w:rsidRPr="00C35766">
        <w:rPr>
          <w:rFonts w:ascii="Times New Roman" w:eastAsia="Times New Roman" w:hAnsi="Times New Roman" w:cs="Times New Roman"/>
          <w:bCs/>
          <w:noProof/>
          <w:lang w:val="it-IT"/>
        </w:rPr>
        <w:t xml:space="preserve"> 11 febbraio 2021</w:t>
      </w:r>
    </w:p>
    <w:p w14:paraId="2A04B50A" w14:textId="77777777" w:rsidR="00953B2E" w:rsidRPr="004F0B2E" w:rsidRDefault="00953B2E">
      <w:pPr>
        <w:widowControl/>
        <w:tabs>
          <w:tab w:val="left" w:pos="567"/>
        </w:tabs>
        <w:spacing w:line="260" w:lineRule="exact"/>
        <w:rPr>
          <w:rFonts w:ascii="Times New Roman" w:eastAsia="Times New Roman" w:hAnsi="Times New Roman" w:cs="Times New Roman"/>
          <w:b/>
          <w:noProof/>
          <w:lang w:val="it-IT"/>
        </w:rPr>
      </w:pPr>
    </w:p>
    <w:p w14:paraId="11A20FC3" w14:textId="77777777" w:rsidR="00953B2E" w:rsidRPr="004F0B2E" w:rsidRDefault="00953B2E">
      <w:pPr>
        <w:widowControl/>
        <w:tabs>
          <w:tab w:val="left" w:pos="567"/>
        </w:tabs>
        <w:spacing w:line="260" w:lineRule="exact"/>
        <w:rPr>
          <w:rFonts w:ascii="Times New Roman" w:eastAsia="Times New Roman" w:hAnsi="Times New Roman" w:cs="Times New Roman"/>
          <w:b/>
          <w:noProof/>
          <w:lang w:val="it-IT"/>
        </w:rPr>
      </w:pPr>
    </w:p>
    <w:p w14:paraId="11435820" w14:textId="77777777" w:rsidR="00953B2E" w:rsidRPr="00C35766" w:rsidRDefault="005F0C19" w:rsidP="00787805">
      <w:pPr>
        <w:widowControl/>
        <w:numPr>
          <w:ilvl w:val="0"/>
          <w:numId w:val="25"/>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DATA DI REVISIONE DEL TESTO</w:t>
      </w:r>
    </w:p>
    <w:p w14:paraId="5F988483" w14:textId="77777777" w:rsidR="00953B2E" w:rsidRPr="00C35766" w:rsidRDefault="00953B2E">
      <w:pPr>
        <w:spacing w:before="12" w:line="240" w:lineRule="exact"/>
        <w:rPr>
          <w:rFonts w:ascii="Times New Roman" w:hAnsi="Times New Roman" w:cs="Times New Roman"/>
          <w:sz w:val="24"/>
          <w:szCs w:val="24"/>
        </w:rPr>
      </w:pPr>
    </w:p>
    <w:p w14:paraId="79207AF7" w14:textId="77777777" w:rsidR="00953B2E" w:rsidRPr="00C35766" w:rsidRDefault="005F0C19">
      <w:pPr>
        <w:pStyle w:val="a3"/>
        <w:rPr>
          <w:lang w:val="pt-BR"/>
        </w:rPr>
      </w:pPr>
      <w:r w:rsidRPr="00C35766">
        <w:rPr>
          <w:rFonts w:eastAsia="Times New Roman"/>
          <w:lang w:val="it-IT"/>
        </w:rPr>
        <w:t xml:space="preserve">Informazioni più dettagliate su questo medicinale sono disponibili sul sito web dell’Agenzia europea dei medicinali, </w:t>
      </w:r>
      <w:hyperlink r:id="rId22" w:history="1">
        <w:r w:rsidRPr="00C35766">
          <w:rPr>
            <w:rFonts w:eastAsia="Times New Roman"/>
            <w:color w:val="0000FF"/>
            <w:u w:val="single"/>
            <w:lang w:val="it-IT"/>
          </w:rPr>
          <w:t>http://www.ema.europa.eu</w:t>
        </w:r>
      </w:hyperlink>
    </w:p>
    <w:p w14:paraId="163C527C" w14:textId="77777777" w:rsidR="00A842FF" w:rsidRDefault="00A842FF">
      <w:pPr>
        <w:rPr>
          <w:rFonts w:ascii="Times New Roman" w:hAnsi="Times New Roman" w:cs="Times New Roman"/>
          <w:lang w:val="it-IT"/>
        </w:rPr>
      </w:pPr>
      <w:r>
        <w:rPr>
          <w:rFonts w:ascii="Times New Roman" w:hAnsi="Times New Roman" w:cs="Times New Roman"/>
          <w:lang w:val="it-IT"/>
        </w:rPr>
        <w:br w:type="page"/>
      </w:r>
    </w:p>
    <w:p w14:paraId="3B42E9DB" w14:textId="420007E9" w:rsidR="00F91711" w:rsidRPr="00C35766" w:rsidRDefault="00F91711" w:rsidP="00F91711">
      <w:pPr>
        <w:rPr>
          <w:rFonts w:ascii="Times New Roman" w:eastAsia="맑은 고딕" w:hAnsi="Times New Roman" w:cs="Times New Roman"/>
          <w:lang w:val="it-IT" w:eastAsia="ko-KR"/>
        </w:rPr>
      </w:pPr>
      <w:r w:rsidRPr="00C35766">
        <w:rPr>
          <w:rFonts w:ascii="Times New Roman" w:hAnsi="Times New Roman" w:cs="Times New Roman"/>
          <w:noProof/>
          <w:lang w:eastAsia="ko-KR"/>
        </w:rPr>
        <w:lastRenderedPageBreak/>
        <w:drawing>
          <wp:inline distT="0" distB="0" distL="0" distR="0" wp14:anchorId="2F03C833" wp14:editId="025FCD2F">
            <wp:extent cx="228600" cy="152400"/>
            <wp:effectExtent l="0" t="0" r="0" b="0"/>
            <wp:docPr id="1076" name="그림 1076"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T_1000x858px"/>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sidRPr="00C35766">
        <w:rPr>
          <w:rFonts w:ascii="Times New Roman" w:hAnsi="Times New Roman" w:cs="Times New Roman"/>
          <w:lang w:val="it-IT"/>
        </w:rPr>
        <w:t xml:space="preserve"> Medicinale sottoposto a monitoraggio addizionale. Ciò permetterà la rapida identificazione di nuove informazioni sulla sicurezza. Agli operatori sanitari è richiesto di segnalare qualsiasi reazione avversa sospetta. Vedere paragrafo 4.8 per informazioni sulle modalità di segnalazione delle reazioni avverse.</w:t>
      </w:r>
    </w:p>
    <w:p w14:paraId="11125A71" w14:textId="77777777" w:rsidR="00F91711" w:rsidRPr="00C35766" w:rsidRDefault="00F91711" w:rsidP="00F91711">
      <w:pPr>
        <w:widowControl/>
        <w:tabs>
          <w:tab w:val="left" w:pos="567"/>
        </w:tabs>
        <w:rPr>
          <w:rFonts w:ascii="Times New Roman" w:eastAsia="Times New Roman" w:hAnsi="Times New Roman" w:cs="Times New Roman"/>
          <w:lang w:val="it-IT"/>
        </w:rPr>
      </w:pPr>
    </w:p>
    <w:p w14:paraId="08245967" w14:textId="77777777" w:rsidR="00F91711" w:rsidRPr="00C35766" w:rsidRDefault="00F91711" w:rsidP="00F91711">
      <w:pPr>
        <w:widowControl/>
        <w:tabs>
          <w:tab w:val="left" w:pos="567"/>
        </w:tabs>
        <w:rPr>
          <w:rFonts w:ascii="Times New Roman" w:eastAsia="Times New Roman" w:hAnsi="Times New Roman" w:cs="Times New Roman"/>
          <w:lang w:val="it-IT"/>
        </w:rPr>
      </w:pPr>
    </w:p>
    <w:p w14:paraId="7586684E" w14:textId="77777777" w:rsidR="00F91711" w:rsidRPr="00C35766" w:rsidRDefault="00F91711" w:rsidP="00933A6C">
      <w:pPr>
        <w:widowControl/>
        <w:numPr>
          <w:ilvl w:val="0"/>
          <w:numId w:val="52"/>
        </w:numPr>
        <w:tabs>
          <w:tab w:val="left" w:pos="567"/>
        </w:tabs>
        <w:spacing w:line="260" w:lineRule="exact"/>
        <w:rPr>
          <w:rFonts w:ascii="Times New Roman" w:hAnsi="Times New Roman" w:cs="Times New Roman"/>
          <w:noProof/>
          <w:lang w:val="en-GB"/>
        </w:rPr>
      </w:pPr>
      <w:r w:rsidRPr="00C35766">
        <w:rPr>
          <w:rFonts w:ascii="Times New Roman" w:eastAsia="Times New Roman" w:hAnsi="Times New Roman" w:cs="Times New Roman"/>
          <w:b/>
          <w:bCs/>
          <w:noProof/>
          <w:lang w:val="it-IT"/>
        </w:rPr>
        <w:t>DENOMINAZIONE DEL MEDICINALE</w:t>
      </w:r>
    </w:p>
    <w:p w14:paraId="405C78C3" w14:textId="77777777" w:rsidR="00F91711" w:rsidRPr="00C35766" w:rsidRDefault="00F91711" w:rsidP="00F91711">
      <w:pPr>
        <w:spacing w:line="240" w:lineRule="exact"/>
        <w:rPr>
          <w:rFonts w:ascii="Times New Roman" w:hAnsi="Times New Roman" w:cs="Times New Roman"/>
        </w:rPr>
      </w:pPr>
    </w:p>
    <w:p w14:paraId="3691B791" w14:textId="1BA58794" w:rsidR="00F91711" w:rsidRPr="00C35766" w:rsidRDefault="00F91711" w:rsidP="00F91711">
      <w:pPr>
        <w:widowControl/>
        <w:tabs>
          <w:tab w:val="left" w:pos="567"/>
        </w:tabs>
        <w:rPr>
          <w:rFonts w:ascii="Times New Roman" w:hAnsi="Times New Roman" w:cs="Times New Roman"/>
          <w:lang w:val="it-IT"/>
        </w:rPr>
      </w:pPr>
      <w:r w:rsidRPr="00C35766">
        <w:rPr>
          <w:rFonts w:ascii="Times New Roman" w:eastAsia="Times New Roman" w:hAnsi="Times New Roman" w:cs="Times New Roman"/>
          <w:lang w:val="it-IT"/>
        </w:rPr>
        <w:t>Yuflyma 80 mg soluzione iniettabile in siringa pre-riempita</w:t>
      </w:r>
    </w:p>
    <w:p w14:paraId="0F3C10A4" w14:textId="77777777" w:rsidR="00F91711" w:rsidRPr="00C35766" w:rsidRDefault="00F91711" w:rsidP="00F91711">
      <w:pPr>
        <w:widowControl/>
        <w:tabs>
          <w:tab w:val="left" w:pos="567"/>
        </w:tabs>
        <w:rPr>
          <w:rFonts w:ascii="Times New Roman" w:hAnsi="Times New Roman" w:cs="Times New Roman"/>
          <w:lang w:val="it-IT"/>
        </w:rPr>
      </w:pPr>
    </w:p>
    <w:p w14:paraId="0E572AB0" w14:textId="483407E6" w:rsidR="00F91711" w:rsidRPr="00C35766" w:rsidRDefault="00F91711" w:rsidP="00F91711">
      <w:pPr>
        <w:widowControl/>
        <w:tabs>
          <w:tab w:val="left" w:pos="567"/>
        </w:tabs>
        <w:rPr>
          <w:rFonts w:ascii="Times New Roman" w:hAnsi="Times New Roman" w:cs="Times New Roman"/>
          <w:lang w:val="it-IT"/>
        </w:rPr>
      </w:pPr>
      <w:r w:rsidRPr="00C35766">
        <w:rPr>
          <w:rFonts w:ascii="Times New Roman" w:eastAsia="Times New Roman" w:hAnsi="Times New Roman" w:cs="Times New Roman"/>
          <w:lang w:val="it-IT"/>
        </w:rPr>
        <w:t>Yuflyma 80 mg soluzione iniettabile in penna pre-riempita</w:t>
      </w:r>
    </w:p>
    <w:p w14:paraId="410D63E0" w14:textId="77777777" w:rsidR="00F91711" w:rsidRPr="00C35766" w:rsidRDefault="00F91711" w:rsidP="00F91711">
      <w:pPr>
        <w:spacing w:line="200" w:lineRule="exact"/>
        <w:rPr>
          <w:rFonts w:ascii="Times New Roman" w:hAnsi="Times New Roman" w:cs="Times New Roman"/>
          <w:lang w:val="it-IT"/>
        </w:rPr>
      </w:pPr>
    </w:p>
    <w:p w14:paraId="39BD5C38" w14:textId="77777777" w:rsidR="00F91711" w:rsidRPr="00C35766" w:rsidRDefault="00F91711" w:rsidP="00F91711">
      <w:pPr>
        <w:widowControl/>
        <w:tabs>
          <w:tab w:val="left" w:pos="567"/>
        </w:tabs>
        <w:spacing w:line="260" w:lineRule="exact"/>
        <w:rPr>
          <w:rFonts w:ascii="Times New Roman" w:hAnsi="Times New Roman" w:cs="Times New Roman"/>
          <w:b/>
          <w:lang w:val="it-IT"/>
        </w:rPr>
      </w:pPr>
    </w:p>
    <w:p w14:paraId="3087B400" w14:textId="77777777" w:rsidR="00F91711" w:rsidRPr="00C35766" w:rsidRDefault="00F91711" w:rsidP="00933A6C">
      <w:pPr>
        <w:widowControl/>
        <w:numPr>
          <w:ilvl w:val="0"/>
          <w:numId w:val="52"/>
        </w:numPr>
        <w:tabs>
          <w:tab w:val="left" w:pos="567"/>
        </w:tabs>
        <w:spacing w:line="260" w:lineRule="exact"/>
        <w:ind w:left="0" w:firstLine="0"/>
        <w:rPr>
          <w:rFonts w:ascii="Times New Roman" w:hAnsi="Times New Roman" w:cs="Times New Roman"/>
          <w:b/>
          <w:bCs/>
          <w:spacing w:val="-1"/>
        </w:rPr>
      </w:pPr>
      <w:r w:rsidRPr="00C35766">
        <w:rPr>
          <w:rFonts w:ascii="Times New Roman" w:eastAsia="Times New Roman" w:hAnsi="Times New Roman" w:cs="Times New Roman"/>
          <w:b/>
          <w:bCs/>
          <w:noProof/>
          <w:lang w:val="it-IT"/>
        </w:rPr>
        <w:t>COMPOSIZIONE QUALITATIVA E QUANTITATIVA</w:t>
      </w:r>
    </w:p>
    <w:p w14:paraId="61112DCD" w14:textId="77777777" w:rsidR="00F91711" w:rsidRPr="00C35766" w:rsidRDefault="00F91711" w:rsidP="00F91711">
      <w:pPr>
        <w:widowControl/>
        <w:tabs>
          <w:tab w:val="left" w:pos="567"/>
        </w:tabs>
        <w:rPr>
          <w:rFonts w:ascii="Times New Roman" w:eastAsia="Times New Roman" w:hAnsi="Times New Roman" w:cs="Times New Roman"/>
          <w:u w:val="single"/>
          <w:lang w:val="en-GB"/>
        </w:rPr>
      </w:pPr>
    </w:p>
    <w:p w14:paraId="6B170E73" w14:textId="56F1C25C" w:rsidR="00F91711" w:rsidRPr="00C35766" w:rsidRDefault="00F91711" w:rsidP="00F91711">
      <w:pPr>
        <w:widowControl/>
        <w:tabs>
          <w:tab w:val="left" w:pos="567"/>
        </w:tabs>
        <w:rPr>
          <w:rFonts w:ascii="Times New Roman" w:hAnsi="Times New Roman" w:cs="Times New Roman"/>
          <w:u w:val="single"/>
          <w:lang w:val="it-IT"/>
        </w:rPr>
      </w:pPr>
      <w:r w:rsidRPr="00C35766">
        <w:rPr>
          <w:rFonts w:ascii="Times New Roman" w:eastAsia="Times New Roman" w:hAnsi="Times New Roman" w:cs="Times New Roman"/>
          <w:u w:val="single"/>
          <w:lang w:val="it-IT"/>
        </w:rPr>
        <w:t>Yuflyma 80 mg soluzione iniettabile in siringa pre-riempita</w:t>
      </w:r>
    </w:p>
    <w:p w14:paraId="6E925114" w14:textId="77777777" w:rsidR="00F91711" w:rsidRPr="00C35766" w:rsidRDefault="00F91711" w:rsidP="00F91711">
      <w:pPr>
        <w:widowControl/>
        <w:tabs>
          <w:tab w:val="left" w:pos="567"/>
        </w:tabs>
        <w:adjustRightInd w:val="0"/>
        <w:rPr>
          <w:rFonts w:ascii="Times New Roman" w:hAnsi="Times New Roman" w:cs="Times New Roman"/>
          <w:lang w:val="it-IT"/>
        </w:rPr>
      </w:pPr>
    </w:p>
    <w:p w14:paraId="7E3D5D7B" w14:textId="5207CCCD" w:rsidR="00F91711" w:rsidRPr="00C35766" w:rsidRDefault="00F91711" w:rsidP="00F91711">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Ciascuna siringa pre-riempita monodose da 0,8 mL contiene 80 mg di adalimumab.</w:t>
      </w:r>
    </w:p>
    <w:p w14:paraId="13382335" w14:textId="77777777" w:rsidR="00F91711" w:rsidRPr="00C35766" w:rsidRDefault="00F91711" w:rsidP="00F91711">
      <w:pPr>
        <w:spacing w:line="240" w:lineRule="exact"/>
        <w:rPr>
          <w:rFonts w:ascii="Times New Roman" w:hAnsi="Times New Roman" w:cs="Times New Roman"/>
          <w:lang w:val="it-IT"/>
        </w:rPr>
      </w:pPr>
    </w:p>
    <w:p w14:paraId="6BAB74E7" w14:textId="524522DA" w:rsidR="00F91711" w:rsidRPr="00C35766" w:rsidRDefault="00F91711" w:rsidP="00F91711">
      <w:pPr>
        <w:widowControl/>
        <w:tabs>
          <w:tab w:val="left" w:pos="567"/>
        </w:tabs>
        <w:rPr>
          <w:rFonts w:ascii="Times New Roman" w:hAnsi="Times New Roman" w:cs="Times New Roman"/>
          <w:u w:val="single"/>
          <w:lang w:val="it-IT"/>
        </w:rPr>
      </w:pPr>
      <w:r w:rsidRPr="00C35766">
        <w:rPr>
          <w:rFonts w:ascii="Times New Roman" w:eastAsia="Times New Roman" w:hAnsi="Times New Roman" w:cs="Times New Roman"/>
          <w:u w:val="single"/>
          <w:lang w:val="it-IT"/>
        </w:rPr>
        <w:t>Yuflyma 80 mg soluzione iniettabile in penna pre-riempita</w:t>
      </w:r>
    </w:p>
    <w:p w14:paraId="2BB0BB27" w14:textId="77777777" w:rsidR="00F91711" w:rsidRPr="00C35766" w:rsidRDefault="00F91711" w:rsidP="00F91711">
      <w:pPr>
        <w:widowControl/>
        <w:tabs>
          <w:tab w:val="left" w:pos="567"/>
        </w:tabs>
        <w:rPr>
          <w:rFonts w:ascii="Times New Roman" w:hAnsi="Times New Roman" w:cs="Times New Roman"/>
          <w:lang w:val="it-IT"/>
        </w:rPr>
      </w:pPr>
    </w:p>
    <w:p w14:paraId="36089D1D" w14:textId="33B08E8E" w:rsidR="00F91711" w:rsidRPr="00C35766" w:rsidRDefault="00F91711" w:rsidP="00F91711">
      <w:pPr>
        <w:widowControl/>
        <w:tabs>
          <w:tab w:val="left" w:pos="567"/>
        </w:tabs>
        <w:adjustRightInd w:val="0"/>
        <w:rPr>
          <w:rFonts w:ascii="Times New Roman" w:eastAsia="Times New Roman" w:hAnsi="Times New Roman" w:cs="Times New Roman"/>
          <w:lang w:val="es-ES"/>
        </w:rPr>
      </w:pPr>
      <w:r w:rsidRPr="00C35766">
        <w:rPr>
          <w:rFonts w:ascii="Times New Roman" w:eastAsia="Times New Roman" w:hAnsi="Times New Roman" w:cs="Times New Roman"/>
          <w:lang w:val="it-IT"/>
        </w:rPr>
        <w:t>Ciascuna penna pre-riempita monodose da 0,8 mL contiene 80 mg di adalimumab.</w:t>
      </w:r>
    </w:p>
    <w:p w14:paraId="03802221" w14:textId="77777777" w:rsidR="00F91711" w:rsidRPr="00C35766" w:rsidRDefault="00F91711" w:rsidP="00F91711">
      <w:pPr>
        <w:spacing w:line="240" w:lineRule="exact"/>
        <w:rPr>
          <w:rFonts w:ascii="Times New Roman" w:hAnsi="Times New Roman" w:cs="Times New Roman"/>
          <w:lang w:val="es-ES"/>
        </w:rPr>
      </w:pPr>
    </w:p>
    <w:p w14:paraId="65A9EF21" w14:textId="77777777" w:rsidR="00F91711" w:rsidRPr="00C35766" w:rsidRDefault="00F91711" w:rsidP="00F91711">
      <w:pPr>
        <w:widowControl/>
        <w:tabs>
          <w:tab w:val="left" w:pos="567"/>
        </w:tabs>
        <w:adjustRightInd w:val="0"/>
        <w:rPr>
          <w:rFonts w:ascii="Times New Roman" w:eastAsia="Times New Roman" w:hAnsi="Times New Roman" w:cs="Times New Roman"/>
          <w:lang w:val="es-ES"/>
        </w:rPr>
      </w:pPr>
      <w:r w:rsidRPr="00C35766">
        <w:rPr>
          <w:rFonts w:ascii="Times New Roman" w:eastAsia="Times New Roman" w:hAnsi="Times New Roman" w:cs="Times New Roman"/>
          <w:lang w:val="it-IT"/>
        </w:rPr>
        <w:t>Adalimumab è un anticorpo monoclonale umano ricombinante prodotto in cellule ovariche di criceto cinese (Chinese Hamster Ovary).</w:t>
      </w:r>
    </w:p>
    <w:p w14:paraId="4347A618" w14:textId="77777777" w:rsidR="00F91711" w:rsidRPr="00C35766" w:rsidRDefault="00F91711" w:rsidP="00F91711">
      <w:pPr>
        <w:widowControl/>
        <w:tabs>
          <w:tab w:val="left" w:pos="567"/>
        </w:tabs>
        <w:adjustRightInd w:val="0"/>
        <w:rPr>
          <w:rFonts w:ascii="Times New Roman" w:eastAsia="Times New Roman" w:hAnsi="Times New Roman" w:cs="Times New Roman"/>
          <w:lang w:val="es-ES"/>
        </w:rPr>
      </w:pPr>
    </w:p>
    <w:p w14:paraId="2EBBD025" w14:textId="77777777" w:rsidR="00F91711" w:rsidRPr="00C35766" w:rsidRDefault="00F91711" w:rsidP="00F91711">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Per l’elenco completo degli eccipienti, vedere paragrafo 6.1.</w:t>
      </w:r>
    </w:p>
    <w:p w14:paraId="762CE4B8" w14:textId="77777777" w:rsidR="00F91711" w:rsidRPr="00C35766" w:rsidRDefault="00F91711" w:rsidP="00F91711">
      <w:pPr>
        <w:spacing w:line="260" w:lineRule="exact"/>
        <w:rPr>
          <w:rFonts w:ascii="Times New Roman" w:hAnsi="Times New Roman" w:cs="Times New Roman"/>
          <w:lang w:val="it-IT"/>
        </w:rPr>
      </w:pPr>
    </w:p>
    <w:p w14:paraId="334F5969" w14:textId="77777777" w:rsidR="00F91711" w:rsidRPr="00C35766" w:rsidRDefault="00F91711" w:rsidP="00F91711">
      <w:pPr>
        <w:spacing w:line="260" w:lineRule="exact"/>
        <w:rPr>
          <w:rFonts w:ascii="Times New Roman" w:hAnsi="Times New Roman" w:cs="Times New Roman"/>
          <w:lang w:val="it-IT"/>
        </w:rPr>
      </w:pPr>
    </w:p>
    <w:p w14:paraId="0625E0A6" w14:textId="77777777" w:rsidR="00F91711" w:rsidRPr="00C35766" w:rsidRDefault="00F91711" w:rsidP="00933A6C">
      <w:pPr>
        <w:widowControl/>
        <w:numPr>
          <w:ilvl w:val="0"/>
          <w:numId w:val="52"/>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FORMA FARMACEUTICA</w:t>
      </w:r>
    </w:p>
    <w:p w14:paraId="7627E910" w14:textId="77777777" w:rsidR="00F91711" w:rsidRPr="00C35766" w:rsidRDefault="00F91711" w:rsidP="00F91711">
      <w:pPr>
        <w:spacing w:line="240" w:lineRule="exact"/>
        <w:rPr>
          <w:rFonts w:ascii="Times New Roman" w:hAnsi="Times New Roman" w:cs="Times New Roman"/>
        </w:rPr>
      </w:pPr>
    </w:p>
    <w:p w14:paraId="742503D2" w14:textId="77777777" w:rsidR="00F91711" w:rsidRPr="00C35766" w:rsidRDefault="00F91711" w:rsidP="00F91711">
      <w:pPr>
        <w:widowControl/>
        <w:tabs>
          <w:tab w:val="left" w:pos="567"/>
        </w:tabs>
        <w:adjustRightInd w:val="0"/>
        <w:rPr>
          <w:rFonts w:ascii="Times New Roman" w:eastAsia="Times New Roman" w:hAnsi="Times New Roman" w:cs="Times New Roman"/>
          <w:lang w:val="en-GB"/>
        </w:rPr>
      </w:pPr>
      <w:r w:rsidRPr="00C35766">
        <w:rPr>
          <w:rFonts w:ascii="Times New Roman" w:eastAsia="Times New Roman" w:hAnsi="Times New Roman" w:cs="Times New Roman"/>
          <w:lang w:val="it-IT"/>
        </w:rPr>
        <w:t xml:space="preserve">Soluzione iniettabile (per iniezione) </w:t>
      </w:r>
    </w:p>
    <w:p w14:paraId="4B10769D" w14:textId="77777777" w:rsidR="00F91711" w:rsidRPr="00C35766" w:rsidRDefault="00F91711" w:rsidP="00F91711">
      <w:pPr>
        <w:widowControl/>
        <w:tabs>
          <w:tab w:val="left" w:pos="567"/>
        </w:tabs>
        <w:adjustRightInd w:val="0"/>
        <w:rPr>
          <w:rFonts w:ascii="Times New Roman" w:eastAsia="Times New Roman" w:hAnsi="Times New Roman" w:cs="Times New Roman"/>
          <w:lang w:val="en-GB"/>
        </w:rPr>
      </w:pPr>
    </w:p>
    <w:p w14:paraId="51A35175" w14:textId="77777777" w:rsidR="00F91711" w:rsidRPr="00C35766" w:rsidRDefault="00F91711" w:rsidP="00F91711">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Soluzione di aspetto da limpido a opalescente, da incolore a tendente al marrone chiaro-giallastro.</w:t>
      </w:r>
    </w:p>
    <w:p w14:paraId="0178C8FA" w14:textId="77777777" w:rsidR="00F91711" w:rsidRPr="00C35766" w:rsidRDefault="00F91711" w:rsidP="00F91711">
      <w:pPr>
        <w:spacing w:line="260" w:lineRule="exact"/>
        <w:rPr>
          <w:rFonts w:ascii="Times New Roman" w:hAnsi="Times New Roman" w:cs="Times New Roman"/>
          <w:lang w:val="it-IT"/>
        </w:rPr>
      </w:pPr>
    </w:p>
    <w:p w14:paraId="11C2DFA3" w14:textId="77777777" w:rsidR="00F91711" w:rsidRPr="00C35766" w:rsidRDefault="00F91711" w:rsidP="00F91711">
      <w:pPr>
        <w:spacing w:line="260" w:lineRule="exact"/>
        <w:rPr>
          <w:rFonts w:ascii="Times New Roman" w:hAnsi="Times New Roman" w:cs="Times New Roman"/>
          <w:lang w:val="it-IT"/>
        </w:rPr>
      </w:pPr>
    </w:p>
    <w:p w14:paraId="7C0A2842" w14:textId="77777777" w:rsidR="00F91711" w:rsidRPr="00C35766" w:rsidRDefault="00F91711" w:rsidP="00933A6C">
      <w:pPr>
        <w:widowControl/>
        <w:numPr>
          <w:ilvl w:val="0"/>
          <w:numId w:val="52"/>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INFORMAZIONI CLINICHE</w:t>
      </w:r>
    </w:p>
    <w:p w14:paraId="2CB77296" w14:textId="77777777" w:rsidR="00F91711" w:rsidRPr="00C35766" w:rsidRDefault="00F91711" w:rsidP="00F91711">
      <w:pPr>
        <w:pStyle w:val="a4"/>
        <w:tabs>
          <w:tab w:val="left" w:pos="672"/>
        </w:tabs>
        <w:rPr>
          <w:rFonts w:ascii="Times New Roman" w:eastAsia="Times New Roman" w:hAnsi="Times New Roman" w:cs="Times New Roman"/>
          <w:b/>
          <w:noProof/>
          <w:lang w:val="en-GB"/>
        </w:rPr>
      </w:pPr>
    </w:p>
    <w:p w14:paraId="14B3B771"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rPr>
      </w:pPr>
      <w:r w:rsidRPr="00C35766">
        <w:rPr>
          <w:rFonts w:ascii="Times New Roman" w:eastAsia="Times New Roman" w:hAnsi="Times New Roman" w:cs="Times New Roman"/>
          <w:b/>
          <w:bCs/>
          <w:noProof/>
          <w:lang w:val="it-IT"/>
        </w:rPr>
        <w:t>Indicazioni terapeutiche</w:t>
      </w:r>
    </w:p>
    <w:p w14:paraId="4D912073" w14:textId="77777777" w:rsidR="00F91711" w:rsidRPr="00C35766" w:rsidRDefault="00F91711" w:rsidP="00F91711">
      <w:pPr>
        <w:spacing w:line="240" w:lineRule="exact"/>
        <w:rPr>
          <w:rFonts w:ascii="Times New Roman" w:hAnsi="Times New Roman" w:cs="Times New Roman"/>
        </w:rPr>
      </w:pPr>
    </w:p>
    <w:p w14:paraId="5396B0AC" w14:textId="77777777" w:rsidR="00F91711" w:rsidRPr="00C35766" w:rsidRDefault="00F91711" w:rsidP="00F91711">
      <w:pPr>
        <w:pStyle w:val="a3"/>
        <w:rPr>
          <w:u w:val="single"/>
        </w:rPr>
      </w:pPr>
      <w:r w:rsidRPr="00C35766">
        <w:rPr>
          <w:rFonts w:eastAsia="Times New Roman"/>
          <w:u w:val="single" w:color="000000"/>
          <w:lang w:val="it-IT"/>
        </w:rPr>
        <w:t>Artrite reumatoide</w:t>
      </w:r>
    </w:p>
    <w:p w14:paraId="5704889B" w14:textId="77777777" w:rsidR="00F91711" w:rsidRPr="00C35766" w:rsidRDefault="00F91711" w:rsidP="00F91711">
      <w:pPr>
        <w:spacing w:line="170" w:lineRule="exact"/>
        <w:rPr>
          <w:rFonts w:ascii="Times New Roman" w:hAnsi="Times New Roman" w:cs="Times New Roman"/>
        </w:rPr>
      </w:pPr>
    </w:p>
    <w:p w14:paraId="63F97F25" w14:textId="77777777" w:rsidR="00F91711" w:rsidRPr="00C35766" w:rsidRDefault="00F91711" w:rsidP="00F91711">
      <w:pPr>
        <w:pStyle w:val="a3"/>
        <w:rPr>
          <w:lang w:val="it-IT"/>
        </w:rPr>
      </w:pPr>
      <w:r w:rsidRPr="00C35766">
        <w:rPr>
          <w:rFonts w:eastAsia="Times New Roman"/>
          <w:lang w:val="it-IT"/>
        </w:rPr>
        <w:t>Yuflyma in associazione con metotressato, è indicato per:</w:t>
      </w:r>
    </w:p>
    <w:p w14:paraId="758F8A4D" w14:textId="77777777" w:rsidR="00F91711" w:rsidRPr="00C35766" w:rsidRDefault="00F91711" w:rsidP="00F91711">
      <w:pPr>
        <w:spacing w:line="240" w:lineRule="exact"/>
        <w:rPr>
          <w:rFonts w:ascii="Times New Roman" w:hAnsi="Times New Roman" w:cs="Times New Roman"/>
          <w:lang w:val="it-IT"/>
        </w:rPr>
      </w:pPr>
    </w:p>
    <w:p w14:paraId="1EB9A057" w14:textId="77777777" w:rsidR="00F91711" w:rsidRPr="00C35766" w:rsidRDefault="00F91711" w:rsidP="00F91711">
      <w:pPr>
        <w:pStyle w:val="a3"/>
        <w:numPr>
          <w:ilvl w:val="0"/>
          <w:numId w:val="14"/>
        </w:numPr>
        <w:ind w:left="660" w:hanging="660"/>
        <w:rPr>
          <w:lang w:val="it-IT"/>
        </w:rPr>
      </w:pPr>
      <w:r w:rsidRPr="00C35766">
        <w:rPr>
          <w:rFonts w:eastAsia="Times New Roman"/>
          <w:lang w:val="it-IT"/>
        </w:rPr>
        <w:t>il trattamento di pazienti adulti affetti da artrite reumatoide attiva di grado da moderato a severo quando la risposta ai farmaci anti-reumatici modificanti la malattia (Disease Modifying Anti-Rheumatic Drugs – DMARD), compreso il metotressato, risulta inadeguata.</w:t>
      </w:r>
    </w:p>
    <w:p w14:paraId="5248E087" w14:textId="77777777" w:rsidR="00F91711" w:rsidRPr="00C35766" w:rsidRDefault="00F91711" w:rsidP="00F91711">
      <w:pPr>
        <w:pStyle w:val="a3"/>
        <w:numPr>
          <w:ilvl w:val="0"/>
          <w:numId w:val="14"/>
        </w:numPr>
        <w:ind w:left="660" w:hanging="660"/>
        <w:rPr>
          <w:lang w:val="it-IT"/>
        </w:rPr>
      </w:pPr>
      <w:r w:rsidRPr="00C35766">
        <w:rPr>
          <w:rFonts w:eastAsia="Times New Roman"/>
          <w:lang w:val="it-IT"/>
        </w:rPr>
        <w:t>il trattamento dell’artrite reumatoide severa, attiva e progressiva in adulti non precedentemente trattati con metotressato.</w:t>
      </w:r>
    </w:p>
    <w:p w14:paraId="50DA7A5A" w14:textId="77777777" w:rsidR="00F91711" w:rsidRPr="00C35766" w:rsidRDefault="00F91711" w:rsidP="00F91711">
      <w:pPr>
        <w:spacing w:line="240" w:lineRule="exact"/>
        <w:rPr>
          <w:rFonts w:ascii="Times New Roman" w:hAnsi="Times New Roman" w:cs="Times New Roman"/>
          <w:lang w:val="it-IT"/>
        </w:rPr>
      </w:pPr>
    </w:p>
    <w:p w14:paraId="6894AA55" w14:textId="77777777" w:rsidR="00F91711" w:rsidRPr="00C35766" w:rsidRDefault="00F91711" w:rsidP="00F91711">
      <w:pPr>
        <w:pStyle w:val="a3"/>
        <w:rPr>
          <w:lang w:val="it-IT"/>
        </w:rPr>
      </w:pPr>
      <w:r w:rsidRPr="00C35766">
        <w:rPr>
          <w:rFonts w:eastAsia="Times New Roman"/>
          <w:lang w:val="it-IT"/>
        </w:rPr>
        <w:t>Yuflyma può essere somministrato come monoterapia in caso di intolleranza al metotressato o quando il trattamento continuato con metotressato non è appropriato.</w:t>
      </w:r>
    </w:p>
    <w:p w14:paraId="2A575E57" w14:textId="77777777" w:rsidR="00F91711" w:rsidRPr="00C35766" w:rsidRDefault="00F91711" w:rsidP="00F91711">
      <w:pPr>
        <w:spacing w:line="240" w:lineRule="exact"/>
        <w:rPr>
          <w:rFonts w:ascii="Times New Roman" w:hAnsi="Times New Roman" w:cs="Times New Roman"/>
          <w:lang w:val="it-IT"/>
        </w:rPr>
      </w:pPr>
    </w:p>
    <w:p w14:paraId="74CAF2D0" w14:textId="77777777" w:rsidR="00F91711" w:rsidRPr="00C35766" w:rsidRDefault="00F91711" w:rsidP="00F91711">
      <w:pPr>
        <w:pStyle w:val="a3"/>
        <w:rPr>
          <w:lang w:val="it-IT"/>
        </w:rPr>
      </w:pPr>
      <w:r w:rsidRPr="00C35766">
        <w:rPr>
          <w:rFonts w:eastAsia="Times New Roman"/>
          <w:lang w:val="it-IT" w:eastAsia="ko-KR"/>
        </w:rPr>
        <w:t xml:space="preserve">È stato dimostrato che adalimumab riduce il tasso di progressione del danno articolare, valutato radiograficamente, e migliora la funzionalità fisica, quando somministrato in associazione con </w:t>
      </w:r>
      <w:r w:rsidRPr="00C35766">
        <w:rPr>
          <w:rFonts w:eastAsia="Times New Roman"/>
          <w:lang w:val="it-IT" w:eastAsia="ko-KR"/>
        </w:rPr>
        <w:lastRenderedPageBreak/>
        <w:t>metotressato.</w:t>
      </w:r>
    </w:p>
    <w:p w14:paraId="28D21325" w14:textId="77777777" w:rsidR="00F91711" w:rsidRPr="00C35766" w:rsidRDefault="00F91711" w:rsidP="00F91711">
      <w:pPr>
        <w:pStyle w:val="a3"/>
        <w:rPr>
          <w:u w:color="000000"/>
          <w:lang w:val="it-IT"/>
        </w:rPr>
      </w:pPr>
    </w:p>
    <w:p w14:paraId="38E1C115" w14:textId="77777777" w:rsidR="00F91711" w:rsidRPr="00BD232C" w:rsidRDefault="00F91711" w:rsidP="00F91711">
      <w:pPr>
        <w:pStyle w:val="a3"/>
        <w:rPr>
          <w:u w:val="single"/>
        </w:rPr>
      </w:pPr>
      <w:r w:rsidRPr="00C35766">
        <w:rPr>
          <w:rFonts w:eastAsia="Times New Roman"/>
          <w:u w:val="single" w:color="000000"/>
          <w:lang w:val="it-IT"/>
        </w:rPr>
        <w:t>Psoriasi</w:t>
      </w:r>
    </w:p>
    <w:p w14:paraId="47B9029E" w14:textId="77777777" w:rsidR="00F91711" w:rsidRPr="00BD232C" w:rsidRDefault="00F91711" w:rsidP="00F91711">
      <w:pPr>
        <w:spacing w:line="180" w:lineRule="exact"/>
        <w:rPr>
          <w:rFonts w:ascii="Times New Roman" w:hAnsi="Times New Roman" w:cs="Times New Roman"/>
        </w:rPr>
      </w:pPr>
    </w:p>
    <w:p w14:paraId="74634560" w14:textId="5FFA47B9" w:rsidR="00F91711" w:rsidRPr="00BD232C" w:rsidRDefault="00F91711" w:rsidP="00F91711">
      <w:pPr>
        <w:pStyle w:val="a3"/>
      </w:pPr>
      <w:r w:rsidRPr="00C35766">
        <w:rPr>
          <w:rFonts w:eastAsia="Times New Roman"/>
          <w:lang w:val="it-IT"/>
        </w:rPr>
        <w:t>Yuflyma è indicato per il trattamento della psoriasi cronica a placche di grado da moderato a severo, in pazienti adulti candidati alla terapia sistemica.</w:t>
      </w:r>
    </w:p>
    <w:p w14:paraId="1F696851" w14:textId="77777777" w:rsidR="00F91711" w:rsidRPr="00BD232C" w:rsidRDefault="00F91711" w:rsidP="00F91711">
      <w:pPr>
        <w:spacing w:line="240" w:lineRule="exact"/>
        <w:rPr>
          <w:rFonts w:ascii="Times New Roman" w:hAnsi="Times New Roman" w:cs="Times New Roman"/>
        </w:rPr>
      </w:pPr>
    </w:p>
    <w:p w14:paraId="29D3A965" w14:textId="77777777" w:rsidR="00F91711" w:rsidRPr="00BD232C" w:rsidRDefault="00F91711" w:rsidP="00F91711">
      <w:pPr>
        <w:pStyle w:val="a3"/>
        <w:keepNext/>
        <w:rPr>
          <w:u w:val="single"/>
        </w:rPr>
      </w:pPr>
      <w:r w:rsidRPr="00C35766">
        <w:rPr>
          <w:rFonts w:eastAsia="Times New Roman"/>
          <w:u w:val="single" w:color="000000"/>
          <w:lang w:val="it-IT"/>
        </w:rPr>
        <w:t>Idrosadenite Suppurativa (HS)</w:t>
      </w:r>
    </w:p>
    <w:p w14:paraId="3816437C" w14:textId="77777777" w:rsidR="00F91711" w:rsidRPr="00BD232C" w:rsidRDefault="00F91711" w:rsidP="00F91711">
      <w:pPr>
        <w:keepNext/>
        <w:spacing w:line="180" w:lineRule="exact"/>
        <w:rPr>
          <w:rFonts w:ascii="Times New Roman" w:hAnsi="Times New Roman" w:cs="Times New Roman"/>
        </w:rPr>
      </w:pPr>
    </w:p>
    <w:p w14:paraId="4927C3F0" w14:textId="77777777" w:rsidR="00F91711" w:rsidRPr="00BD232C" w:rsidRDefault="00F91711" w:rsidP="00F91711">
      <w:pPr>
        <w:pStyle w:val="a3"/>
      </w:pPr>
      <w:r w:rsidRPr="00C35766">
        <w:rPr>
          <w:rFonts w:eastAsia="Times New Roman"/>
          <w:lang w:val="it-IT"/>
        </w:rPr>
        <w:t>Yuflyma è indicato per il trattamento dell’Idrosadenite Suppurativa (acne inversa) attiva di grado da moderato a severo in adulti e adolescenti dai 12 anni di età con una risposta inadeguata alla terapia sistemica convenzionale per l’HS (vedere paragrafi 5.1 e 5.2).</w:t>
      </w:r>
    </w:p>
    <w:p w14:paraId="1594AA81" w14:textId="77777777" w:rsidR="00F91711" w:rsidRPr="00BD232C" w:rsidRDefault="00F91711" w:rsidP="00F91711">
      <w:pPr>
        <w:pStyle w:val="a3"/>
        <w:rPr>
          <w:u w:color="000000"/>
        </w:rPr>
      </w:pPr>
    </w:p>
    <w:p w14:paraId="035DC1F3" w14:textId="77777777" w:rsidR="00F91711" w:rsidRPr="00BD232C" w:rsidRDefault="00F91711" w:rsidP="00F91711">
      <w:pPr>
        <w:pStyle w:val="a3"/>
        <w:rPr>
          <w:u w:val="single"/>
        </w:rPr>
      </w:pPr>
      <w:r w:rsidRPr="00C35766">
        <w:rPr>
          <w:rFonts w:eastAsia="Times New Roman"/>
          <w:u w:val="single" w:color="000000"/>
          <w:lang w:val="it-IT"/>
        </w:rPr>
        <w:t>Malattia di Crohn</w:t>
      </w:r>
    </w:p>
    <w:p w14:paraId="3EE64BC3" w14:textId="77777777" w:rsidR="00F91711" w:rsidRPr="00BD232C" w:rsidRDefault="00F91711" w:rsidP="00F91711">
      <w:pPr>
        <w:spacing w:line="180" w:lineRule="exact"/>
        <w:rPr>
          <w:rFonts w:ascii="Times New Roman" w:hAnsi="Times New Roman" w:cs="Times New Roman"/>
        </w:rPr>
      </w:pPr>
    </w:p>
    <w:p w14:paraId="23F5526E" w14:textId="77777777" w:rsidR="00F91711" w:rsidRPr="00BD232C" w:rsidRDefault="00F91711" w:rsidP="00F91711">
      <w:pPr>
        <w:pStyle w:val="a3"/>
      </w:pPr>
      <w:r w:rsidRPr="00C35766">
        <w:rPr>
          <w:rFonts w:eastAsia="Times New Roman"/>
          <w:lang w:val="it-IT"/>
        </w:rPr>
        <w:t>Yuflyma è indicato nel trattamento della malattia di Crohn attiva di grado da moderato a severo in pazienti adulti che non hanno risposto ad un ciclo terapeutico completo ed adeguato a base di corticosteroidi e/o di un immunosoppressore, o nei pazienti intolleranti a tali terapie o che presentino controindicazioni mediche ad esse.</w:t>
      </w:r>
    </w:p>
    <w:p w14:paraId="15681098" w14:textId="77777777" w:rsidR="00F91711" w:rsidRPr="00BD232C" w:rsidRDefault="00F91711" w:rsidP="00F91711">
      <w:pPr>
        <w:spacing w:line="240" w:lineRule="exact"/>
        <w:rPr>
          <w:rFonts w:ascii="Times New Roman" w:hAnsi="Times New Roman" w:cs="Times New Roman"/>
        </w:rPr>
      </w:pPr>
    </w:p>
    <w:p w14:paraId="54514766" w14:textId="77777777" w:rsidR="00F91711" w:rsidRPr="00BD232C" w:rsidRDefault="00F91711" w:rsidP="00F91711">
      <w:pPr>
        <w:pStyle w:val="a3"/>
        <w:rPr>
          <w:u w:val="single"/>
        </w:rPr>
      </w:pPr>
      <w:r w:rsidRPr="00C35766">
        <w:rPr>
          <w:rFonts w:eastAsia="Times New Roman"/>
          <w:u w:val="single" w:color="000000"/>
          <w:lang w:val="it-IT"/>
        </w:rPr>
        <w:t>Malattia di Crohn in pazienti pediatrici</w:t>
      </w:r>
    </w:p>
    <w:p w14:paraId="4D2CE607" w14:textId="77777777" w:rsidR="00F91711" w:rsidRPr="00BD232C" w:rsidRDefault="00F91711" w:rsidP="00F91711">
      <w:pPr>
        <w:spacing w:line="170" w:lineRule="exact"/>
        <w:rPr>
          <w:rFonts w:ascii="Times New Roman" w:hAnsi="Times New Roman" w:cs="Times New Roman"/>
        </w:rPr>
      </w:pPr>
    </w:p>
    <w:p w14:paraId="4E816971" w14:textId="77777777" w:rsidR="00F91711" w:rsidRPr="00BD232C" w:rsidRDefault="00F91711" w:rsidP="00F91711">
      <w:pPr>
        <w:pStyle w:val="a3"/>
      </w:pPr>
      <w:r w:rsidRPr="00C35766">
        <w:rPr>
          <w:rFonts w:eastAsia="Times New Roman"/>
          <w:lang w:val="it-IT"/>
        </w:rPr>
        <w:t>Yuflyma è indicato nel trattamento della malattia di Crohn attiva di grado da moderato a severo nei pazienti pediatrici (dai 6 anni di età) che hanno avuto una risposta inadeguata alla terapia convenzionale, inclusa la terapia nutrizionale primaria e a una terapia a base di un corticosteroide e/o di un immunomodulatore, o che sono intolleranti o hanno controindicazioni a tali terapie.</w:t>
      </w:r>
    </w:p>
    <w:p w14:paraId="55B6F827" w14:textId="77777777" w:rsidR="00F91711" w:rsidRPr="00BD232C" w:rsidRDefault="00F91711" w:rsidP="00F91711">
      <w:pPr>
        <w:spacing w:line="240" w:lineRule="exact"/>
        <w:rPr>
          <w:rFonts w:ascii="Times New Roman" w:hAnsi="Times New Roman" w:cs="Times New Roman"/>
        </w:rPr>
      </w:pPr>
    </w:p>
    <w:p w14:paraId="675AE3C8" w14:textId="77777777" w:rsidR="00F91711" w:rsidRPr="00BD232C" w:rsidRDefault="00F91711" w:rsidP="00F91711">
      <w:pPr>
        <w:pStyle w:val="a3"/>
        <w:rPr>
          <w:u w:val="single"/>
        </w:rPr>
      </w:pPr>
      <w:r w:rsidRPr="00C35766">
        <w:rPr>
          <w:rFonts w:eastAsia="Times New Roman"/>
          <w:u w:val="single" w:color="000000"/>
          <w:lang w:val="it-IT"/>
        </w:rPr>
        <w:t>Colite ulcerosa</w:t>
      </w:r>
    </w:p>
    <w:p w14:paraId="24E153EA" w14:textId="77777777" w:rsidR="00F91711" w:rsidRPr="00BD232C" w:rsidRDefault="00F91711" w:rsidP="00F91711">
      <w:pPr>
        <w:spacing w:line="180" w:lineRule="exact"/>
        <w:rPr>
          <w:rFonts w:ascii="Times New Roman" w:hAnsi="Times New Roman" w:cs="Times New Roman"/>
        </w:rPr>
      </w:pPr>
    </w:p>
    <w:p w14:paraId="735CECD4" w14:textId="77777777" w:rsidR="00F91711" w:rsidRPr="00BD232C" w:rsidRDefault="00F91711" w:rsidP="00F91711">
      <w:pPr>
        <w:pStyle w:val="a3"/>
      </w:pPr>
      <w:r w:rsidRPr="00C35766">
        <w:rPr>
          <w:rFonts w:eastAsia="Times New Roman"/>
          <w:lang w:val="it-IT"/>
        </w:rPr>
        <w:t>Yuflyma è indicato nel trattamento della colite ulcerosa attiva di grado da moderato a severo in pazienti adulti che hanno manifestato una risposta inadeguata alla terapia convenzionale inclusi i corticosteroidi e la 6-mercaptopurina (6-MP) o l’azatioprina (AZA) o che sono intolleranti o presentano controindicazioni a tali terapie.</w:t>
      </w:r>
    </w:p>
    <w:p w14:paraId="4EF68364" w14:textId="77777777" w:rsidR="00F91711" w:rsidRPr="00BD232C" w:rsidRDefault="00F91711" w:rsidP="00F91711">
      <w:pPr>
        <w:spacing w:line="240" w:lineRule="exact"/>
        <w:rPr>
          <w:rFonts w:ascii="Times New Roman" w:hAnsi="Times New Roman" w:cs="Times New Roman"/>
        </w:rPr>
      </w:pPr>
    </w:p>
    <w:p w14:paraId="621B6F43" w14:textId="77777777" w:rsidR="00F91711" w:rsidRPr="004F0B2E" w:rsidRDefault="00F91711" w:rsidP="00F91711">
      <w:pPr>
        <w:rPr>
          <w:rFonts w:ascii="Times New Roman" w:hAnsi="Times New Roman" w:cs="Times New Roman"/>
          <w:u w:val="single"/>
          <w:lang w:val="it-IT"/>
        </w:rPr>
      </w:pPr>
      <w:r w:rsidRPr="004F0B2E">
        <w:rPr>
          <w:rFonts w:ascii="Times New Roman" w:hAnsi="Times New Roman" w:cs="Times New Roman"/>
          <w:u w:val="single"/>
          <w:lang w:val="it-IT"/>
        </w:rPr>
        <w:t>Colite ulcerosa pediatrica</w:t>
      </w:r>
    </w:p>
    <w:p w14:paraId="518858AC" w14:textId="77777777" w:rsidR="00F91711" w:rsidRPr="004F0B2E" w:rsidRDefault="00F91711" w:rsidP="00F91711">
      <w:pPr>
        <w:rPr>
          <w:rFonts w:ascii="Times New Roman" w:hAnsi="Times New Roman" w:cs="Times New Roman"/>
          <w:lang w:val="it-IT"/>
        </w:rPr>
      </w:pPr>
    </w:p>
    <w:p w14:paraId="76BE9792" w14:textId="77777777" w:rsidR="00F91711" w:rsidRPr="004F0B2E" w:rsidRDefault="00F91711" w:rsidP="00F91711">
      <w:pPr>
        <w:rPr>
          <w:rFonts w:ascii="Times New Roman" w:hAnsi="Times New Roman" w:cs="Times New Roman"/>
          <w:lang w:val="it-IT"/>
        </w:rPr>
      </w:pPr>
      <w:r w:rsidRPr="004F0B2E">
        <w:rPr>
          <w:rFonts w:ascii="Times New Roman" w:hAnsi="Times New Roman" w:cs="Times New Roman"/>
          <w:lang w:val="it-IT"/>
        </w:rPr>
        <w:t>Yuflyma è indicato per il trattamento della colite ulcerosa attiva di grado da moderato a severo in pazienti pediatrici (dai 6 anni di età) che hanno avuto una risposta inadeguata alla terapia convenzionale, inclusi corticosteroidi e/o 6-mercaptopurina (6-MP) o azatioprina (AZA), o che sono intolleranti o presentano controindicazioni per tali terapie.</w:t>
      </w:r>
    </w:p>
    <w:p w14:paraId="08C9BB1F" w14:textId="77777777" w:rsidR="00F91711" w:rsidRPr="00BD232C" w:rsidRDefault="00F91711" w:rsidP="00F91711">
      <w:pPr>
        <w:spacing w:line="240" w:lineRule="exact"/>
        <w:rPr>
          <w:rFonts w:ascii="Times New Roman" w:hAnsi="Times New Roman" w:cs="Times New Roman"/>
        </w:rPr>
      </w:pPr>
    </w:p>
    <w:p w14:paraId="3E1C4A23" w14:textId="77777777" w:rsidR="00F91711" w:rsidRPr="00BD232C" w:rsidRDefault="00F91711" w:rsidP="00F91711">
      <w:pPr>
        <w:pStyle w:val="a3"/>
        <w:rPr>
          <w:u w:val="single"/>
        </w:rPr>
      </w:pPr>
      <w:r w:rsidRPr="00C35766">
        <w:rPr>
          <w:rFonts w:eastAsia="Times New Roman"/>
          <w:u w:val="single" w:color="000000"/>
          <w:lang w:val="it-IT"/>
        </w:rPr>
        <w:t>Uveite</w:t>
      </w:r>
    </w:p>
    <w:p w14:paraId="5E54EB31" w14:textId="77777777" w:rsidR="00F91711" w:rsidRPr="00BD232C" w:rsidRDefault="00F91711" w:rsidP="00F91711">
      <w:pPr>
        <w:spacing w:line="180" w:lineRule="exact"/>
        <w:rPr>
          <w:rFonts w:ascii="Times New Roman" w:hAnsi="Times New Roman" w:cs="Times New Roman"/>
        </w:rPr>
      </w:pPr>
    </w:p>
    <w:p w14:paraId="7ACFA5C4" w14:textId="77777777" w:rsidR="00F91711" w:rsidRPr="00BD232C" w:rsidRDefault="00F91711" w:rsidP="00F91711">
      <w:pPr>
        <w:pStyle w:val="a3"/>
      </w:pPr>
      <w:r w:rsidRPr="00C35766">
        <w:rPr>
          <w:rFonts w:eastAsia="Times New Roman"/>
          <w:lang w:val="it-IT"/>
        </w:rPr>
        <w:t>Yuflyma è indicato per il trattamento dell’uveite non-infettiva intermedia, posteriore e panuveite in pazienti adulti che hanno avuto una risposta inadeguata ai corticosteroidi, in pazienti che necessitano di farmaci risparmiatori di corticosteroidi o nei quali il trattamento con corticosteroidi è inappropriato.</w:t>
      </w:r>
    </w:p>
    <w:p w14:paraId="0B1750C9" w14:textId="77777777" w:rsidR="00F91711" w:rsidRPr="00BD232C" w:rsidRDefault="00F91711" w:rsidP="00F91711">
      <w:pPr>
        <w:spacing w:line="240" w:lineRule="exact"/>
        <w:rPr>
          <w:rFonts w:ascii="Times New Roman" w:hAnsi="Times New Roman" w:cs="Times New Roman"/>
        </w:rPr>
      </w:pPr>
    </w:p>
    <w:p w14:paraId="1882D6CF" w14:textId="77777777" w:rsidR="00F91711" w:rsidRPr="00BD232C" w:rsidRDefault="00F91711" w:rsidP="00F91711">
      <w:pPr>
        <w:pStyle w:val="a3"/>
        <w:rPr>
          <w:u w:val="single"/>
        </w:rPr>
      </w:pPr>
      <w:r w:rsidRPr="00C35766">
        <w:rPr>
          <w:rFonts w:eastAsia="Times New Roman"/>
          <w:u w:val="single" w:color="000000"/>
          <w:lang w:val="it-IT"/>
        </w:rPr>
        <w:t>Uveite pediatrica</w:t>
      </w:r>
    </w:p>
    <w:p w14:paraId="6E7787FB" w14:textId="77777777" w:rsidR="00F91711" w:rsidRPr="00BD232C" w:rsidRDefault="00F91711" w:rsidP="00F91711">
      <w:pPr>
        <w:spacing w:line="180" w:lineRule="exact"/>
        <w:rPr>
          <w:rFonts w:ascii="Times New Roman" w:hAnsi="Times New Roman" w:cs="Times New Roman"/>
        </w:rPr>
      </w:pPr>
    </w:p>
    <w:p w14:paraId="7AA89EA4" w14:textId="77777777" w:rsidR="00F91711" w:rsidRPr="00BD232C" w:rsidRDefault="00F91711" w:rsidP="00F91711">
      <w:pPr>
        <w:pStyle w:val="a3"/>
      </w:pPr>
      <w:r w:rsidRPr="00C35766">
        <w:rPr>
          <w:rFonts w:eastAsia="Times New Roman"/>
          <w:lang w:val="it-IT"/>
        </w:rPr>
        <w:t>Yuflyma è indicato per il trattamento dell’uveite anteriore pediatrica cronica non infettiva nei pazienti dai 2 anni di età che hanno avuto una risposta inadeguata o sono intolleranti alla terapia convenzionale o per i quali la terapia convenzionale non è appropriata.</w:t>
      </w:r>
    </w:p>
    <w:p w14:paraId="31DB0086" w14:textId="77777777" w:rsidR="00F91711" w:rsidRPr="00BD232C" w:rsidRDefault="00F91711" w:rsidP="00F91711">
      <w:pPr>
        <w:spacing w:before="15" w:line="240" w:lineRule="exact"/>
        <w:rPr>
          <w:rFonts w:ascii="Times New Roman" w:hAnsi="Times New Roman" w:cs="Times New Roman"/>
        </w:rPr>
      </w:pPr>
    </w:p>
    <w:p w14:paraId="39AFF3C4"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Posologia e modo di somministrazione</w:t>
      </w:r>
    </w:p>
    <w:p w14:paraId="2E276CF0" w14:textId="77777777" w:rsidR="00F91711" w:rsidRPr="00C35766" w:rsidRDefault="00F91711" w:rsidP="00F91711">
      <w:pPr>
        <w:spacing w:before="9" w:line="240" w:lineRule="exact"/>
        <w:rPr>
          <w:rFonts w:ascii="Times New Roman" w:hAnsi="Times New Roman" w:cs="Times New Roman"/>
        </w:rPr>
      </w:pPr>
    </w:p>
    <w:p w14:paraId="398AF8A6" w14:textId="77777777" w:rsidR="00F91711" w:rsidRPr="00C35766" w:rsidRDefault="00F91711" w:rsidP="00F91711">
      <w:pPr>
        <w:pStyle w:val="a3"/>
        <w:rPr>
          <w:lang w:val="it-IT"/>
        </w:rPr>
      </w:pPr>
      <w:r w:rsidRPr="00C35766">
        <w:rPr>
          <w:rFonts w:eastAsia="Times New Roman"/>
          <w:lang w:val="it-IT"/>
        </w:rPr>
        <w:t xml:space="preserve">La terapia con Yuflyma deve essere iniziata e monitorata da medici specialisti con esperienza nella </w:t>
      </w:r>
      <w:r w:rsidRPr="00C35766">
        <w:rPr>
          <w:rFonts w:eastAsia="Times New Roman"/>
          <w:lang w:val="it-IT"/>
        </w:rPr>
        <w:lastRenderedPageBreak/>
        <w:t>diagnosi e nel trattamento delle patologie per cui Yuflyma è indicato. Gli oculisti sono invitati a consultare uno specialista appropriato prima di iniziare il trattamento con Yuflyma (vedere paragrafo 4.4). Ai pazienti trattati con Yuflyma deve essere consegnata una Scheda Promemoria per il Paziente.</w:t>
      </w:r>
    </w:p>
    <w:p w14:paraId="2371BA65" w14:textId="77777777" w:rsidR="00F91711" w:rsidRPr="00C35766" w:rsidRDefault="00F91711" w:rsidP="00F91711">
      <w:pPr>
        <w:spacing w:line="240" w:lineRule="exact"/>
        <w:rPr>
          <w:rFonts w:ascii="Times New Roman" w:hAnsi="Times New Roman" w:cs="Times New Roman"/>
          <w:lang w:val="it-IT"/>
        </w:rPr>
      </w:pPr>
    </w:p>
    <w:p w14:paraId="5D08701C" w14:textId="77777777" w:rsidR="00F91711" w:rsidRPr="00C35766" w:rsidRDefault="00F91711" w:rsidP="00F91711">
      <w:pPr>
        <w:pStyle w:val="a3"/>
        <w:rPr>
          <w:lang w:val="it-IT"/>
        </w:rPr>
      </w:pPr>
      <w:r w:rsidRPr="00C35766">
        <w:rPr>
          <w:rFonts w:eastAsia="Times New Roman"/>
          <w:lang w:val="it-IT"/>
        </w:rPr>
        <w:t>Dopo adeguate istruzioni sulla tecnica di iniezione di Yuflyma, i pazienti possono eseguire da soli l’iniezione, se il medico lo ritiene opportuno, e con controlli medici periodici, secondo necessità.</w:t>
      </w:r>
    </w:p>
    <w:p w14:paraId="27C1BD96" w14:textId="77777777" w:rsidR="00F91711" w:rsidRPr="00C35766" w:rsidRDefault="00F91711" w:rsidP="00F91711">
      <w:pPr>
        <w:spacing w:line="240" w:lineRule="exact"/>
        <w:rPr>
          <w:rFonts w:ascii="Times New Roman" w:hAnsi="Times New Roman" w:cs="Times New Roman"/>
          <w:lang w:val="it-IT"/>
        </w:rPr>
      </w:pPr>
    </w:p>
    <w:p w14:paraId="4E92EE0C" w14:textId="77777777" w:rsidR="00F91711" w:rsidRPr="00C35766" w:rsidRDefault="00F91711" w:rsidP="00F91711">
      <w:pPr>
        <w:pStyle w:val="a3"/>
        <w:rPr>
          <w:lang w:val="pt-BR"/>
        </w:rPr>
      </w:pPr>
      <w:r w:rsidRPr="00C35766">
        <w:rPr>
          <w:rFonts w:eastAsia="Times New Roman"/>
          <w:lang w:val="it-IT"/>
        </w:rPr>
        <w:t>Durante il trattamento con Yuflyma, le altre terapie concomitanti (per esempio i corticosteroidi e/o gli agenti immunomodulatori) devono essere ottimizzate.</w:t>
      </w:r>
    </w:p>
    <w:p w14:paraId="75C311EE" w14:textId="77777777" w:rsidR="00F91711" w:rsidRPr="00C35766" w:rsidRDefault="00F91711" w:rsidP="00F91711">
      <w:pPr>
        <w:pStyle w:val="a3"/>
        <w:rPr>
          <w:lang w:val="pt-BR"/>
        </w:rPr>
      </w:pPr>
    </w:p>
    <w:p w14:paraId="6F3994AF" w14:textId="77777777" w:rsidR="00F91711" w:rsidRPr="00C35766" w:rsidRDefault="00F91711" w:rsidP="00F91711">
      <w:pPr>
        <w:pStyle w:val="a3"/>
        <w:rPr>
          <w:u w:val="single"/>
          <w:lang w:val="it-IT"/>
        </w:rPr>
      </w:pPr>
      <w:r w:rsidRPr="00C35766">
        <w:rPr>
          <w:rFonts w:eastAsia="Times New Roman"/>
          <w:u w:val="single" w:color="000000"/>
          <w:lang w:val="it-IT"/>
        </w:rPr>
        <w:t>Posologia</w:t>
      </w:r>
    </w:p>
    <w:p w14:paraId="0F0A01AD" w14:textId="77777777" w:rsidR="00F91711" w:rsidRPr="00C35766" w:rsidRDefault="00F91711" w:rsidP="00F91711">
      <w:pPr>
        <w:spacing w:line="170" w:lineRule="exact"/>
        <w:rPr>
          <w:rFonts w:ascii="Times New Roman" w:hAnsi="Times New Roman" w:cs="Times New Roman"/>
          <w:lang w:val="it-IT"/>
        </w:rPr>
      </w:pPr>
    </w:p>
    <w:p w14:paraId="0DEF0651" w14:textId="77777777" w:rsidR="00F91711" w:rsidRPr="00C35766" w:rsidRDefault="00F91711" w:rsidP="00F91711">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Artrite reumatoide</w:t>
      </w:r>
    </w:p>
    <w:p w14:paraId="25D21B4F" w14:textId="77777777" w:rsidR="00F91711" w:rsidRPr="00C35766" w:rsidRDefault="00F91711" w:rsidP="00F91711">
      <w:pPr>
        <w:spacing w:line="240" w:lineRule="exact"/>
        <w:rPr>
          <w:rFonts w:ascii="Times New Roman" w:hAnsi="Times New Roman" w:cs="Times New Roman"/>
          <w:lang w:val="it-IT"/>
        </w:rPr>
      </w:pPr>
    </w:p>
    <w:p w14:paraId="086E5CED" w14:textId="77777777" w:rsidR="00F91711" w:rsidRPr="00C35766" w:rsidRDefault="00F91711" w:rsidP="00F91711">
      <w:pPr>
        <w:pStyle w:val="a3"/>
        <w:rPr>
          <w:lang w:val="pt-BR"/>
        </w:rPr>
      </w:pPr>
      <w:r w:rsidRPr="00C35766">
        <w:rPr>
          <w:rFonts w:eastAsia="Times New Roman"/>
          <w:lang w:val="it-IT"/>
        </w:rPr>
        <w:t>La dose di Yuflyma indicata per i pazienti adulti con artrite reumatoide è di 40 mg di adalimumab in un’unica dose ogni due settimane tramite iniezione per via sottocutanea. Il metotressato deve essere continuato durante il trattamento con Yuflyma.</w:t>
      </w:r>
    </w:p>
    <w:p w14:paraId="0CEF9E8F" w14:textId="77777777" w:rsidR="00F91711" w:rsidRPr="00C35766" w:rsidRDefault="00F91711" w:rsidP="00F91711">
      <w:pPr>
        <w:pStyle w:val="a3"/>
        <w:rPr>
          <w:lang w:val="pt-BR"/>
        </w:rPr>
      </w:pPr>
    </w:p>
    <w:p w14:paraId="5FA278BD" w14:textId="0C4879A9" w:rsidR="00F91711" w:rsidRPr="00C35766" w:rsidRDefault="00F91711" w:rsidP="00F91711">
      <w:pPr>
        <w:pStyle w:val="a3"/>
        <w:rPr>
          <w:lang w:val="it-IT"/>
        </w:rPr>
      </w:pPr>
      <w:r w:rsidRPr="00C35766">
        <w:rPr>
          <w:rFonts w:eastAsia="Times New Roman"/>
          <w:lang w:val="it-IT"/>
        </w:rPr>
        <w:t xml:space="preserve">Glucocorticoidi, salicilati, farmaci anti-infiammatori non-steroidei </w:t>
      </w:r>
      <w:r w:rsidR="00E415A0">
        <w:rPr>
          <w:rFonts w:eastAsia="Times New Roman"/>
          <w:lang w:val="it-IT"/>
        </w:rPr>
        <w:t xml:space="preserve">(FANS) </w:t>
      </w:r>
      <w:r w:rsidRPr="00C35766">
        <w:rPr>
          <w:rFonts w:eastAsia="Times New Roman"/>
          <w:lang w:val="it-IT"/>
        </w:rPr>
        <w:t>o analgesici possono essere continuati in corso di terapia con Yuflyma. Per quanto riguarda l’associazione</w:t>
      </w:r>
      <w:r w:rsidR="00D646B1">
        <w:rPr>
          <w:rFonts w:eastAsia="Times New Roman"/>
          <w:lang w:val="it-IT"/>
        </w:rPr>
        <w:t xml:space="preserve"> </w:t>
      </w:r>
      <w:r w:rsidRPr="00C35766">
        <w:rPr>
          <w:rFonts w:eastAsia="Times New Roman"/>
          <w:lang w:val="it-IT"/>
        </w:rPr>
        <w:t>con altri DMARD diversi dal metotressato vedere paragrafi 4.4 e 5.1.</w:t>
      </w:r>
    </w:p>
    <w:p w14:paraId="76FECB9D" w14:textId="77777777" w:rsidR="00F91711" w:rsidRPr="00C35766" w:rsidRDefault="00F91711" w:rsidP="00F91711">
      <w:pPr>
        <w:spacing w:line="240" w:lineRule="exact"/>
        <w:rPr>
          <w:rFonts w:ascii="Times New Roman" w:hAnsi="Times New Roman" w:cs="Times New Roman"/>
          <w:lang w:val="it-IT"/>
        </w:rPr>
      </w:pPr>
    </w:p>
    <w:p w14:paraId="27D647E3" w14:textId="77777777" w:rsidR="00F91711" w:rsidRPr="00C35766" w:rsidRDefault="00F91711" w:rsidP="00F91711">
      <w:pPr>
        <w:pStyle w:val="a3"/>
        <w:rPr>
          <w:lang w:val="it-IT"/>
        </w:rPr>
      </w:pPr>
      <w:r w:rsidRPr="00C35766">
        <w:rPr>
          <w:rFonts w:eastAsia="Times New Roman"/>
          <w:lang w:val="it-IT"/>
        </w:rPr>
        <w:t>Alcuni pazienti che in monoterapia mostrano una riduzione nella risposta a 40 mg di Yuflyma a settimane alterne possono beneficiare di un aumento del dosaggio a 40 mg di adalimumab ogni settimana o 80 mg a settimane alterne.</w:t>
      </w:r>
    </w:p>
    <w:p w14:paraId="6290A10F" w14:textId="77777777" w:rsidR="00F91711" w:rsidRPr="00C35766" w:rsidRDefault="00F91711" w:rsidP="00F91711">
      <w:pPr>
        <w:spacing w:line="240" w:lineRule="exact"/>
        <w:rPr>
          <w:rFonts w:ascii="Times New Roman" w:hAnsi="Times New Roman" w:cs="Times New Roman"/>
          <w:lang w:val="it-IT"/>
        </w:rPr>
      </w:pPr>
    </w:p>
    <w:p w14:paraId="617FB53B" w14:textId="77777777" w:rsidR="00F91711" w:rsidRPr="00C35766" w:rsidRDefault="00F91711" w:rsidP="00F91711">
      <w:pPr>
        <w:pStyle w:val="a3"/>
        <w:rPr>
          <w:lang w:val="it-IT"/>
        </w:rPr>
      </w:pPr>
      <w:r w:rsidRPr="00C35766">
        <w:rPr>
          <w:rFonts w:eastAsia="Times New Roman"/>
          <w:lang w:val="it-IT"/>
        </w:rPr>
        <w:t>I dati disponibili suggeriscono che la risposta clinica viene di solito ottenuta entro 12 settimane di trattamento. In un paziente che non risponde entro questo periodo di tempo, la continuazione della terapia deve essere riconsiderata.</w:t>
      </w:r>
    </w:p>
    <w:p w14:paraId="18502310" w14:textId="77777777" w:rsidR="00F91711" w:rsidRPr="00C35766" w:rsidRDefault="00F91711" w:rsidP="00F91711">
      <w:pPr>
        <w:spacing w:line="240" w:lineRule="exact"/>
        <w:rPr>
          <w:rFonts w:ascii="Times New Roman" w:hAnsi="Times New Roman" w:cs="Times New Roman"/>
          <w:lang w:val="es-ES"/>
        </w:rPr>
      </w:pPr>
    </w:p>
    <w:p w14:paraId="555DED22" w14:textId="77777777" w:rsidR="00F91711" w:rsidRPr="00C35766" w:rsidRDefault="00F91711" w:rsidP="00F91711">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Psoriasi</w:t>
      </w:r>
    </w:p>
    <w:p w14:paraId="0F5F26C4" w14:textId="77777777" w:rsidR="00F91711" w:rsidRPr="00C35766" w:rsidRDefault="00F91711" w:rsidP="00F91711">
      <w:pPr>
        <w:spacing w:line="240" w:lineRule="exact"/>
        <w:rPr>
          <w:rFonts w:ascii="Times New Roman" w:hAnsi="Times New Roman" w:cs="Times New Roman"/>
          <w:lang w:val="es-ES"/>
        </w:rPr>
      </w:pPr>
    </w:p>
    <w:p w14:paraId="505EF8E1" w14:textId="5FF597F9" w:rsidR="00F91711" w:rsidRPr="00C35766" w:rsidRDefault="00F91711" w:rsidP="00F91711">
      <w:pPr>
        <w:pStyle w:val="a3"/>
        <w:rPr>
          <w:lang w:val="es-ES"/>
        </w:rPr>
      </w:pPr>
      <w:r w:rsidRPr="00C35766">
        <w:rPr>
          <w:rFonts w:eastAsia="Times New Roman"/>
          <w:lang w:val="it-IT"/>
        </w:rPr>
        <w:t>La dose raccomandata di Yuflyma per i pazienti adulti è costituita da una dose iniziale pari a 80 mg, somministrati per via sottocutanea, seguita da una dose pari a 40 mg, per via sottocutanea, somministrati a settimane alterne, ad iniziare dalla settimana successiva all’assunzione della dose iniziale. Yuflyma 40 mg soluzione iniettabile in siringa pre</w:t>
      </w:r>
      <w:r w:rsidR="00C55A85">
        <w:rPr>
          <w:rFonts w:eastAsia="Times New Roman"/>
          <w:lang w:val="it-IT"/>
        </w:rPr>
        <w:t>-</w:t>
      </w:r>
      <w:r w:rsidRPr="00C35766">
        <w:rPr>
          <w:rFonts w:eastAsia="Times New Roman"/>
          <w:lang w:val="it-IT"/>
        </w:rPr>
        <w:t>riempita e/o penna pre</w:t>
      </w:r>
      <w:r w:rsidR="00BD2AAA">
        <w:rPr>
          <w:rFonts w:eastAsia="Times New Roman"/>
          <w:lang w:val="it-IT"/>
        </w:rPr>
        <w:t>-</w:t>
      </w:r>
      <w:r w:rsidRPr="00C35766">
        <w:rPr>
          <w:rFonts w:eastAsia="Times New Roman"/>
          <w:lang w:val="it-IT"/>
        </w:rPr>
        <w:t>riempita è disponibile per la dose di mantenimento.</w:t>
      </w:r>
    </w:p>
    <w:p w14:paraId="667EBB1C" w14:textId="77777777" w:rsidR="00F91711" w:rsidRPr="00C35766" w:rsidRDefault="00F91711" w:rsidP="00F91711">
      <w:pPr>
        <w:spacing w:line="240" w:lineRule="exact"/>
        <w:rPr>
          <w:rFonts w:ascii="Times New Roman" w:hAnsi="Times New Roman" w:cs="Times New Roman"/>
          <w:lang w:val="es-ES"/>
        </w:rPr>
      </w:pPr>
    </w:p>
    <w:p w14:paraId="26DD062D" w14:textId="77777777" w:rsidR="00F91711" w:rsidRPr="00C35766" w:rsidRDefault="00F91711" w:rsidP="00F91711">
      <w:pPr>
        <w:pStyle w:val="a3"/>
        <w:rPr>
          <w:lang w:val="es-ES"/>
        </w:rPr>
      </w:pPr>
      <w:r w:rsidRPr="00C35766">
        <w:rPr>
          <w:rFonts w:eastAsia="Times New Roman"/>
          <w:lang w:val="it-IT"/>
        </w:rPr>
        <w:t>Sarebbe opportuno valutare attentamente se sia il caso di proseguire la terapia oltre le 16 settimane qualora i pazienti non abbiano sviluppato una risposta soddisfacente entro tale periodo.</w:t>
      </w:r>
    </w:p>
    <w:p w14:paraId="0842C07F" w14:textId="77777777" w:rsidR="00F91711" w:rsidRPr="00C35766" w:rsidRDefault="00F91711" w:rsidP="00F91711">
      <w:pPr>
        <w:spacing w:line="240" w:lineRule="exact"/>
        <w:rPr>
          <w:rFonts w:ascii="Times New Roman" w:hAnsi="Times New Roman" w:cs="Times New Roman"/>
          <w:lang w:val="es-ES"/>
        </w:rPr>
      </w:pPr>
    </w:p>
    <w:p w14:paraId="03DF7AF1" w14:textId="77777777" w:rsidR="00F91711" w:rsidRPr="00C35766" w:rsidRDefault="00F91711" w:rsidP="00F91711">
      <w:pPr>
        <w:pStyle w:val="a3"/>
        <w:rPr>
          <w:lang w:val="it-IT"/>
        </w:rPr>
      </w:pPr>
      <w:r w:rsidRPr="00C35766">
        <w:rPr>
          <w:rFonts w:eastAsia="Times New Roman"/>
          <w:lang w:val="it-IT"/>
        </w:rPr>
        <w:t>Dopo 16 settimane, i pazienti con una risposta inadeguata a 40 mg di Yuflyma a settimane alterne possono beneficiare di un incremento del dosaggio a 40 mg ogni settimana o 80 mg a settimane alterne. Devono essere attentamente riconsiderati i benefici e i rischi della terapia settimanale continuativa con 40 mg o 80 mg a settimane alterne in pazienti con una risposta inadeguata dopo l’aumento del dosaggio (vedere paragrafo 5.1). Se si ottiene una risposta adeguata con 40 mg ogni settimana o 80 mg a settimane alterne, il dosaggio può essere successivamente ridotto a 40 mg a settimane alterne.</w:t>
      </w:r>
    </w:p>
    <w:p w14:paraId="2F7C28DF" w14:textId="77777777" w:rsidR="00F91711" w:rsidRPr="00C35766" w:rsidRDefault="00F91711" w:rsidP="00F91711">
      <w:pPr>
        <w:pStyle w:val="a3"/>
        <w:rPr>
          <w:lang w:val="it-IT"/>
        </w:rPr>
      </w:pPr>
    </w:p>
    <w:p w14:paraId="4938CB21" w14:textId="77777777" w:rsidR="00F91711" w:rsidRPr="00C35766" w:rsidRDefault="00F91711" w:rsidP="00F91711">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Idrosadenite suppurativa</w:t>
      </w:r>
    </w:p>
    <w:p w14:paraId="22D57BD8" w14:textId="77777777" w:rsidR="00F91711" w:rsidRPr="00C35766" w:rsidRDefault="00F91711" w:rsidP="00F91711">
      <w:pPr>
        <w:spacing w:line="240" w:lineRule="exact"/>
        <w:rPr>
          <w:rFonts w:ascii="Times New Roman" w:hAnsi="Times New Roman" w:cs="Times New Roman"/>
          <w:lang w:val="it-IT"/>
        </w:rPr>
      </w:pPr>
    </w:p>
    <w:p w14:paraId="72FCD28D" w14:textId="3DCCF1F9" w:rsidR="00F91711" w:rsidRPr="00C35766" w:rsidRDefault="00F91711" w:rsidP="00F91711">
      <w:pPr>
        <w:pStyle w:val="a3"/>
        <w:rPr>
          <w:lang w:val="it-IT"/>
        </w:rPr>
      </w:pPr>
      <w:r w:rsidRPr="00C35766">
        <w:rPr>
          <w:rFonts w:eastAsia="Times New Roman"/>
          <w:lang w:val="it-IT"/>
        </w:rPr>
        <w:t xml:space="preserve">La dose raccomandata di Yuflyma per i pazienti adulti con idrosadenite suppurativa (HS) è inizialmente di 160 mg al giorno 1 (somministrata in due iniezioni da 80 mg in un giorno o in una iniezione da 80 mg al giorno per due giorni consecutivi), seguita da 80 mg due settimane dopo al giorno 15. Due settimane dopo (giorno 29) continuare con una dose di 40 mg a settimana o 80 mg a settimane alterne. Se necessario, è </w:t>
      </w:r>
      <w:r w:rsidRPr="00C35766">
        <w:rPr>
          <w:rFonts w:eastAsia="Times New Roman"/>
          <w:lang w:val="it-IT"/>
        </w:rPr>
        <w:lastRenderedPageBreak/>
        <w:t>possibile continuare la terapia antibiotica durante il trattamento con Yuflyma. Durante il trattamento con Yuflyma si raccomanda ai pazienti di usare tutti i giorni una soluzione di lavaggio antisettica topica sulle lesioni correlate all’idrosadenite suppurativa (HS).</w:t>
      </w:r>
    </w:p>
    <w:p w14:paraId="68265731" w14:textId="77777777" w:rsidR="00F91711" w:rsidRPr="00C35766" w:rsidRDefault="00F91711" w:rsidP="00F91711">
      <w:pPr>
        <w:spacing w:line="240" w:lineRule="exact"/>
        <w:rPr>
          <w:rFonts w:ascii="Times New Roman" w:hAnsi="Times New Roman" w:cs="Times New Roman"/>
          <w:lang w:val="it-IT"/>
        </w:rPr>
      </w:pPr>
    </w:p>
    <w:p w14:paraId="21EBE944" w14:textId="77777777" w:rsidR="00F91711" w:rsidRPr="00C35766" w:rsidRDefault="00F91711" w:rsidP="00F91711">
      <w:pPr>
        <w:pStyle w:val="a3"/>
        <w:rPr>
          <w:lang w:val="it-IT"/>
        </w:rPr>
      </w:pPr>
      <w:r w:rsidRPr="00C35766">
        <w:rPr>
          <w:rFonts w:eastAsia="Times New Roman"/>
          <w:lang w:val="it-IT"/>
        </w:rPr>
        <w:t>La prosecuzione della terapia oltre 12 settimane di trattamento deve essere valutata attentamente se i pazienti non sono migliorati in tale periodo.</w:t>
      </w:r>
    </w:p>
    <w:p w14:paraId="72608FD8" w14:textId="77777777" w:rsidR="00F91711" w:rsidRPr="00C35766" w:rsidRDefault="00F91711" w:rsidP="00F91711">
      <w:pPr>
        <w:spacing w:line="240" w:lineRule="exact"/>
        <w:rPr>
          <w:rFonts w:ascii="Times New Roman" w:hAnsi="Times New Roman" w:cs="Times New Roman"/>
          <w:lang w:val="it-IT"/>
        </w:rPr>
      </w:pPr>
    </w:p>
    <w:p w14:paraId="7D7B4FDF" w14:textId="77777777" w:rsidR="00F91711" w:rsidRPr="00C35766" w:rsidRDefault="00F91711" w:rsidP="00F91711">
      <w:pPr>
        <w:pStyle w:val="a3"/>
        <w:rPr>
          <w:lang w:val="pt-BR"/>
        </w:rPr>
      </w:pPr>
      <w:r w:rsidRPr="00C35766">
        <w:rPr>
          <w:rFonts w:eastAsia="Times New Roman"/>
          <w:lang w:val="it-IT"/>
        </w:rPr>
        <w:t>Laddove fosse necessario interrompere il trattamento, è possibile riprendere la terapia con Yuflyma 40 mg ogni settimana o 80 mg a settimane alterne (vedere paragrafo 5.1).</w:t>
      </w:r>
    </w:p>
    <w:p w14:paraId="7EB40855" w14:textId="77777777" w:rsidR="00F91711" w:rsidRPr="00C35766" w:rsidRDefault="00F91711" w:rsidP="00F91711">
      <w:pPr>
        <w:pStyle w:val="a3"/>
        <w:rPr>
          <w:lang w:val="pt-BR"/>
        </w:rPr>
      </w:pPr>
    </w:p>
    <w:p w14:paraId="5BB09B7D" w14:textId="77777777" w:rsidR="00F91711" w:rsidRPr="00C35766" w:rsidRDefault="00F91711" w:rsidP="00F91711">
      <w:pPr>
        <w:pStyle w:val="a3"/>
        <w:rPr>
          <w:lang w:val="pt-BR"/>
        </w:rPr>
      </w:pPr>
      <w:r w:rsidRPr="00C35766">
        <w:rPr>
          <w:rFonts w:eastAsia="Times New Roman"/>
          <w:lang w:val="it-IT"/>
        </w:rPr>
        <w:t xml:space="preserve">La valutazione dei benefici e dei rischi del trattamento continuato a lungo termine deve essere effettuata periodicamente (vedere paragrafo 5.1). </w:t>
      </w:r>
    </w:p>
    <w:p w14:paraId="2149F8EE" w14:textId="77777777" w:rsidR="00F91711" w:rsidRPr="00C35766" w:rsidRDefault="00F91711" w:rsidP="00F91711">
      <w:pPr>
        <w:rPr>
          <w:rFonts w:ascii="Times New Roman" w:eastAsia="Times New Roman" w:hAnsi="Times New Roman" w:cs="Times New Roman"/>
          <w:i/>
          <w:spacing w:val="-1"/>
          <w:lang w:val="pt-BR"/>
        </w:rPr>
      </w:pPr>
    </w:p>
    <w:p w14:paraId="2DDF993B" w14:textId="77777777" w:rsidR="00F91711" w:rsidRPr="00C35766" w:rsidRDefault="00F91711" w:rsidP="00F91711">
      <w:pPr>
        <w:rPr>
          <w:rFonts w:ascii="Times New Roman" w:eastAsia="Times New Roman" w:hAnsi="Times New Roman" w:cs="Times New Roman"/>
          <w:lang w:val="pt-BR"/>
        </w:rPr>
      </w:pPr>
      <w:r w:rsidRPr="00C35766">
        <w:rPr>
          <w:rFonts w:ascii="Times New Roman" w:eastAsia="Times New Roman" w:hAnsi="Times New Roman" w:cs="Times New Roman"/>
          <w:i/>
          <w:iCs/>
          <w:spacing w:val="-1"/>
          <w:lang w:val="it-IT"/>
        </w:rPr>
        <w:t>Malattia di Crohn</w:t>
      </w:r>
    </w:p>
    <w:p w14:paraId="76062CF2" w14:textId="77777777" w:rsidR="00F91711" w:rsidRPr="00C35766" w:rsidRDefault="00F91711" w:rsidP="00F91711">
      <w:pPr>
        <w:spacing w:line="240" w:lineRule="exact"/>
        <w:rPr>
          <w:rFonts w:ascii="Times New Roman" w:hAnsi="Times New Roman" w:cs="Times New Roman"/>
          <w:lang w:val="pt-BR"/>
        </w:rPr>
      </w:pPr>
    </w:p>
    <w:p w14:paraId="65F728D0" w14:textId="6A550EFF" w:rsidR="00F91711" w:rsidRPr="00C35766" w:rsidRDefault="00F91711" w:rsidP="00F91711">
      <w:pPr>
        <w:pStyle w:val="a3"/>
        <w:rPr>
          <w:lang w:val="it-IT"/>
        </w:rPr>
      </w:pPr>
      <w:r w:rsidRPr="00C35766">
        <w:rPr>
          <w:rFonts w:eastAsia="Times New Roman"/>
          <w:lang w:val="it-IT"/>
        </w:rPr>
        <w:t>La dose di Yuflyma indicata in caso di terapia di induzione è pari a 80 mg alla settimana 0 per i pazienti adulti affetti da malattia di Crohn attiva di grado da moderato a severo, seguita da una dose di 40 mg alla settimana 2. Nel caso in cui sia necessario indurre una risposta più rapida alla terapia, può essere somministrata una dose pari a 160 mg alla settimana 0 (somministrata in due iniezioni da 80 mg in un giorno oppure una iniezione da 80 mg al giorno per due giorni consecutivi), 80 mg alla settimana 2, tenendo presente che il rischio di eventi avversi risulta maggiore durante l’induzione.</w:t>
      </w:r>
    </w:p>
    <w:p w14:paraId="55E598CA" w14:textId="77777777" w:rsidR="00F91711" w:rsidRPr="00C35766" w:rsidRDefault="00F91711" w:rsidP="00F91711">
      <w:pPr>
        <w:spacing w:line="240" w:lineRule="exact"/>
        <w:rPr>
          <w:rFonts w:ascii="Times New Roman" w:hAnsi="Times New Roman" w:cs="Times New Roman"/>
          <w:lang w:val="it-IT"/>
        </w:rPr>
      </w:pPr>
    </w:p>
    <w:p w14:paraId="6423666E" w14:textId="77777777" w:rsidR="00F91711" w:rsidRPr="00C35766" w:rsidRDefault="00F91711" w:rsidP="00F91711">
      <w:pPr>
        <w:pStyle w:val="a3"/>
        <w:rPr>
          <w:lang w:val="it-IT"/>
        </w:rPr>
      </w:pPr>
      <w:r w:rsidRPr="00C35766">
        <w:rPr>
          <w:rFonts w:eastAsia="Times New Roman"/>
          <w:lang w:val="it-IT"/>
        </w:rPr>
        <w:t>Dopo il trattamento di induzione, la dose raccomandata è di 40 mg a settimane alterne tramite iniezione sottocutanea. In alternativa, nel caso in cui un paziente abbia interrotto il trattamento con Yuflyma e qualora dovesse ripresentarsi la sintomatologia tipica della malattia, la terapia con Yuflyma può essere somministrata nuovamente. Esistono pochi dati sulla risomministrazione di Yuflyma qualora sia trascorso un periodo superiore a 8 settimane dalla somministrazione della dose precedente.</w:t>
      </w:r>
    </w:p>
    <w:p w14:paraId="3D1D7D20" w14:textId="77777777" w:rsidR="00F91711" w:rsidRPr="00C35766" w:rsidRDefault="00F91711" w:rsidP="00F91711">
      <w:pPr>
        <w:spacing w:line="240" w:lineRule="exact"/>
        <w:rPr>
          <w:rFonts w:ascii="Times New Roman" w:hAnsi="Times New Roman" w:cs="Times New Roman"/>
          <w:lang w:val="it-IT"/>
        </w:rPr>
      </w:pPr>
    </w:p>
    <w:p w14:paraId="2F56156F" w14:textId="77777777" w:rsidR="00F91711" w:rsidRPr="00C35766" w:rsidRDefault="00F91711" w:rsidP="00F91711">
      <w:pPr>
        <w:pStyle w:val="a3"/>
        <w:rPr>
          <w:lang w:val="it-IT"/>
        </w:rPr>
      </w:pPr>
      <w:r w:rsidRPr="00C35766">
        <w:rPr>
          <w:rFonts w:eastAsia="Times New Roman"/>
          <w:lang w:val="it-IT"/>
        </w:rPr>
        <w:t>Nel corso della terapia di mantenimento, il dosaggio di corticosteroidi può essere gradatamente ridotto in base alle linee guida elaborate per la gestione clinica della malattia.</w:t>
      </w:r>
    </w:p>
    <w:p w14:paraId="148110E1" w14:textId="77777777" w:rsidR="00F91711" w:rsidRPr="00C35766" w:rsidRDefault="00F91711" w:rsidP="00F91711">
      <w:pPr>
        <w:spacing w:line="240" w:lineRule="exact"/>
        <w:rPr>
          <w:rFonts w:ascii="Times New Roman" w:hAnsi="Times New Roman" w:cs="Times New Roman"/>
          <w:lang w:val="it-IT"/>
        </w:rPr>
      </w:pPr>
    </w:p>
    <w:p w14:paraId="36713B24" w14:textId="77777777" w:rsidR="00F91711" w:rsidRPr="00C35766" w:rsidRDefault="00F91711" w:rsidP="00F91711">
      <w:pPr>
        <w:pStyle w:val="a3"/>
        <w:rPr>
          <w:lang w:val="it-IT"/>
        </w:rPr>
      </w:pPr>
      <w:r w:rsidRPr="00C35766">
        <w:rPr>
          <w:rFonts w:eastAsia="Times New Roman"/>
          <w:lang w:val="it-IT"/>
        </w:rPr>
        <w:t>Alcuni pazienti che mostrano una riduzione nella risposta a 40 mg di Yuflyma a settimane alterne possono trarre giovamento da un aumento del dosaggio a 40 mg di Yuflyma ogni settimana o 80 mg a settimane alterne.</w:t>
      </w:r>
    </w:p>
    <w:p w14:paraId="30F69EC8" w14:textId="77777777" w:rsidR="00F91711" w:rsidRPr="00C35766" w:rsidRDefault="00F91711" w:rsidP="00F91711">
      <w:pPr>
        <w:spacing w:line="240" w:lineRule="exact"/>
        <w:rPr>
          <w:rFonts w:ascii="Times New Roman" w:hAnsi="Times New Roman" w:cs="Times New Roman"/>
          <w:lang w:val="it-IT"/>
        </w:rPr>
      </w:pPr>
    </w:p>
    <w:p w14:paraId="00363C2C" w14:textId="77777777" w:rsidR="00F91711" w:rsidRPr="00C35766" w:rsidRDefault="00F91711" w:rsidP="00F91711">
      <w:pPr>
        <w:pStyle w:val="a3"/>
        <w:rPr>
          <w:lang w:val="it-IT"/>
        </w:rPr>
      </w:pPr>
      <w:r w:rsidRPr="00C35766">
        <w:rPr>
          <w:rFonts w:eastAsia="Times New Roman"/>
          <w:lang w:val="it-IT"/>
        </w:rPr>
        <w:t>Alcuni pazienti che non hanno manifestato una risposta adeguata alla terapia entro la settimana 4 potrebbero trarre giovamento dall’istituzione di una terapia di mantenimento continuata fino alla settimana 12. Il proseguimento della terapia deve essere attentamente valutato qualora i pazienti non rispondano in modo soddisfacente entro tale periodo.</w:t>
      </w:r>
    </w:p>
    <w:p w14:paraId="3BAF0B79" w14:textId="77777777" w:rsidR="00F91711" w:rsidRPr="00C35766" w:rsidRDefault="00F91711" w:rsidP="00F91711">
      <w:pPr>
        <w:spacing w:line="240" w:lineRule="exact"/>
        <w:rPr>
          <w:rFonts w:ascii="Times New Roman" w:hAnsi="Times New Roman" w:cs="Times New Roman"/>
          <w:lang w:val="it-IT"/>
        </w:rPr>
      </w:pPr>
    </w:p>
    <w:p w14:paraId="4557F03C" w14:textId="77777777" w:rsidR="00F91711" w:rsidRPr="00C35766" w:rsidRDefault="00F91711" w:rsidP="00F91711">
      <w:pPr>
        <w:rPr>
          <w:rFonts w:ascii="Times New Roman" w:eastAsia="Times New Roman" w:hAnsi="Times New Roman" w:cs="Times New Roman"/>
          <w:lang w:val="it-IT"/>
        </w:rPr>
      </w:pPr>
      <w:r w:rsidRPr="00C35766">
        <w:rPr>
          <w:rFonts w:ascii="Times New Roman" w:eastAsia="Times New Roman" w:hAnsi="Times New Roman" w:cs="Times New Roman"/>
          <w:i/>
          <w:iCs/>
          <w:spacing w:val="-1"/>
          <w:lang w:val="it-IT"/>
        </w:rPr>
        <w:t>Colite ulcerosa</w:t>
      </w:r>
    </w:p>
    <w:p w14:paraId="59A7F667" w14:textId="77777777" w:rsidR="00F91711" w:rsidRPr="00C35766" w:rsidRDefault="00F91711" w:rsidP="00F91711">
      <w:pPr>
        <w:spacing w:line="240" w:lineRule="exact"/>
        <w:rPr>
          <w:rFonts w:ascii="Times New Roman" w:hAnsi="Times New Roman" w:cs="Times New Roman"/>
          <w:lang w:val="it-IT"/>
        </w:rPr>
      </w:pPr>
    </w:p>
    <w:p w14:paraId="1BA4A7A2" w14:textId="29B5706E" w:rsidR="00F91711" w:rsidRPr="00C35766" w:rsidRDefault="00F91711" w:rsidP="00F91711">
      <w:pPr>
        <w:pStyle w:val="a3"/>
        <w:rPr>
          <w:lang w:val="it-IT"/>
        </w:rPr>
      </w:pPr>
      <w:r w:rsidRPr="00C35766">
        <w:rPr>
          <w:rFonts w:eastAsia="Times New Roman"/>
          <w:lang w:val="it-IT"/>
        </w:rPr>
        <w:t>Il regime posologico di induzione raccomandato per Yuflyma per pazienti adulti affetti da colite ulcerosa di grado da moderato a severo è di 160 mg alla settimana 0 (somministrati in due iniezioni da 80 mg in un giorno o come una iniezione da 80 mg al giorno, per due giorni consecutivi) e 80 mg alla settimana 2.  Dopo il trattamento di induzione, la dose raccomandata è di 40 mg a settimane alterne tramite iniezione sottocutanea.</w:t>
      </w:r>
    </w:p>
    <w:p w14:paraId="16BFC001" w14:textId="77777777" w:rsidR="00F91711" w:rsidRPr="00C35766" w:rsidRDefault="00F91711" w:rsidP="00F91711">
      <w:pPr>
        <w:spacing w:line="240" w:lineRule="exact"/>
        <w:rPr>
          <w:rFonts w:ascii="Times New Roman" w:hAnsi="Times New Roman" w:cs="Times New Roman"/>
          <w:lang w:val="it-IT"/>
        </w:rPr>
      </w:pPr>
    </w:p>
    <w:p w14:paraId="5535AB26" w14:textId="77777777" w:rsidR="00F91711" w:rsidRPr="00C35766" w:rsidRDefault="00F91711" w:rsidP="00F91711">
      <w:pPr>
        <w:pStyle w:val="a3"/>
        <w:rPr>
          <w:lang w:val="it-IT"/>
        </w:rPr>
      </w:pPr>
      <w:r w:rsidRPr="00C35766">
        <w:rPr>
          <w:rFonts w:eastAsia="Times New Roman"/>
          <w:lang w:val="it-IT"/>
        </w:rPr>
        <w:t>Nel corso della terapia di mantenimento, il dosaggio di corticosteroidi può essere gradatamente ridotto in base alle linee guida elaborate per la gestione clinica della malattia.</w:t>
      </w:r>
    </w:p>
    <w:p w14:paraId="06F3A0E8" w14:textId="77777777" w:rsidR="00F91711" w:rsidRPr="00C35766" w:rsidRDefault="00F91711" w:rsidP="00F91711">
      <w:pPr>
        <w:pStyle w:val="a3"/>
        <w:rPr>
          <w:lang w:val="it-IT"/>
        </w:rPr>
      </w:pPr>
    </w:p>
    <w:p w14:paraId="4B709E6D" w14:textId="77777777" w:rsidR="00F91711" w:rsidRPr="00C35766" w:rsidRDefault="00F91711" w:rsidP="00F91711">
      <w:pPr>
        <w:pStyle w:val="a3"/>
        <w:rPr>
          <w:lang w:val="it-IT"/>
        </w:rPr>
      </w:pPr>
      <w:r w:rsidRPr="00C35766">
        <w:rPr>
          <w:rFonts w:eastAsia="Times New Roman"/>
          <w:spacing w:val="-2"/>
          <w:lang w:val="it-IT"/>
        </w:rPr>
        <w:t>Alcuni pazienti che mostrano una riduzione nella risposta a 40 mg di Yuflyma a settimane alterne possono trarre giovamento da un aumento del dosaggio a 40 mg di Yuflyma ogni settimana o 80 mg a settimane alterne.</w:t>
      </w:r>
    </w:p>
    <w:p w14:paraId="3A7A93A4" w14:textId="77777777" w:rsidR="00F91711" w:rsidRPr="00C35766" w:rsidRDefault="00F91711" w:rsidP="00F91711">
      <w:pPr>
        <w:spacing w:line="240" w:lineRule="exact"/>
        <w:rPr>
          <w:rFonts w:ascii="Times New Roman" w:hAnsi="Times New Roman" w:cs="Times New Roman"/>
          <w:lang w:val="it-IT"/>
        </w:rPr>
      </w:pPr>
    </w:p>
    <w:p w14:paraId="0B7EBE77" w14:textId="77777777" w:rsidR="00F91711" w:rsidRPr="00C35766" w:rsidRDefault="00F91711" w:rsidP="00F91711">
      <w:pPr>
        <w:pStyle w:val="a3"/>
        <w:rPr>
          <w:lang w:val="it-IT"/>
        </w:rPr>
      </w:pPr>
      <w:r w:rsidRPr="00C35766">
        <w:rPr>
          <w:rFonts w:eastAsia="Times New Roman"/>
          <w:lang w:val="it-IT"/>
        </w:rPr>
        <w:t>I dati disponibili suggeriscono che la risposta clinica si raggiunge di solito entro le 2-8 settimane di trattamento. La terapia con Yuflyma non deve essere continuata in pazienti che non hanno risposto durante questo periodo di tempo.</w:t>
      </w:r>
    </w:p>
    <w:p w14:paraId="185DA470" w14:textId="77777777" w:rsidR="00F91711" w:rsidRPr="00C35766" w:rsidRDefault="00F91711" w:rsidP="00F91711">
      <w:pPr>
        <w:rPr>
          <w:rFonts w:ascii="Times New Roman" w:eastAsia="Times New Roman" w:hAnsi="Times New Roman" w:cs="Times New Roman"/>
          <w:i/>
          <w:lang w:val="it-IT"/>
        </w:rPr>
      </w:pPr>
    </w:p>
    <w:p w14:paraId="5B7A21EB" w14:textId="77777777" w:rsidR="00F91711" w:rsidRPr="00C35766" w:rsidRDefault="00F91711" w:rsidP="00F91711">
      <w:pPr>
        <w:rPr>
          <w:rFonts w:ascii="Times New Roman" w:eastAsia="Times New Roman" w:hAnsi="Times New Roman" w:cs="Times New Roman"/>
          <w:lang w:val="it-IT"/>
        </w:rPr>
      </w:pPr>
      <w:r w:rsidRPr="00C35766">
        <w:rPr>
          <w:rFonts w:ascii="Times New Roman" w:eastAsia="Times New Roman" w:hAnsi="Times New Roman" w:cs="Times New Roman"/>
          <w:i/>
          <w:iCs/>
          <w:lang w:val="it-IT"/>
        </w:rPr>
        <w:t>Uveite</w:t>
      </w:r>
    </w:p>
    <w:p w14:paraId="77742E47" w14:textId="77777777" w:rsidR="00F91711" w:rsidRPr="00C35766" w:rsidRDefault="00F91711" w:rsidP="00F91711">
      <w:pPr>
        <w:spacing w:line="240" w:lineRule="exact"/>
        <w:rPr>
          <w:rFonts w:ascii="Times New Roman" w:hAnsi="Times New Roman" w:cs="Times New Roman"/>
          <w:lang w:val="it-IT"/>
        </w:rPr>
      </w:pPr>
    </w:p>
    <w:p w14:paraId="3F2047F0" w14:textId="036BE2CC" w:rsidR="00F91711" w:rsidRPr="00C35766" w:rsidRDefault="00F91711" w:rsidP="00F91711">
      <w:pPr>
        <w:pStyle w:val="a3"/>
        <w:rPr>
          <w:lang w:val="it-IT"/>
        </w:rPr>
      </w:pPr>
      <w:r w:rsidRPr="00C35766">
        <w:rPr>
          <w:rFonts w:eastAsia="Times New Roman"/>
          <w:lang w:val="it-IT"/>
        </w:rPr>
        <w:t xml:space="preserve">La dose raccomandata di Yuflyma per i pazienti adulti affetti da uveite è una dose iniziale di 80 mg, seguita da 40 mg somministrati a settimane alterne a partire da una settimana dopo la dose iniziale. </w:t>
      </w:r>
      <w:r w:rsidR="00855C6F">
        <w:rPr>
          <w:rFonts w:eastAsia="Times New Roman"/>
          <w:lang w:val="it-IT"/>
        </w:rPr>
        <w:t xml:space="preserve">Come dose di mantenimento è disponibile </w:t>
      </w:r>
      <w:r w:rsidR="00855C6F" w:rsidRPr="00FB70C4">
        <w:rPr>
          <w:rFonts w:eastAsia="Times New Roman"/>
          <w:lang w:val="it-IT"/>
        </w:rPr>
        <w:t xml:space="preserve">Yuflyma 40 mg soluzione </w:t>
      </w:r>
      <w:r w:rsidR="00855C6F" w:rsidRPr="003B7DD6">
        <w:rPr>
          <w:rFonts w:eastAsia="Times New Roman"/>
          <w:lang w:val="it-IT"/>
        </w:rPr>
        <w:t xml:space="preserve">iniettabile </w:t>
      </w:r>
      <w:r w:rsidR="00855C6F" w:rsidRPr="00FB70C4">
        <w:rPr>
          <w:rFonts w:eastAsia="Times New Roman"/>
          <w:lang w:val="it-IT"/>
        </w:rPr>
        <w:t>in siringa pre-riempita e/o penna pre-riempita.</w:t>
      </w:r>
      <w:r w:rsidR="00855C6F">
        <w:rPr>
          <w:rFonts w:eastAsia="Times New Roman"/>
          <w:lang w:val="it-IT"/>
        </w:rPr>
        <w:t xml:space="preserve"> </w:t>
      </w:r>
      <w:r w:rsidRPr="00C35766">
        <w:rPr>
          <w:rFonts w:eastAsia="Times New Roman"/>
          <w:lang w:val="it-IT"/>
        </w:rPr>
        <w:t>Vi è un’esperienza limitata nell’inizio del trattamento con adalimumab in monoterapia.  Il trattamento con Yuflyma può essere iniziato in associazione con corticosteroidi e/o con altri agenti immunomodulatori non biologici. I corticosteroidi concomitanti possono essere ridotti in accordo con la pratica clinica a partire da due settimane dopo l’inizio del trattamento con Yuflyma.</w:t>
      </w:r>
    </w:p>
    <w:p w14:paraId="54749CA0" w14:textId="77777777" w:rsidR="00F91711" w:rsidRPr="00C35766" w:rsidRDefault="00F91711" w:rsidP="00F91711">
      <w:pPr>
        <w:spacing w:line="240" w:lineRule="exact"/>
        <w:rPr>
          <w:rFonts w:ascii="Times New Roman" w:hAnsi="Times New Roman" w:cs="Times New Roman"/>
          <w:lang w:val="it-IT"/>
        </w:rPr>
      </w:pPr>
    </w:p>
    <w:p w14:paraId="18A9892F" w14:textId="77777777" w:rsidR="00F91711" w:rsidRPr="00C35766" w:rsidRDefault="00F91711" w:rsidP="00F91711">
      <w:pPr>
        <w:pStyle w:val="a3"/>
        <w:rPr>
          <w:lang w:val="pt-BR"/>
        </w:rPr>
      </w:pPr>
      <w:r w:rsidRPr="00C35766">
        <w:rPr>
          <w:rFonts w:eastAsia="Times New Roman"/>
          <w:spacing w:val="-4"/>
          <w:lang w:val="it-IT"/>
        </w:rPr>
        <w:t>Si raccomanda che i benefici e i rischi del trattamento continuato a lungo termine siano valutati annualmente (vedere paragrafo 5.1).</w:t>
      </w:r>
    </w:p>
    <w:p w14:paraId="3B00887F" w14:textId="77777777" w:rsidR="00F91711" w:rsidRPr="00C35766" w:rsidRDefault="00F91711" w:rsidP="00F91711">
      <w:pPr>
        <w:pStyle w:val="a3"/>
        <w:rPr>
          <w:lang w:val="pt-BR"/>
        </w:rPr>
      </w:pPr>
    </w:p>
    <w:p w14:paraId="1E81415D" w14:textId="77777777" w:rsidR="00F91711" w:rsidRPr="00C35766" w:rsidRDefault="00F91711" w:rsidP="00F91711">
      <w:pPr>
        <w:pStyle w:val="a3"/>
        <w:rPr>
          <w:u w:val="single"/>
          <w:lang w:val="pt-BR"/>
        </w:rPr>
      </w:pPr>
      <w:r w:rsidRPr="00C35766">
        <w:rPr>
          <w:rFonts w:eastAsia="Times New Roman"/>
          <w:u w:val="single" w:color="000000"/>
          <w:lang w:val="it-IT"/>
        </w:rPr>
        <w:t>Popolazioni speciali</w:t>
      </w:r>
    </w:p>
    <w:p w14:paraId="5FB53C5D" w14:textId="77777777" w:rsidR="00F91711" w:rsidRPr="00C35766" w:rsidRDefault="00F91711" w:rsidP="00F91711">
      <w:pPr>
        <w:spacing w:line="180" w:lineRule="exact"/>
        <w:rPr>
          <w:rFonts w:ascii="Times New Roman" w:hAnsi="Times New Roman" w:cs="Times New Roman"/>
          <w:lang w:val="pt-BR"/>
        </w:rPr>
      </w:pPr>
    </w:p>
    <w:p w14:paraId="46D9A2BD" w14:textId="77777777" w:rsidR="00F91711" w:rsidRPr="00C35766" w:rsidRDefault="00F91711" w:rsidP="00F91711">
      <w:pPr>
        <w:pStyle w:val="a3"/>
        <w:rPr>
          <w:i/>
          <w:lang w:val="pt-BR"/>
        </w:rPr>
      </w:pPr>
      <w:r w:rsidRPr="00C35766">
        <w:rPr>
          <w:rFonts w:eastAsia="Times New Roman"/>
          <w:i/>
          <w:iCs/>
          <w:lang w:val="it-IT"/>
        </w:rPr>
        <w:t>Anziani</w:t>
      </w:r>
    </w:p>
    <w:p w14:paraId="2644F62B" w14:textId="77777777" w:rsidR="00F91711" w:rsidRPr="00C35766" w:rsidRDefault="00F91711" w:rsidP="00F91711">
      <w:pPr>
        <w:spacing w:line="240" w:lineRule="exact"/>
        <w:rPr>
          <w:rFonts w:ascii="Times New Roman" w:hAnsi="Times New Roman" w:cs="Times New Roman"/>
          <w:lang w:val="pt-BR"/>
        </w:rPr>
      </w:pPr>
    </w:p>
    <w:p w14:paraId="3EA48A5E" w14:textId="77777777" w:rsidR="00F91711" w:rsidRPr="00C35766" w:rsidRDefault="00F91711" w:rsidP="00F91711">
      <w:pPr>
        <w:pStyle w:val="a3"/>
        <w:rPr>
          <w:lang w:val="pt-BR"/>
        </w:rPr>
      </w:pPr>
      <w:r w:rsidRPr="00C35766">
        <w:rPr>
          <w:rFonts w:eastAsia="Times New Roman"/>
          <w:lang w:val="it-IT"/>
        </w:rPr>
        <w:t xml:space="preserve">Non è necessario alcun aggiustamento della dose. </w:t>
      </w:r>
    </w:p>
    <w:p w14:paraId="495CFB36" w14:textId="77777777" w:rsidR="00F91711" w:rsidRPr="00C35766" w:rsidRDefault="00F91711" w:rsidP="00F91711">
      <w:pPr>
        <w:pStyle w:val="a3"/>
        <w:rPr>
          <w:lang w:val="pt-BR"/>
        </w:rPr>
      </w:pPr>
    </w:p>
    <w:p w14:paraId="0F1E0FE6" w14:textId="14DC4ACD" w:rsidR="00F91711" w:rsidRPr="00C35766" w:rsidRDefault="004B6506" w:rsidP="00F91711">
      <w:pPr>
        <w:pStyle w:val="a3"/>
        <w:rPr>
          <w:i/>
          <w:lang w:val="pt-BR"/>
        </w:rPr>
      </w:pPr>
      <w:r w:rsidRPr="004F0B2E">
        <w:rPr>
          <w:i/>
          <w:color w:val="000000"/>
          <w:lang w:val="it-IT"/>
        </w:rPr>
        <w:t xml:space="preserve">Compromissione </w:t>
      </w:r>
      <w:r w:rsidR="00F91711" w:rsidRPr="004F0B2E">
        <w:rPr>
          <w:i/>
          <w:color w:val="000000"/>
          <w:lang w:val="it-IT"/>
        </w:rPr>
        <w:t xml:space="preserve"> </w:t>
      </w:r>
      <w:r w:rsidR="00F91711" w:rsidRPr="00C35766">
        <w:rPr>
          <w:rFonts w:eastAsia="Times New Roman"/>
          <w:i/>
          <w:iCs/>
          <w:lang w:val="it-IT"/>
        </w:rPr>
        <w:t>epatica e/o renale</w:t>
      </w:r>
    </w:p>
    <w:p w14:paraId="0F54B6C3" w14:textId="77777777" w:rsidR="00F91711" w:rsidRPr="00C35766" w:rsidRDefault="00F91711" w:rsidP="00F91711">
      <w:pPr>
        <w:pStyle w:val="a3"/>
        <w:rPr>
          <w:lang w:val="pt-BR"/>
        </w:rPr>
      </w:pPr>
    </w:p>
    <w:p w14:paraId="3FF3FFE7" w14:textId="77777777" w:rsidR="00F91711" w:rsidRPr="00C35766" w:rsidRDefault="00F91711" w:rsidP="00F91711">
      <w:pPr>
        <w:pStyle w:val="a3"/>
        <w:rPr>
          <w:lang w:val="it-IT"/>
        </w:rPr>
      </w:pPr>
      <w:r w:rsidRPr="00C35766">
        <w:rPr>
          <w:rFonts w:eastAsia="Times New Roman"/>
          <w:lang w:val="it-IT"/>
        </w:rPr>
        <w:t xml:space="preserve">Adalimumab non è stato studiato in queste popolazioni di pazienti. Non è possibile effettuare alcuna raccomandazione sulla dose. </w:t>
      </w:r>
    </w:p>
    <w:p w14:paraId="0EAD0914" w14:textId="77777777" w:rsidR="00F91711" w:rsidRPr="00C35766" w:rsidRDefault="00F91711" w:rsidP="00F91711">
      <w:pPr>
        <w:pStyle w:val="a3"/>
        <w:rPr>
          <w:lang w:val="it-IT"/>
        </w:rPr>
      </w:pPr>
    </w:p>
    <w:p w14:paraId="1F41F4AC" w14:textId="77777777" w:rsidR="00F91711" w:rsidRPr="00146E60" w:rsidRDefault="00F91711" w:rsidP="00F91711">
      <w:pPr>
        <w:pStyle w:val="a3"/>
        <w:rPr>
          <w:u w:val="single"/>
          <w:lang w:val="it-IT"/>
        </w:rPr>
      </w:pPr>
      <w:r w:rsidRPr="00146E60">
        <w:rPr>
          <w:rFonts w:eastAsia="Times New Roman"/>
          <w:iCs/>
          <w:u w:val="single"/>
          <w:lang w:val="it-IT"/>
        </w:rPr>
        <w:t>Popolazione pediatrica</w:t>
      </w:r>
    </w:p>
    <w:p w14:paraId="40542AFF" w14:textId="77777777" w:rsidR="00F91711" w:rsidRPr="00C35766" w:rsidRDefault="00F91711" w:rsidP="00F91711">
      <w:pPr>
        <w:pStyle w:val="a3"/>
        <w:rPr>
          <w:i/>
          <w:lang w:val="it-IT"/>
        </w:rPr>
      </w:pPr>
    </w:p>
    <w:p w14:paraId="78026189" w14:textId="3196530D" w:rsidR="00F91711" w:rsidRPr="004F0B2E" w:rsidRDefault="00150B5C" w:rsidP="00F91711">
      <w:pPr>
        <w:pStyle w:val="a3"/>
        <w:rPr>
          <w:i/>
          <w:lang w:val="it-IT"/>
        </w:rPr>
      </w:pPr>
      <w:r w:rsidRPr="004F0B2E">
        <w:rPr>
          <w:i/>
          <w:lang w:val="it-IT"/>
        </w:rPr>
        <w:t>Psoriasi pediatrica a placche</w:t>
      </w:r>
    </w:p>
    <w:p w14:paraId="1D316216" w14:textId="3FEAD50C" w:rsidR="00150B5C" w:rsidRPr="004F0B2E" w:rsidRDefault="00150B5C" w:rsidP="00F91711">
      <w:pPr>
        <w:pStyle w:val="a3"/>
        <w:rPr>
          <w:lang w:val="it-IT"/>
        </w:rPr>
      </w:pPr>
    </w:p>
    <w:p w14:paraId="2EFBFB49" w14:textId="638F543D" w:rsidR="00150B5C" w:rsidRPr="00C35766" w:rsidRDefault="00150B5C" w:rsidP="00F91711">
      <w:pPr>
        <w:pStyle w:val="a3"/>
        <w:rPr>
          <w:lang w:val="it-IT"/>
        </w:rPr>
      </w:pPr>
      <w:r w:rsidRPr="004F0B2E">
        <w:rPr>
          <w:lang w:val="it-IT"/>
        </w:rPr>
        <w:t>La sicurezza e l’efficacia di Yuflyma nei bambini di 4-17 anni di età sono state stabilite per la psoriasi a placche. La dose consigliata di Yuflyma è fino a un massimo di 40 mg per dose.</w:t>
      </w:r>
    </w:p>
    <w:p w14:paraId="0E64AA00" w14:textId="77777777" w:rsidR="00F91711" w:rsidRPr="00C35766" w:rsidRDefault="00F91711" w:rsidP="00F91711">
      <w:pPr>
        <w:pStyle w:val="a3"/>
        <w:rPr>
          <w:lang w:val="it-IT"/>
        </w:rPr>
      </w:pPr>
    </w:p>
    <w:p w14:paraId="4F62292B" w14:textId="77777777" w:rsidR="00F91711" w:rsidRPr="00C35766" w:rsidRDefault="00F91711" w:rsidP="00F91711">
      <w:pPr>
        <w:jc w:val="both"/>
        <w:rPr>
          <w:rFonts w:ascii="Times New Roman" w:eastAsia="Times New Roman" w:hAnsi="Times New Roman" w:cs="Times New Roman"/>
          <w:u w:val="single"/>
          <w:lang w:val="es-ES"/>
        </w:rPr>
      </w:pPr>
      <w:r w:rsidRPr="00C35766">
        <w:rPr>
          <w:rFonts w:ascii="Times New Roman" w:eastAsia="Times New Roman" w:hAnsi="Times New Roman" w:cs="Times New Roman"/>
          <w:i/>
          <w:iCs/>
          <w:spacing w:val="-1"/>
          <w:u w:val="single"/>
          <w:lang w:val="it-IT"/>
        </w:rPr>
        <w:t>Idrosadenite suppurativa negli adolescenti (dai 12 anni d’età, di almeno 30 kg di peso)</w:t>
      </w:r>
    </w:p>
    <w:p w14:paraId="03D23FC0" w14:textId="77777777" w:rsidR="00F91711" w:rsidRPr="00C35766" w:rsidRDefault="00F91711" w:rsidP="00F91711">
      <w:pPr>
        <w:spacing w:line="240" w:lineRule="exact"/>
        <w:rPr>
          <w:rFonts w:ascii="Times New Roman" w:hAnsi="Times New Roman" w:cs="Times New Roman"/>
          <w:sz w:val="24"/>
          <w:szCs w:val="24"/>
          <w:lang w:val="es-ES"/>
        </w:rPr>
      </w:pPr>
    </w:p>
    <w:p w14:paraId="33E45628" w14:textId="77777777" w:rsidR="00F91711" w:rsidRPr="00C35766" w:rsidRDefault="00F91711" w:rsidP="00F91711">
      <w:pPr>
        <w:pStyle w:val="a3"/>
        <w:rPr>
          <w:lang w:val="es-ES"/>
        </w:rPr>
      </w:pPr>
      <w:r w:rsidRPr="00C35766">
        <w:rPr>
          <w:rFonts w:eastAsia="Times New Roman"/>
          <w:lang w:val="it-IT"/>
        </w:rPr>
        <w:t>Non ci sono studi clinici con adalimumab in pazienti adolescenti con HS. La posologia di adalimumab in questi pazienti è stata determinata sulla base di modelli e simulazione farmacocinetici (vedere paragrafo 5.2).</w:t>
      </w:r>
    </w:p>
    <w:p w14:paraId="59CA1937" w14:textId="77777777" w:rsidR="00F91711" w:rsidRPr="00C35766" w:rsidRDefault="00F91711" w:rsidP="00F91711">
      <w:pPr>
        <w:spacing w:line="240" w:lineRule="exact"/>
        <w:rPr>
          <w:rFonts w:ascii="Times New Roman" w:hAnsi="Times New Roman" w:cs="Times New Roman"/>
          <w:sz w:val="24"/>
          <w:szCs w:val="24"/>
          <w:lang w:val="es-ES"/>
        </w:rPr>
      </w:pPr>
    </w:p>
    <w:p w14:paraId="39364745" w14:textId="77777777" w:rsidR="00F91711" w:rsidRPr="00C35766" w:rsidRDefault="00F91711" w:rsidP="00F91711">
      <w:pPr>
        <w:pStyle w:val="a3"/>
        <w:rPr>
          <w:lang w:val="es-ES"/>
        </w:rPr>
      </w:pPr>
      <w:r w:rsidRPr="00C35766">
        <w:rPr>
          <w:rFonts w:eastAsia="Times New Roman"/>
          <w:spacing w:val="1"/>
          <w:lang w:val="it-IT"/>
        </w:rPr>
        <w:t>La dose raccomandata di Yuflyma è di 80 mg alla settimana 0 seguiti da 40 mg a settimane alterne a partire dalla settimana 1 tramite iniezione sottocutanea.</w:t>
      </w:r>
    </w:p>
    <w:p w14:paraId="7258F84E" w14:textId="77777777" w:rsidR="00F91711" w:rsidRPr="00C35766" w:rsidRDefault="00F91711" w:rsidP="00F91711">
      <w:pPr>
        <w:spacing w:line="240" w:lineRule="exact"/>
        <w:rPr>
          <w:rFonts w:ascii="Times New Roman" w:hAnsi="Times New Roman" w:cs="Times New Roman"/>
          <w:sz w:val="24"/>
          <w:szCs w:val="24"/>
          <w:lang w:val="es-ES"/>
        </w:rPr>
      </w:pPr>
    </w:p>
    <w:p w14:paraId="5A3ACB29" w14:textId="77777777" w:rsidR="00F91711" w:rsidRPr="00C35766" w:rsidRDefault="00F91711" w:rsidP="00F91711">
      <w:pPr>
        <w:pStyle w:val="a3"/>
        <w:rPr>
          <w:lang w:val="es-ES"/>
        </w:rPr>
      </w:pPr>
      <w:r w:rsidRPr="00C35766">
        <w:rPr>
          <w:rFonts w:eastAsia="Times New Roman"/>
          <w:lang w:val="it-IT"/>
        </w:rPr>
        <w:t>In pazienti adolescenti con una risposta inadeguata a 40 mg di Yuflyma a settimane alterne, può essere preso in considerazione un incremento del dosaggio a 40 mg ogni settimana o 80 mg a settimane alterne.</w:t>
      </w:r>
    </w:p>
    <w:p w14:paraId="1C90C36E" w14:textId="77777777" w:rsidR="00F91711" w:rsidRPr="00C35766" w:rsidRDefault="00F91711" w:rsidP="00F91711">
      <w:pPr>
        <w:spacing w:line="240" w:lineRule="exact"/>
        <w:rPr>
          <w:rFonts w:ascii="Times New Roman" w:hAnsi="Times New Roman" w:cs="Times New Roman"/>
          <w:sz w:val="24"/>
          <w:szCs w:val="24"/>
          <w:lang w:val="es-ES"/>
        </w:rPr>
      </w:pPr>
    </w:p>
    <w:p w14:paraId="78A61D23" w14:textId="77777777" w:rsidR="00F91711" w:rsidRPr="00C35766" w:rsidRDefault="00F91711" w:rsidP="00F91711">
      <w:pPr>
        <w:pStyle w:val="a3"/>
        <w:rPr>
          <w:lang w:val="es-ES"/>
        </w:rPr>
      </w:pPr>
      <w:r w:rsidRPr="00C35766">
        <w:rPr>
          <w:rFonts w:eastAsia="Times New Roman"/>
          <w:lang w:val="it-IT"/>
        </w:rPr>
        <w:t>Se necessario, è possibile continuare la terapia antibiotica durante il trattamento con Yuflyma. Durante il trattamento con Yuflyma si raccomanda ai pazienti di usare tutti i giorni una soluzione di lavaggio antisettica topica sulle lesioni correlate all’idrosadenite suppurativa (HS).</w:t>
      </w:r>
    </w:p>
    <w:p w14:paraId="17B8C12D" w14:textId="77777777" w:rsidR="00F91711" w:rsidRPr="00C35766" w:rsidRDefault="00F91711" w:rsidP="00F91711">
      <w:pPr>
        <w:spacing w:line="240" w:lineRule="exact"/>
        <w:rPr>
          <w:rFonts w:ascii="Times New Roman" w:hAnsi="Times New Roman" w:cs="Times New Roman"/>
          <w:sz w:val="24"/>
          <w:szCs w:val="24"/>
          <w:lang w:val="es-ES"/>
        </w:rPr>
      </w:pPr>
    </w:p>
    <w:p w14:paraId="25D79FC2" w14:textId="77777777" w:rsidR="00F91711" w:rsidRPr="00C35766" w:rsidRDefault="00F91711" w:rsidP="00F91711">
      <w:pPr>
        <w:pStyle w:val="a3"/>
        <w:rPr>
          <w:lang w:val="es-ES"/>
        </w:rPr>
      </w:pPr>
      <w:r w:rsidRPr="00C35766">
        <w:rPr>
          <w:rFonts w:eastAsia="Times New Roman"/>
          <w:lang w:val="it-IT"/>
        </w:rPr>
        <w:t>La prosecuzione della terapia oltre 12 settimane di trattamento deve essere valutata attentamente se i pazienti non sono migliorati in tale periodo.</w:t>
      </w:r>
    </w:p>
    <w:p w14:paraId="5C18A918" w14:textId="77777777" w:rsidR="00F91711" w:rsidRPr="00C35766" w:rsidRDefault="00F91711" w:rsidP="00F91711">
      <w:pPr>
        <w:spacing w:line="240" w:lineRule="exact"/>
        <w:rPr>
          <w:rFonts w:ascii="Times New Roman" w:hAnsi="Times New Roman" w:cs="Times New Roman"/>
          <w:sz w:val="24"/>
          <w:szCs w:val="24"/>
          <w:lang w:val="es-ES"/>
        </w:rPr>
      </w:pPr>
    </w:p>
    <w:p w14:paraId="391BF2D5" w14:textId="77777777" w:rsidR="00F91711" w:rsidRPr="00C35766" w:rsidRDefault="00F91711" w:rsidP="00F91711">
      <w:pPr>
        <w:pStyle w:val="a3"/>
        <w:rPr>
          <w:lang w:val="pt-BR"/>
        </w:rPr>
      </w:pPr>
      <w:r w:rsidRPr="00C35766">
        <w:rPr>
          <w:rFonts w:eastAsia="Times New Roman"/>
          <w:lang w:val="it-IT"/>
        </w:rPr>
        <w:t>Laddove fosse necessario interrompere il trattamento, è possibile riprendere la terapia con Yuflyma.</w:t>
      </w:r>
    </w:p>
    <w:p w14:paraId="003FAB8D" w14:textId="77777777" w:rsidR="00F91711" w:rsidRPr="00C35766" w:rsidRDefault="00F91711" w:rsidP="00F91711">
      <w:pPr>
        <w:spacing w:line="240" w:lineRule="exact"/>
        <w:rPr>
          <w:rFonts w:ascii="Times New Roman" w:hAnsi="Times New Roman" w:cs="Times New Roman"/>
          <w:sz w:val="24"/>
          <w:szCs w:val="24"/>
          <w:lang w:val="pt-BR"/>
        </w:rPr>
      </w:pPr>
    </w:p>
    <w:p w14:paraId="25A4EF5B" w14:textId="77777777" w:rsidR="00F91711" w:rsidRPr="00C35766" w:rsidRDefault="00F91711" w:rsidP="00F91711">
      <w:pPr>
        <w:pStyle w:val="a3"/>
        <w:rPr>
          <w:lang w:val="pt-BR"/>
        </w:rPr>
      </w:pPr>
      <w:r w:rsidRPr="00C35766">
        <w:rPr>
          <w:rFonts w:eastAsia="Times New Roman"/>
          <w:lang w:val="it-IT"/>
        </w:rPr>
        <w:t>La valutazione dei benefici e dei rischi del trattamento continuato a lungo termine deve essere effettuata periodicamente (vedere i dati relativi agli adulti nel paragrafo 5.1).</w:t>
      </w:r>
    </w:p>
    <w:p w14:paraId="437F3334" w14:textId="77777777" w:rsidR="00F91711" w:rsidRPr="00C35766" w:rsidRDefault="00F91711" w:rsidP="00F91711">
      <w:pPr>
        <w:spacing w:line="240" w:lineRule="exact"/>
        <w:rPr>
          <w:rFonts w:ascii="Times New Roman" w:hAnsi="Times New Roman" w:cs="Times New Roman"/>
          <w:sz w:val="24"/>
          <w:szCs w:val="24"/>
          <w:lang w:val="pt-BR"/>
        </w:rPr>
      </w:pPr>
    </w:p>
    <w:p w14:paraId="01DC1C26" w14:textId="77777777" w:rsidR="00F91711" w:rsidRPr="00C35766" w:rsidRDefault="00F91711" w:rsidP="00F91711">
      <w:pPr>
        <w:pStyle w:val="a3"/>
        <w:rPr>
          <w:lang w:val="pt-BR"/>
        </w:rPr>
      </w:pPr>
      <w:r w:rsidRPr="00C35766">
        <w:rPr>
          <w:rFonts w:eastAsia="Times New Roman"/>
          <w:lang w:val="it-IT"/>
        </w:rPr>
        <w:t>Non c’è un uso rilevante di adalimumab nei bambini di età inferiore ai 12 anni per questa indicazione.</w:t>
      </w:r>
    </w:p>
    <w:p w14:paraId="74309181" w14:textId="77777777" w:rsidR="00F91711" w:rsidRPr="00C35766" w:rsidRDefault="00F91711" w:rsidP="00F91711">
      <w:pPr>
        <w:spacing w:line="240" w:lineRule="exact"/>
        <w:rPr>
          <w:rFonts w:ascii="Times New Roman" w:hAnsi="Times New Roman" w:cs="Times New Roman"/>
          <w:sz w:val="24"/>
          <w:szCs w:val="24"/>
          <w:lang w:val="pt-BR"/>
        </w:rPr>
      </w:pPr>
    </w:p>
    <w:p w14:paraId="064AE872" w14:textId="77777777" w:rsidR="00F91711" w:rsidRPr="00146E60" w:rsidRDefault="00F91711" w:rsidP="00F91711">
      <w:pPr>
        <w:jc w:val="both"/>
        <w:rPr>
          <w:rFonts w:ascii="Times New Roman" w:eastAsia="Times New Roman" w:hAnsi="Times New Roman" w:cs="Times New Roman"/>
          <w:lang w:val="pt-BR"/>
        </w:rPr>
      </w:pPr>
      <w:r w:rsidRPr="00146E60">
        <w:rPr>
          <w:rFonts w:ascii="Times New Roman" w:eastAsia="Times New Roman" w:hAnsi="Times New Roman" w:cs="Times New Roman"/>
          <w:i/>
          <w:iCs/>
          <w:spacing w:val="-1"/>
          <w:lang w:val="it-IT"/>
        </w:rPr>
        <w:t>Malattia di Crohn in pazienti pediatrici</w:t>
      </w:r>
    </w:p>
    <w:p w14:paraId="02C41B16" w14:textId="77777777" w:rsidR="00F91711" w:rsidRPr="00C35766" w:rsidRDefault="00F91711" w:rsidP="00F91711">
      <w:pPr>
        <w:spacing w:line="240" w:lineRule="exact"/>
        <w:rPr>
          <w:rFonts w:ascii="Times New Roman" w:hAnsi="Times New Roman" w:cs="Times New Roman"/>
          <w:sz w:val="24"/>
          <w:szCs w:val="24"/>
          <w:lang w:val="pt-BR"/>
        </w:rPr>
      </w:pPr>
    </w:p>
    <w:p w14:paraId="384FBAEA" w14:textId="0511C2A8" w:rsidR="00F91711" w:rsidRPr="00C35766" w:rsidRDefault="00F91711" w:rsidP="00F91711">
      <w:pPr>
        <w:pStyle w:val="a3"/>
        <w:rPr>
          <w:lang w:val="it-IT"/>
        </w:rPr>
      </w:pPr>
      <w:r w:rsidRPr="00C35766">
        <w:rPr>
          <w:rFonts w:eastAsia="Times New Roman"/>
          <w:lang w:val="it-IT"/>
        </w:rPr>
        <w:t xml:space="preserve">La dose raccomandata di Yuflyma per pazienti con malattia di Crohn di età compresa tra 6 e 17 anni è basata sul peso corporeo (Tabella </w:t>
      </w:r>
      <w:r w:rsidR="002A7BDE" w:rsidRPr="00C35766">
        <w:rPr>
          <w:rFonts w:eastAsia="Times New Roman"/>
          <w:lang w:val="it-IT"/>
        </w:rPr>
        <w:t>1</w:t>
      </w:r>
      <w:r w:rsidRPr="00C35766">
        <w:rPr>
          <w:rFonts w:eastAsia="Times New Roman"/>
          <w:lang w:val="it-IT"/>
        </w:rPr>
        <w:t>). Yuflyma è somministrato tramite iniezione sottocutanea.</w:t>
      </w:r>
    </w:p>
    <w:p w14:paraId="65C26505" w14:textId="77777777" w:rsidR="00F91711" w:rsidRPr="00C35766" w:rsidRDefault="00F91711" w:rsidP="00F91711">
      <w:pPr>
        <w:pStyle w:val="a3"/>
        <w:rPr>
          <w:lang w:val="it-IT"/>
        </w:rPr>
      </w:pPr>
    </w:p>
    <w:p w14:paraId="6DAA62A1" w14:textId="2E655F80" w:rsidR="00F91711" w:rsidRPr="00C35766" w:rsidRDefault="00F91711" w:rsidP="00F91711">
      <w:pPr>
        <w:pStyle w:val="a3"/>
        <w:jc w:val="center"/>
        <w:rPr>
          <w:b/>
          <w:lang w:val="it-IT"/>
        </w:rPr>
      </w:pPr>
      <w:r w:rsidRPr="00C35766">
        <w:rPr>
          <w:rFonts w:eastAsia="Times New Roman"/>
          <w:b/>
          <w:bCs/>
          <w:lang w:val="it-IT"/>
        </w:rPr>
        <w:t xml:space="preserve">Tabella </w:t>
      </w:r>
      <w:r w:rsidR="002A7BDE" w:rsidRPr="00C35766">
        <w:rPr>
          <w:rFonts w:eastAsia="Times New Roman"/>
          <w:b/>
          <w:bCs/>
          <w:lang w:val="it-IT"/>
        </w:rPr>
        <w:t>1</w:t>
      </w:r>
      <w:r w:rsidR="00F87DEF">
        <w:rPr>
          <w:rFonts w:eastAsia="Times New Roman"/>
          <w:b/>
          <w:bCs/>
          <w:lang w:val="it-IT"/>
        </w:rPr>
        <w:t xml:space="preserve">. </w:t>
      </w:r>
      <w:r w:rsidRPr="00C35766">
        <w:rPr>
          <w:rFonts w:eastAsia="Times New Roman"/>
          <w:b/>
          <w:bCs/>
          <w:lang w:val="it-IT"/>
        </w:rPr>
        <w:t xml:space="preserve"> Dose di adalimumab per pazienti pediatrici con malattia di Crohn</w:t>
      </w:r>
    </w:p>
    <w:p w14:paraId="3C96B752" w14:textId="77777777" w:rsidR="00F91711" w:rsidRPr="00C35766" w:rsidRDefault="00F91711" w:rsidP="00F91711">
      <w:pPr>
        <w:spacing w:before="14" w:line="240" w:lineRule="exact"/>
        <w:rPr>
          <w:rFonts w:ascii="Times New Roman" w:hAnsi="Times New Roman" w:cs="Times New Roman"/>
          <w:sz w:val="24"/>
          <w:szCs w:val="24"/>
          <w:lang w:val="it-IT"/>
        </w:rPr>
      </w:pPr>
    </w:p>
    <w:tbl>
      <w:tblPr>
        <w:tblStyle w:val="TableNormal1"/>
        <w:tblpPr w:leftFromText="180" w:rightFromText="180" w:vertAnchor="text" w:tblpX="110" w:tblpY="1"/>
        <w:tblOverlap w:val="never"/>
        <w:tblW w:w="0" w:type="auto"/>
        <w:tblLayout w:type="fixed"/>
        <w:tblLook w:val="01E0" w:firstRow="1" w:lastRow="1" w:firstColumn="1" w:lastColumn="1" w:noHBand="0" w:noVBand="0"/>
      </w:tblPr>
      <w:tblGrid>
        <w:gridCol w:w="1555"/>
        <w:gridCol w:w="5528"/>
        <w:gridCol w:w="2126"/>
      </w:tblGrid>
      <w:tr w:rsidR="00F91711" w:rsidRPr="00494E69" w14:paraId="5F7874BE" w14:textId="77777777" w:rsidTr="005A5DEF">
        <w:tc>
          <w:tcPr>
            <w:tcW w:w="1555" w:type="dxa"/>
            <w:tcBorders>
              <w:top w:val="single" w:sz="4" w:space="0" w:color="auto"/>
              <w:left w:val="single" w:sz="4" w:space="0" w:color="auto"/>
              <w:bottom w:val="single" w:sz="4" w:space="0" w:color="auto"/>
              <w:right w:val="single" w:sz="4" w:space="0" w:color="auto"/>
            </w:tcBorders>
            <w:vAlign w:val="center"/>
          </w:tcPr>
          <w:p w14:paraId="7D038FF0" w14:textId="77777777" w:rsidR="00F91711" w:rsidRPr="00C35766" w:rsidRDefault="00F91711" w:rsidP="00F91711">
            <w:pPr>
              <w:pStyle w:val="TableParagraph"/>
              <w:spacing w:line="252" w:lineRule="exact"/>
              <w:ind w:firstLine="4"/>
              <w:jc w:val="center"/>
              <w:rPr>
                <w:rFonts w:ascii="Times New Roman" w:eastAsia="Times New Roman" w:hAnsi="Times New Roman" w:cs="Times New Roman"/>
              </w:rPr>
            </w:pPr>
            <w:r w:rsidRPr="00C35766">
              <w:rPr>
                <w:rFonts w:ascii="Times New Roman" w:eastAsia="Times New Roman" w:hAnsi="Times New Roman" w:cs="Times New Roman"/>
                <w:b/>
                <w:bCs/>
                <w:lang w:val="it-IT"/>
              </w:rPr>
              <w:t>Peso del paziente</w:t>
            </w:r>
          </w:p>
        </w:tc>
        <w:tc>
          <w:tcPr>
            <w:tcW w:w="5528" w:type="dxa"/>
            <w:tcBorders>
              <w:top w:val="single" w:sz="4" w:space="0" w:color="auto"/>
              <w:left w:val="single" w:sz="4" w:space="0" w:color="auto"/>
              <w:bottom w:val="single" w:sz="4" w:space="0" w:color="auto"/>
              <w:right w:val="single" w:sz="4" w:space="0" w:color="auto"/>
            </w:tcBorders>
            <w:vAlign w:val="center"/>
          </w:tcPr>
          <w:p w14:paraId="0CB5F183" w14:textId="77777777" w:rsidR="00F91711" w:rsidRPr="00C35766" w:rsidRDefault="00F91711" w:rsidP="00F91711">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Dose di induzione</w:t>
            </w:r>
          </w:p>
        </w:tc>
        <w:tc>
          <w:tcPr>
            <w:tcW w:w="2126" w:type="dxa"/>
            <w:tcBorders>
              <w:top w:val="single" w:sz="4" w:space="0" w:color="auto"/>
              <w:left w:val="single" w:sz="4" w:space="0" w:color="auto"/>
              <w:bottom w:val="single" w:sz="4" w:space="0" w:color="auto"/>
              <w:right w:val="single" w:sz="4" w:space="0" w:color="auto"/>
            </w:tcBorders>
            <w:vAlign w:val="center"/>
          </w:tcPr>
          <w:p w14:paraId="3AFEE3DD" w14:textId="77777777" w:rsidR="00F91711" w:rsidRPr="00C35766" w:rsidRDefault="00F91711" w:rsidP="00F91711">
            <w:pPr>
              <w:pStyle w:val="TableParagraph"/>
              <w:spacing w:line="239" w:lineRule="auto"/>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di mantenimento a partire dalla settimana 4</w:t>
            </w:r>
          </w:p>
        </w:tc>
      </w:tr>
      <w:tr w:rsidR="00150B5C" w:rsidRPr="00C35766" w14:paraId="06B6B423" w14:textId="77777777" w:rsidTr="005A5DEF">
        <w:tc>
          <w:tcPr>
            <w:tcW w:w="1555" w:type="dxa"/>
            <w:tcBorders>
              <w:top w:val="single" w:sz="4" w:space="0" w:color="auto"/>
              <w:left w:val="single" w:sz="7" w:space="0" w:color="000000"/>
              <w:bottom w:val="single" w:sz="7" w:space="0" w:color="000000"/>
              <w:right w:val="single" w:sz="7" w:space="0" w:color="000000"/>
            </w:tcBorders>
          </w:tcPr>
          <w:p w14:paraId="2B238699" w14:textId="77777777" w:rsidR="00150B5C" w:rsidRPr="00C35766" w:rsidRDefault="00150B5C" w:rsidP="00150B5C">
            <w:pPr>
              <w:pStyle w:val="TableParagraph"/>
              <w:spacing w:before="9"/>
              <w:ind w:left="140"/>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5528" w:type="dxa"/>
            <w:tcBorders>
              <w:top w:val="single" w:sz="4" w:space="0" w:color="auto"/>
              <w:left w:val="single" w:sz="7" w:space="0" w:color="000000"/>
              <w:bottom w:val="single" w:sz="7" w:space="0" w:color="000000"/>
              <w:right w:val="single" w:sz="7" w:space="0" w:color="000000"/>
            </w:tcBorders>
          </w:tcPr>
          <w:p w14:paraId="0CEF72CD" w14:textId="6EFCE027" w:rsidR="00150B5C" w:rsidRPr="00C35766" w:rsidRDefault="00150B5C" w:rsidP="00150B5C">
            <w:pPr>
              <w:pStyle w:val="a4"/>
              <w:numPr>
                <w:ilvl w:val="0"/>
                <w:numId w:val="12"/>
              </w:numPr>
              <w:tabs>
                <w:tab w:val="left" w:pos="315"/>
              </w:tabs>
              <w:spacing w:before="10"/>
              <w:ind w:left="315"/>
              <w:rPr>
                <w:rFonts w:ascii="Times New Roman" w:hAnsi="Times New Roman" w:cs="Times New Roman"/>
                <w:lang w:val="it-IT"/>
              </w:rPr>
            </w:pPr>
            <w:r w:rsidRPr="00C35766">
              <w:rPr>
                <w:rFonts w:ascii="Times New Roman" w:eastAsia="Times New Roman" w:hAnsi="Times New Roman" w:cs="Times New Roman"/>
                <w:spacing w:val="-1"/>
                <w:lang w:val="it-IT"/>
              </w:rPr>
              <w:t>40 mg alla settimana 0 e 20 mg alla settimana 2</w:t>
            </w:r>
          </w:p>
          <w:p w14:paraId="5913E66E" w14:textId="77777777" w:rsidR="00150B5C" w:rsidRPr="00C35766" w:rsidRDefault="00150B5C" w:rsidP="00150B5C">
            <w:pPr>
              <w:pStyle w:val="TableParagraph"/>
              <w:spacing w:before="10" w:line="240" w:lineRule="exact"/>
              <w:rPr>
                <w:rFonts w:ascii="Times New Roman" w:hAnsi="Times New Roman" w:cs="Times New Roman"/>
                <w:sz w:val="24"/>
                <w:lang w:val="it-IT"/>
              </w:rPr>
            </w:pPr>
          </w:p>
          <w:p w14:paraId="6B7C007F" w14:textId="77777777" w:rsidR="00150B5C" w:rsidRPr="00C35766" w:rsidRDefault="00150B5C" w:rsidP="00150B5C">
            <w:pPr>
              <w:pStyle w:val="TableParagraph"/>
              <w:ind w:left="159"/>
              <w:rPr>
                <w:rFonts w:ascii="Times New Roman" w:hAnsi="Times New Roman" w:cs="Times New Roman"/>
                <w:lang w:val="it-IT"/>
              </w:rPr>
            </w:pPr>
            <w:r w:rsidRPr="00C35766">
              <w:rPr>
                <w:rFonts w:ascii="Times New Roman" w:eastAsia="Times New Roman" w:hAnsi="Times New Roman" w:cs="Times New Roman"/>
                <w:spacing w:val="-1"/>
                <w:lang w:val="it-IT"/>
              </w:rPr>
              <w:t>Nel caso sia necessaria una risposta più rapida alla terapia, con la consapevolezza che il rischio di eventi avversi potrebbe aumentare con l’utilizzo della dose di induzione più alta, può essere somministrata la seguente dose:</w:t>
            </w:r>
          </w:p>
          <w:p w14:paraId="0F2BEF9E" w14:textId="77777777" w:rsidR="00150B5C" w:rsidRPr="00C35766" w:rsidRDefault="00150B5C" w:rsidP="00150B5C">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tc>
        <w:tc>
          <w:tcPr>
            <w:tcW w:w="2126" w:type="dxa"/>
            <w:tcBorders>
              <w:top w:val="single" w:sz="4" w:space="0" w:color="auto"/>
              <w:left w:val="single" w:sz="7" w:space="0" w:color="000000"/>
              <w:bottom w:val="single" w:sz="7" w:space="0" w:color="000000"/>
              <w:right w:val="single" w:sz="7" w:space="0" w:color="000000"/>
            </w:tcBorders>
            <w:vAlign w:val="center"/>
          </w:tcPr>
          <w:p w14:paraId="23942E08" w14:textId="76302E7A" w:rsidR="00150B5C" w:rsidRPr="00C35766" w:rsidRDefault="00150B5C" w:rsidP="0067580C">
            <w:pPr>
              <w:pStyle w:val="TableParagraph"/>
              <w:spacing w:before="100" w:beforeAutospacing="1" w:line="252" w:lineRule="exact"/>
              <w:ind w:left="63" w:hanging="63"/>
              <w:jc w:val="center"/>
              <w:rPr>
                <w:rFonts w:ascii="Times New Roman" w:eastAsia="Times New Roman" w:hAnsi="Times New Roman" w:cs="Times New Roman"/>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r>
      <w:tr w:rsidR="00150B5C" w:rsidRPr="00C35766" w14:paraId="16966013" w14:textId="77777777" w:rsidTr="005A5DEF">
        <w:tc>
          <w:tcPr>
            <w:tcW w:w="1555" w:type="dxa"/>
            <w:tcBorders>
              <w:top w:val="single" w:sz="7" w:space="0" w:color="000000"/>
              <w:left w:val="single" w:sz="7" w:space="0" w:color="000000"/>
              <w:bottom w:val="single" w:sz="7" w:space="0" w:color="000000"/>
              <w:right w:val="single" w:sz="7" w:space="0" w:color="000000"/>
            </w:tcBorders>
          </w:tcPr>
          <w:p w14:paraId="2A296447" w14:textId="77777777" w:rsidR="00150B5C" w:rsidRPr="00C35766" w:rsidRDefault="00150B5C" w:rsidP="00150B5C">
            <w:pPr>
              <w:pStyle w:val="TableParagraph"/>
              <w:spacing w:before="7"/>
              <w:ind w:left="143"/>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5528" w:type="dxa"/>
            <w:tcBorders>
              <w:top w:val="single" w:sz="7" w:space="0" w:color="000000"/>
              <w:left w:val="single" w:sz="7" w:space="0" w:color="000000"/>
              <w:bottom w:val="single" w:sz="7" w:space="0" w:color="000000"/>
              <w:right w:val="single" w:sz="7" w:space="0" w:color="000000"/>
            </w:tcBorders>
          </w:tcPr>
          <w:p w14:paraId="10F8CF2A" w14:textId="77777777" w:rsidR="00150B5C" w:rsidRPr="00C35766" w:rsidRDefault="00150B5C" w:rsidP="00150B5C">
            <w:pPr>
              <w:pStyle w:val="a4"/>
              <w:numPr>
                <w:ilvl w:val="0"/>
                <w:numId w:val="11"/>
              </w:numPr>
              <w:tabs>
                <w:tab w:val="left" w:pos="315"/>
              </w:tabs>
              <w:spacing w:before="8"/>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p w14:paraId="343029CB" w14:textId="77777777" w:rsidR="00150B5C" w:rsidRPr="00C35766" w:rsidRDefault="00150B5C" w:rsidP="00150B5C">
            <w:pPr>
              <w:tabs>
                <w:tab w:val="left" w:pos="315"/>
              </w:tabs>
              <w:spacing w:before="8"/>
              <w:rPr>
                <w:rFonts w:ascii="Times New Roman" w:hAnsi="Times New Roman" w:cs="Times New Roman"/>
                <w:lang w:val="it-IT"/>
              </w:rPr>
            </w:pPr>
          </w:p>
          <w:p w14:paraId="36C018AE" w14:textId="77777777" w:rsidR="00150B5C" w:rsidRPr="00C35766" w:rsidRDefault="00150B5C" w:rsidP="00150B5C">
            <w:pPr>
              <w:pStyle w:val="TableParagraph"/>
              <w:spacing w:before="7"/>
              <w:ind w:left="159" w:right="353"/>
              <w:rPr>
                <w:rFonts w:ascii="Times New Roman" w:hAnsi="Times New Roman" w:cs="Times New Roman"/>
                <w:lang w:val="it-IT"/>
              </w:rPr>
            </w:pPr>
            <w:r w:rsidRPr="00C35766">
              <w:rPr>
                <w:rFonts w:ascii="Times New Roman" w:eastAsia="Times New Roman" w:hAnsi="Times New Roman" w:cs="Times New Roman"/>
                <w:spacing w:val="-1"/>
                <w:lang w:val="it-IT"/>
              </w:rPr>
              <w:t>Nel caso sia necessaria una risposta più rapida alla terapia, con la consapevolezza che il rischio di eventi avversi potrebbe aumentare con l’utilizzo della dose di induzione più alta, può essere somministrata la seguente dose:</w:t>
            </w:r>
          </w:p>
          <w:p w14:paraId="027F8D14" w14:textId="77777777" w:rsidR="00150B5C" w:rsidRPr="00C35766" w:rsidRDefault="00150B5C" w:rsidP="00150B5C">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160 mg alla settimana 0 e 80 mg alla settimana 2</w:t>
            </w:r>
          </w:p>
        </w:tc>
        <w:tc>
          <w:tcPr>
            <w:tcW w:w="2126" w:type="dxa"/>
            <w:tcBorders>
              <w:top w:val="single" w:sz="7" w:space="0" w:color="000000"/>
              <w:left w:val="single" w:sz="7" w:space="0" w:color="000000"/>
              <w:bottom w:val="single" w:sz="7" w:space="0" w:color="000000"/>
              <w:right w:val="single" w:sz="7" w:space="0" w:color="000000"/>
            </w:tcBorders>
          </w:tcPr>
          <w:p w14:paraId="7253DEC7" w14:textId="77777777" w:rsidR="00150B5C" w:rsidRPr="00C35766" w:rsidRDefault="00150B5C" w:rsidP="00146E60">
            <w:pPr>
              <w:pStyle w:val="TableParagraph"/>
              <w:spacing w:before="100" w:beforeAutospacing="1" w:line="252" w:lineRule="exact"/>
              <w:ind w:left="63" w:hanging="6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F91711" w:rsidRPr="00C35766" w14:paraId="20778B88" w14:textId="77777777" w:rsidTr="00F91711">
        <w:trPr>
          <w:trHeight w:val="147"/>
        </w:trPr>
        <w:tc>
          <w:tcPr>
            <w:tcW w:w="9635" w:type="dxa"/>
          </w:tcPr>
          <w:p w14:paraId="21F072F9" w14:textId="48E438D7" w:rsidR="00F91711" w:rsidRPr="00C35766" w:rsidRDefault="00F91711" w:rsidP="00F91711">
            <w:pPr>
              <w:pStyle w:val="a3"/>
              <w:rPr>
                <w:color w:val="000000"/>
                <w:lang w:val="pt-BR"/>
              </w:rPr>
            </w:pPr>
          </w:p>
        </w:tc>
      </w:tr>
    </w:tbl>
    <w:p w14:paraId="2D21D95D" w14:textId="681CC9E5" w:rsidR="00F91711" w:rsidRPr="00C35766" w:rsidRDefault="00F91711" w:rsidP="00146E60">
      <w:pPr>
        <w:pStyle w:val="a3"/>
        <w:rPr>
          <w:lang w:val="it-IT"/>
        </w:rPr>
      </w:pPr>
      <w:r w:rsidRPr="00C35766">
        <w:rPr>
          <w:rFonts w:eastAsia="Times New Roman"/>
          <w:lang w:val="it-IT"/>
        </w:rPr>
        <w:t>I pazienti che manifestano una risposta insufficiente possono beneficiare di un incremento del dosaggio:</w:t>
      </w:r>
    </w:p>
    <w:p w14:paraId="3865F09E" w14:textId="62FAA824" w:rsidR="00150B5C" w:rsidRPr="0067580C" w:rsidRDefault="00150B5C" w:rsidP="00146E60">
      <w:pPr>
        <w:pStyle w:val="a3"/>
        <w:numPr>
          <w:ilvl w:val="0"/>
          <w:numId w:val="11"/>
        </w:numPr>
        <w:ind w:left="660" w:hanging="660"/>
        <w:rPr>
          <w:rFonts w:eastAsia="Calibri"/>
          <w:spacing w:val="-1"/>
          <w:lang w:val="it-IT"/>
        </w:rPr>
      </w:pPr>
      <w:r w:rsidRPr="00146E60">
        <w:rPr>
          <w:rFonts w:eastAsia="Calibri"/>
          <w:spacing w:val="-1"/>
          <w:lang w:val="it-IT"/>
        </w:rPr>
        <w:t>&lt; 40 kg: 20 mg ogni settimana</w:t>
      </w:r>
    </w:p>
    <w:p w14:paraId="069C8693" w14:textId="0F9A957F" w:rsidR="00F91711" w:rsidRPr="00C35766" w:rsidRDefault="00F91711" w:rsidP="00146E60">
      <w:pPr>
        <w:pStyle w:val="a3"/>
        <w:numPr>
          <w:ilvl w:val="0"/>
          <w:numId w:val="11"/>
        </w:numPr>
        <w:ind w:left="660" w:hanging="660"/>
        <w:rPr>
          <w:rFonts w:eastAsia="Times New Roman"/>
          <w:spacing w:val="-1"/>
          <w:lang w:val="pt-BR"/>
        </w:rPr>
      </w:pPr>
      <w:r w:rsidRPr="00C35766">
        <w:rPr>
          <w:rFonts w:eastAsia="Calibri"/>
          <w:spacing w:val="-1"/>
          <w:lang w:val="it-IT"/>
        </w:rPr>
        <w:t xml:space="preserve">≥ 40 kg: </w:t>
      </w:r>
      <w:r w:rsidRPr="00C35766">
        <w:rPr>
          <w:rFonts w:eastAsia="Times New Roman"/>
          <w:spacing w:val="-1"/>
          <w:lang w:val="it-IT"/>
        </w:rPr>
        <w:t>40 mg ogni settimana o 80 mg a settimane alterne</w:t>
      </w:r>
    </w:p>
    <w:p w14:paraId="3DE37B50" w14:textId="77777777" w:rsidR="00F91711" w:rsidRPr="00C35766" w:rsidRDefault="00F91711" w:rsidP="00F91711">
      <w:pPr>
        <w:spacing w:line="240" w:lineRule="exact"/>
        <w:rPr>
          <w:rFonts w:ascii="Times New Roman" w:hAnsi="Times New Roman" w:cs="Times New Roman"/>
          <w:sz w:val="24"/>
          <w:szCs w:val="24"/>
          <w:lang w:val="pt-BR"/>
        </w:rPr>
      </w:pPr>
    </w:p>
    <w:p w14:paraId="5AFE7198" w14:textId="77777777" w:rsidR="00F91711" w:rsidRPr="00C35766" w:rsidRDefault="00F91711" w:rsidP="00F91711">
      <w:pPr>
        <w:pStyle w:val="a3"/>
        <w:rPr>
          <w:lang w:val="pt-BR"/>
        </w:rPr>
      </w:pPr>
      <w:r w:rsidRPr="00C35766">
        <w:rPr>
          <w:rFonts w:eastAsia="Times New Roman"/>
          <w:lang w:val="it-IT"/>
        </w:rPr>
        <w:t>La continuazione della terapia deve essere attentamente considerata in un soggetto che non risponde alla settimana 12.</w:t>
      </w:r>
    </w:p>
    <w:p w14:paraId="6E58C3A2" w14:textId="77777777" w:rsidR="00F91711" w:rsidRPr="00C35766" w:rsidRDefault="00F91711" w:rsidP="00F91711">
      <w:pPr>
        <w:pStyle w:val="a3"/>
        <w:rPr>
          <w:lang w:val="pt-BR"/>
        </w:rPr>
      </w:pPr>
    </w:p>
    <w:p w14:paraId="5E5621E0" w14:textId="77777777" w:rsidR="00F91711" w:rsidRPr="00C35766" w:rsidRDefault="00F91711" w:rsidP="00F91711">
      <w:pPr>
        <w:pStyle w:val="a3"/>
        <w:rPr>
          <w:lang w:val="pt-BR"/>
        </w:rPr>
      </w:pPr>
      <w:r w:rsidRPr="00C35766">
        <w:rPr>
          <w:rFonts w:eastAsia="Times New Roman"/>
          <w:lang w:val="it-IT"/>
        </w:rPr>
        <w:t>Non c’è un uso rilevante di adalimumab nei bambini di età inferiore ai 6 anni per questa indicazione.</w:t>
      </w:r>
    </w:p>
    <w:p w14:paraId="295E6A50" w14:textId="77777777" w:rsidR="00F91711" w:rsidRPr="00C35766" w:rsidRDefault="00F91711" w:rsidP="00F91711">
      <w:pPr>
        <w:rPr>
          <w:rFonts w:ascii="Times New Roman" w:eastAsia="Times New Roman" w:hAnsi="Times New Roman" w:cs="Times New Roman"/>
          <w:i/>
          <w:spacing w:val="-1"/>
          <w:u w:val="single" w:color="000000"/>
          <w:lang w:val="pt-BR"/>
        </w:rPr>
      </w:pPr>
    </w:p>
    <w:p w14:paraId="26215408" w14:textId="77777777" w:rsidR="00F91711" w:rsidRPr="004F0B2E" w:rsidRDefault="00F91711" w:rsidP="00F91711">
      <w:pPr>
        <w:rPr>
          <w:rFonts w:ascii="Times New Roman" w:hAnsi="Times New Roman" w:cs="Times New Roman"/>
          <w:b/>
          <w:bCs/>
          <w:iCs/>
          <w:lang w:val="it-IT"/>
        </w:rPr>
      </w:pPr>
      <w:r w:rsidRPr="004F0B2E">
        <w:rPr>
          <w:rFonts w:ascii="Times New Roman" w:hAnsi="Times New Roman" w:cs="Times New Roman"/>
          <w:i/>
          <w:lang w:val="it-IT"/>
        </w:rPr>
        <w:t>Colite ulcerosa pediatrica</w:t>
      </w:r>
      <w:r w:rsidRPr="004F0B2E">
        <w:rPr>
          <w:rFonts w:ascii="Times New Roman" w:hAnsi="Times New Roman" w:cs="Times New Roman"/>
          <w:b/>
          <w:lang w:val="it-IT"/>
        </w:rPr>
        <w:t xml:space="preserve"> </w:t>
      </w:r>
    </w:p>
    <w:p w14:paraId="67A18FFE" w14:textId="77777777" w:rsidR="00F91711" w:rsidRPr="004F0B2E" w:rsidRDefault="00F91711" w:rsidP="00F91711">
      <w:pPr>
        <w:rPr>
          <w:rFonts w:ascii="Times New Roman" w:hAnsi="Times New Roman" w:cs="Times New Roman"/>
          <w:lang w:val="it-IT"/>
        </w:rPr>
      </w:pPr>
    </w:p>
    <w:p w14:paraId="3C1E025A" w14:textId="4B1523F8" w:rsidR="00F91711" w:rsidRPr="004F0B2E" w:rsidRDefault="00F91711" w:rsidP="00F91711">
      <w:pPr>
        <w:rPr>
          <w:rFonts w:ascii="Times New Roman" w:hAnsi="Times New Roman" w:cs="Times New Roman"/>
          <w:lang w:val="it-IT"/>
        </w:rPr>
      </w:pPr>
      <w:r w:rsidRPr="004F0B2E">
        <w:rPr>
          <w:rFonts w:ascii="Times New Roman" w:hAnsi="Times New Roman" w:cs="Times New Roman"/>
          <w:lang w:val="it-IT"/>
        </w:rPr>
        <w:t xml:space="preserve">La dose raccomandata di Yuflyma per i pazienti di età compresa tra 6 e 17 anni con colite ulcerosa è basata sul peso corporeo (Tabella </w:t>
      </w:r>
      <w:r w:rsidR="002A7BDE" w:rsidRPr="004F0B2E">
        <w:rPr>
          <w:rFonts w:ascii="Times New Roman" w:hAnsi="Times New Roman" w:cs="Times New Roman"/>
          <w:lang w:val="it-IT"/>
        </w:rPr>
        <w:t>2</w:t>
      </w:r>
      <w:r w:rsidRPr="004F0B2E">
        <w:rPr>
          <w:rFonts w:ascii="Times New Roman" w:hAnsi="Times New Roman" w:cs="Times New Roman"/>
          <w:lang w:val="it-IT"/>
        </w:rPr>
        <w:t xml:space="preserve">). Yuflyma </w:t>
      </w:r>
      <w:r w:rsidRPr="004F0B2E">
        <w:rPr>
          <w:rFonts w:ascii="Times New Roman" w:hAnsi="Times New Roman" w:cs="Times New Roman"/>
          <w:lang w:val="it-IT" w:eastAsia="ko-KR"/>
        </w:rPr>
        <w:t xml:space="preserve">deve essere </w:t>
      </w:r>
      <w:r w:rsidRPr="004F0B2E">
        <w:rPr>
          <w:rFonts w:ascii="Times New Roman" w:hAnsi="Times New Roman" w:cs="Times New Roman"/>
          <w:lang w:val="it-IT"/>
        </w:rPr>
        <w:t>somministrato mediante iniezione sottocutanea. </w:t>
      </w:r>
    </w:p>
    <w:p w14:paraId="664D12EE" w14:textId="77777777" w:rsidR="00F91711" w:rsidRPr="004F0B2E" w:rsidRDefault="00F91711" w:rsidP="00F91711">
      <w:pPr>
        <w:rPr>
          <w:rFonts w:ascii="Times New Roman" w:hAnsi="Times New Roman" w:cs="Times New Roman"/>
          <w:lang w:val="it-IT"/>
        </w:rPr>
      </w:pPr>
    </w:p>
    <w:p w14:paraId="79243BDC" w14:textId="77777777" w:rsidR="00150B5C" w:rsidRPr="004F0B2E" w:rsidRDefault="00F91711" w:rsidP="00F91711">
      <w:pPr>
        <w:keepNext/>
        <w:jc w:val="center"/>
        <w:rPr>
          <w:rFonts w:ascii="Times New Roman" w:hAnsi="Times New Roman" w:cs="Times New Roman"/>
          <w:b/>
          <w:lang w:val="it-IT"/>
        </w:rPr>
      </w:pPr>
      <w:r w:rsidRPr="004F0B2E">
        <w:rPr>
          <w:rFonts w:ascii="Times New Roman" w:hAnsi="Times New Roman" w:cs="Times New Roman"/>
          <w:b/>
          <w:lang w:val="it-IT"/>
        </w:rPr>
        <w:t xml:space="preserve">Tabella </w:t>
      </w:r>
      <w:r w:rsidR="002A7BDE" w:rsidRPr="004F0B2E">
        <w:rPr>
          <w:rFonts w:ascii="Times New Roman" w:hAnsi="Times New Roman" w:cs="Times New Roman"/>
          <w:b/>
          <w:lang w:val="it-IT"/>
        </w:rPr>
        <w:t>2</w:t>
      </w:r>
      <w:r w:rsidRPr="004F0B2E">
        <w:rPr>
          <w:rFonts w:ascii="Times New Roman" w:hAnsi="Times New Roman" w:cs="Times New Roman"/>
          <w:b/>
          <w:lang w:val="it-IT"/>
        </w:rPr>
        <w:t>. Dose di Yuflyma per Pazienti Pediatrici con Colite Ulcerosa</w:t>
      </w:r>
    </w:p>
    <w:p w14:paraId="35DC254E" w14:textId="57772B71" w:rsidR="00F91711" w:rsidRPr="004F0B2E" w:rsidRDefault="00F91711" w:rsidP="00F91711">
      <w:pPr>
        <w:keepNext/>
        <w:jc w:val="center"/>
        <w:rPr>
          <w:rFonts w:ascii="Times New Roman" w:hAnsi="Times New Roman" w:cs="Times New Roman"/>
          <w:lang w:val="it-IT"/>
        </w:rPr>
      </w:pPr>
    </w:p>
    <w:tbl>
      <w:tblPr>
        <w:tblW w:w="5000"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80"/>
        <w:gridCol w:w="4315"/>
        <w:gridCol w:w="3289"/>
      </w:tblGrid>
      <w:tr w:rsidR="00F91711" w:rsidRPr="00494E69" w14:paraId="3DBF3CD8" w14:textId="77777777" w:rsidTr="005A5DEF">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598FE9F1" w14:textId="77777777" w:rsidR="00F91711" w:rsidRPr="00C35766" w:rsidRDefault="00F91711" w:rsidP="00F91711">
            <w:pPr>
              <w:jc w:val="center"/>
              <w:rPr>
                <w:rFonts w:ascii="Times New Roman" w:hAnsi="Times New Roman" w:cs="Times New Roman"/>
                <w:b/>
              </w:rPr>
            </w:pPr>
            <w:r w:rsidRPr="00C35766">
              <w:rPr>
                <w:rFonts w:ascii="Times New Roman" w:hAnsi="Times New Roman" w:cs="Times New Roman"/>
                <w:b/>
              </w:rPr>
              <w:t>Peso del paziente</w:t>
            </w:r>
          </w:p>
        </w:tc>
        <w:tc>
          <w:tcPr>
            <w:tcW w:w="2275" w:type="pct"/>
            <w:tcBorders>
              <w:top w:val="single" w:sz="6" w:space="0" w:color="000000"/>
              <w:left w:val="single" w:sz="6" w:space="0" w:color="000000"/>
              <w:bottom w:val="single" w:sz="6" w:space="0" w:color="000000"/>
              <w:right w:val="single" w:sz="6" w:space="0" w:color="000000"/>
            </w:tcBorders>
            <w:vAlign w:val="center"/>
            <w:hideMark/>
          </w:tcPr>
          <w:p w14:paraId="010E9CC5" w14:textId="77777777" w:rsidR="00F91711" w:rsidRPr="00C35766" w:rsidRDefault="00F91711" w:rsidP="00F91711">
            <w:pPr>
              <w:jc w:val="center"/>
              <w:rPr>
                <w:rFonts w:ascii="Times New Roman" w:hAnsi="Times New Roman" w:cs="Times New Roman"/>
                <w:b/>
              </w:rPr>
            </w:pPr>
            <w:r w:rsidRPr="00C35766">
              <w:rPr>
                <w:rFonts w:ascii="Times New Roman" w:hAnsi="Times New Roman" w:cs="Times New Roman"/>
                <w:b/>
              </w:rPr>
              <w:t>Dose di Induzione</w:t>
            </w:r>
          </w:p>
        </w:tc>
        <w:tc>
          <w:tcPr>
            <w:tcW w:w="1734" w:type="pct"/>
            <w:tcBorders>
              <w:top w:val="single" w:sz="6" w:space="0" w:color="000000"/>
              <w:left w:val="single" w:sz="6" w:space="0" w:color="000000"/>
              <w:bottom w:val="single" w:sz="6" w:space="0" w:color="000000"/>
              <w:right w:val="single" w:sz="6" w:space="0" w:color="000000"/>
            </w:tcBorders>
            <w:hideMark/>
          </w:tcPr>
          <w:p w14:paraId="28A0D95B" w14:textId="77777777" w:rsidR="00F91711" w:rsidRPr="004F0B2E" w:rsidRDefault="00F91711" w:rsidP="00F91711">
            <w:pPr>
              <w:jc w:val="center"/>
              <w:rPr>
                <w:rFonts w:ascii="Times New Roman" w:hAnsi="Times New Roman" w:cs="Times New Roman"/>
                <w:b/>
                <w:lang w:val="it-IT"/>
              </w:rPr>
            </w:pPr>
            <w:r w:rsidRPr="004F0B2E">
              <w:rPr>
                <w:rFonts w:ascii="Times New Roman" w:hAnsi="Times New Roman" w:cs="Times New Roman"/>
                <w:b/>
                <w:lang w:val="it-IT"/>
              </w:rPr>
              <w:t>Dose di Mantenimento</w:t>
            </w:r>
            <w:r w:rsidRPr="004F0B2E">
              <w:rPr>
                <w:rFonts w:ascii="Times New Roman" w:hAnsi="Times New Roman" w:cs="Times New Roman"/>
                <w:b/>
                <w:lang w:val="it-IT"/>
              </w:rPr>
              <w:br/>
              <w:t>a partire dalla Settimana 4*</w:t>
            </w:r>
          </w:p>
        </w:tc>
      </w:tr>
      <w:tr w:rsidR="00F91711" w:rsidRPr="00C35766" w14:paraId="5ACB8977" w14:textId="77777777" w:rsidTr="005A5DE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6C8E0611" w14:textId="77777777" w:rsidR="00F91711" w:rsidRPr="00C35766" w:rsidRDefault="00F91711" w:rsidP="00F91711">
            <w:pPr>
              <w:jc w:val="center"/>
              <w:rPr>
                <w:rFonts w:ascii="Times New Roman" w:hAnsi="Times New Roman" w:cs="Times New Roman"/>
              </w:rPr>
            </w:pPr>
            <w:r w:rsidRPr="00C35766">
              <w:rPr>
                <w:rFonts w:ascii="Times New Roman" w:hAnsi="Times New Roman" w:cs="Times New Roman"/>
              </w:rPr>
              <w:lastRenderedPageBreak/>
              <w:t>&lt; 40 kg</w:t>
            </w:r>
          </w:p>
        </w:tc>
        <w:tc>
          <w:tcPr>
            <w:tcW w:w="2275" w:type="pct"/>
            <w:tcBorders>
              <w:top w:val="single" w:sz="6" w:space="0" w:color="000000"/>
              <w:left w:val="single" w:sz="6" w:space="0" w:color="000000"/>
              <w:bottom w:val="single" w:sz="6" w:space="0" w:color="000000"/>
              <w:right w:val="single" w:sz="6" w:space="0" w:color="000000"/>
            </w:tcBorders>
            <w:hideMark/>
          </w:tcPr>
          <w:p w14:paraId="1F8BA95F" w14:textId="4E433780" w:rsidR="00F91711" w:rsidRPr="00C35766" w:rsidRDefault="00F91711" w:rsidP="00F91711">
            <w:pPr>
              <w:widowControl/>
              <w:numPr>
                <w:ilvl w:val="0"/>
                <w:numId w:val="42"/>
              </w:numPr>
              <w:ind w:left="360" w:hanging="210"/>
              <w:rPr>
                <w:rFonts w:ascii="Times New Roman" w:hAnsi="Times New Roman" w:cs="Times New Roman"/>
                <w:lang w:val="de-CH"/>
              </w:rPr>
            </w:pPr>
            <w:r w:rsidRPr="00C35766">
              <w:rPr>
                <w:rFonts w:ascii="Times New Roman" w:hAnsi="Times New Roman" w:cs="Times New Roman"/>
                <w:lang w:val="de-CH"/>
              </w:rPr>
              <w:t xml:space="preserve">80 mg alla Settimana 0 (somministrati in </w:t>
            </w:r>
            <w:r w:rsidR="001A15DB" w:rsidRPr="00C35766">
              <w:rPr>
                <w:rFonts w:ascii="Times New Roman" w:hAnsi="Times New Roman" w:cs="Times New Roman"/>
                <w:lang w:val="de-CH"/>
              </w:rPr>
              <w:t xml:space="preserve">una iniezione da 80 mg </w:t>
            </w:r>
            <w:r w:rsidRPr="00C35766">
              <w:rPr>
                <w:rFonts w:ascii="Times New Roman" w:hAnsi="Times New Roman" w:cs="Times New Roman"/>
                <w:lang w:val="de-CH"/>
              </w:rPr>
              <w:t>nello stesso giorno) e</w:t>
            </w:r>
          </w:p>
          <w:p w14:paraId="4BED6A44" w14:textId="77777777" w:rsidR="00F91711" w:rsidRPr="004F0B2E" w:rsidRDefault="00F91711" w:rsidP="00F91711">
            <w:pPr>
              <w:widowControl/>
              <w:numPr>
                <w:ilvl w:val="0"/>
                <w:numId w:val="42"/>
              </w:numPr>
              <w:ind w:left="360" w:hanging="210"/>
              <w:rPr>
                <w:rFonts w:ascii="Times New Roman" w:hAnsi="Times New Roman" w:cs="Times New Roman"/>
                <w:lang w:val="it-IT"/>
              </w:rPr>
            </w:pPr>
            <w:r w:rsidRPr="004F0B2E">
              <w:rPr>
                <w:rFonts w:ascii="Times New Roman" w:hAnsi="Times New Roman" w:cs="Times New Roman"/>
                <w:lang w:val="it-IT"/>
              </w:rPr>
              <w:t>40 mg alla Settimana 2 (somministrati con una sola iniezione da 40 mg)</w:t>
            </w:r>
          </w:p>
        </w:tc>
        <w:tc>
          <w:tcPr>
            <w:tcW w:w="1734" w:type="pct"/>
            <w:tcBorders>
              <w:top w:val="single" w:sz="6" w:space="0" w:color="000000"/>
              <w:left w:val="single" w:sz="6" w:space="0" w:color="000000"/>
              <w:bottom w:val="single" w:sz="6" w:space="0" w:color="000000"/>
              <w:right w:val="single" w:sz="6" w:space="0" w:color="000000"/>
            </w:tcBorders>
            <w:hideMark/>
          </w:tcPr>
          <w:p w14:paraId="6E129ADA" w14:textId="77777777" w:rsidR="00F91711" w:rsidRPr="00C35766" w:rsidRDefault="00F91711" w:rsidP="00F91711">
            <w:pPr>
              <w:widowControl/>
              <w:numPr>
                <w:ilvl w:val="0"/>
                <w:numId w:val="42"/>
              </w:numPr>
              <w:ind w:left="360" w:hanging="210"/>
              <w:rPr>
                <w:rFonts w:ascii="Times New Roman" w:hAnsi="Times New Roman" w:cs="Times New Roman"/>
              </w:rPr>
            </w:pPr>
            <w:r w:rsidRPr="00C35766">
              <w:rPr>
                <w:rFonts w:ascii="Times New Roman" w:hAnsi="Times New Roman" w:cs="Times New Roman"/>
              </w:rPr>
              <w:t>40 mg a settimane alterne</w:t>
            </w:r>
          </w:p>
        </w:tc>
      </w:tr>
      <w:tr w:rsidR="00F91711" w:rsidRPr="00C35766" w14:paraId="2126E6B1" w14:textId="77777777" w:rsidTr="005A5DEF">
        <w:trPr>
          <w:jc w:val="center"/>
        </w:trPr>
        <w:tc>
          <w:tcPr>
            <w:tcW w:w="0" w:type="auto"/>
            <w:tcBorders>
              <w:top w:val="single" w:sz="6" w:space="0" w:color="000000"/>
              <w:left w:val="single" w:sz="6" w:space="0" w:color="000000"/>
              <w:bottom w:val="single" w:sz="4" w:space="0" w:color="auto"/>
              <w:right w:val="single" w:sz="6" w:space="0" w:color="000000"/>
            </w:tcBorders>
            <w:hideMark/>
          </w:tcPr>
          <w:p w14:paraId="4D658634" w14:textId="77777777" w:rsidR="00F91711" w:rsidRPr="00C35766" w:rsidRDefault="00F91711" w:rsidP="00F91711">
            <w:pPr>
              <w:jc w:val="center"/>
              <w:rPr>
                <w:rFonts w:ascii="Times New Roman" w:hAnsi="Times New Roman" w:cs="Times New Roman"/>
              </w:rPr>
            </w:pPr>
            <w:r w:rsidRPr="00C35766">
              <w:rPr>
                <w:rFonts w:ascii="Times New Roman" w:hAnsi="Times New Roman" w:cs="Times New Roman"/>
              </w:rPr>
              <w:t>≥</w:t>
            </w:r>
            <w:r w:rsidRPr="00C35766">
              <w:rPr>
                <w:rFonts w:ascii="Times New Roman" w:hAnsi="Times New Roman" w:cs="Times New Roman"/>
                <w:lang w:eastAsia="ko-KR"/>
              </w:rPr>
              <w:t xml:space="preserve"> </w:t>
            </w:r>
            <w:r w:rsidRPr="00C35766">
              <w:rPr>
                <w:rFonts w:ascii="Times New Roman" w:hAnsi="Times New Roman" w:cs="Times New Roman"/>
              </w:rPr>
              <w:t>40 kg</w:t>
            </w:r>
          </w:p>
        </w:tc>
        <w:tc>
          <w:tcPr>
            <w:tcW w:w="2275" w:type="pct"/>
            <w:tcBorders>
              <w:top w:val="single" w:sz="6" w:space="0" w:color="000000"/>
              <w:left w:val="single" w:sz="6" w:space="0" w:color="000000"/>
              <w:bottom w:val="single" w:sz="4" w:space="0" w:color="auto"/>
              <w:right w:val="single" w:sz="6" w:space="0" w:color="000000"/>
            </w:tcBorders>
            <w:hideMark/>
          </w:tcPr>
          <w:p w14:paraId="4ADA48EA" w14:textId="6E665E2C" w:rsidR="00F91711" w:rsidRPr="004F0B2E" w:rsidRDefault="00F91711" w:rsidP="00F91711">
            <w:pPr>
              <w:widowControl/>
              <w:numPr>
                <w:ilvl w:val="0"/>
                <w:numId w:val="43"/>
              </w:numPr>
              <w:ind w:left="360" w:hanging="210"/>
              <w:rPr>
                <w:rFonts w:ascii="Times New Roman" w:hAnsi="Times New Roman" w:cs="Times New Roman"/>
                <w:lang w:val="it-IT"/>
              </w:rPr>
            </w:pPr>
            <w:r w:rsidRPr="004F0B2E">
              <w:rPr>
                <w:rFonts w:ascii="Times New Roman" w:hAnsi="Times New Roman" w:cs="Times New Roman"/>
                <w:lang w:val="it-IT"/>
              </w:rPr>
              <w:t xml:space="preserve">160 mg alla Settimana 0 (somministrati con </w:t>
            </w:r>
            <w:r w:rsidR="001A15DB" w:rsidRPr="004F0B2E">
              <w:rPr>
                <w:rFonts w:ascii="Times New Roman" w:hAnsi="Times New Roman" w:cs="Times New Roman"/>
                <w:lang w:val="it-IT"/>
              </w:rPr>
              <w:t xml:space="preserve">due iniezioni da 80 mg </w:t>
            </w:r>
            <w:r w:rsidRPr="004F0B2E">
              <w:rPr>
                <w:rFonts w:ascii="Times New Roman" w:hAnsi="Times New Roman" w:cs="Times New Roman"/>
                <w:lang w:val="it-IT"/>
              </w:rPr>
              <w:t xml:space="preserve">in un giorno o </w:t>
            </w:r>
            <w:r w:rsidR="001A15DB" w:rsidRPr="004F0B2E">
              <w:rPr>
                <w:rFonts w:ascii="Times New Roman" w:hAnsi="Times New Roman" w:cs="Times New Roman"/>
                <w:lang w:val="it-IT"/>
              </w:rPr>
              <w:t xml:space="preserve">una iniezione da 80 mg </w:t>
            </w:r>
            <w:r w:rsidRPr="004F0B2E">
              <w:rPr>
                <w:rFonts w:ascii="Times New Roman" w:hAnsi="Times New Roman" w:cs="Times New Roman"/>
                <w:lang w:val="it-IT"/>
              </w:rPr>
              <w:t>al giorno per due giorni consecutivi) e</w:t>
            </w:r>
          </w:p>
          <w:p w14:paraId="332C128C" w14:textId="02036FAF" w:rsidR="00F91711" w:rsidRPr="004F0B2E" w:rsidRDefault="00F91711" w:rsidP="00F91711">
            <w:pPr>
              <w:widowControl/>
              <w:numPr>
                <w:ilvl w:val="0"/>
                <w:numId w:val="43"/>
              </w:numPr>
              <w:ind w:left="360" w:hanging="210"/>
              <w:rPr>
                <w:rFonts w:ascii="Times New Roman" w:hAnsi="Times New Roman" w:cs="Times New Roman"/>
                <w:lang w:val="it-IT"/>
              </w:rPr>
            </w:pPr>
            <w:r w:rsidRPr="004F0B2E">
              <w:rPr>
                <w:rFonts w:ascii="Times New Roman" w:hAnsi="Times New Roman" w:cs="Times New Roman"/>
                <w:lang w:val="it-IT"/>
              </w:rPr>
              <w:t xml:space="preserve">80 mg alla Settimana 2 (somministrati con </w:t>
            </w:r>
            <w:r w:rsidR="001A15DB" w:rsidRPr="004F0B2E">
              <w:rPr>
                <w:rFonts w:ascii="Times New Roman" w:hAnsi="Times New Roman" w:cs="Times New Roman"/>
                <w:lang w:val="it-IT"/>
              </w:rPr>
              <w:t xml:space="preserve">una iniezione da 80 mg </w:t>
            </w:r>
            <w:r w:rsidRPr="004F0B2E">
              <w:rPr>
                <w:rFonts w:ascii="Times New Roman" w:hAnsi="Times New Roman" w:cs="Times New Roman"/>
                <w:lang w:val="it-IT"/>
              </w:rPr>
              <w:t>in un giorno)</w:t>
            </w:r>
          </w:p>
        </w:tc>
        <w:tc>
          <w:tcPr>
            <w:tcW w:w="1734" w:type="pct"/>
            <w:tcBorders>
              <w:top w:val="single" w:sz="6" w:space="0" w:color="000000"/>
              <w:left w:val="single" w:sz="6" w:space="0" w:color="000000"/>
              <w:bottom w:val="single" w:sz="4" w:space="0" w:color="auto"/>
              <w:right w:val="single" w:sz="6" w:space="0" w:color="000000"/>
            </w:tcBorders>
            <w:hideMark/>
          </w:tcPr>
          <w:p w14:paraId="3CD06106" w14:textId="77777777" w:rsidR="00F91711" w:rsidRPr="00C35766" w:rsidRDefault="00F91711" w:rsidP="00F91711">
            <w:pPr>
              <w:widowControl/>
              <w:numPr>
                <w:ilvl w:val="0"/>
                <w:numId w:val="42"/>
              </w:numPr>
              <w:ind w:left="360" w:hanging="210"/>
              <w:rPr>
                <w:rFonts w:ascii="Times New Roman" w:hAnsi="Times New Roman" w:cs="Times New Roman"/>
              </w:rPr>
            </w:pPr>
            <w:r w:rsidRPr="00C35766">
              <w:rPr>
                <w:rFonts w:ascii="Times New Roman" w:hAnsi="Times New Roman" w:cs="Times New Roman"/>
              </w:rPr>
              <w:t>80 mg a settimane alterne</w:t>
            </w:r>
          </w:p>
        </w:tc>
      </w:tr>
      <w:tr w:rsidR="00F91711" w:rsidRPr="006501B3" w14:paraId="2801A362" w14:textId="77777777" w:rsidTr="005A5DEF">
        <w:trPr>
          <w:jc w:val="center"/>
        </w:trPr>
        <w:tc>
          <w:tcPr>
            <w:tcW w:w="5000" w:type="pct"/>
            <w:gridSpan w:val="3"/>
            <w:tcBorders>
              <w:top w:val="single" w:sz="4" w:space="0" w:color="auto"/>
              <w:left w:val="nil"/>
              <w:bottom w:val="nil"/>
              <w:right w:val="nil"/>
            </w:tcBorders>
          </w:tcPr>
          <w:p w14:paraId="6C6CE106" w14:textId="77777777" w:rsidR="00F91711" w:rsidRPr="004F0B2E" w:rsidRDefault="00F91711" w:rsidP="00F91711">
            <w:pPr>
              <w:rPr>
                <w:rFonts w:ascii="Times New Roman" w:hAnsi="Times New Roman" w:cs="Times New Roman"/>
                <w:lang w:val="it-IT"/>
              </w:rPr>
            </w:pPr>
            <w:r w:rsidRPr="004F0B2E">
              <w:rPr>
                <w:rFonts w:ascii="Times New Roman" w:hAnsi="Times New Roman" w:cs="Times New Roman"/>
                <w:vertAlign w:val="superscript"/>
                <w:lang w:val="it-IT"/>
              </w:rPr>
              <w:t xml:space="preserve">* </w:t>
            </w:r>
            <w:r w:rsidRPr="004F0B2E">
              <w:rPr>
                <w:rFonts w:ascii="Times New Roman" w:hAnsi="Times New Roman" w:cs="Times New Roman"/>
                <w:lang w:val="it-IT"/>
              </w:rPr>
              <w:t>I pazienti pediatrici che compiono 18 anni di età durante il trattamento con Yuflyma devono continuare la dose di mantenimento prescritta.</w:t>
            </w:r>
          </w:p>
        </w:tc>
      </w:tr>
    </w:tbl>
    <w:p w14:paraId="61E5B859" w14:textId="77777777" w:rsidR="00F91711" w:rsidRPr="00C35766" w:rsidRDefault="00F91711" w:rsidP="00F91711">
      <w:pPr>
        <w:pStyle w:val="gtctablespaceafter"/>
        <w:numPr>
          <w:ilvl w:val="0"/>
          <w:numId w:val="44"/>
        </w:numPr>
        <w:spacing w:after="0"/>
        <w:rPr>
          <w:sz w:val="22"/>
          <w:szCs w:val="22"/>
          <w:lang w:val="it-IT"/>
        </w:rPr>
      </w:pPr>
    </w:p>
    <w:p w14:paraId="44DE0EB1" w14:textId="77777777" w:rsidR="00F91711" w:rsidRPr="004F0B2E" w:rsidRDefault="00F91711" w:rsidP="00F91711">
      <w:pPr>
        <w:rPr>
          <w:rFonts w:ascii="Times New Roman" w:hAnsi="Times New Roman" w:cs="Times New Roman"/>
          <w:lang w:val="it-IT"/>
        </w:rPr>
      </w:pPr>
      <w:r w:rsidRPr="004F0B2E">
        <w:rPr>
          <w:rFonts w:ascii="Times New Roman" w:hAnsi="Times New Roman" w:cs="Times New Roman"/>
          <w:lang w:val="it-IT"/>
        </w:rPr>
        <w:t>La continuazione della terapia oltre le 8 settimane deve essere attentamente considerata nei pazienti che non mostrano segni di risposta entro questo periodo di tempo.</w:t>
      </w:r>
    </w:p>
    <w:p w14:paraId="15E66668" w14:textId="77777777" w:rsidR="00F91711" w:rsidRPr="004F0B2E" w:rsidRDefault="00F91711" w:rsidP="00F91711">
      <w:pPr>
        <w:rPr>
          <w:rFonts w:ascii="Times New Roman" w:hAnsi="Times New Roman" w:cs="Times New Roman"/>
          <w:lang w:val="it-IT"/>
        </w:rPr>
      </w:pPr>
    </w:p>
    <w:p w14:paraId="42F36FE9" w14:textId="77777777" w:rsidR="00F91711" w:rsidRPr="004F0B2E" w:rsidRDefault="00F91711" w:rsidP="00F91711">
      <w:pPr>
        <w:tabs>
          <w:tab w:val="left" w:pos="567"/>
          <w:tab w:val="right" w:pos="9070"/>
        </w:tabs>
        <w:jc w:val="both"/>
        <w:rPr>
          <w:rFonts w:ascii="Times New Roman" w:hAnsi="Times New Roman" w:cs="Times New Roman"/>
          <w:lang w:val="it-IT"/>
        </w:rPr>
      </w:pPr>
      <w:r w:rsidRPr="004F0B2E">
        <w:rPr>
          <w:rFonts w:ascii="Times New Roman" w:hAnsi="Times New Roman" w:cs="Times New Roman"/>
          <w:lang w:val="it-IT"/>
        </w:rPr>
        <w:t>Non c’è un uso rilevante di adalimumab nei bambini di età inferiore a 6 anni per questa indicazione.</w:t>
      </w:r>
    </w:p>
    <w:p w14:paraId="1019061A" w14:textId="77777777" w:rsidR="00F91711" w:rsidRPr="00C35766" w:rsidRDefault="00F91711" w:rsidP="00F91711">
      <w:pPr>
        <w:rPr>
          <w:rFonts w:ascii="Times New Roman" w:eastAsia="Times New Roman" w:hAnsi="Times New Roman" w:cs="Times New Roman"/>
          <w:i/>
          <w:spacing w:val="-1"/>
          <w:u w:val="single" w:color="000000"/>
          <w:lang w:val="pt-BR"/>
        </w:rPr>
      </w:pPr>
    </w:p>
    <w:p w14:paraId="2B0BDFB9" w14:textId="77777777" w:rsidR="00F91711" w:rsidRPr="00146E60" w:rsidRDefault="00F91711" w:rsidP="00F91711">
      <w:pPr>
        <w:rPr>
          <w:rFonts w:ascii="Times New Roman" w:eastAsia="Times New Roman" w:hAnsi="Times New Roman" w:cs="Times New Roman"/>
          <w:i/>
          <w:spacing w:val="-1"/>
          <w:lang w:val="pt-BR"/>
        </w:rPr>
      </w:pPr>
      <w:r w:rsidRPr="00146E60">
        <w:rPr>
          <w:rFonts w:ascii="Times New Roman" w:eastAsia="Times New Roman" w:hAnsi="Times New Roman" w:cs="Times New Roman"/>
          <w:i/>
          <w:iCs/>
          <w:spacing w:val="-1"/>
          <w:lang w:val="it-IT"/>
        </w:rPr>
        <w:t>Uveite pediatrica</w:t>
      </w:r>
    </w:p>
    <w:p w14:paraId="0192929A" w14:textId="77777777" w:rsidR="00F91711" w:rsidRPr="00C35766" w:rsidRDefault="00F91711" w:rsidP="00F91711">
      <w:pPr>
        <w:rPr>
          <w:rFonts w:ascii="Times New Roman" w:eastAsia="Times New Roman" w:hAnsi="Times New Roman" w:cs="Times New Roman"/>
          <w:lang w:val="pt-BR"/>
        </w:rPr>
      </w:pPr>
    </w:p>
    <w:p w14:paraId="6F0EE1FA" w14:textId="23AC422D" w:rsidR="00F91711" w:rsidRPr="00C35766" w:rsidRDefault="00F91711" w:rsidP="00F91711">
      <w:pPr>
        <w:pStyle w:val="a3"/>
        <w:rPr>
          <w:lang w:val="it-IT"/>
        </w:rPr>
      </w:pPr>
      <w:r w:rsidRPr="00C35766">
        <w:rPr>
          <w:rFonts w:eastAsia="Times New Roman"/>
          <w:lang w:val="it-IT"/>
        </w:rPr>
        <w:t xml:space="preserve">La dose raccomandata di Yuflyma nei pazienti pediatrici con uveite dai 2 anni di età è basata sul peso corporeo (Tabella </w:t>
      </w:r>
      <w:r w:rsidR="002A7BDE" w:rsidRPr="00C35766">
        <w:rPr>
          <w:rFonts w:eastAsia="Times New Roman"/>
          <w:lang w:val="it-IT"/>
        </w:rPr>
        <w:t>3</w:t>
      </w:r>
      <w:r w:rsidRPr="00C35766">
        <w:rPr>
          <w:rFonts w:eastAsia="Times New Roman"/>
          <w:lang w:val="it-IT"/>
        </w:rPr>
        <w:t>). Yuflyma è somministrato tramite iniezione sottocutanea.</w:t>
      </w:r>
    </w:p>
    <w:p w14:paraId="29003154" w14:textId="77777777" w:rsidR="00F91711" w:rsidRPr="00C35766" w:rsidRDefault="00F91711" w:rsidP="00F91711">
      <w:pPr>
        <w:rPr>
          <w:rFonts w:ascii="Times New Roman" w:hAnsi="Times New Roman" w:cs="Times New Roman"/>
          <w:sz w:val="24"/>
          <w:szCs w:val="24"/>
          <w:lang w:val="it-IT"/>
        </w:rPr>
      </w:pPr>
    </w:p>
    <w:p w14:paraId="07712C20" w14:textId="77777777" w:rsidR="00F91711" w:rsidRPr="00C35766" w:rsidRDefault="00F91711" w:rsidP="00F91711">
      <w:pPr>
        <w:pStyle w:val="a3"/>
        <w:rPr>
          <w:lang w:val="it-IT"/>
        </w:rPr>
      </w:pPr>
      <w:r w:rsidRPr="00C35766">
        <w:rPr>
          <w:rFonts w:eastAsia="Times New Roman"/>
          <w:lang w:val="it-IT"/>
        </w:rPr>
        <w:t>Nell’uveite pediatrica, non c’è esperienza nel trattamento con adalimumab senza terapia concomitante con metotressato.</w:t>
      </w:r>
    </w:p>
    <w:p w14:paraId="1BB67B7A" w14:textId="77777777" w:rsidR="00F91711" w:rsidRPr="00C35766" w:rsidRDefault="00F91711" w:rsidP="00F91711">
      <w:pPr>
        <w:pStyle w:val="a3"/>
        <w:rPr>
          <w:lang w:val="it-IT"/>
        </w:rPr>
      </w:pPr>
    </w:p>
    <w:p w14:paraId="42ABC578" w14:textId="7F33A6FC" w:rsidR="00F91711" w:rsidRPr="00C35766" w:rsidRDefault="00F91711" w:rsidP="00F91711">
      <w:pPr>
        <w:pStyle w:val="a3"/>
        <w:jc w:val="center"/>
        <w:rPr>
          <w:b/>
          <w:lang w:val="es-ES"/>
        </w:rPr>
      </w:pPr>
      <w:r w:rsidRPr="00C35766">
        <w:rPr>
          <w:rFonts w:eastAsia="Times New Roman"/>
          <w:b/>
          <w:bCs/>
          <w:lang w:val="it-IT"/>
        </w:rPr>
        <w:t xml:space="preserve">Tabella </w:t>
      </w:r>
      <w:r w:rsidR="002A7BDE" w:rsidRPr="00C35766">
        <w:rPr>
          <w:rFonts w:eastAsia="Times New Roman"/>
          <w:b/>
          <w:bCs/>
          <w:lang w:val="it-IT"/>
        </w:rPr>
        <w:t>3</w:t>
      </w:r>
      <w:r w:rsidR="004F41C7">
        <w:rPr>
          <w:rFonts w:eastAsia="Times New Roman"/>
          <w:b/>
          <w:bCs/>
          <w:lang w:val="it-IT"/>
        </w:rPr>
        <w:t>.</w:t>
      </w:r>
      <w:r w:rsidRPr="00C35766">
        <w:rPr>
          <w:rFonts w:eastAsia="Times New Roman"/>
          <w:b/>
          <w:bCs/>
          <w:lang w:val="it-IT"/>
        </w:rPr>
        <w:t xml:space="preserve"> Dose di Yuflyma per pazienti pediatrici con uveite</w:t>
      </w:r>
    </w:p>
    <w:p w14:paraId="52C377BE" w14:textId="77777777" w:rsidR="00F91711" w:rsidRPr="00C35766" w:rsidRDefault="00F91711" w:rsidP="00F91711">
      <w:pPr>
        <w:spacing w:before="4" w:line="220" w:lineRule="exact"/>
        <w:rPr>
          <w:rFonts w:ascii="Times New Roman" w:hAnsi="Times New Roman" w:cs="Times New Roman"/>
          <w:lang w:val="es-ES"/>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F91711" w:rsidRPr="00C35766" w14:paraId="375E529C" w14:textId="77777777" w:rsidTr="00F91711">
        <w:trPr>
          <w:trHeight w:val="374"/>
          <w:jc w:val="center"/>
        </w:trPr>
        <w:tc>
          <w:tcPr>
            <w:tcW w:w="3572" w:type="dxa"/>
            <w:tcBorders>
              <w:top w:val="single" w:sz="4" w:space="0" w:color="auto"/>
              <w:bottom w:val="single" w:sz="4" w:space="0" w:color="auto"/>
            </w:tcBorders>
            <w:vAlign w:val="center"/>
          </w:tcPr>
          <w:p w14:paraId="2FD58420" w14:textId="77777777" w:rsidR="00F91711" w:rsidRPr="00C35766" w:rsidRDefault="00F91711" w:rsidP="00F91711">
            <w:pPr>
              <w:pStyle w:val="a3"/>
              <w:jc w:val="center"/>
              <w:rPr>
                <w:b/>
              </w:rPr>
            </w:pPr>
            <w:r w:rsidRPr="00C35766">
              <w:rPr>
                <w:rFonts w:eastAsia="Times New Roman"/>
                <w:b/>
                <w:bCs/>
                <w:lang w:val="it-IT"/>
              </w:rPr>
              <w:t>Peso del paziente</w:t>
            </w:r>
          </w:p>
        </w:tc>
        <w:tc>
          <w:tcPr>
            <w:tcW w:w="3572" w:type="dxa"/>
            <w:tcBorders>
              <w:top w:val="single" w:sz="4" w:space="0" w:color="auto"/>
              <w:bottom w:val="single" w:sz="4" w:space="0" w:color="auto"/>
            </w:tcBorders>
            <w:vAlign w:val="center"/>
          </w:tcPr>
          <w:p w14:paraId="2D3A79C5" w14:textId="77777777" w:rsidR="00F91711" w:rsidRPr="00C35766" w:rsidRDefault="00F91711" w:rsidP="00F91711">
            <w:pPr>
              <w:pStyle w:val="a3"/>
              <w:jc w:val="center"/>
              <w:rPr>
                <w:b/>
              </w:rPr>
            </w:pPr>
            <w:r w:rsidRPr="00C35766">
              <w:rPr>
                <w:rFonts w:eastAsia="Times New Roman"/>
                <w:b/>
                <w:bCs/>
                <w:lang w:val="it-IT"/>
              </w:rPr>
              <w:t>Schema posologico</w:t>
            </w:r>
          </w:p>
        </w:tc>
      </w:tr>
      <w:tr w:rsidR="00150B5C" w:rsidRPr="00494E69" w14:paraId="3F869CC4" w14:textId="77777777" w:rsidTr="00F91711">
        <w:trPr>
          <w:trHeight w:val="388"/>
          <w:jc w:val="center"/>
        </w:trPr>
        <w:tc>
          <w:tcPr>
            <w:tcW w:w="3572" w:type="dxa"/>
            <w:tcBorders>
              <w:top w:val="single" w:sz="4" w:space="0" w:color="auto"/>
              <w:bottom w:val="single" w:sz="4" w:space="0" w:color="auto"/>
            </w:tcBorders>
            <w:vAlign w:val="center"/>
          </w:tcPr>
          <w:p w14:paraId="3893EE8F" w14:textId="77777777" w:rsidR="00150B5C" w:rsidRPr="00C35766" w:rsidRDefault="00150B5C" w:rsidP="00150B5C">
            <w:pPr>
              <w:pStyle w:val="a3"/>
              <w:jc w:val="center"/>
            </w:pPr>
            <w:r w:rsidRPr="00C35766">
              <w:rPr>
                <w:rFonts w:eastAsia="Times New Roman"/>
                <w:lang w:val="it-IT"/>
              </w:rPr>
              <w:t>&lt; 30 kg</w:t>
            </w:r>
          </w:p>
        </w:tc>
        <w:tc>
          <w:tcPr>
            <w:tcW w:w="3572" w:type="dxa"/>
            <w:tcBorders>
              <w:top w:val="single" w:sz="4" w:space="0" w:color="auto"/>
              <w:bottom w:val="single" w:sz="4" w:space="0" w:color="auto"/>
            </w:tcBorders>
            <w:vAlign w:val="center"/>
          </w:tcPr>
          <w:p w14:paraId="1E33AD28" w14:textId="76657C73" w:rsidR="00150B5C" w:rsidRPr="004F0B2E" w:rsidRDefault="00150B5C" w:rsidP="00150B5C">
            <w:pPr>
              <w:pStyle w:val="a3"/>
              <w:jc w:val="center"/>
              <w:rPr>
                <w:lang w:val="it-IT"/>
              </w:rPr>
            </w:pPr>
            <w:r>
              <w:rPr>
                <w:rFonts w:eastAsia="Times New Roman"/>
                <w:lang w:val="it-IT"/>
              </w:rPr>
              <w:t>20</w:t>
            </w:r>
            <w:r w:rsidRPr="00C35766">
              <w:rPr>
                <w:rFonts w:eastAsia="Times New Roman"/>
                <w:lang w:val="it-IT"/>
              </w:rPr>
              <w:t xml:space="preserve"> mg a settimane alterne in associazione con metotressato</w:t>
            </w:r>
          </w:p>
        </w:tc>
      </w:tr>
      <w:tr w:rsidR="00150B5C" w:rsidRPr="00494E69" w14:paraId="68B3C2B1" w14:textId="77777777" w:rsidTr="00F91711">
        <w:trPr>
          <w:trHeight w:val="374"/>
          <w:jc w:val="center"/>
        </w:trPr>
        <w:tc>
          <w:tcPr>
            <w:tcW w:w="3572" w:type="dxa"/>
            <w:tcBorders>
              <w:top w:val="single" w:sz="4" w:space="0" w:color="auto"/>
              <w:bottom w:val="single" w:sz="4" w:space="0" w:color="auto"/>
            </w:tcBorders>
            <w:vAlign w:val="center"/>
          </w:tcPr>
          <w:p w14:paraId="2A38DEC0" w14:textId="77777777" w:rsidR="00150B5C" w:rsidRPr="00C35766" w:rsidRDefault="00150B5C" w:rsidP="00150B5C">
            <w:pPr>
              <w:pStyle w:val="a3"/>
              <w:jc w:val="center"/>
            </w:pPr>
            <w:r w:rsidRPr="00C35766">
              <w:rPr>
                <w:rFonts w:eastAsia="Times New Roman"/>
                <w:lang w:val="it-IT"/>
              </w:rPr>
              <w:t>≥ 30 kg</w:t>
            </w:r>
          </w:p>
        </w:tc>
        <w:tc>
          <w:tcPr>
            <w:tcW w:w="3572" w:type="dxa"/>
            <w:tcBorders>
              <w:top w:val="single" w:sz="4" w:space="0" w:color="auto"/>
              <w:bottom w:val="single" w:sz="4" w:space="0" w:color="auto"/>
            </w:tcBorders>
            <w:vAlign w:val="center"/>
          </w:tcPr>
          <w:p w14:paraId="62C63388" w14:textId="77777777" w:rsidR="00150B5C" w:rsidRPr="00C35766" w:rsidRDefault="00150B5C" w:rsidP="00150B5C">
            <w:pPr>
              <w:pStyle w:val="a3"/>
              <w:jc w:val="center"/>
              <w:rPr>
                <w:lang w:val="it-IT"/>
              </w:rPr>
            </w:pPr>
            <w:r w:rsidRPr="00C35766">
              <w:rPr>
                <w:rFonts w:eastAsia="Times New Roman"/>
                <w:lang w:val="it-IT"/>
              </w:rPr>
              <w:t>40 mg a settimane alterne in associazione con metotressato</w:t>
            </w:r>
          </w:p>
        </w:tc>
      </w:tr>
    </w:tbl>
    <w:p w14:paraId="7F080EAE" w14:textId="77777777" w:rsidR="00F91711" w:rsidRPr="00C35766" w:rsidRDefault="00F91711" w:rsidP="00F91711">
      <w:pPr>
        <w:pStyle w:val="a3"/>
        <w:rPr>
          <w:lang w:val="pt-BR"/>
        </w:rPr>
      </w:pPr>
    </w:p>
    <w:p w14:paraId="7328200B" w14:textId="77777777" w:rsidR="00F91711" w:rsidRPr="00C35766" w:rsidRDefault="00F91711" w:rsidP="00F91711">
      <w:pPr>
        <w:pStyle w:val="a3"/>
        <w:rPr>
          <w:lang w:val="it-IT"/>
        </w:rPr>
      </w:pPr>
      <w:r w:rsidRPr="00C35766">
        <w:rPr>
          <w:rFonts w:eastAsia="Times New Roman"/>
          <w:lang w:val="it-IT"/>
        </w:rPr>
        <w:t xml:space="preserve">Quando si inizia la terapia con Yuflyma, è possibile somministrare una dose di carico da 40 mg per i pazienti con peso &lt; 30 kg o 80 mg per i pazienti </w:t>
      </w:r>
      <w:r w:rsidRPr="00C35766">
        <w:rPr>
          <w:rFonts w:eastAsia="Times New Roman"/>
          <w:lang w:val="it-IT"/>
        </w:rPr>
        <w:tab/>
        <w:t>con peso ≥ 30 kg una settimana prima dell’inizio della terapia di mantenimento. Non sono disponibili dati clinici sull’uso della dose di carico di adalimumab nei bambini di età inferiore ai 6 anni (vedere paragrafo 5.2).</w:t>
      </w:r>
    </w:p>
    <w:p w14:paraId="6562497E" w14:textId="77777777" w:rsidR="00F91711" w:rsidRPr="00C35766" w:rsidRDefault="00F91711" w:rsidP="00F91711">
      <w:pPr>
        <w:spacing w:before="10" w:line="240" w:lineRule="exact"/>
        <w:rPr>
          <w:rFonts w:ascii="Times New Roman" w:hAnsi="Times New Roman" w:cs="Times New Roman"/>
          <w:sz w:val="24"/>
          <w:szCs w:val="24"/>
          <w:lang w:val="it-IT"/>
        </w:rPr>
      </w:pPr>
    </w:p>
    <w:p w14:paraId="06AA5E96" w14:textId="77777777" w:rsidR="00F91711" w:rsidRPr="00C35766" w:rsidRDefault="00F91711" w:rsidP="00F91711">
      <w:pPr>
        <w:pStyle w:val="a3"/>
        <w:rPr>
          <w:lang w:val="it-IT"/>
        </w:rPr>
      </w:pPr>
      <w:r w:rsidRPr="00C35766">
        <w:rPr>
          <w:rFonts w:eastAsia="Times New Roman"/>
          <w:lang w:val="it-IT"/>
        </w:rPr>
        <w:t>Non c’è un uso rilevante di adalimumab nei bambini di età inferiore ai 2 anni per questa indicazione.</w:t>
      </w:r>
    </w:p>
    <w:p w14:paraId="50FB64FA" w14:textId="77777777" w:rsidR="00F91711" w:rsidRPr="00C35766" w:rsidRDefault="00F91711" w:rsidP="00F91711">
      <w:pPr>
        <w:spacing w:before="11" w:line="240" w:lineRule="exact"/>
        <w:rPr>
          <w:rFonts w:ascii="Times New Roman" w:hAnsi="Times New Roman" w:cs="Times New Roman"/>
          <w:sz w:val="24"/>
          <w:szCs w:val="24"/>
          <w:lang w:val="it-IT"/>
        </w:rPr>
      </w:pPr>
    </w:p>
    <w:p w14:paraId="575DA568" w14:textId="101AD91D" w:rsidR="00F91711" w:rsidRPr="00C35766" w:rsidRDefault="00F91711" w:rsidP="00F91711">
      <w:pPr>
        <w:pStyle w:val="a3"/>
        <w:rPr>
          <w:rFonts w:eastAsia="Times New Roman"/>
          <w:spacing w:val="-4"/>
          <w:lang w:val="it-IT"/>
        </w:rPr>
      </w:pPr>
      <w:r w:rsidRPr="00C35766">
        <w:rPr>
          <w:rFonts w:eastAsia="Times New Roman"/>
          <w:spacing w:val="-4"/>
          <w:lang w:val="it-IT"/>
        </w:rPr>
        <w:t>Si raccomanda che i benefici e i rischi del trattamento continuato a lungo termine siano valutati annualmente (vedere paragrafo 5.1).</w:t>
      </w:r>
    </w:p>
    <w:p w14:paraId="7107F52A" w14:textId="59553EF9" w:rsidR="001A15DB" w:rsidRPr="00C35766" w:rsidRDefault="001A15DB" w:rsidP="00F91711">
      <w:pPr>
        <w:pStyle w:val="a3"/>
        <w:rPr>
          <w:rFonts w:eastAsia="Times New Roman"/>
          <w:spacing w:val="-4"/>
          <w:lang w:val="it-IT"/>
        </w:rPr>
      </w:pPr>
    </w:p>
    <w:p w14:paraId="06C2BD7A" w14:textId="77777777" w:rsidR="00F91711" w:rsidRPr="00C35766" w:rsidRDefault="00F91711" w:rsidP="00F91711">
      <w:pPr>
        <w:pStyle w:val="a3"/>
        <w:rPr>
          <w:u w:val="single"/>
          <w:lang w:val="it-IT"/>
        </w:rPr>
      </w:pPr>
      <w:r w:rsidRPr="00C35766">
        <w:rPr>
          <w:rFonts w:eastAsia="Times New Roman"/>
          <w:u w:val="single" w:color="000000"/>
          <w:lang w:val="it-IT"/>
        </w:rPr>
        <w:t>Modo di somministrazione</w:t>
      </w:r>
    </w:p>
    <w:p w14:paraId="77EB9CED" w14:textId="77777777" w:rsidR="00F91711" w:rsidRPr="00C35766" w:rsidRDefault="00F91711" w:rsidP="00F91711">
      <w:pPr>
        <w:spacing w:before="9" w:line="170" w:lineRule="exact"/>
        <w:rPr>
          <w:rFonts w:ascii="Times New Roman" w:hAnsi="Times New Roman" w:cs="Times New Roman"/>
          <w:lang w:val="it-IT"/>
        </w:rPr>
      </w:pPr>
    </w:p>
    <w:p w14:paraId="24F0255D" w14:textId="77777777" w:rsidR="00F91711" w:rsidRPr="00C35766" w:rsidRDefault="00F91711" w:rsidP="00F91711">
      <w:pPr>
        <w:pStyle w:val="a3"/>
        <w:rPr>
          <w:lang w:val="it-IT"/>
        </w:rPr>
      </w:pPr>
      <w:r w:rsidRPr="00C35766">
        <w:rPr>
          <w:rFonts w:eastAsia="Times New Roman"/>
          <w:lang w:val="it-IT"/>
        </w:rPr>
        <w:t>Yuflyma è somministrato tramite iniezione sottocutanea.</w:t>
      </w:r>
    </w:p>
    <w:p w14:paraId="2BD61E9A" w14:textId="77777777" w:rsidR="00F91711" w:rsidRPr="00C35766" w:rsidRDefault="00F91711" w:rsidP="00F91711">
      <w:pPr>
        <w:pStyle w:val="a3"/>
        <w:rPr>
          <w:lang w:val="it-IT"/>
        </w:rPr>
      </w:pPr>
    </w:p>
    <w:p w14:paraId="5060CE2A" w14:textId="77777777" w:rsidR="00F91711" w:rsidRPr="00C35766" w:rsidRDefault="00F91711" w:rsidP="00F91711">
      <w:pPr>
        <w:pStyle w:val="a3"/>
        <w:rPr>
          <w:lang w:val="it-IT"/>
        </w:rPr>
      </w:pPr>
      <w:r w:rsidRPr="00C35766">
        <w:rPr>
          <w:rFonts w:eastAsia="Times New Roman"/>
          <w:lang w:val="it-IT"/>
        </w:rPr>
        <w:t>Istruzioni complete per l’uso sono fornite nel foglio illustrativo.</w:t>
      </w:r>
    </w:p>
    <w:p w14:paraId="2CD20164" w14:textId="77777777" w:rsidR="00F91711" w:rsidRPr="00C35766" w:rsidRDefault="00F91711" w:rsidP="00F91711">
      <w:pPr>
        <w:spacing w:before="12" w:line="240" w:lineRule="exact"/>
        <w:rPr>
          <w:rFonts w:ascii="Times New Roman" w:hAnsi="Times New Roman" w:cs="Times New Roman"/>
          <w:lang w:val="it-IT"/>
        </w:rPr>
      </w:pPr>
    </w:p>
    <w:p w14:paraId="0F8C34E5" w14:textId="2B56FD22" w:rsidR="00F91711" w:rsidRDefault="00F91711" w:rsidP="00F91711">
      <w:pPr>
        <w:pStyle w:val="a3"/>
        <w:rPr>
          <w:rFonts w:eastAsia="Times New Roman"/>
          <w:lang w:val="it-IT"/>
        </w:rPr>
      </w:pPr>
      <w:r w:rsidRPr="00C35766">
        <w:rPr>
          <w:rFonts w:eastAsia="Times New Roman"/>
          <w:lang w:val="it-IT"/>
        </w:rPr>
        <w:t>Adalimumab è disponibile in altri dosaggi e presentazioni.</w:t>
      </w:r>
    </w:p>
    <w:p w14:paraId="4339D499" w14:textId="2B132208" w:rsidR="00150B5C" w:rsidRDefault="00150B5C" w:rsidP="00F91711">
      <w:pPr>
        <w:pStyle w:val="a3"/>
        <w:rPr>
          <w:rFonts w:eastAsia="Times New Roman"/>
          <w:lang w:val="it-IT"/>
        </w:rPr>
      </w:pPr>
    </w:p>
    <w:p w14:paraId="180D507F" w14:textId="1C3951CA" w:rsidR="00150B5C" w:rsidRPr="00C35766" w:rsidRDefault="00150B5C" w:rsidP="00F91711">
      <w:pPr>
        <w:pStyle w:val="a3"/>
        <w:rPr>
          <w:lang w:val="it-IT"/>
        </w:rPr>
      </w:pPr>
      <w:r w:rsidRPr="004F0B2E">
        <w:rPr>
          <w:lang w:val="it-IT"/>
        </w:rPr>
        <w:lastRenderedPageBreak/>
        <w:t>Yuflyma è disponibile in altr</w:t>
      </w:r>
      <w:r w:rsidR="00EE1251">
        <w:rPr>
          <w:lang w:val="it-IT"/>
        </w:rPr>
        <w:t>i</w:t>
      </w:r>
      <w:r w:rsidRPr="004F0B2E">
        <w:rPr>
          <w:lang w:val="it-IT"/>
        </w:rPr>
        <w:t xml:space="preserve"> </w:t>
      </w:r>
      <w:r w:rsidR="00EE1251">
        <w:rPr>
          <w:lang w:val="it-IT"/>
        </w:rPr>
        <w:t>dosaggi</w:t>
      </w:r>
      <w:r w:rsidRPr="004F0B2E">
        <w:rPr>
          <w:lang w:val="it-IT"/>
        </w:rPr>
        <w:t xml:space="preserve"> e presentazioni.</w:t>
      </w:r>
    </w:p>
    <w:p w14:paraId="10D5E752" w14:textId="77777777" w:rsidR="00F91711" w:rsidRPr="00C35766" w:rsidRDefault="00F91711" w:rsidP="00F91711">
      <w:pPr>
        <w:spacing w:before="16" w:line="240" w:lineRule="exact"/>
        <w:rPr>
          <w:rFonts w:ascii="Times New Roman" w:hAnsi="Times New Roman" w:cs="Times New Roman"/>
          <w:lang w:val="it-IT"/>
        </w:rPr>
      </w:pPr>
    </w:p>
    <w:p w14:paraId="7917FC1E"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Controindicazioni</w:t>
      </w:r>
    </w:p>
    <w:p w14:paraId="2830081B" w14:textId="77777777" w:rsidR="00F91711" w:rsidRPr="00C35766" w:rsidRDefault="00F91711" w:rsidP="00F91711">
      <w:pPr>
        <w:spacing w:before="9" w:line="240" w:lineRule="exact"/>
        <w:rPr>
          <w:rFonts w:ascii="Times New Roman" w:hAnsi="Times New Roman" w:cs="Times New Roman"/>
        </w:rPr>
      </w:pPr>
    </w:p>
    <w:p w14:paraId="55B3BB5D" w14:textId="77777777" w:rsidR="00F91711" w:rsidRPr="00C35766" w:rsidRDefault="00F91711" w:rsidP="00F91711">
      <w:pPr>
        <w:pStyle w:val="a3"/>
        <w:rPr>
          <w:lang w:val="es-ES"/>
        </w:rPr>
      </w:pPr>
      <w:r w:rsidRPr="00C35766">
        <w:rPr>
          <w:rFonts w:eastAsia="Times New Roman"/>
          <w:lang w:val="it-IT"/>
        </w:rPr>
        <w:t>Ipersensibilità al principio attivo o ad uno qualsiasi degli eccipienti elencati al paragrafo 6.1.</w:t>
      </w:r>
    </w:p>
    <w:p w14:paraId="6B27CA88" w14:textId="77777777" w:rsidR="00F91711" w:rsidRPr="00C35766" w:rsidRDefault="00F91711" w:rsidP="00F91711">
      <w:pPr>
        <w:spacing w:before="13" w:line="240" w:lineRule="exact"/>
        <w:rPr>
          <w:rFonts w:ascii="Times New Roman" w:hAnsi="Times New Roman" w:cs="Times New Roman"/>
          <w:lang w:val="es-ES"/>
        </w:rPr>
      </w:pPr>
    </w:p>
    <w:p w14:paraId="7091A4E3" w14:textId="77777777" w:rsidR="00F91711" w:rsidRPr="00C35766" w:rsidRDefault="00F91711" w:rsidP="00F91711">
      <w:pPr>
        <w:pStyle w:val="a3"/>
        <w:rPr>
          <w:lang w:val="pt-BR"/>
        </w:rPr>
      </w:pPr>
      <w:r w:rsidRPr="00C35766">
        <w:rPr>
          <w:rFonts w:eastAsia="Times New Roman"/>
          <w:lang w:val="it-IT"/>
        </w:rPr>
        <w:t xml:space="preserve">Tubercolosi attiva o altre infezioni severe come sepsi e infezioni opportunistiche (vedere paragrafo 4.4). </w:t>
      </w:r>
    </w:p>
    <w:p w14:paraId="1E6F7E72" w14:textId="77777777" w:rsidR="00F91711" w:rsidRPr="00C35766" w:rsidRDefault="00F91711" w:rsidP="00F91711">
      <w:pPr>
        <w:pStyle w:val="a3"/>
        <w:rPr>
          <w:lang w:val="pt-BR"/>
        </w:rPr>
      </w:pPr>
    </w:p>
    <w:p w14:paraId="36529722" w14:textId="77777777" w:rsidR="00F91711" w:rsidRPr="00C35766" w:rsidRDefault="00F91711" w:rsidP="00F91711">
      <w:pPr>
        <w:pStyle w:val="a3"/>
        <w:rPr>
          <w:lang w:val="pt-BR"/>
        </w:rPr>
      </w:pPr>
      <w:r w:rsidRPr="00C35766">
        <w:rPr>
          <w:rFonts w:eastAsia="Times New Roman"/>
          <w:lang w:val="it-IT"/>
        </w:rPr>
        <w:t>Insufficienza cardiaca da moderata a severa (classe III/IV NYHA) (vedere paragrafo 4.4).</w:t>
      </w:r>
    </w:p>
    <w:p w14:paraId="197CC447" w14:textId="77777777" w:rsidR="00F91711" w:rsidRPr="00C35766" w:rsidRDefault="00F91711" w:rsidP="00F91711">
      <w:pPr>
        <w:pStyle w:val="a3"/>
        <w:rPr>
          <w:lang w:val="pt-BR"/>
        </w:rPr>
      </w:pPr>
    </w:p>
    <w:p w14:paraId="628291DC"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Avvertenze speciali e precauzioni d’impiego</w:t>
      </w:r>
    </w:p>
    <w:p w14:paraId="46229C5C" w14:textId="77777777" w:rsidR="00F91711" w:rsidRPr="00C35766" w:rsidRDefault="00F91711" w:rsidP="00F91711">
      <w:pPr>
        <w:spacing w:before="9" w:line="240" w:lineRule="exact"/>
        <w:rPr>
          <w:rFonts w:ascii="Times New Roman" w:hAnsi="Times New Roman" w:cs="Times New Roman"/>
        </w:rPr>
      </w:pPr>
    </w:p>
    <w:p w14:paraId="38D53D6E" w14:textId="77777777" w:rsidR="00F91711" w:rsidRPr="00C35766" w:rsidRDefault="00F91711" w:rsidP="00F91711">
      <w:pPr>
        <w:pStyle w:val="a3"/>
        <w:rPr>
          <w:u w:val="single"/>
        </w:rPr>
      </w:pPr>
      <w:r w:rsidRPr="00C35766">
        <w:rPr>
          <w:rFonts w:eastAsia="Times New Roman"/>
          <w:spacing w:val="1"/>
          <w:u w:val="single" w:color="000000"/>
          <w:lang w:val="it-IT"/>
        </w:rPr>
        <w:t>Tracciabilità</w:t>
      </w:r>
    </w:p>
    <w:p w14:paraId="67A26DCA" w14:textId="77777777" w:rsidR="00F91711" w:rsidRPr="00C35766" w:rsidRDefault="00F91711" w:rsidP="00F91711">
      <w:pPr>
        <w:spacing w:before="1" w:line="180" w:lineRule="exact"/>
        <w:rPr>
          <w:rFonts w:ascii="Times New Roman" w:hAnsi="Times New Roman" w:cs="Times New Roman"/>
        </w:rPr>
      </w:pPr>
    </w:p>
    <w:p w14:paraId="5D5ACD80" w14:textId="77777777" w:rsidR="00F91711" w:rsidRPr="00C35766" w:rsidRDefault="00F91711" w:rsidP="00F91711">
      <w:pPr>
        <w:pStyle w:val="a3"/>
        <w:rPr>
          <w:lang w:val="pt-BR"/>
        </w:rPr>
      </w:pPr>
      <w:r w:rsidRPr="00C35766">
        <w:rPr>
          <w:rFonts w:eastAsia="Times New Roman"/>
          <w:lang w:val="it-IT"/>
        </w:rPr>
        <w:t>Al fine di migliorare la tracciabilità dei medicinali biologici, il nome e il numero di lotto del prodotto somministrato devono essere chiaramente registrati.</w:t>
      </w:r>
    </w:p>
    <w:p w14:paraId="7F8A8FA6" w14:textId="77777777" w:rsidR="00F91711" w:rsidRPr="00C35766" w:rsidRDefault="00F91711" w:rsidP="00F91711">
      <w:pPr>
        <w:spacing w:before="11" w:line="240" w:lineRule="exact"/>
        <w:rPr>
          <w:rFonts w:ascii="Times New Roman" w:hAnsi="Times New Roman" w:cs="Times New Roman"/>
          <w:lang w:val="pt-BR"/>
        </w:rPr>
      </w:pPr>
    </w:p>
    <w:p w14:paraId="01B5BF95" w14:textId="77777777" w:rsidR="00F91711" w:rsidRPr="00C35766" w:rsidRDefault="00F91711" w:rsidP="00F91711">
      <w:pPr>
        <w:pStyle w:val="a3"/>
        <w:rPr>
          <w:u w:val="single"/>
          <w:lang w:val="pt-BR"/>
        </w:rPr>
      </w:pPr>
      <w:r w:rsidRPr="00C35766">
        <w:rPr>
          <w:rFonts w:eastAsia="Times New Roman"/>
          <w:u w:val="single" w:color="000000"/>
          <w:lang w:val="it-IT"/>
        </w:rPr>
        <w:t>Infezioni</w:t>
      </w:r>
    </w:p>
    <w:p w14:paraId="34835660" w14:textId="77777777" w:rsidR="00F91711" w:rsidRPr="00C35766" w:rsidRDefault="00F91711" w:rsidP="00F91711">
      <w:pPr>
        <w:spacing w:before="1" w:line="180" w:lineRule="exact"/>
        <w:rPr>
          <w:rFonts w:ascii="Times New Roman" w:hAnsi="Times New Roman" w:cs="Times New Roman"/>
          <w:lang w:val="pt-BR"/>
        </w:rPr>
      </w:pPr>
    </w:p>
    <w:p w14:paraId="2D9570E7" w14:textId="77777777" w:rsidR="00F91711" w:rsidRPr="00C35766" w:rsidRDefault="00F91711" w:rsidP="00F91711">
      <w:pPr>
        <w:pStyle w:val="a3"/>
        <w:rPr>
          <w:lang w:val="it-IT"/>
        </w:rPr>
      </w:pPr>
      <w:r w:rsidRPr="00C35766">
        <w:rPr>
          <w:rFonts w:eastAsia="Times New Roman"/>
          <w:lang w:val="it-IT"/>
        </w:rPr>
        <w:t>I pazienti in trattamento con antagonisti del TNF sono più suscettibili alle infezioni gravi. Una funzione polmonare compromessa può aumentare il rischio di sviluppare infezioni. I pazienti devono pertanto essere attentamente esaminati per la valutazione di infezioni, compresa la tubercolosi, prima, durante e dopo il trattamento con Yuflyma.  Poichè l’eliminazione di adalimumab può richiedere fino a quattro mesi, il controllo deve essere continuato durante tale periodo.</w:t>
      </w:r>
    </w:p>
    <w:p w14:paraId="59191819" w14:textId="77777777" w:rsidR="00F91711" w:rsidRPr="00C35766" w:rsidRDefault="00F91711" w:rsidP="00F91711">
      <w:pPr>
        <w:spacing w:before="14" w:line="240" w:lineRule="exact"/>
        <w:rPr>
          <w:rFonts w:ascii="Times New Roman" w:hAnsi="Times New Roman" w:cs="Times New Roman"/>
          <w:lang w:val="it-IT"/>
        </w:rPr>
      </w:pPr>
    </w:p>
    <w:p w14:paraId="32BE4A2E" w14:textId="77777777" w:rsidR="00F91711" w:rsidRPr="00C35766" w:rsidRDefault="00F91711" w:rsidP="00F91711">
      <w:pPr>
        <w:pStyle w:val="a3"/>
        <w:rPr>
          <w:lang w:val="it-IT"/>
        </w:rPr>
      </w:pPr>
      <w:r w:rsidRPr="00C35766">
        <w:rPr>
          <w:rFonts w:eastAsia="Times New Roman"/>
          <w:lang w:val="it-IT"/>
        </w:rPr>
        <w:t xml:space="preserve">La terapia con Yuflyma non va iniziata in pazienti con infezioni attive, incluse le infezioni croniche o localizzate, fino a che queste non siano sotto controllo. In pazienti che sono stati esposti alla tubercolosi ed in pazienti che hanno viaggiato in aree ad alto rischio di tubercolosi o di micosi endemiche, quali istoplasmosi, coccidioidomicosi o blastomicosi, il rischio ed i benefici del trattamento con Yuflyma devono essere considerati prima di iniziare la terapia (vedere </w:t>
      </w:r>
      <w:r w:rsidRPr="00C35766">
        <w:rPr>
          <w:rFonts w:eastAsia="Times New Roman"/>
          <w:i/>
          <w:iCs/>
          <w:lang w:val="it-IT"/>
        </w:rPr>
        <w:t>Altre infezioni opportunistiche</w:t>
      </w:r>
      <w:r w:rsidRPr="00C35766">
        <w:rPr>
          <w:rFonts w:eastAsia="Times New Roman"/>
          <w:lang w:val="it-IT"/>
        </w:rPr>
        <w:t>).</w:t>
      </w:r>
    </w:p>
    <w:p w14:paraId="49308B0C" w14:textId="77777777" w:rsidR="00F91711" w:rsidRPr="00C35766" w:rsidRDefault="00F91711" w:rsidP="00F91711">
      <w:pPr>
        <w:spacing w:before="13" w:line="240" w:lineRule="exact"/>
        <w:rPr>
          <w:rFonts w:ascii="Times New Roman" w:hAnsi="Times New Roman" w:cs="Times New Roman"/>
          <w:lang w:val="it-IT"/>
        </w:rPr>
      </w:pPr>
    </w:p>
    <w:p w14:paraId="66531802" w14:textId="77777777" w:rsidR="00F91711" w:rsidRPr="00C35766" w:rsidRDefault="00F91711" w:rsidP="00F91711">
      <w:pPr>
        <w:pStyle w:val="a3"/>
        <w:rPr>
          <w:lang w:val="it-IT"/>
        </w:rPr>
      </w:pPr>
      <w:r w:rsidRPr="00C35766">
        <w:rPr>
          <w:rFonts w:eastAsia="Times New Roman"/>
          <w:lang w:val="it-IT"/>
        </w:rPr>
        <w:t>I pazienti che sviluppano una nuova infezione durante la terapia con Yuflyma devono essere attentamente seguiti ed essere sottoposti ad una valutazione diagnostica completa.  In caso di insorgenza di una nuova infezione grave o di sepsi, la somministrazione di Yuflyma deve essere interrotta e deve essere istituita una idonea terapia antimicrobica o antifungina fino a quando l’infezione non sia sotto controllo. I medici devono porre cautela nell’usare Yuflyma in pazienti con storia di infezioni recidivanti o con patologie concomitanti che possano predisporre i pazienti alle infezioni, incluso l’uso concomitante di farmaci immunosoppressivi.</w:t>
      </w:r>
    </w:p>
    <w:p w14:paraId="1CCCFDF7" w14:textId="77777777" w:rsidR="00F91711" w:rsidRPr="00C35766" w:rsidRDefault="00F91711" w:rsidP="00F91711">
      <w:pPr>
        <w:pStyle w:val="a3"/>
        <w:rPr>
          <w:lang w:val="it-IT"/>
        </w:rPr>
      </w:pPr>
    </w:p>
    <w:p w14:paraId="7F379C28" w14:textId="77777777" w:rsidR="00F91711" w:rsidRPr="00C35766" w:rsidRDefault="00F91711" w:rsidP="00F91711">
      <w:pPr>
        <w:keepNext/>
        <w:widowControl/>
        <w:tabs>
          <w:tab w:val="left" w:pos="567"/>
        </w:tabs>
        <w:autoSpaceDE w:val="0"/>
        <w:autoSpaceDN w:val="0"/>
        <w:adjustRightInd w:val="0"/>
        <w:jc w:val="both"/>
        <w:rPr>
          <w:rFonts w:ascii="Times New Roman" w:eastAsia="바탕" w:hAnsi="Times New Roman" w:cs="Times New Roman"/>
          <w:color w:val="000000"/>
          <w:lang w:val="it-IT" w:eastAsia="it-IT"/>
        </w:rPr>
      </w:pPr>
      <w:r w:rsidRPr="00C35766">
        <w:rPr>
          <w:rFonts w:ascii="Times New Roman" w:eastAsia="바탕" w:hAnsi="Times New Roman" w:cs="Times New Roman"/>
          <w:i/>
          <w:iCs/>
          <w:color w:val="000000"/>
          <w:lang w:val="it-IT" w:eastAsia="it-IT"/>
        </w:rPr>
        <w:t>Gravi infezioni</w:t>
      </w:r>
    </w:p>
    <w:p w14:paraId="136EA9EA" w14:textId="77777777" w:rsidR="00F91711" w:rsidRPr="00C35766" w:rsidRDefault="00F91711" w:rsidP="00F91711">
      <w:pPr>
        <w:spacing w:line="240" w:lineRule="exact"/>
        <w:rPr>
          <w:rFonts w:ascii="Times New Roman" w:hAnsi="Times New Roman" w:cs="Times New Roman"/>
          <w:lang w:val="it-IT"/>
        </w:rPr>
      </w:pPr>
    </w:p>
    <w:p w14:paraId="17792165" w14:textId="77777777" w:rsidR="00F91711" w:rsidRPr="00C35766" w:rsidRDefault="00F91711" w:rsidP="00F91711">
      <w:pPr>
        <w:pStyle w:val="a3"/>
        <w:rPr>
          <w:lang w:val="it-IT"/>
        </w:rPr>
      </w:pPr>
      <w:r w:rsidRPr="00C35766">
        <w:rPr>
          <w:rFonts w:eastAsia="Times New Roman"/>
          <w:lang w:val="it-IT"/>
        </w:rPr>
        <w:t>Sono stati riportati casi di infezioni gravi, inclusa sepsi, causate da batteri, micobatteri, funghi invasivi, parassiti, virus o altre infezioni opportunistiche, quali listeriosi, legionellosi e pneumocistosi in pazienti trattati con adalimumab.</w:t>
      </w:r>
    </w:p>
    <w:p w14:paraId="1D02D9B0" w14:textId="77777777" w:rsidR="00F91711" w:rsidRPr="00C35766" w:rsidRDefault="00F91711" w:rsidP="00F91711">
      <w:pPr>
        <w:spacing w:line="240" w:lineRule="exact"/>
        <w:rPr>
          <w:rFonts w:ascii="Times New Roman" w:hAnsi="Times New Roman" w:cs="Times New Roman"/>
          <w:lang w:val="it-IT"/>
        </w:rPr>
      </w:pPr>
    </w:p>
    <w:p w14:paraId="1165FF0B" w14:textId="77777777" w:rsidR="00F91711" w:rsidRPr="00C35766" w:rsidRDefault="00F91711" w:rsidP="00F91711">
      <w:pPr>
        <w:pStyle w:val="a3"/>
        <w:rPr>
          <w:lang w:val="pt-BR"/>
        </w:rPr>
      </w:pPr>
      <w:r w:rsidRPr="00C35766">
        <w:rPr>
          <w:rFonts w:eastAsia="Times New Roman"/>
          <w:lang w:val="it-IT"/>
        </w:rPr>
        <w:t>Altre infezioni gravi osservate nel corso di studi clinici includono polmonite, pielonefrite, artrite settica e setticemia. Sono stati riportati casi di ospedalizzazione o di eventi fatali associati alle infezioni.</w:t>
      </w:r>
    </w:p>
    <w:p w14:paraId="10F61520" w14:textId="77777777" w:rsidR="00F91711" w:rsidRPr="00C35766" w:rsidRDefault="00F91711" w:rsidP="00F91711">
      <w:pPr>
        <w:spacing w:line="240" w:lineRule="exact"/>
        <w:rPr>
          <w:rFonts w:ascii="Times New Roman" w:hAnsi="Times New Roman" w:cs="Times New Roman"/>
          <w:lang w:val="pt-BR"/>
        </w:rPr>
      </w:pPr>
    </w:p>
    <w:p w14:paraId="4B953515" w14:textId="77777777" w:rsidR="00F91711" w:rsidRPr="00C35766" w:rsidRDefault="00F91711" w:rsidP="00F91711">
      <w:pPr>
        <w:rPr>
          <w:rFonts w:ascii="Times New Roman" w:eastAsia="Times New Roman" w:hAnsi="Times New Roman" w:cs="Times New Roman"/>
          <w:lang w:val="pt-BR"/>
        </w:rPr>
      </w:pPr>
      <w:r w:rsidRPr="00C35766">
        <w:rPr>
          <w:rFonts w:ascii="Times New Roman" w:eastAsia="Times New Roman" w:hAnsi="Times New Roman" w:cs="Times New Roman"/>
          <w:i/>
          <w:iCs/>
          <w:spacing w:val="-1"/>
          <w:lang w:val="it-IT"/>
        </w:rPr>
        <w:t>Tubercolosi</w:t>
      </w:r>
    </w:p>
    <w:p w14:paraId="362232E8" w14:textId="77777777" w:rsidR="00F91711" w:rsidRPr="00C35766" w:rsidRDefault="00F91711" w:rsidP="00F91711">
      <w:pPr>
        <w:spacing w:line="240" w:lineRule="exact"/>
        <w:rPr>
          <w:rFonts w:ascii="Times New Roman" w:hAnsi="Times New Roman" w:cs="Times New Roman"/>
          <w:lang w:val="pt-BR"/>
        </w:rPr>
      </w:pPr>
    </w:p>
    <w:p w14:paraId="5907C4AC" w14:textId="77777777" w:rsidR="00F91711" w:rsidRPr="00C35766" w:rsidRDefault="00F91711" w:rsidP="00F91711">
      <w:pPr>
        <w:pStyle w:val="a3"/>
        <w:rPr>
          <w:lang w:val="it-IT"/>
        </w:rPr>
      </w:pPr>
      <w:r w:rsidRPr="00C35766">
        <w:rPr>
          <w:rFonts w:eastAsia="Times New Roman"/>
          <w:lang w:val="it-IT"/>
        </w:rPr>
        <w:t>È stata riportata tubercolosi, inclusa riattivazione e nuova manifestazione di tubercolosi, in pazienti che utilizzano adalimumab. Sono stati riportati casi di tubercolosi polmonare ed extra-polmonare (ovvero disseminata).</w:t>
      </w:r>
    </w:p>
    <w:p w14:paraId="1A10E4E3" w14:textId="77777777" w:rsidR="00F91711" w:rsidRPr="00C35766" w:rsidRDefault="00F91711" w:rsidP="00F91711">
      <w:pPr>
        <w:spacing w:line="240" w:lineRule="exact"/>
        <w:rPr>
          <w:rFonts w:ascii="Times New Roman" w:hAnsi="Times New Roman" w:cs="Times New Roman"/>
          <w:lang w:val="it-IT"/>
        </w:rPr>
      </w:pPr>
    </w:p>
    <w:p w14:paraId="1529893F" w14:textId="77777777" w:rsidR="00F91711" w:rsidRPr="00C35766" w:rsidRDefault="00F91711" w:rsidP="00F91711">
      <w:pPr>
        <w:pStyle w:val="a3"/>
        <w:rPr>
          <w:lang w:val="it-IT"/>
        </w:rPr>
      </w:pPr>
      <w:r w:rsidRPr="00C35766">
        <w:rPr>
          <w:rFonts w:eastAsia="Times New Roman"/>
          <w:lang w:val="it-IT"/>
        </w:rPr>
        <w:lastRenderedPageBreak/>
        <w:t>Prima di iniziare la terapia con Yuflyma, tutti i pazienti devono essere esaminati per valutare la presenza di tubercolosi attiva o inattiva (“latente”). Tale valutazione deve includere un’anamnesi clinica dettagliata dei pazienti con una storia pregressa di tubercolosi o eventuali contatti con persone affette da tubercolosi attiva, e con terapie immunosoppressive precedenti e/o concomitanti. Devono essere eseguiti appropriati esami di screening (ovvero il test cutaneo alla tubercolina e la radiografia toracica) in tutti i pazienti (possono essere seguite le linee guida locali). Si raccomanda che l’esecuzione e i risultati di tali test vengano registrati nella Scheda Promemoria per il Paziente. I medici devono porre attenzione al rischio di falsi negativi al test cutaneo alla tubercolina, soprattutto in pazienti gravemente ammalati o immunocompromessi.</w:t>
      </w:r>
    </w:p>
    <w:p w14:paraId="7582F2E0" w14:textId="77777777" w:rsidR="00F91711" w:rsidRPr="00C35766" w:rsidRDefault="00F91711" w:rsidP="00F91711">
      <w:pPr>
        <w:spacing w:before="13" w:line="240" w:lineRule="exact"/>
        <w:rPr>
          <w:rFonts w:ascii="Times New Roman" w:hAnsi="Times New Roman" w:cs="Times New Roman"/>
          <w:lang w:val="it-IT"/>
        </w:rPr>
      </w:pPr>
    </w:p>
    <w:p w14:paraId="3BAC7609" w14:textId="77777777" w:rsidR="00F91711" w:rsidRPr="00C35766" w:rsidRDefault="00F91711" w:rsidP="00F91711">
      <w:pPr>
        <w:pStyle w:val="a3"/>
        <w:rPr>
          <w:lang w:val="es-ES"/>
        </w:rPr>
      </w:pPr>
      <w:r w:rsidRPr="00C35766">
        <w:rPr>
          <w:rFonts w:eastAsia="Times New Roman"/>
          <w:lang w:val="it-IT"/>
        </w:rPr>
        <w:t>Se si diagnostica una tubercolosi attiva, la terapia con Yuflyma non deve essere iniziata (vedere paragrafo 4.3).</w:t>
      </w:r>
    </w:p>
    <w:p w14:paraId="6238F815" w14:textId="77777777" w:rsidR="00F91711" w:rsidRPr="00C35766" w:rsidRDefault="00F91711" w:rsidP="00F91711">
      <w:pPr>
        <w:pStyle w:val="a3"/>
        <w:rPr>
          <w:lang w:val="es-ES"/>
        </w:rPr>
      </w:pPr>
    </w:p>
    <w:p w14:paraId="3E921C0A" w14:textId="77777777" w:rsidR="00F91711" w:rsidRPr="00C35766" w:rsidRDefault="00F91711" w:rsidP="00F91711">
      <w:pPr>
        <w:pStyle w:val="a3"/>
        <w:rPr>
          <w:lang w:val="es-ES"/>
        </w:rPr>
      </w:pPr>
      <w:r w:rsidRPr="00C35766">
        <w:rPr>
          <w:rFonts w:eastAsia="Times New Roman"/>
          <w:lang w:val="it-IT"/>
        </w:rPr>
        <w:t xml:space="preserve">In tutte le situazioni di seguito descritte è opportuno effettuare un’attenta valutazione del rapporto beneficio/rischio della terapia. </w:t>
      </w:r>
    </w:p>
    <w:p w14:paraId="064A8061" w14:textId="77777777" w:rsidR="00F91711" w:rsidRPr="00C35766" w:rsidRDefault="00F91711" w:rsidP="00F91711">
      <w:pPr>
        <w:pStyle w:val="a3"/>
        <w:rPr>
          <w:lang w:val="es-ES"/>
        </w:rPr>
      </w:pPr>
    </w:p>
    <w:p w14:paraId="732BCD6C" w14:textId="77777777" w:rsidR="00F91711" w:rsidRPr="00C35766" w:rsidRDefault="00F91711" w:rsidP="00F91711">
      <w:pPr>
        <w:pStyle w:val="a3"/>
        <w:rPr>
          <w:lang w:val="es-ES"/>
        </w:rPr>
      </w:pPr>
      <w:r w:rsidRPr="00C35766">
        <w:rPr>
          <w:rFonts w:eastAsia="Times New Roman"/>
          <w:lang w:val="it-IT"/>
        </w:rPr>
        <w:t>Se si sospetta una tubercolosi latente, è consigliabile consultare un medico specializzato nel trattamento della tubercolosi.</w:t>
      </w:r>
    </w:p>
    <w:p w14:paraId="72748D4F" w14:textId="77777777" w:rsidR="00F91711" w:rsidRPr="00C35766" w:rsidRDefault="00F91711" w:rsidP="00F91711">
      <w:pPr>
        <w:spacing w:before="11" w:line="240" w:lineRule="exact"/>
        <w:rPr>
          <w:rFonts w:ascii="Times New Roman" w:hAnsi="Times New Roman" w:cs="Times New Roman"/>
          <w:lang w:val="es-ES"/>
        </w:rPr>
      </w:pPr>
    </w:p>
    <w:p w14:paraId="7C5E113F" w14:textId="77777777" w:rsidR="00F91711" w:rsidRPr="00C35766" w:rsidRDefault="00F91711" w:rsidP="00F91711">
      <w:pPr>
        <w:pStyle w:val="a3"/>
        <w:rPr>
          <w:lang w:val="es-ES"/>
        </w:rPr>
      </w:pPr>
      <w:r w:rsidRPr="00C35766">
        <w:rPr>
          <w:rFonts w:eastAsia="Times New Roman"/>
          <w:lang w:val="it-IT"/>
        </w:rPr>
        <w:t>In caso di diagnosi positiva di tubercolosi latente, prima di iniziare la terapia con Yuflyma deve essere istituito il trattamento di profilassi anti-tubercolare in accordo alle raccomandazioni locali.</w:t>
      </w:r>
    </w:p>
    <w:p w14:paraId="3FC8A056" w14:textId="77777777" w:rsidR="00F91711" w:rsidRPr="00C35766" w:rsidRDefault="00F91711" w:rsidP="00F91711">
      <w:pPr>
        <w:spacing w:before="12" w:line="240" w:lineRule="exact"/>
        <w:rPr>
          <w:rFonts w:ascii="Times New Roman" w:hAnsi="Times New Roman" w:cs="Times New Roman"/>
          <w:lang w:val="es-ES"/>
        </w:rPr>
      </w:pPr>
    </w:p>
    <w:p w14:paraId="0EBBE63A" w14:textId="77777777" w:rsidR="00F91711" w:rsidRPr="00C35766" w:rsidRDefault="00F91711" w:rsidP="00F91711">
      <w:pPr>
        <w:pStyle w:val="a3"/>
        <w:rPr>
          <w:lang w:val="es-ES"/>
        </w:rPr>
      </w:pPr>
      <w:r w:rsidRPr="00C35766">
        <w:rPr>
          <w:rFonts w:eastAsia="Times New Roman"/>
          <w:lang w:val="it-IT"/>
        </w:rPr>
        <w:t>L’istituzione di un trattamento di profilassi anti-tubercolare deve essere presa in considerazione anche prima di iniziare il trattamento a base di Yuflyma in pazienti con diversi o significativi fattori di rischio per la tubercolosi nonostante un test negativo per la tubercolosi e in quei pazienti che all’anamnesi presentano una storia personale di tubercolosi latente o attiva nei quali non sia possibile confermare se il ciclo di trattamento cui sono stati sottoposti sia risultato adeguato.</w:t>
      </w:r>
    </w:p>
    <w:p w14:paraId="597BF086" w14:textId="77777777" w:rsidR="00F91711" w:rsidRPr="00C35766" w:rsidRDefault="00F91711" w:rsidP="00F91711">
      <w:pPr>
        <w:spacing w:before="17" w:line="240" w:lineRule="exact"/>
        <w:rPr>
          <w:rFonts w:ascii="Times New Roman" w:hAnsi="Times New Roman" w:cs="Times New Roman"/>
          <w:lang w:val="es-ES"/>
        </w:rPr>
      </w:pPr>
    </w:p>
    <w:p w14:paraId="02C71A07" w14:textId="77777777" w:rsidR="00F91711" w:rsidRPr="00C35766" w:rsidRDefault="00F91711" w:rsidP="00F91711">
      <w:pPr>
        <w:pStyle w:val="a3"/>
        <w:rPr>
          <w:lang w:val="es-ES"/>
        </w:rPr>
      </w:pPr>
      <w:r w:rsidRPr="00C35766">
        <w:rPr>
          <w:rFonts w:eastAsia="Times New Roman"/>
          <w:lang w:val="it-IT"/>
        </w:rPr>
        <w:t>Nonostante il trattamento di profilassi per la tubercolosi, si sono verificati casi di riattivazione di tubercolosi in pazienti trattati con adalimumab. Nel corso del trattamento con adalimumab, alcuni pazienti trattati con successo per la tubercolosi attiva hanno manifestato nuovamente la comparsa di tubercolosi.</w:t>
      </w:r>
    </w:p>
    <w:p w14:paraId="2B3E2DC0" w14:textId="77777777" w:rsidR="00F91711" w:rsidRPr="00C35766" w:rsidRDefault="00F91711" w:rsidP="00F91711">
      <w:pPr>
        <w:spacing w:before="11" w:line="240" w:lineRule="exact"/>
        <w:rPr>
          <w:rFonts w:ascii="Times New Roman" w:hAnsi="Times New Roman" w:cs="Times New Roman"/>
          <w:lang w:val="es-ES"/>
        </w:rPr>
      </w:pPr>
    </w:p>
    <w:p w14:paraId="0B6DE2DE" w14:textId="12B10EC3" w:rsidR="00F91711" w:rsidRPr="00C35766" w:rsidRDefault="00F91711" w:rsidP="00F91711">
      <w:pPr>
        <w:pStyle w:val="a3"/>
        <w:rPr>
          <w:lang w:val="es-ES"/>
        </w:rPr>
      </w:pPr>
      <w:r w:rsidRPr="00C35766">
        <w:rPr>
          <w:rFonts w:eastAsia="Times New Roman"/>
          <w:lang w:val="it-IT"/>
        </w:rPr>
        <w:t>I pazienti devono essere avvisati di rivolgersi al medico se, durante o dopo la terapia con Yuflyma, si manifestano segni/sintomi indicativi di possibile infezione tubercolare (per es. tosse persistente, deperimento</w:t>
      </w:r>
      <w:r w:rsidR="00865ACF">
        <w:rPr>
          <w:rFonts w:eastAsia="Times New Roman"/>
          <w:lang w:val="it-IT"/>
        </w:rPr>
        <w:t>/</w:t>
      </w:r>
      <w:r w:rsidRPr="00C35766">
        <w:rPr>
          <w:rFonts w:eastAsia="Times New Roman"/>
          <w:lang w:val="it-IT"/>
        </w:rPr>
        <w:t>perdita di peso, febbre moderata, svogliatezza).</w:t>
      </w:r>
    </w:p>
    <w:p w14:paraId="11A5070A" w14:textId="77777777" w:rsidR="00F91711" w:rsidRPr="00C35766" w:rsidRDefault="00F91711" w:rsidP="00F91711">
      <w:pPr>
        <w:ind w:left="111"/>
        <w:rPr>
          <w:rFonts w:ascii="Times New Roman" w:hAnsi="Times New Roman" w:cs="Times New Roman"/>
          <w:lang w:val="es-ES"/>
        </w:rPr>
      </w:pPr>
    </w:p>
    <w:p w14:paraId="030BBA71" w14:textId="77777777" w:rsidR="00F91711" w:rsidRPr="00C35766" w:rsidRDefault="00F91711" w:rsidP="00F91711">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Altre infezioni opportunistiche</w:t>
      </w:r>
    </w:p>
    <w:p w14:paraId="73FC302E" w14:textId="77777777" w:rsidR="00F91711" w:rsidRPr="00C35766" w:rsidRDefault="00F91711" w:rsidP="00F91711">
      <w:pPr>
        <w:spacing w:before="13" w:line="240" w:lineRule="exact"/>
        <w:rPr>
          <w:rFonts w:ascii="Times New Roman" w:hAnsi="Times New Roman" w:cs="Times New Roman"/>
          <w:lang w:val="es-ES"/>
        </w:rPr>
      </w:pPr>
    </w:p>
    <w:p w14:paraId="2CD13838" w14:textId="77777777" w:rsidR="00F91711" w:rsidRPr="00C35766" w:rsidRDefault="00F91711" w:rsidP="00F91711">
      <w:pPr>
        <w:pStyle w:val="a3"/>
        <w:rPr>
          <w:lang w:val="it-IT"/>
        </w:rPr>
      </w:pPr>
      <w:r w:rsidRPr="00C35766">
        <w:rPr>
          <w:rFonts w:eastAsia="Times New Roman"/>
          <w:lang w:val="it-IT"/>
        </w:rPr>
        <w:t>In pazienti che hanno assunto adalimumab sono stati osservati casi di infezioni opportunistiche, incluse infezioni fungine invasive. Queste infezioni non sono state correttamente diagnosticate in pazienti che assumevano antagonisti del TNF e ciò ha comportato un ritardo nel trattamento appropriato, talvolta con esito fatale.</w:t>
      </w:r>
    </w:p>
    <w:p w14:paraId="71668F49" w14:textId="77777777" w:rsidR="00F91711" w:rsidRPr="00C35766" w:rsidRDefault="00F91711" w:rsidP="00F91711">
      <w:pPr>
        <w:pStyle w:val="a3"/>
        <w:rPr>
          <w:lang w:val="it-IT"/>
        </w:rPr>
      </w:pPr>
    </w:p>
    <w:p w14:paraId="0693E6A6" w14:textId="5E037A03" w:rsidR="00F91711" w:rsidRPr="00C35766" w:rsidRDefault="00F91711" w:rsidP="00F91711">
      <w:pPr>
        <w:pStyle w:val="a3"/>
        <w:rPr>
          <w:lang w:val="it-IT"/>
        </w:rPr>
      </w:pPr>
      <w:r w:rsidRPr="00C35766">
        <w:rPr>
          <w:rFonts w:eastAsia="Times New Roman"/>
          <w:lang w:val="it-IT"/>
        </w:rPr>
        <w:t xml:space="preserve">In pazienti che sviluppano segni e sintomi quali febbre, malessere, perdita di peso, sudorazione, tosse, dispnea e/o infiltrato polmonare o altre malattie sistemiche gravi con o senza shock concomitante si deve sospettare un’infezione fungina invasiva e deve essere prontamente interrotta la somministrazione di Yuflyma. La diagnosi e la somministrazione di terapia antifungina empirica in questi pazienti </w:t>
      </w:r>
      <w:r w:rsidR="005466D5">
        <w:rPr>
          <w:rFonts w:eastAsia="Times New Roman"/>
          <w:lang w:val="it-IT"/>
        </w:rPr>
        <w:t>devono</w:t>
      </w:r>
      <w:r w:rsidRPr="00C35766">
        <w:rPr>
          <w:rFonts w:eastAsia="Times New Roman"/>
          <w:lang w:val="it-IT"/>
        </w:rPr>
        <w:t xml:space="preserve"> essere effettuate consultando un medico specializzato nella cura di pazienti con infezioni fungine invasive.</w:t>
      </w:r>
    </w:p>
    <w:p w14:paraId="73041CFB" w14:textId="77777777" w:rsidR="00F91711" w:rsidRPr="00C35766" w:rsidRDefault="00F91711" w:rsidP="00F91711">
      <w:pPr>
        <w:spacing w:before="13" w:line="240" w:lineRule="exact"/>
        <w:rPr>
          <w:rFonts w:ascii="Times New Roman" w:hAnsi="Times New Roman" w:cs="Times New Roman"/>
          <w:lang w:val="it-IT"/>
        </w:rPr>
      </w:pPr>
    </w:p>
    <w:p w14:paraId="7FD8CF9A" w14:textId="77777777" w:rsidR="00F91711" w:rsidRPr="00C35766" w:rsidRDefault="00F91711" w:rsidP="00F91711">
      <w:pPr>
        <w:pStyle w:val="a3"/>
        <w:rPr>
          <w:u w:val="single"/>
          <w:lang w:val="it-IT"/>
        </w:rPr>
      </w:pPr>
      <w:r w:rsidRPr="00C35766">
        <w:rPr>
          <w:rFonts w:eastAsia="Times New Roman"/>
          <w:u w:val="single" w:color="000000"/>
          <w:lang w:val="it-IT"/>
        </w:rPr>
        <w:t>Riattivazione dell’epatite B</w:t>
      </w:r>
    </w:p>
    <w:p w14:paraId="3BA1420E" w14:textId="77777777" w:rsidR="00F91711" w:rsidRPr="00C35766" w:rsidRDefault="00F91711" w:rsidP="00F91711">
      <w:pPr>
        <w:spacing w:before="9" w:line="170" w:lineRule="exact"/>
        <w:rPr>
          <w:rFonts w:ascii="Times New Roman" w:hAnsi="Times New Roman" w:cs="Times New Roman"/>
          <w:lang w:val="it-IT"/>
        </w:rPr>
      </w:pPr>
    </w:p>
    <w:p w14:paraId="346FD759" w14:textId="77777777" w:rsidR="00F91711" w:rsidRPr="00C35766" w:rsidRDefault="00F91711" w:rsidP="00F91711">
      <w:pPr>
        <w:pStyle w:val="a3"/>
        <w:rPr>
          <w:lang w:val="it-IT"/>
        </w:rPr>
      </w:pPr>
      <w:r w:rsidRPr="00C35766">
        <w:rPr>
          <w:rFonts w:eastAsia="Times New Roman"/>
          <w:lang w:val="it-IT"/>
        </w:rPr>
        <w:t xml:space="preserve">In pazienti portatori cronici del virus dell’epatite B (ad es. antigene di superficie positivo) sottoposti a trattamento con antagonisti del TNF incluso adalimumab, si è verificata una riattivazione dell’epatite B. Alcuni casi hanno avuto un esito fatale. Prima di iniziare il trattamento con Yuflyma, i pazienti devono essere testati per l’infezione da virus dell’epatite B. Si raccomanda la consultazione di un medico con </w:t>
      </w:r>
      <w:r w:rsidRPr="00C35766">
        <w:rPr>
          <w:rFonts w:eastAsia="Times New Roman"/>
          <w:lang w:val="it-IT"/>
        </w:rPr>
        <w:lastRenderedPageBreak/>
        <w:t>esperienza nel trattamento dell’epatite B per quei pazienti che risultano positivi al test per l’epatite B.</w:t>
      </w:r>
    </w:p>
    <w:p w14:paraId="41A53704" w14:textId="77777777" w:rsidR="00F91711" w:rsidRPr="00C35766" w:rsidRDefault="00F91711" w:rsidP="00F91711">
      <w:pPr>
        <w:spacing w:before="13" w:line="240" w:lineRule="exact"/>
        <w:rPr>
          <w:rFonts w:ascii="Times New Roman" w:hAnsi="Times New Roman" w:cs="Times New Roman"/>
          <w:lang w:val="it-IT"/>
        </w:rPr>
      </w:pPr>
    </w:p>
    <w:p w14:paraId="7A3C6B71" w14:textId="5F8DC69A" w:rsidR="00F91711" w:rsidRPr="00C35766" w:rsidRDefault="00F91711" w:rsidP="00F91711">
      <w:pPr>
        <w:pStyle w:val="a3"/>
        <w:rPr>
          <w:lang w:val="it-IT"/>
        </w:rPr>
      </w:pPr>
      <w:r w:rsidRPr="00C35766">
        <w:rPr>
          <w:rFonts w:eastAsia="Times New Roman"/>
          <w:lang w:val="it-IT"/>
        </w:rPr>
        <w:t xml:space="preserve">I portatori del virus dell’epatite B che necessitano di un trattamento con Yuflyma devono essere attentamente monitorati allo scopo di rilevare la comparsa dei segni e sintomi dell’infezione attiva da virus dell’epatite B non solo nel corso di tutta la terapia, ma anche durante i mesi successivi alla sospensione della terapia. Non sono disponibili dati adeguati derivanti dal trattamento di pazienti portatori del virus dell’epatite B, sottoposti a terapia anti-virale </w:t>
      </w:r>
      <w:r w:rsidR="00340BA6">
        <w:rPr>
          <w:rFonts w:eastAsia="Times New Roman"/>
          <w:lang w:val="it-IT"/>
        </w:rPr>
        <w:t xml:space="preserve">in associazione a </w:t>
      </w:r>
      <w:r w:rsidR="00340BA6" w:rsidRPr="00C35766">
        <w:rPr>
          <w:rFonts w:eastAsia="Times New Roman"/>
          <w:lang w:val="it-IT"/>
        </w:rPr>
        <w:t>terapia con antagonisti del TNF</w:t>
      </w:r>
      <w:r w:rsidR="00340BA6">
        <w:rPr>
          <w:rFonts w:eastAsia="Times New Roman"/>
          <w:lang w:val="it-IT"/>
        </w:rPr>
        <w:t>,</w:t>
      </w:r>
      <w:r w:rsidR="00340BA6" w:rsidRPr="00C35766">
        <w:rPr>
          <w:rFonts w:eastAsia="Times New Roman"/>
          <w:lang w:val="it-IT"/>
        </w:rPr>
        <w:t xml:space="preserve"> </w:t>
      </w:r>
      <w:r w:rsidRPr="00C35766">
        <w:rPr>
          <w:rFonts w:eastAsia="Times New Roman"/>
          <w:lang w:val="it-IT"/>
        </w:rPr>
        <w:t>al fine di evitare la riattivazione del virus dell’epatite B</w:t>
      </w:r>
      <w:r w:rsidR="00340BA6">
        <w:rPr>
          <w:rFonts w:eastAsia="Times New Roman"/>
          <w:lang w:val="it-IT"/>
        </w:rPr>
        <w:t>.</w:t>
      </w:r>
      <w:r w:rsidRPr="00C35766">
        <w:rPr>
          <w:rFonts w:eastAsia="Times New Roman"/>
          <w:lang w:val="it-IT"/>
        </w:rPr>
        <w:t xml:space="preserve"> Nei pazienti che sviluppano una riattivazione del virus dell’epatite B, la somministrazione di Yuflyma deve essere interrotta e deve essere istituita un’efficace terapia anti-virale accompagnata da un adeguato trattamento di supporto.</w:t>
      </w:r>
    </w:p>
    <w:p w14:paraId="7AF2C9D4" w14:textId="77777777" w:rsidR="00F91711" w:rsidRPr="00C35766" w:rsidRDefault="00F91711" w:rsidP="00F91711">
      <w:pPr>
        <w:spacing w:before="13" w:line="240" w:lineRule="exact"/>
        <w:rPr>
          <w:rFonts w:ascii="Times New Roman" w:hAnsi="Times New Roman" w:cs="Times New Roman"/>
          <w:lang w:val="it-IT"/>
        </w:rPr>
      </w:pPr>
    </w:p>
    <w:p w14:paraId="4F35CCEA" w14:textId="77777777" w:rsidR="00F91711" w:rsidRPr="00C35766" w:rsidRDefault="00F91711" w:rsidP="00F91711">
      <w:pPr>
        <w:pStyle w:val="a3"/>
        <w:rPr>
          <w:u w:val="single"/>
          <w:lang w:val="it-IT"/>
        </w:rPr>
      </w:pPr>
      <w:r w:rsidRPr="00C35766">
        <w:rPr>
          <w:rFonts w:eastAsia="Times New Roman"/>
          <w:u w:val="single" w:color="000000"/>
          <w:lang w:val="it-IT"/>
        </w:rPr>
        <w:t>Eventi neurologici</w:t>
      </w:r>
    </w:p>
    <w:p w14:paraId="5E03136F" w14:textId="77777777" w:rsidR="00F91711" w:rsidRPr="00C35766" w:rsidRDefault="00F91711" w:rsidP="00F91711">
      <w:pPr>
        <w:spacing w:before="1" w:line="180" w:lineRule="exact"/>
        <w:rPr>
          <w:rFonts w:ascii="Times New Roman" w:hAnsi="Times New Roman" w:cs="Times New Roman"/>
          <w:lang w:val="it-IT"/>
        </w:rPr>
      </w:pPr>
    </w:p>
    <w:p w14:paraId="370D6EC7" w14:textId="77777777" w:rsidR="00F91711" w:rsidRPr="00C35766" w:rsidRDefault="00F91711" w:rsidP="00F91711">
      <w:pPr>
        <w:pStyle w:val="a3"/>
        <w:rPr>
          <w:lang w:val="it-IT"/>
        </w:rPr>
      </w:pPr>
      <w:r w:rsidRPr="00C35766">
        <w:rPr>
          <w:rFonts w:eastAsia="Times New Roman"/>
          <w:lang w:val="it-IT"/>
        </w:rPr>
        <w:t>I farmaci anti-TNF, compreso adalimumab, sono stati correlati, in rari casi, con la nuova insorgenza o con l’esacerbazione di sintomi clinici e/o evidenze radiografiche di malattie demielinizzanti del sistema nervoso centrale, inclusa la sclerosi multipla, la neurite ottica e le malattie demielinizzanti periferiche, compresa la sindrome di Guillain-Barrè. Deve essere usata cautela nell’uso di Yuflyma in quei pazienti con patologie demielinizzanti del sistema nervoso centrale o periferico pregresse o di recente insorgenza; deve essere presa in considerazione l’interruzione di Yuflyma nel caso in cui si sviluppi una qualsiasi di queste patologie. Sussiste una nota associazione tra l’uveite intermedia e le patologie demielinizzanti del sistema nervoso centrale. La valutazione neurologica deve essere effettuata sui pazienti con uveite intermedia non infettiva prima di iniziare la terapia con Yuflyma e a intervalli regolari durante il trattamento al fine di valutare le patologie demielinizzanti del sistema nervoso centrale pregresse o in fase di sviluppo.</w:t>
      </w:r>
    </w:p>
    <w:p w14:paraId="195F9FE3" w14:textId="77777777" w:rsidR="00F91711" w:rsidRPr="00C35766" w:rsidRDefault="00F91711" w:rsidP="00F91711">
      <w:pPr>
        <w:spacing w:before="13" w:line="240" w:lineRule="exact"/>
        <w:rPr>
          <w:rFonts w:ascii="Times New Roman" w:hAnsi="Times New Roman" w:cs="Times New Roman"/>
          <w:lang w:val="it-IT"/>
        </w:rPr>
      </w:pPr>
    </w:p>
    <w:p w14:paraId="048587E8" w14:textId="77777777" w:rsidR="00F91711" w:rsidRPr="00C35766" w:rsidRDefault="00F91711" w:rsidP="00F91711">
      <w:pPr>
        <w:pStyle w:val="a3"/>
        <w:rPr>
          <w:u w:val="single"/>
          <w:lang w:val="it-IT"/>
        </w:rPr>
      </w:pPr>
      <w:r w:rsidRPr="00C35766">
        <w:rPr>
          <w:rFonts w:eastAsia="Times New Roman"/>
          <w:u w:val="single" w:color="000000"/>
          <w:lang w:val="it-IT"/>
        </w:rPr>
        <w:t>Reazioni allergiche</w:t>
      </w:r>
    </w:p>
    <w:p w14:paraId="11BB8ADA" w14:textId="77777777" w:rsidR="00F91711" w:rsidRPr="00C35766" w:rsidRDefault="00F91711" w:rsidP="00F91711">
      <w:pPr>
        <w:spacing w:before="9" w:line="170" w:lineRule="exact"/>
        <w:rPr>
          <w:rFonts w:ascii="Times New Roman" w:hAnsi="Times New Roman" w:cs="Times New Roman"/>
          <w:lang w:val="it-IT"/>
        </w:rPr>
      </w:pPr>
    </w:p>
    <w:p w14:paraId="62CA902E" w14:textId="77777777" w:rsidR="00F91711" w:rsidRPr="00C35766" w:rsidRDefault="00F91711" w:rsidP="00F91711">
      <w:pPr>
        <w:pStyle w:val="a3"/>
        <w:rPr>
          <w:lang w:val="it-IT"/>
        </w:rPr>
      </w:pPr>
      <w:r w:rsidRPr="00C35766">
        <w:rPr>
          <w:rFonts w:eastAsia="Times New Roman"/>
          <w:lang w:val="it-IT"/>
        </w:rPr>
        <w:t>Nel corso degli studi clinici, reazioni allergiche gravi associate con adalimumab sono state rare. Le reazioni allergiche non gravi associate con adalimumab durante gli studi clinici sono state non comuni. Sono state ricevute segnalazioni di reazioni allergiche gravi inclusa l’anafilassi a seguito della somministrazione di adalimumab. Se si verificano reazioni anafilattiche o altre gravi manifestazioni allergiche, la somministrazione di Yuflyma deve essere immediatamente interrotta e deve essere iniziata una terapia appropriata.</w:t>
      </w:r>
    </w:p>
    <w:p w14:paraId="100A1D64" w14:textId="77777777" w:rsidR="00F91711" w:rsidRPr="00C35766" w:rsidRDefault="00F91711" w:rsidP="00F91711">
      <w:pPr>
        <w:spacing w:before="13" w:line="240" w:lineRule="exact"/>
        <w:rPr>
          <w:rFonts w:ascii="Times New Roman" w:hAnsi="Times New Roman" w:cs="Times New Roman"/>
          <w:lang w:val="it-IT"/>
        </w:rPr>
      </w:pPr>
    </w:p>
    <w:p w14:paraId="6F162F49" w14:textId="77777777" w:rsidR="00F91711" w:rsidRPr="00C35766" w:rsidRDefault="00F91711" w:rsidP="00F91711">
      <w:pPr>
        <w:pStyle w:val="a3"/>
        <w:rPr>
          <w:u w:val="single"/>
          <w:lang w:val="it-IT"/>
        </w:rPr>
      </w:pPr>
      <w:r w:rsidRPr="00C35766">
        <w:rPr>
          <w:rFonts w:eastAsia="Times New Roman"/>
          <w:u w:val="single" w:color="000000"/>
          <w:lang w:val="it-IT"/>
        </w:rPr>
        <w:t>Immunosoppressione</w:t>
      </w:r>
    </w:p>
    <w:p w14:paraId="4120F8EF" w14:textId="77777777" w:rsidR="00F91711" w:rsidRPr="00C35766" w:rsidRDefault="00F91711" w:rsidP="00F91711">
      <w:pPr>
        <w:spacing w:before="1" w:line="180" w:lineRule="exact"/>
        <w:rPr>
          <w:rFonts w:ascii="Times New Roman" w:hAnsi="Times New Roman" w:cs="Times New Roman"/>
          <w:lang w:val="it-IT"/>
        </w:rPr>
      </w:pPr>
    </w:p>
    <w:p w14:paraId="28FAB494" w14:textId="77777777" w:rsidR="00F91711" w:rsidRPr="00C35766" w:rsidRDefault="00F91711" w:rsidP="00F91711">
      <w:pPr>
        <w:pStyle w:val="a3"/>
        <w:rPr>
          <w:lang w:val="it-IT"/>
        </w:rPr>
      </w:pPr>
      <w:r w:rsidRPr="00C35766">
        <w:rPr>
          <w:rFonts w:eastAsia="Times New Roman"/>
          <w:lang w:val="it-IT"/>
        </w:rPr>
        <w:t>In uno studio su 64 pazienti con artrite reumatoide, sottoposti a trattamento con adalimumab, non è stata evidenziata alcuna inibizione dell’ipersensibilità ritardata, né riduzione dei livelli delle immunoglobuline o cambiamenti nel numero dei linfociti T, B, delle cellule NK, dei monociti/macrofagi e dei neutrofili.</w:t>
      </w:r>
    </w:p>
    <w:p w14:paraId="34EE5DBE" w14:textId="77777777" w:rsidR="00F91711" w:rsidRPr="00C35766" w:rsidRDefault="00F91711" w:rsidP="00F91711">
      <w:pPr>
        <w:spacing w:before="11" w:line="240" w:lineRule="exact"/>
        <w:rPr>
          <w:rFonts w:ascii="Times New Roman" w:hAnsi="Times New Roman" w:cs="Times New Roman"/>
          <w:lang w:val="it-IT"/>
        </w:rPr>
      </w:pPr>
    </w:p>
    <w:p w14:paraId="378F22E8" w14:textId="77777777" w:rsidR="00F91711" w:rsidRPr="00C35766" w:rsidRDefault="00F91711" w:rsidP="00F91711">
      <w:pPr>
        <w:pStyle w:val="a3"/>
        <w:keepNext/>
        <w:rPr>
          <w:u w:val="single"/>
          <w:lang w:val="it-IT"/>
        </w:rPr>
      </w:pPr>
      <w:r w:rsidRPr="00C35766">
        <w:rPr>
          <w:rFonts w:eastAsia="Times New Roman"/>
          <w:u w:val="single" w:color="000000"/>
          <w:lang w:val="it-IT"/>
        </w:rPr>
        <w:t>Neoplasie e malattie linfoproliferative</w:t>
      </w:r>
    </w:p>
    <w:p w14:paraId="093AF2CE" w14:textId="77777777" w:rsidR="00F91711" w:rsidRPr="00C35766" w:rsidRDefault="00F91711" w:rsidP="00F91711">
      <w:pPr>
        <w:spacing w:before="1" w:line="180" w:lineRule="exact"/>
        <w:rPr>
          <w:rFonts w:ascii="Times New Roman" w:hAnsi="Times New Roman" w:cs="Times New Roman"/>
          <w:lang w:val="it-IT"/>
        </w:rPr>
      </w:pPr>
    </w:p>
    <w:p w14:paraId="3581781E" w14:textId="77777777" w:rsidR="00F91711" w:rsidRPr="00C35766" w:rsidRDefault="00F91711" w:rsidP="00F91711">
      <w:pPr>
        <w:pStyle w:val="a3"/>
        <w:rPr>
          <w:lang w:val="it-IT"/>
        </w:rPr>
      </w:pPr>
      <w:r w:rsidRPr="00C35766">
        <w:rPr>
          <w:rFonts w:eastAsia="Times New Roman"/>
          <w:lang w:val="it-IT"/>
        </w:rPr>
        <w:t>Nelle sezioni controllate degli studi clinici con farmaci anti-TNF, sono stati osservati più casi di neoplasie, incluso linfoma, nei pazienti che ricevevano un anti-TNF rispetto al gruppo di controllo. Tuttavia, i casi sono stati rari. In studi postmarketing, sono stati riportati casi di leucemia in pazienti trattati con un antagonista-TNF. C’è un maggiore rischio di sviluppare linfomi e leucemia per i pazienti con artrite reumatoide con malattia infiammatoria, gravemente attiva e di lunga durata, che complica la valutazione del rischio. Con le attuali conoscenze, non è possibile escludere il possibile rischio di sviluppo di linfomi, leucemia e altre neoplasie in pazienti trattati con farmaci anti-TNF.</w:t>
      </w:r>
    </w:p>
    <w:p w14:paraId="42E9E1FA" w14:textId="77777777" w:rsidR="00F91711" w:rsidRPr="00C35766" w:rsidRDefault="00F91711" w:rsidP="00F91711">
      <w:pPr>
        <w:spacing w:before="13" w:line="240" w:lineRule="exact"/>
        <w:rPr>
          <w:rFonts w:ascii="Times New Roman" w:hAnsi="Times New Roman" w:cs="Times New Roman"/>
          <w:lang w:val="it-IT"/>
        </w:rPr>
      </w:pPr>
    </w:p>
    <w:p w14:paraId="218F0DD0" w14:textId="77777777" w:rsidR="00F91711" w:rsidRPr="00C35766" w:rsidRDefault="00F91711" w:rsidP="00F91711">
      <w:pPr>
        <w:pStyle w:val="a3"/>
        <w:rPr>
          <w:lang w:val="es-ES"/>
        </w:rPr>
      </w:pPr>
      <w:r w:rsidRPr="00C35766">
        <w:rPr>
          <w:rFonts w:eastAsia="Times New Roman"/>
          <w:lang w:val="it-IT"/>
        </w:rPr>
        <w:t>Casi di tumori, alcuni fatali, sono stati riportati in bambini, adolescenti e adulti di giovane età (fino all’età di 22 anni) trattati con agenti antagonisti del TNF (inizio della terapia ≤ 18 anni), compreso adalimumab, negli studi postmarketing. Circa metà dei casi sono stati linfomi. Gli altri casi hanno rappresentato una molteplicità di differenti tumori e hanno incluso rari tumori solitamente associati con immunosoppressione. Non può essere escluso un rischio per lo sviluppo di tumori in bambini ed adolescenti trattati con antagonisti del TNF.</w:t>
      </w:r>
    </w:p>
    <w:p w14:paraId="08119DD0" w14:textId="77777777" w:rsidR="00F91711" w:rsidRPr="00C35766" w:rsidRDefault="00F91711" w:rsidP="00F91711">
      <w:pPr>
        <w:spacing w:before="11" w:line="240" w:lineRule="exact"/>
        <w:rPr>
          <w:rFonts w:ascii="Times New Roman" w:hAnsi="Times New Roman" w:cs="Times New Roman"/>
          <w:lang w:val="es-ES"/>
        </w:rPr>
      </w:pPr>
    </w:p>
    <w:p w14:paraId="26DFDF59" w14:textId="77777777" w:rsidR="00F91711" w:rsidRPr="00C35766" w:rsidRDefault="00F91711" w:rsidP="00F91711">
      <w:pPr>
        <w:pStyle w:val="a3"/>
        <w:rPr>
          <w:lang w:val="it-IT"/>
        </w:rPr>
      </w:pPr>
      <w:r w:rsidRPr="00C35766">
        <w:rPr>
          <w:rFonts w:eastAsia="Times New Roman"/>
          <w:lang w:val="it-IT"/>
        </w:rPr>
        <w:t>Nei pazienti trattati con adalimumab sono stati osservati rari casi postmarketing di linfoma epatosplenico a cellule T. Questo raro tipo di linfoma a cellule T ha un decorso clinico molto aggressivo ed è spesso fatale. Alcuni di questi casi di linfoma epatosplenico a cellule T si sono manifestati in giovani pazienti adulti trattati con adalimumab e sottoposti a terapia concomitante con azatioprina o 6-mercaptopurina, farmaci utilizzati per il trattamento delle malattie infiammatorie intestinali. Deve essere attentamente considerato il rischio potenziale derivante dall’associazione di azatioprina o 6-mercaptopurina e Yuflyma. Nei pazienti trattati con Yuflyma non può essere escluso il rischio di sviluppo del linfoma epatosplenico a cellule T (vedere paragrafo 4.8).</w:t>
      </w:r>
    </w:p>
    <w:p w14:paraId="7588284E" w14:textId="77777777" w:rsidR="00F91711" w:rsidRPr="00C35766" w:rsidRDefault="00F91711" w:rsidP="00F91711">
      <w:pPr>
        <w:spacing w:before="11" w:line="240" w:lineRule="exact"/>
        <w:rPr>
          <w:rFonts w:ascii="Times New Roman" w:hAnsi="Times New Roman" w:cs="Times New Roman"/>
          <w:lang w:val="it-IT"/>
        </w:rPr>
      </w:pPr>
    </w:p>
    <w:p w14:paraId="037F236A" w14:textId="77777777" w:rsidR="00F91711" w:rsidRPr="00C35766" w:rsidRDefault="00F91711" w:rsidP="00F91711">
      <w:pPr>
        <w:pStyle w:val="a3"/>
        <w:rPr>
          <w:lang w:val="it-IT"/>
        </w:rPr>
      </w:pPr>
      <w:r w:rsidRPr="00C35766">
        <w:rPr>
          <w:rFonts w:eastAsia="Times New Roman"/>
          <w:lang w:val="it-IT"/>
        </w:rPr>
        <w:t>Non sono stati condotti studi clinici su pazienti con anamnesi positiva per neoplasie o su pazienti nei quali il trattamento con adalimumab è continuato dopo lo sviluppo di neoplasia. Pertanto, il trattamento con Yuflyma in questa tipologia di pazienti deve essere considerato con ulteriore cautela (vedere paragrafo 4.8).</w:t>
      </w:r>
    </w:p>
    <w:p w14:paraId="3F7E3C5A" w14:textId="77777777" w:rsidR="00F91711" w:rsidRPr="00C35766" w:rsidRDefault="00F91711" w:rsidP="00F91711">
      <w:pPr>
        <w:spacing w:before="13" w:line="240" w:lineRule="exact"/>
        <w:rPr>
          <w:rFonts w:ascii="Times New Roman" w:hAnsi="Times New Roman" w:cs="Times New Roman"/>
          <w:lang w:val="it-IT"/>
        </w:rPr>
      </w:pPr>
    </w:p>
    <w:p w14:paraId="68DE0DED" w14:textId="77777777" w:rsidR="00F91711" w:rsidRPr="00C35766" w:rsidRDefault="00F91711" w:rsidP="00F91711">
      <w:pPr>
        <w:pStyle w:val="a3"/>
        <w:rPr>
          <w:lang w:val="it-IT"/>
        </w:rPr>
      </w:pPr>
      <w:r w:rsidRPr="00C35766">
        <w:rPr>
          <w:rFonts w:eastAsia="Times New Roman"/>
          <w:lang w:val="it-IT"/>
        </w:rPr>
        <w:t>Prima e durante il trattamento con Yuflyma, tutti i pazienti, in particolare i soggetti che presentano una storia clinica da cui risultino massicce terapie immunosoppressive o soggetti affetti da psoriasi che presentano storia clinica di trattamento con PUVA, devono essere esaminati per valutare la presenza di un eventuale tumore della pelle non melanotico. Nei pazienti trattati con antagonisti del TNF, incluso adalimumab, sono stati anche riportati melanoma e carcinoma a cellule di Merkel (vedere paragrafo 4.8).</w:t>
      </w:r>
    </w:p>
    <w:p w14:paraId="29C93702" w14:textId="77777777" w:rsidR="00F91711" w:rsidRPr="00C35766" w:rsidRDefault="00F91711" w:rsidP="00F91711">
      <w:pPr>
        <w:spacing w:before="13" w:line="240" w:lineRule="exact"/>
        <w:rPr>
          <w:rFonts w:ascii="Times New Roman" w:hAnsi="Times New Roman" w:cs="Times New Roman"/>
          <w:lang w:val="it-IT"/>
        </w:rPr>
      </w:pPr>
    </w:p>
    <w:p w14:paraId="27500F82" w14:textId="77777777" w:rsidR="00F91711" w:rsidRPr="00C35766" w:rsidRDefault="00F91711" w:rsidP="00F91711">
      <w:pPr>
        <w:pStyle w:val="a3"/>
        <w:rPr>
          <w:lang w:val="it-IT"/>
        </w:rPr>
      </w:pPr>
      <w:r w:rsidRPr="00C35766">
        <w:rPr>
          <w:rFonts w:eastAsia="Times New Roman"/>
          <w:lang w:val="it-IT"/>
        </w:rPr>
        <w:t>In uno studio clinico esplorativo sulla valutazione dell’uso di un altro agente antagonista del TNF, infliximab, in pazienti con malattia polmonare cronica ostruttiva (COPD) da moderata a severa, furono riportate, nei pazienti trattati con infliximab rispetto ai pazienti controllo, più neoplasie, soprattutto al polmone o alla testa ed al collo. Tutti i pazienti avevano una storia di grandi fumatori. Pertanto, deve essere usata cautela quando si utilizza qualsiasi antagonista-TNF in pazienti affetti da COPD, così come in pazienti con aumentato rischio di neoplasia dovuto al fumo eccessivo.</w:t>
      </w:r>
    </w:p>
    <w:p w14:paraId="456FC884" w14:textId="77777777" w:rsidR="00F91711" w:rsidRPr="00C35766" w:rsidRDefault="00F91711" w:rsidP="00F91711">
      <w:pPr>
        <w:spacing w:before="11" w:line="240" w:lineRule="exact"/>
        <w:rPr>
          <w:rFonts w:ascii="Times New Roman" w:hAnsi="Times New Roman" w:cs="Times New Roman"/>
          <w:lang w:val="it-IT"/>
        </w:rPr>
      </w:pPr>
    </w:p>
    <w:p w14:paraId="6C6C4512" w14:textId="77777777" w:rsidR="00F91711" w:rsidRPr="00C35766" w:rsidRDefault="00F91711" w:rsidP="00F91711">
      <w:pPr>
        <w:pStyle w:val="a3"/>
        <w:rPr>
          <w:lang w:val="it-IT"/>
        </w:rPr>
      </w:pPr>
      <w:r w:rsidRPr="00C35766">
        <w:rPr>
          <w:rFonts w:eastAsia="Times New Roman"/>
          <w:lang w:val="it-IT"/>
        </w:rPr>
        <w:t>In base ai dati attuali non è noto se il trattamento con adalimumab influenzi il rischio di sviluppare displasia o cancro del colon. Tutti i pazienti affetti da colite ulcerosa che sono ad aumentato rischio di displasia o carcinoma del colon (per esempio, pazienti affetti da colite ulcerosa da lunga data o da colangite sclerosante primaria), o che hanno avuto una precedente anamnesi di displasia o di carcinoma al colon devono essere sottoposti a screening regolari per displasia prima della terapia e durante tutto il corso della malattia. Questa valutazione deve includere colonscopie e biopsie in base alle raccomandazioni locali.</w:t>
      </w:r>
    </w:p>
    <w:p w14:paraId="10A2AA92" w14:textId="77777777" w:rsidR="00F91711" w:rsidRPr="00C35766" w:rsidRDefault="00F91711" w:rsidP="00F91711">
      <w:pPr>
        <w:spacing w:before="13" w:line="240" w:lineRule="exact"/>
        <w:rPr>
          <w:rFonts w:ascii="Times New Roman" w:hAnsi="Times New Roman" w:cs="Times New Roman"/>
          <w:lang w:val="it-IT"/>
        </w:rPr>
      </w:pPr>
    </w:p>
    <w:p w14:paraId="4B764D39" w14:textId="77777777" w:rsidR="00F91711" w:rsidRPr="00C35766" w:rsidRDefault="00F91711" w:rsidP="00F91711">
      <w:pPr>
        <w:pStyle w:val="a3"/>
        <w:rPr>
          <w:u w:val="single"/>
          <w:lang w:val="it-IT"/>
        </w:rPr>
      </w:pPr>
      <w:r w:rsidRPr="00C35766">
        <w:rPr>
          <w:rFonts w:eastAsia="Times New Roman"/>
          <w:u w:val="single" w:color="000000"/>
          <w:lang w:val="it-IT"/>
        </w:rPr>
        <w:t>Reazioni a carico del sistema emopoietico</w:t>
      </w:r>
    </w:p>
    <w:p w14:paraId="147D67AA" w14:textId="77777777" w:rsidR="00F91711" w:rsidRPr="00C35766" w:rsidRDefault="00F91711" w:rsidP="00F91711">
      <w:pPr>
        <w:spacing w:before="1" w:line="180" w:lineRule="exact"/>
        <w:rPr>
          <w:rFonts w:ascii="Times New Roman" w:hAnsi="Times New Roman" w:cs="Times New Roman"/>
          <w:lang w:val="it-IT"/>
        </w:rPr>
      </w:pPr>
    </w:p>
    <w:p w14:paraId="29FEA413" w14:textId="77777777" w:rsidR="00F91711" w:rsidRPr="00C35766" w:rsidRDefault="00F91711" w:rsidP="00F91711">
      <w:pPr>
        <w:pStyle w:val="a3"/>
        <w:rPr>
          <w:lang w:val="it-IT"/>
        </w:rPr>
      </w:pPr>
      <w:r w:rsidRPr="00C35766">
        <w:rPr>
          <w:rFonts w:eastAsia="Times New Roman"/>
          <w:lang w:val="it-IT"/>
        </w:rPr>
        <w:t>In seguito all’uso di farmaci anti-TNF, sono stati segnalati rari casi di pancitopenia, tra cui la comparsa di anemia aplastica. Nei pazienti sottoposti a trattamento con adalimumab, sono stati segnalati eventi avversi a carico del sistema emopoietico, tra cui citopenie significative dal punto di vista medico (per esempio, trombocitopenia, leucopenia). Durante il trattamento con Yuflyma tutti i pazienti devono essere avvisati della necessità di consultare immediatamente un medico per ottenere adeguata assistenza nel caso in cui si manifestino segni e sintomi che suggeriscano la presenza di discrasia ematica (per esempio, febbre persistente, lividi, sanguinamento, pallore). Nel caso di pazienti che presentino significative alterazioni a carico del sistema emopoietico confermate, si deve prendere in considerazione la necessità di interrompere la terapia a base di Yuflyma.</w:t>
      </w:r>
    </w:p>
    <w:p w14:paraId="28E93309" w14:textId="77777777" w:rsidR="00F91711" w:rsidRPr="00C35766" w:rsidRDefault="00F91711" w:rsidP="00F91711">
      <w:pPr>
        <w:pStyle w:val="a3"/>
        <w:rPr>
          <w:lang w:val="it-IT"/>
        </w:rPr>
      </w:pPr>
    </w:p>
    <w:p w14:paraId="1557BAB6" w14:textId="77777777" w:rsidR="00F91711" w:rsidRPr="00C35766" w:rsidRDefault="00F91711" w:rsidP="00F91711">
      <w:pPr>
        <w:pStyle w:val="a3"/>
        <w:rPr>
          <w:u w:val="single"/>
          <w:lang w:val="it-IT"/>
        </w:rPr>
      </w:pPr>
      <w:r w:rsidRPr="00C35766">
        <w:rPr>
          <w:rFonts w:eastAsia="Times New Roman"/>
          <w:u w:val="single" w:color="000000"/>
          <w:lang w:val="it-IT"/>
        </w:rPr>
        <w:t>Vaccinazioni</w:t>
      </w:r>
    </w:p>
    <w:p w14:paraId="61A294CF" w14:textId="77777777" w:rsidR="00F91711" w:rsidRPr="00C35766" w:rsidRDefault="00F91711" w:rsidP="00F91711">
      <w:pPr>
        <w:spacing w:before="1" w:line="180" w:lineRule="exact"/>
        <w:rPr>
          <w:rFonts w:ascii="Times New Roman" w:hAnsi="Times New Roman" w:cs="Times New Roman"/>
          <w:lang w:val="it-IT"/>
        </w:rPr>
      </w:pPr>
    </w:p>
    <w:p w14:paraId="3533A7FC" w14:textId="77777777" w:rsidR="00F91711" w:rsidRPr="00C35766" w:rsidRDefault="00F91711" w:rsidP="00F91711">
      <w:pPr>
        <w:pStyle w:val="a3"/>
        <w:rPr>
          <w:lang w:val="it-IT"/>
        </w:rPr>
      </w:pPr>
      <w:r w:rsidRPr="00C35766">
        <w:rPr>
          <w:rFonts w:eastAsia="Times New Roman"/>
          <w:lang w:val="it-IT"/>
        </w:rPr>
        <w:t>Sono state osservate risposte anticorpali simili al vaccino standard 23-valente pneumococcico ed al vaccino trivalente per il virus dell’influenza in uno studio condotto su 226 soggetti adulti affetti da artrite reumatoide che sono stati trattati con adalimumab o con placebo. Non ci sono dati disponibili sulla trasmissione secondaria di infezione da vaccini vivi in pazienti che stanno assumendo adalimumab.</w:t>
      </w:r>
    </w:p>
    <w:p w14:paraId="19C03FC6" w14:textId="77777777" w:rsidR="00F91711" w:rsidRPr="00C35766" w:rsidRDefault="00F91711" w:rsidP="00F91711">
      <w:pPr>
        <w:spacing w:before="17" w:line="240" w:lineRule="exact"/>
        <w:rPr>
          <w:rFonts w:ascii="Times New Roman" w:hAnsi="Times New Roman" w:cs="Times New Roman"/>
          <w:lang w:val="it-IT"/>
        </w:rPr>
      </w:pPr>
    </w:p>
    <w:p w14:paraId="7F5B3E81" w14:textId="77777777" w:rsidR="00F91711" w:rsidRPr="00C35766" w:rsidRDefault="00F91711" w:rsidP="00F91711">
      <w:pPr>
        <w:pStyle w:val="a3"/>
        <w:rPr>
          <w:lang w:val="it-IT"/>
        </w:rPr>
      </w:pPr>
      <w:r w:rsidRPr="00C35766">
        <w:rPr>
          <w:rFonts w:eastAsia="Times New Roman"/>
          <w:spacing w:val="-4"/>
          <w:lang w:val="it-IT"/>
        </w:rPr>
        <w:t xml:space="preserve">Nei pazienti pediatrici, prima di iniziare la terapia a base di Yuflyma si raccomanda, se possibile, di attuare il </w:t>
      </w:r>
      <w:r w:rsidRPr="00C35766">
        <w:rPr>
          <w:rFonts w:eastAsia="Times New Roman"/>
          <w:spacing w:val="-4"/>
          <w:lang w:val="it-IT"/>
        </w:rPr>
        <w:lastRenderedPageBreak/>
        <w:t>programma di vaccinazioni previsto, in ottemperanza alle linee guida in vigore sulle vaccinazioni.</w:t>
      </w:r>
    </w:p>
    <w:p w14:paraId="6A79E82D" w14:textId="77777777" w:rsidR="00F91711" w:rsidRPr="00C35766" w:rsidRDefault="00F91711" w:rsidP="00F91711">
      <w:pPr>
        <w:spacing w:before="11" w:line="240" w:lineRule="exact"/>
        <w:rPr>
          <w:rFonts w:ascii="Times New Roman" w:hAnsi="Times New Roman" w:cs="Times New Roman"/>
          <w:lang w:val="it-IT"/>
        </w:rPr>
      </w:pPr>
    </w:p>
    <w:p w14:paraId="61CCF65D" w14:textId="77777777" w:rsidR="00F91711" w:rsidRPr="00C35766" w:rsidRDefault="00F91711" w:rsidP="00F91711">
      <w:pPr>
        <w:pStyle w:val="a3"/>
        <w:rPr>
          <w:lang w:val="it-IT"/>
        </w:rPr>
      </w:pPr>
      <w:r w:rsidRPr="00C35766">
        <w:rPr>
          <w:rFonts w:eastAsia="Times New Roman"/>
          <w:lang w:val="it-IT"/>
        </w:rPr>
        <w:t>Pazienti trattati con Yuflyma possono ricevere vaccinazioni simultanee, ad eccezione dei vaccini vivi. La somministrazione di vaccini vivi (ad es. vaccino BCG) a bambini esposti ad adalimumab nell’utero non è raccomandata fino a 5 mesi dall’ultima iniezione di adalimumab alla madre durante la gravidanza.</w:t>
      </w:r>
    </w:p>
    <w:p w14:paraId="0F143CD5" w14:textId="77777777" w:rsidR="00F91711" w:rsidRPr="00C35766" w:rsidRDefault="00F91711" w:rsidP="00F91711">
      <w:pPr>
        <w:spacing w:before="13" w:line="240" w:lineRule="exact"/>
        <w:rPr>
          <w:rFonts w:ascii="Times New Roman" w:hAnsi="Times New Roman" w:cs="Times New Roman"/>
          <w:lang w:val="it-IT"/>
        </w:rPr>
      </w:pPr>
    </w:p>
    <w:p w14:paraId="166E7233" w14:textId="77777777" w:rsidR="00F91711" w:rsidRPr="00C35766" w:rsidRDefault="00F91711" w:rsidP="00F91711">
      <w:pPr>
        <w:pStyle w:val="a3"/>
        <w:rPr>
          <w:u w:val="single"/>
          <w:lang w:val="it-IT"/>
        </w:rPr>
      </w:pPr>
      <w:r w:rsidRPr="00C35766">
        <w:rPr>
          <w:rFonts w:eastAsia="Times New Roman"/>
          <w:u w:val="single" w:color="000000"/>
          <w:lang w:val="it-IT"/>
        </w:rPr>
        <w:t>Insufficienza cardiaca congestizia</w:t>
      </w:r>
    </w:p>
    <w:p w14:paraId="261FD88F" w14:textId="77777777" w:rsidR="00F91711" w:rsidRPr="00C35766" w:rsidRDefault="00F91711" w:rsidP="00F91711">
      <w:pPr>
        <w:spacing w:before="1" w:line="180" w:lineRule="exact"/>
        <w:rPr>
          <w:rFonts w:ascii="Times New Roman" w:hAnsi="Times New Roman" w:cs="Times New Roman"/>
          <w:lang w:val="it-IT"/>
        </w:rPr>
      </w:pPr>
    </w:p>
    <w:p w14:paraId="2EC3AB1C" w14:textId="77777777" w:rsidR="00F91711" w:rsidRPr="00C35766" w:rsidRDefault="00F91711" w:rsidP="00F91711">
      <w:pPr>
        <w:pStyle w:val="a3"/>
        <w:rPr>
          <w:lang w:val="pt-BR"/>
        </w:rPr>
      </w:pPr>
      <w:r w:rsidRPr="00C35766">
        <w:rPr>
          <w:rFonts w:eastAsia="Times New Roman"/>
          <w:lang w:val="it-IT"/>
        </w:rPr>
        <w:t>In uno studio clinico con un altro farmaco anti-TNF sono stati osservati il peggioramento dell’insufficienza cardiaca congestizia e l’aumento di mortalità ad essa correlata. Anche in pazienti trattati con adalimumab sono stati osservati casi di peggioramento di insufficienza cardiaca congestizia. Yuflyma deve essere usato con cautela in pazienti con lieve insufficienza cardiaca (classe I/II NYHA). Yuflyma è controindicato nell’insufficienza cardiaca moderata o severa (vedere paragrafo 4.3). Il trattamento con Yuflyma deve essere interrotto nei pazienti che presentino peggioramento o insorgenza di nuovi sintomi dell’insufficienza cardiaca congestizia.</w:t>
      </w:r>
    </w:p>
    <w:p w14:paraId="23881DC0" w14:textId="77777777" w:rsidR="00F91711" w:rsidRPr="00C35766" w:rsidRDefault="00F91711" w:rsidP="00F91711">
      <w:pPr>
        <w:spacing w:before="13" w:line="240" w:lineRule="exact"/>
        <w:rPr>
          <w:rFonts w:ascii="Times New Roman" w:hAnsi="Times New Roman" w:cs="Times New Roman"/>
          <w:lang w:val="pt-BR"/>
        </w:rPr>
      </w:pPr>
    </w:p>
    <w:p w14:paraId="37EA1AA7" w14:textId="77777777" w:rsidR="00F91711" w:rsidRPr="00C35766" w:rsidRDefault="00F91711" w:rsidP="00F91711">
      <w:pPr>
        <w:pStyle w:val="a3"/>
        <w:rPr>
          <w:u w:val="single"/>
          <w:lang w:val="fr-FR"/>
        </w:rPr>
      </w:pPr>
      <w:r w:rsidRPr="00C35766">
        <w:rPr>
          <w:rFonts w:eastAsia="Times New Roman"/>
          <w:u w:val="single" w:color="000000"/>
          <w:lang w:val="it-IT"/>
        </w:rPr>
        <w:t>Processi autoimmuni</w:t>
      </w:r>
    </w:p>
    <w:p w14:paraId="2B0D5295" w14:textId="77777777" w:rsidR="00F91711" w:rsidRPr="00C35766" w:rsidRDefault="00F91711" w:rsidP="00F91711">
      <w:pPr>
        <w:spacing w:before="9" w:line="170" w:lineRule="exact"/>
        <w:rPr>
          <w:rFonts w:ascii="Times New Roman" w:hAnsi="Times New Roman" w:cs="Times New Roman"/>
          <w:lang w:val="fr-FR"/>
        </w:rPr>
      </w:pPr>
    </w:p>
    <w:p w14:paraId="3925F6C5" w14:textId="77777777" w:rsidR="00F91711" w:rsidRPr="00C35766" w:rsidRDefault="00F91711" w:rsidP="00F91711">
      <w:pPr>
        <w:pStyle w:val="a3"/>
        <w:rPr>
          <w:lang w:val="it-IT"/>
        </w:rPr>
      </w:pPr>
      <w:r w:rsidRPr="00C35766">
        <w:rPr>
          <w:rFonts w:eastAsia="Times New Roman"/>
          <w:lang w:val="it-IT"/>
        </w:rPr>
        <w:t>Il trattamento con Yuflyma può indurre la formazione di anticorpi autoimmuni. Non è noto l’impatto del trattamento a lungo termine con adalimumab sullo sviluppo di malattie autoimmuni. Se un paziente sviluppa sintomi indicativi di sindrome simile al lupus a seguito di trattamento con Yuflyma e risulta positivo per gli anticorpi contro il DNA a doppia catena, non deve essere somministrato un ulteriore trattamento con Yuflyma (vedere paragrafo 4.8).</w:t>
      </w:r>
    </w:p>
    <w:p w14:paraId="0078B8D7" w14:textId="77777777" w:rsidR="00F91711" w:rsidRPr="00C35766" w:rsidRDefault="00F91711" w:rsidP="00F91711">
      <w:pPr>
        <w:spacing w:before="13" w:line="240" w:lineRule="exact"/>
        <w:rPr>
          <w:rFonts w:ascii="Times New Roman" w:hAnsi="Times New Roman" w:cs="Times New Roman"/>
          <w:u w:val="single"/>
          <w:lang w:val="it-IT"/>
        </w:rPr>
      </w:pPr>
    </w:p>
    <w:p w14:paraId="3257B858" w14:textId="77777777" w:rsidR="00F91711" w:rsidRPr="00C35766" w:rsidRDefault="00F91711" w:rsidP="00F91711">
      <w:pPr>
        <w:pStyle w:val="a3"/>
        <w:rPr>
          <w:u w:val="single"/>
          <w:lang w:val="it-IT"/>
        </w:rPr>
      </w:pPr>
      <w:r w:rsidRPr="00C35766">
        <w:rPr>
          <w:rFonts w:eastAsia="Times New Roman"/>
          <w:u w:val="single" w:color="000000"/>
          <w:lang w:val="it-IT"/>
        </w:rPr>
        <w:t>Somministrazione concomitante di DMARD biologici o antagonisti del TNF</w:t>
      </w:r>
    </w:p>
    <w:p w14:paraId="6A47D033" w14:textId="77777777" w:rsidR="00F91711" w:rsidRPr="00C35766" w:rsidRDefault="00F91711" w:rsidP="00F91711">
      <w:pPr>
        <w:spacing w:before="1" w:line="180" w:lineRule="exact"/>
        <w:rPr>
          <w:rFonts w:ascii="Times New Roman" w:hAnsi="Times New Roman" w:cs="Times New Roman"/>
          <w:lang w:val="it-IT"/>
        </w:rPr>
      </w:pPr>
    </w:p>
    <w:p w14:paraId="600B1DC3" w14:textId="77777777" w:rsidR="00F91711" w:rsidRPr="00C35766" w:rsidRDefault="00F91711" w:rsidP="00F91711">
      <w:pPr>
        <w:pStyle w:val="a3"/>
        <w:rPr>
          <w:lang w:val="it-IT"/>
        </w:rPr>
      </w:pPr>
      <w:r w:rsidRPr="00C35766">
        <w:rPr>
          <w:rFonts w:eastAsia="Times New Roman"/>
          <w:lang w:val="it-IT"/>
        </w:rPr>
        <w:t>Nel corso di studi clinici condotti sulla terapia di associazione con anakinra ed un altro</w:t>
      </w:r>
    </w:p>
    <w:p w14:paraId="2581B349" w14:textId="77777777" w:rsidR="00F91711" w:rsidRPr="00C35766" w:rsidRDefault="00F91711" w:rsidP="00F91711">
      <w:pPr>
        <w:pStyle w:val="a3"/>
        <w:rPr>
          <w:lang w:val="es-ES"/>
        </w:rPr>
      </w:pPr>
      <w:r w:rsidRPr="00C35766">
        <w:rPr>
          <w:rFonts w:eastAsia="Times New Roman"/>
          <w:lang w:val="it-IT"/>
        </w:rPr>
        <w:t>farmaco anti-TNF, etanercept, sono state osservate infezioni gravi senza alcun beneficio clinico rispetto ad etanercept in monoterapia. Considerata la tipologia degli eventi avversi osservati con l’associazione di anakinra ed etanercept, potrebbero manifestarsi effetti indesiderati simili in seguito all’associazione di anakinra ed un altro farmaco anti-TNF. Pertanto, l’associazione di adalimumab con anakinra non è raccomandata (vedere paragrafo 4.5).</w:t>
      </w:r>
    </w:p>
    <w:p w14:paraId="7BC7AB24" w14:textId="77777777" w:rsidR="00F91711" w:rsidRPr="00C35766" w:rsidRDefault="00F91711" w:rsidP="00F91711">
      <w:pPr>
        <w:spacing w:before="14" w:line="240" w:lineRule="exact"/>
        <w:rPr>
          <w:rFonts w:ascii="Times New Roman" w:hAnsi="Times New Roman" w:cs="Times New Roman"/>
          <w:lang w:val="es-ES"/>
        </w:rPr>
      </w:pPr>
    </w:p>
    <w:p w14:paraId="35FD8A0D" w14:textId="77777777" w:rsidR="00F91711" w:rsidRPr="00C35766" w:rsidRDefault="00F91711" w:rsidP="00F91711">
      <w:pPr>
        <w:pStyle w:val="a3"/>
        <w:rPr>
          <w:lang w:val="es-ES"/>
        </w:rPr>
      </w:pPr>
      <w:r w:rsidRPr="00C35766">
        <w:rPr>
          <w:rFonts w:eastAsia="Times New Roman"/>
          <w:lang w:val="it-IT"/>
        </w:rPr>
        <w:t>La somministrazione concomitante di adalimumab con altri DMARD biologici (per es. anakinra e abatacept) o altri antagonisti del TNF non è raccomandata sulla base di un possibile aumento del rischio di infezioni, incluse infezioni gravi e altre potenziali interazioni farmacologiche (vedere paragrafo 4.5).</w:t>
      </w:r>
    </w:p>
    <w:p w14:paraId="5AA5E5DE" w14:textId="77777777" w:rsidR="00F91711" w:rsidRPr="00C35766" w:rsidRDefault="00F91711" w:rsidP="00F91711">
      <w:pPr>
        <w:spacing w:before="13" w:line="240" w:lineRule="exact"/>
        <w:rPr>
          <w:rFonts w:ascii="Times New Roman" w:hAnsi="Times New Roman" w:cs="Times New Roman"/>
          <w:lang w:val="es-ES"/>
        </w:rPr>
      </w:pPr>
    </w:p>
    <w:p w14:paraId="29706AFD" w14:textId="77777777" w:rsidR="00F91711" w:rsidRPr="00C35766" w:rsidRDefault="00F91711" w:rsidP="00F91711">
      <w:pPr>
        <w:pStyle w:val="a3"/>
        <w:keepNext/>
        <w:rPr>
          <w:u w:val="single"/>
          <w:lang w:val="es-ES"/>
        </w:rPr>
      </w:pPr>
      <w:r w:rsidRPr="00C35766">
        <w:rPr>
          <w:rFonts w:eastAsia="Times New Roman"/>
          <w:u w:val="single" w:color="000000"/>
          <w:lang w:val="it-IT"/>
        </w:rPr>
        <w:t>Intervento chirurgico</w:t>
      </w:r>
    </w:p>
    <w:p w14:paraId="58C5309E" w14:textId="77777777" w:rsidR="00F91711" w:rsidRPr="00C35766" w:rsidRDefault="00F91711" w:rsidP="00F91711">
      <w:pPr>
        <w:keepNext/>
        <w:rPr>
          <w:rFonts w:ascii="Times New Roman" w:hAnsi="Times New Roman" w:cs="Times New Roman"/>
          <w:lang w:val="es-ES"/>
        </w:rPr>
      </w:pPr>
    </w:p>
    <w:p w14:paraId="1FE70CE5" w14:textId="77777777" w:rsidR="00F91711" w:rsidRPr="00C35766" w:rsidRDefault="00F91711" w:rsidP="00F91711">
      <w:pPr>
        <w:pStyle w:val="a3"/>
        <w:rPr>
          <w:lang w:val="es-ES"/>
        </w:rPr>
      </w:pPr>
      <w:r w:rsidRPr="00C35766">
        <w:rPr>
          <w:rFonts w:eastAsia="Times New Roman"/>
          <w:lang w:val="it-IT"/>
        </w:rPr>
        <w:t>Nei pazienti trattati con adalimumab c’è un’esperienza limitata, relativa alla sicurezza di procedure chirurgiche. Nel caso in cui si pianifichi un intervento chirurgico si deve considerare la lunga emivita di adalimumab. Un paziente che dovesse essere sottoposto ad intervento chirurgico, durante il trattamento con Yuflyma, deve essere attentamente seguito per lo sviluppo di infezioni, nel qual caso andrebbero intraprese opportune azioni. C’è un’esperienza limitata per quanto riguarda la sicurezza in pazienti sottoposti ad interventi di artroplastica in corso di trattamento con adalimumab.</w:t>
      </w:r>
    </w:p>
    <w:p w14:paraId="7DE66B74" w14:textId="77777777" w:rsidR="00F91711" w:rsidRPr="00C35766" w:rsidRDefault="00F91711" w:rsidP="00F91711">
      <w:pPr>
        <w:pStyle w:val="a3"/>
        <w:rPr>
          <w:u w:color="000000"/>
          <w:lang w:val="es-ES"/>
        </w:rPr>
      </w:pPr>
    </w:p>
    <w:p w14:paraId="0BB53F2C" w14:textId="77777777" w:rsidR="00F91711" w:rsidRPr="00C35766" w:rsidRDefault="00F91711" w:rsidP="00F91711">
      <w:pPr>
        <w:pStyle w:val="a3"/>
        <w:rPr>
          <w:u w:val="single"/>
          <w:lang w:val="es-ES"/>
        </w:rPr>
      </w:pPr>
      <w:r w:rsidRPr="00C35766">
        <w:rPr>
          <w:rFonts w:eastAsia="Times New Roman"/>
          <w:u w:val="single" w:color="000000"/>
          <w:lang w:val="it-IT"/>
        </w:rPr>
        <w:t>Ostruzione dell'intestino tenue</w:t>
      </w:r>
    </w:p>
    <w:p w14:paraId="4345428B" w14:textId="77777777" w:rsidR="00F91711" w:rsidRPr="00C35766" w:rsidRDefault="00F91711" w:rsidP="00F91711">
      <w:pPr>
        <w:pStyle w:val="a3"/>
        <w:rPr>
          <w:lang w:val="es-ES"/>
        </w:rPr>
      </w:pPr>
    </w:p>
    <w:p w14:paraId="531693E1" w14:textId="77777777" w:rsidR="00F91711" w:rsidRPr="00C35766" w:rsidRDefault="00F91711" w:rsidP="00F91711">
      <w:pPr>
        <w:pStyle w:val="a3"/>
        <w:rPr>
          <w:lang w:val="pt-BR"/>
        </w:rPr>
      </w:pPr>
      <w:r w:rsidRPr="00C35766">
        <w:rPr>
          <w:rFonts w:eastAsia="Times New Roman"/>
          <w:lang w:val="it-IT"/>
        </w:rPr>
        <w:t>La mancata risposta al trattamento per la malattia di Crohn può indicare la presenza di stenosi rigida fibrotica che può richiedere un intervento chirurgico. I dati disponibili suggeriscono che adalimumab non peggiora o causa stenosi.</w:t>
      </w:r>
    </w:p>
    <w:p w14:paraId="24340039" w14:textId="77777777" w:rsidR="00F91711" w:rsidRPr="00C35766" w:rsidRDefault="00F91711" w:rsidP="00F91711">
      <w:pPr>
        <w:spacing w:before="13" w:line="240" w:lineRule="exact"/>
        <w:rPr>
          <w:rFonts w:ascii="Times New Roman" w:hAnsi="Times New Roman" w:cs="Times New Roman"/>
          <w:lang w:val="pt-BR"/>
        </w:rPr>
      </w:pPr>
    </w:p>
    <w:p w14:paraId="79F94A3E" w14:textId="77777777" w:rsidR="00F91711" w:rsidRPr="00C35766" w:rsidRDefault="00F91711" w:rsidP="00F91711">
      <w:pPr>
        <w:pStyle w:val="a3"/>
        <w:rPr>
          <w:u w:val="single"/>
          <w:lang w:val="pt-BR"/>
        </w:rPr>
      </w:pPr>
      <w:r w:rsidRPr="00C35766">
        <w:rPr>
          <w:rFonts w:eastAsia="Times New Roman"/>
          <w:u w:val="single" w:color="000000"/>
          <w:lang w:val="it-IT"/>
        </w:rPr>
        <w:t>Anziani</w:t>
      </w:r>
    </w:p>
    <w:p w14:paraId="6BA22DEC" w14:textId="77777777" w:rsidR="00F91711" w:rsidRPr="00C35766" w:rsidRDefault="00F91711" w:rsidP="00F91711">
      <w:pPr>
        <w:spacing w:before="9" w:line="170" w:lineRule="exact"/>
        <w:rPr>
          <w:rFonts w:ascii="Times New Roman" w:hAnsi="Times New Roman" w:cs="Times New Roman"/>
          <w:lang w:val="pt-BR"/>
        </w:rPr>
      </w:pPr>
    </w:p>
    <w:p w14:paraId="47C8AB3F" w14:textId="77777777" w:rsidR="00F91711" w:rsidRPr="00C35766" w:rsidRDefault="00F91711" w:rsidP="00F91711">
      <w:pPr>
        <w:pStyle w:val="a3"/>
        <w:rPr>
          <w:lang w:val="pt-BR"/>
        </w:rPr>
      </w:pPr>
      <w:r w:rsidRPr="00C35766">
        <w:rPr>
          <w:rFonts w:eastAsia="Times New Roman"/>
          <w:lang w:val="it-IT"/>
        </w:rPr>
        <w:t xml:space="preserve">La frequenza di infezioni gravi tra i pazienti di età superiore ai 65 anni (3,7%) trattati con adalimumab è </w:t>
      </w:r>
      <w:r w:rsidRPr="00C35766">
        <w:rPr>
          <w:rFonts w:eastAsia="Times New Roman"/>
          <w:lang w:val="it-IT"/>
        </w:rPr>
        <w:lastRenderedPageBreak/>
        <w:t>stata superiore rispetto a quelli di età inferiore ai 65 anni (1,5%). Alcuni di questi hanno avuto un esito fatale. Deve essere prestata particolare attenzione nel trattamento dei pazienti anziani per il rischio di infezione.</w:t>
      </w:r>
    </w:p>
    <w:p w14:paraId="785E7B1B" w14:textId="77777777" w:rsidR="00F91711" w:rsidRPr="00C35766" w:rsidRDefault="00F91711" w:rsidP="00F91711">
      <w:pPr>
        <w:spacing w:before="11" w:line="240" w:lineRule="exact"/>
        <w:rPr>
          <w:rFonts w:ascii="Times New Roman" w:hAnsi="Times New Roman" w:cs="Times New Roman"/>
          <w:lang w:val="pt-BR"/>
        </w:rPr>
      </w:pPr>
    </w:p>
    <w:p w14:paraId="5BA5B83D" w14:textId="77777777" w:rsidR="00F91711" w:rsidRPr="00C35766" w:rsidRDefault="00F91711" w:rsidP="00F91711">
      <w:pPr>
        <w:pStyle w:val="a3"/>
        <w:rPr>
          <w:u w:val="single"/>
          <w:lang w:val="pt-BR"/>
        </w:rPr>
      </w:pPr>
      <w:r w:rsidRPr="00C35766">
        <w:rPr>
          <w:rFonts w:eastAsia="Times New Roman"/>
          <w:u w:val="single" w:color="000000"/>
          <w:lang w:val="it-IT"/>
        </w:rPr>
        <w:t>Popolazione pediatrica</w:t>
      </w:r>
    </w:p>
    <w:p w14:paraId="7F99D8B1" w14:textId="77777777" w:rsidR="00F91711" w:rsidRPr="00C35766" w:rsidRDefault="00F91711" w:rsidP="00F91711">
      <w:pPr>
        <w:spacing w:before="1" w:line="180" w:lineRule="exact"/>
        <w:rPr>
          <w:rFonts w:ascii="Times New Roman" w:hAnsi="Times New Roman" w:cs="Times New Roman"/>
          <w:lang w:val="pt-BR"/>
        </w:rPr>
      </w:pPr>
    </w:p>
    <w:p w14:paraId="4C1B0B04" w14:textId="77777777" w:rsidR="00F91711" w:rsidRPr="00C35766" w:rsidRDefault="00F91711" w:rsidP="00F91711">
      <w:pPr>
        <w:pStyle w:val="a3"/>
        <w:rPr>
          <w:lang w:val="pt-BR"/>
        </w:rPr>
      </w:pPr>
      <w:r w:rsidRPr="00C35766">
        <w:rPr>
          <w:rFonts w:eastAsia="Times New Roman"/>
          <w:lang w:val="it-IT"/>
        </w:rPr>
        <w:t>Vedere Vaccinazioni sopra.</w:t>
      </w:r>
    </w:p>
    <w:p w14:paraId="44827716" w14:textId="77777777" w:rsidR="00F91711" w:rsidRPr="00C35766" w:rsidRDefault="00F91711" w:rsidP="00F91711">
      <w:pPr>
        <w:pStyle w:val="a3"/>
        <w:rPr>
          <w:lang w:val="pt-BR"/>
        </w:rPr>
      </w:pPr>
    </w:p>
    <w:p w14:paraId="5C1F70A4" w14:textId="77777777" w:rsidR="00F91711" w:rsidRPr="00C35766" w:rsidRDefault="00F91711" w:rsidP="00F91711">
      <w:pPr>
        <w:pStyle w:val="a3"/>
        <w:rPr>
          <w:u w:val="single"/>
          <w:lang w:val="pt-BR"/>
        </w:rPr>
      </w:pPr>
      <w:r w:rsidRPr="00C35766">
        <w:rPr>
          <w:rFonts w:eastAsia="Times New Roman"/>
          <w:u w:val="single" w:color="000000"/>
          <w:lang w:val="it-IT"/>
        </w:rPr>
        <w:t>Contenuto di sodio</w:t>
      </w:r>
    </w:p>
    <w:p w14:paraId="3D3121C3" w14:textId="77777777" w:rsidR="00F91711" w:rsidRPr="00C35766" w:rsidRDefault="00F91711" w:rsidP="00F91711">
      <w:pPr>
        <w:pStyle w:val="a3"/>
        <w:rPr>
          <w:lang w:val="pt-BR"/>
        </w:rPr>
      </w:pPr>
    </w:p>
    <w:p w14:paraId="20E91C0B" w14:textId="76A48DCE" w:rsidR="00F91711" w:rsidRPr="00C35766" w:rsidRDefault="00F91711" w:rsidP="00F91711">
      <w:pPr>
        <w:pStyle w:val="a3"/>
        <w:rPr>
          <w:lang w:val="pt-BR"/>
        </w:rPr>
      </w:pPr>
      <w:r w:rsidRPr="00C35766">
        <w:rPr>
          <w:rFonts w:eastAsia="Times New Roman"/>
          <w:lang w:val="it-IT"/>
        </w:rPr>
        <w:t>Questo medicinale contiene meno di 1 mmol (23 mg) di sodio per dose di 0,</w:t>
      </w:r>
      <w:r w:rsidR="00880E93" w:rsidRPr="00C35766">
        <w:rPr>
          <w:rFonts w:eastAsia="Times New Roman"/>
          <w:lang w:val="it-IT"/>
        </w:rPr>
        <w:t>8</w:t>
      </w:r>
      <w:r w:rsidRPr="00C35766">
        <w:rPr>
          <w:rFonts w:eastAsia="Times New Roman"/>
          <w:lang w:val="it-IT"/>
        </w:rPr>
        <w:t xml:space="preserve"> mL, cioè essenzialmente "senza sodio".</w:t>
      </w:r>
    </w:p>
    <w:p w14:paraId="29E5A28C" w14:textId="77777777" w:rsidR="00F91711" w:rsidRPr="00C35766" w:rsidRDefault="00F91711" w:rsidP="00F91711">
      <w:pPr>
        <w:spacing w:before="18" w:line="240" w:lineRule="exact"/>
        <w:rPr>
          <w:rFonts w:ascii="Times New Roman" w:hAnsi="Times New Roman" w:cs="Times New Roman"/>
          <w:sz w:val="24"/>
          <w:szCs w:val="24"/>
          <w:lang w:val="pt-BR"/>
        </w:rPr>
      </w:pPr>
    </w:p>
    <w:p w14:paraId="69999273" w14:textId="77777777" w:rsidR="00F91711" w:rsidRPr="00C35766" w:rsidRDefault="00F91711" w:rsidP="00933A6C">
      <w:pPr>
        <w:widowControl/>
        <w:numPr>
          <w:ilvl w:val="1"/>
          <w:numId w:val="5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Interazioni con altri medicinali ed altre forme d’interazione</w:t>
      </w:r>
    </w:p>
    <w:p w14:paraId="43942B75" w14:textId="77777777" w:rsidR="00F91711" w:rsidRPr="00C35766" w:rsidRDefault="00F91711" w:rsidP="00F91711">
      <w:pPr>
        <w:spacing w:before="9" w:line="240" w:lineRule="exact"/>
        <w:rPr>
          <w:rFonts w:ascii="Times New Roman" w:hAnsi="Times New Roman" w:cs="Times New Roman"/>
          <w:sz w:val="24"/>
          <w:lang w:val="it-IT"/>
        </w:rPr>
      </w:pPr>
    </w:p>
    <w:p w14:paraId="2653EDA4" w14:textId="77777777" w:rsidR="00F91711" w:rsidRPr="00C35766" w:rsidRDefault="00F91711" w:rsidP="00F91711">
      <w:pPr>
        <w:pStyle w:val="a3"/>
        <w:rPr>
          <w:lang w:val="it-IT"/>
        </w:rPr>
      </w:pPr>
      <w:r w:rsidRPr="00C35766">
        <w:rPr>
          <w:rFonts w:eastAsia="Times New Roman"/>
          <w:lang w:val="it-IT"/>
        </w:rPr>
        <w:t>Adalimumab è stato studiato in monoterapia e in associazione con metotressato in pazienti affetti da artrite reumatoide, artrite idiopatica giovanile poliarticolare e artrite psoriasica. Quando adalimumab è stato somministrato in associazione con metotressato, la formazione di anticorpi è stata inferiore rispetto alla monoterapia. La somministrazione di adalimumab senza metotressato ha determinato un aumento della formazione di anticorpi, un aumento della clearance ed una riduzione dell’efficacia di adalimumab (vedere paragrafo 5.1).</w:t>
      </w:r>
    </w:p>
    <w:p w14:paraId="7CD060A6" w14:textId="77777777" w:rsidR="00F91711" w:rsidRPr="00C35766" w:rsidRDefault="00F91711" w:rsidP="00F91711">
      <w:pPr>
        <w:spacing w:before="17" w:line="240" w:lineRule="exact"/>
        <w:rPr>
          <w:rFonts w:ascii="Times New Roman" w:hAnsi="Times New Roman" w:cs="Times New Roman"/>
          <w:sz w:val="24"/>
          <w:szCs w:val="24"/>
          <w:lang w:val="it-IT"/>
        </w:rPr>
      </w:pPr>
    </w:p>
    <w:p w14:paraId="6118C9B9" w14:textId="77777777" w:rsidR="00F91711" w:rsidRPr="00C35766" w:rsidRDefault="00F91711" w:rsidP="00F91711">
      <w:pPr>
        <w:pStyle w:val="a3"/>
        <w:rPr>
          <w:lang w:val="it-IT"/>
        </w:rPr>
      </w:pPr>
      <w:r w:rsidRPr="00C35766">
        <w:rPr>
          <w:rFonts w:eastAsia="Times New Roman"/>
          <w:lang w:val="it-IT"/>
        </w:rPr>
        <w:t>L‘associazione di adalimumab e anakinra non è raccomandata (vedere paragrafo 4.4 “Somministrazione concomitante di DMARD biologici o antagonisti del TNF”).</w:t>
      </w:r>
    </w:p>
    <w:p w14:paraId="0EFF9D25" w14:textId="77777777" w:rsidR="00F91711" w:rsidRPr="00C35766" w:rsidRDefault="00F91711" w:rsidP="00F91711">
      <w:pPr>
        <w:spacing w:before="11" w:line="240" w:lineRule="exact"/>
        <w:rPr>
          <w:rFonts w:ascii="Times New Roman" w:hAnsi="Times New Roman" w:cs="Times New Roman"/>
          <w:sz w:val="24"/>
          <w:szCs w:val="24"/>
          <w:lang w:val="it-IT"/>
        </w:rPr>
      </w:pPr>
    </w:p>
    <w:p w14:paraId="7F3C4D3C" w14:textId="77777777" w:rsidR="00F91711" w:rsidRPr="00C35766" w:rsidRDefault="00F91711" w:rsidP="00F91711">
      <w:pPr>
        <w:pStyle w:val="a3"/>
        <w:rPr>
          <w:lang w:val="it-IT"/>
        </w:rPr>
      </w:pPr>
      <w:r w:rsidRPr="00C35766">
        <w:rPr>
          <w:rFonts w:eastAsia="Times New Roman"/>
          <w:lang w:val="it-IT"/>
        </w:rPr>
        <w:t>L’associazione di adalimumab e abatacept non è raccomandata (vedere paragrafo 4.4 “Somministrazione concomitante di DMARD biologici o antagonisti del TNF”).</w:t>
      </w:r>
    </w:p>
    <w:p w14:paraId="476BEADC" w14:textId="77777777" w:rsidR="00F91711" w:rsidRPr="00C35766" w:rsidRDefault="00F91711" w:rsidP="00F91711">
      <w:pPr>
        <w:spacing w:before="14" w:line="240" w:lineRule="exact"/>
        <w:rPr>
          <w:rFonts w:ascii="Times New Roman" w:hAnsi="Times New Roman" w:cs="Times New Roman"/>
          <w:sz w:val="24"/>
          <w:szCs w:val="24"/>
          <w:lang w:val="it-IT"/>
        </w:rPr>
      </w:pPr>
    </w:p>
    <w:p w14:paraId="121DE1B3"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Fertilità, gravidanza e allattamento</w:t>
      </w:r>
    </w:p>
    <w:p w14:paraId="1F685976" w14:textId="77777777" w:rsidR="00F91711" w:rsidRPr="00C35766" w:rsidRDefault="00F91711" w:rsidP="00F91711">
      <w:pPr>
        <w:spacing w:before="9" w:line="240" w:lineRule="exact"/>
        <w:rPr>
          <w:rFonts w:ascii="Times New Roman" w:hAnsi="Times New Roman" w:cs="Times New Roman"/>
        </w:rPr>
      </w:pPr>
    </w:p>
    <w:p w14:paraId="013CB7A6" w14:textId="77777777" w:rsidR="00F91711" w:rsidRPr="00C35766" w:rsidRDefault="00F91711" w:rsidP="00F91711">
      <w:pPr>
        <w:pStyle w:val="a3"/>
        <w:rPr>
          <w:u w:val="single"/>
        </w:rPr>
      </w:pPr>
      <w:r w:rsidRPr="00C35766">
        <w:rPr>
          <w:rFonts w:eastAsia="Times New Roman"/>
          <w:u w:val="single" w:color="000000"/>
          <w:lang w:val="it-IT"/>
        </w:rPr>
        <w:t>Donne in età fertile</w:t>
      </w:r>
    </w:p>
    <w:p w14:paraId="115DFC20" w14:textId="77777777" w:rsidR="00F91711" w:rsidRPr="00C35766" w:rsidRDefault="00F91711" w:rsidP="00F91711">
      <w:pPr>
        <w:spacing w:before="1" w:line="180" w:lineRule="exact"/>
        <w:rPr>
          <w:rFonts w:ascii="Times New Roman" w:hAnsi="Times New Roman" w:cs="Times New Roman"/>
        </w:rPr>
      </w:pPr>
    </w:p>
    <w:p w14:paraId="5D9E2088" w14:textId="77777777" w:rsidR="00F91711" w:rsidRPr="00C35766" w:rsidRDefault="00F91711" w:rsidP="00F91711">
      <w:pPr>
        <w:pStyle w:val="a3"/>
        <w:rPr>
          <w:lang w:val="it-IT"/>
        </w:rPr>
      </w:pPr>
      <w:r w:rsidRPr="00C35766">
        <w:rPr>
          <w:rFonts w:eastAsia="Times New Roman"/>
          <w:lang w:val="it-IT"/>
        </w:rPr>
        <w:t>Le donne in età fertile devono considerare l’utilizzo di un adeguato metodo contraccettivo per prevenire una gravidanza e l’uso di tale metodo deve proseguire per almeno cinque mesi dopo l’ultimo trattamento con Yuflyma.</w:t>
      </w:r>
    </w:p>
    <w:p w14:paraId="1652DCA2" w14:textId="77777777" w:rsidR="00F91711" w:rsidRPr="00C35766" w:rsidRDefault="00F91711" w:rsidP="00F91711">
      <w:pPr>
        <w:spacing w:before="11" w:line="240" w:lineRule="exact"/>
        <w:rPr>
          <w:rFonts w:ascii="Times New Roman" w:hAnsi="Times New Roman" w:cs="Times New Roman"/>
          <w:lang w:val="it-IT"/>
        </w:rPr>
      </w:pPr>
    </w:p>
    <w:p w14:paraId="03E6FF22" w14:textId="77777777" w:rsidR="00F91711" w:rsidRPr="00C35766" w:rsidRDefault="00F91711" w:rsidP="00F91711">
      <w:pPr>
        <w:pStyle w:val="a3"/>
        <w:rPr>
          <w:u w:val="single"/>
          <w:lang w:val="it-IT"/>
        </w:rPr>
      </w:pPr>
      <w:r w:rsidRPr="00C35766">
        <w:rPr>
          <w:rFonts w:eastAsia="Times New Roman"/>
          <w:u w:val="single" w:color="000000"/>
          <w:lang w:val="it-IT"/>
        </w:rPr>
        <w:t>Gravidanza</w:t>
      </w:r>
    </w:p>
    <w:p w14:paraId="4FD66B61" w14:textId="77777777" w:rsidR="00F91711" w:rsidRPr="00C35766" w:rsidRDefault="00F91711" w:rsidP="00F91711">
      <w:pPr>
        <w:spacing w:before="1" w:line="180" w:lineRule="exact"/>
        <w:rPr>
          <w:rFonts w:ascii="Times New Roman" w:hAnsi="Times New Roman" w:cs="Times New Roman"/>
          <w:lang w:val="it-IT"/>
        </w:rPr>
      </w:pPr>
    </w:p>
    <w:p w14:paraId="6FE252A2" w14:textId="77777777" w:rsidR="00F91711" w:rsidRPr="00C35766" w:rsidRDefault="00F91711" w:rsidP="00F91711">
      <w:pPr>
        <w:pStyle w:val="a3"/>
        <w:rPr>
          <w:lang w:val="it-IT"/>
        </w:rPr>
      </w:pPr>
      <w:r w:rsidRPr="00C35766">
        <w:rPr>
          <w:rFonts w:eastAsia="Times New Roman"/>
          <w:lang w:val="it-IT"/>
        </w:rPr>
        <w:t>Un numero elevato (circa 2100) di gravidanze esposte ad adalimumab, raccolte in modo prospettico, che hanno portato a nati vivi con esiti noti e che includevano più di 1500 gravidanze esposte durante il primo trimestre, non ha indicato un aumento del tasso di malformazione nel neonato.</w:t>
      </w:r>
    </w:p>
    <w:p w14:paraId="58890E5B" w14:textId="77777777" w:rsidR="00F91711" w:rsidRPr="00C35766" w:rsidRDefault="00F91711" w:rsidP="00F91711">
      <w:pPr>
        <w:spacing w:before="13" w:line="240" w:lineRule="exact"/>
        <w:rPr>
          <w:rFonts w:ascii="Times New Roman" w:hAnsi="Times New Roman" w:cs="Times New Roman"/>
          <w:lang w:val="it-IT"/>
        </w:rPr>
      </w:pPr>
    </w:p>
    <w:p w14:paraId="1CF89C7E" w14:textId="77777777" w:rsidR="00F91711" w:rsidRPr="00C35766" w:rsidRDefault="00F91711" w:rsidP="00F91711">
      <w:pPr>
        <w:pStyle w:val="a3"/>
        <w:rPr>
          <w:lang w:val="it-IT"/>
        </w:rPr>
      </w:pPr>
      <w:r w:rsidRPr="00C35766">
        <w:rPr>
          <w:rFonts w:eastAsia="Times New Roman"/>
          <w:lang w:val="it-IT"/>
        </w:rPr>
        <w:t xml:space="preserve">In un registro di coorte prospettico, sono state arruolate 257 donne con artrite reumatoide (AR) o malattia di Crohn (MC) trattate con adalimumab almeno durante il primo trimestre di gravidanza e 120 donne con AR o MC non trattate con adalimumab. L’endpoint primario è stato la prevalenza di gravi difetti alla nascita. Il tasso delle gravidanze che si sono concluse con la nascita di almeno un neonato vivo con un grave difetto alla nascita è stato 6/69 (8,7%) nelle donne con AR trattate con adalimumab e 5/74 (6,8%) nelle donne con AR non trattate (OR non aggiustato 1,31; 95% IC 0,38-4,52) e 16/152 (10,5%) nelle donne con MC trattate con adalimumab e 3/32 (9,4%) nelle donne con MC non trattate (OR non aggiustato 1,14, 95% IC 0,31-4,16). L’OR aggiustato (che considera le differenze rispetto al basale) era 1,10 (95% IC 0,45-2,73) per AR e MC combinate. Tra le donne trattate con adalimumab e quelle non trattate non ci sono state evidenti differenze negli endpoint secondari come aborti spontanei, difetti minori alla nascita, parto pretermine, dimensione del neonato e infezioni gravi o opportunistiche e non sono stati riportati casi di nati morti o tumori maligni.  L’interpretazione dei dati può essere influenzata dalle limitazioni metodologiche </w:t>
      </w:r>
      <w:r w:rsidRPr="00C35766">
        <w:rPr>
          <w:rFonts w:eastAsia="Times New Roman"/>
          <w:lang w:val="it-IT"/>
        </w:rPr>
        <w:lastRenderedPageBreak/>
        <w:t>dello studio, compresi la piccola dimensione del campione e il disegno non randomizzato.</w:t>
      </w:r>
    </w:p>
    <w:p w14:paraId="089842AD" w14:textId="77777777" w:rsidR="00F91711" w:rsidRPr="00C35766" w:rsidRDefault="00F91711" w:rsidP="00F91711">
      <w:pPr>
        <w:spacing w:before="10" w:line="240" w:lineRule="exact"/>
        <w:rPr>
          <w:rFonts w:ascii="Times New Roman" w:hAnsi="Times New Roman" w:cs="Times New Roman"/>
          <w:lang w:val="it-IT"/>
        </w:rPr>
      </w:pPr>
    </w:p>
    <w:p w14:paraId="5442A377" w14:textId="77777777" w:rsidR="00F91711" w:rsidRPr="00C35766" w:rsidRDefault="00F91711" w:rsidP="00F91711">
      <w:pPr>
        <w:pStyle w:val="a3"/>
        <w:rPr>
          <w:lang w:val="it-IT"/>
        </w:rPr>
      </w:pPr>
      <w:r w:rsidRPr="00C35766">
        <w:rPr>
          <w:rFonts w:eastAsia="Times New Roman"/>
          <w:spacing w:val="-2"/>
          <w:lang w:val="it-IT"/>
        </w:rPr>
        <w:t>In uno studio di tossicologia dello sviluppo condotto su scimmie, non è stata riscontrata tossicità nella madre, né embriotossicità o teratogenicità. Non sono disponibili dati preclinici sulla tossicità postnatale di adalimumab (vedere paragrafo 5.3).</w:t>
      </w:r>
    </w:p>
    <w:p w14:paraId="1B85E40D" w14:textId="77777777" w:rsidR="00F91711" w:rsidRPr="00C35766" w:rsidRDefault="00F91711" w:rsidP="00F91711">
      <w:pPr>
        <w:spacing w:before="14" w:line="260" w:lineRule="exact"/>
        <w:rPr>
          <w:rFonts w:ascii="Times New Roman" w:hAnsi="Times New Roman" w:cs="Times New Roman"/>
          <w:lang w:val="it-IT"/>
        </w:rPr>
      </w:pPr>
    </w:p>
    <w:p w14:paraId="7A8A75B3" w14:textId="77777777" w:rsidR="00F91711" w:rsidRPr="00C35766" w:rsidRDefault="00F91711" w:rsidP="00F91711">
      <w:pPr>
        <w:pStyle w:val="a3"/>
        <w:rPr>
          <w:lang w:val="pt-BR"/>
        </w:rPr>
      </w:pPr>
      <w:r w:rsidRPr="00C35766">
        <w:rPr>
          <w:rFonts w:eastAsia="Times New Roman"/>
          <w:lang w:val="it-IT"/>
        </w:rPr>
        <w:t>A causa dell’inibizione del TNF</w:t>
      </w:r>
      <w:r w:rsidRPr="00C35766">
        <w:rPr>
          <w:rFonts w:eastAsia="Symbol"/>
          <w:lang w:val="it-IT"/>
        </w:rPr>
        <w:sym w:font="Symbol" w:char="F061"/>
      </w:r>
      <w:r w:rsidRPr="00C35766">
        <w:rPr>
          <w:rFonts w:eastAsia="Times New Roman"/>
          <w:lang w:val="it-IT"/>
        </w:rPr>
        <w:t>, la somministrazione di adalimumab durante la gravidanza potrebbe interferire con la normale risposta immunitaria del neonato. Adalimumab deve essere utilizzato in gravidanza soltanto se strettamente necessario.</w:t>
      </w:r>
    </w:p>
    <w:p w14:paraId="2CD24FF6" w14:textId="77777777" w:rsidR="00F91711" w:rsidRPr="00C35766" w:rsidRDefault="00F91711" w:rsidP="00F91711">
      <w:pPr>
        <w:spacing w:before="11" w:line="240" w:lineRule="exact"/>
        <w:rPr>
          <w:rFonts w:ascii="Times New Roman" w:hAnsi="Times New Roman" w:cs="Times New Roman"/>
          <w:lang w:val="pt-BR"/>
        </w:rPr>
      </w:pPr>
    </w:p>
    <w:p w14:paraId="1B5254A1" w14:textId="77777777" w:rsidR="00F91711" w:rsidRPr="00C35766" w:rsidRDefault="00F91711" w:rsidP="00F91711">
      <w:pPr>
        <w:pStyle w:val="a3"/>
        <w:rPr>
          <w:lang w:val="it-IT"/>
        </w:rPr>
      </w:pPr>
      <w:r w:rsidRPr="00C35766">
        <w:rPr>
          <w:rFonts w:eastAsia="Times New Roman"/>
          <w:lang w:val="it-IT"/>
        </w:rPr>
        <w:t>Adalimumab può attraversare la placenta e raggiungere il siero dei bambini nati da madri trattate con adalimumab durante la gravidanza. Di conseguenza, questi bambini sono soggetti ad un maggior rischio di infezione. La somministrazione di vaccini vivi (ad es. vaccino BCG) a bambini esposti ad adalimumab nell’utero non è raccomandata fino a 5 mesi dall’ultima iniezione di adalimumab alla madre durante la gravidanza.</w:t>
      </w:r>
    </w:p>
    <w:p w14:paraId="40856A2C" w14:textId="77777777" w:rsidR="00F91711" w:rsidRPr="00C35766" w:rsidRDefault="00F91711" w:rsidP="00F91711">
      <w:pPr>
        <w:spacing w:before="13" w:line="240" w:lineRule="exact"/>
        <w:rPr>
          <w:rFonts w:ascii="Times New Roman" w:hAnsi="Times New Roman" w:cs="Times New Roman"/>
          <w:lang w:val="it-IT"/>
        </w:rPr>
      </w:pPr>
    </w:p>
    <w:p w14:paraId="5946F0FA" w14:textId="77777777" w:rsidR="00F91711" w:rsidRPr="00C35766" w:rsidRDefault="00F91711" w:rsidP="00F91711">
      <w:pPr>
        <w:pStyle w:val="a3"/>
        <w:rPr>
          <w:u w:val="single"/>
          <w:lang w:val="it-IT"/>
        </w:rPr>
      </w:pPr>
      <w:r w:rsidRPr="00C35766">
        <w:rPr>
          <w:rFonts w:eastAsia="Times New Roman"/>
          <w:spacing w:val="-1"/>
          <w:u w:val="single" w:color="000000"/>
          <w:lang w:val="it-IT"/>
        </w:rPr>
        <w:t>Allattamento</w:t>
      </w:r>
    </w:p>
    <w:p w14:paraId="11977C3E" w14:textId="77777777" w:rsidR="00F91711" w:rsidRPr="00C35766" w:rsidRDefault="00F91711" w:rsidP="00F91711">
      <w:pPr>
        <w:spacing w:before="1" w:line="180" w:lineRule="exact"/>
        <w:rPr>
          <w:rFonts w:ascii="Times New Roman" w:hAnsi="Times New Roman" w:cs="Times New Roman"/>
          <w:lang w:val="it-IT"/>
        </w:rPr>
      </w:pPr>
    </w:p>
    <w:p w14:paraId="7B860CB1" w14:textId="77777777" w:rsidR="00F91711" w:rsidRPr="00C35766" w:rsidRDefault="00F91711" w:rsidP="00F91711">
      <w:pPr>
        <w:pStyle w:val="a3"/>
        <w:rPr>
          <w:lang w:val="it-IT"/>
        </w:rPr>
      </w:pPr>
      <w:r w:rsidRPr="00C35766">
        <w:rPr>
          <w:rFonts w:eastAsia="Times New Roman"/>
          <w:lang w:val="it-IT"/>
        </w:rPr>
        <w:t>Le limitate informazioni dalla letteratura pubblicata indicano che adalimumab è escreto nel latte materno in concentrazioni molto basse e che la concentrazione di adalimumab nel latte umano è pari allo 0,1% - 1% del livello sierico della madre. Somministrate per via orale, le immunoglobuline G sono sottoposte a proteolisi intestinale ed hanno una scarsa biodisponibilità. Non si ritiene che possa avere effetti su neonati/lattanti. Conseguentemente, Yuflyma può essere utilizzato durante l’allattamento.</w:t>
      </w:r>
    </w:p>
    <w:p w14:paraId="60A1EF04" w14:textId="77777777" w:rsidR="00F91711" w:rsidRPr="00C35766" w:rsidRDefault="00F91711" w:rsidP="00F91711">
      <w:pPr>
        <w:spacing w:before="11" w:line="240" w:lineRule="exact"/>
        <w:rPr>
          <w:rFonts w:ascii="Times New Roman" w:hAnsi="Times New Roman" w:cs="Times New Roman"/>
          <w:lang w:val="it-IT"/>
        </w:rPr>
      </w:pPr>
    </w:p>
    <w:p w14:paraId="3F5B4B17" w14:textId="77777777" w:rsidR="00F91711" w:rsidRPr="00C35766" w:rsidRDefault="00F91711" w:rsidP="00F91711">
      <w:pPr>
        <w:pStyle w:val="a3"/>
        <w:rPr>
          <w:u w:val="single"/>
          <w:lang w:val="it-IT"/>
        </w:rPr>
      </w:pPr>
      <w:r w:rsidRPr="00C35766">
        <w:rPr>
          <w:rFonts w:eastAsia="Times New Roman"/>
          <w:u w:val="single" w:color="000000"/>
          <w:lang w:val="it-IT"/>
        </w:rPr>
        <w:t>Fertilità</w:t>
      </w:r>
    </w:p>
    <w:p w14:paraId="2C5C74A5" w14:textId="77777777" w:rsidR="00F91711" w:rsidRPr="00C35766" w:rsidRDefault="00F91711" w:rsidP="00F91711">
      <w:pPr>
        <w:spacing w:before="1" w:line="180" w:lineRule="exact"/>
        <w:rPr>
          <w:rFonts w:ascii="Times New Roman" w:hAnsi="Times New Roman" w:cs="Times New Roman"/>
          <w:lang w:val="it-IT"/>
        </w:rPr>
      </w:pPr>
    </w:p>
    <w:p w14:paraId="71F395C3" w14:textId="77777777" w:rsidR="00F91711" w:rsidRPr="00C35766" w:rsidRDefault="00F91711" w:rsidP="00F91711">
      <w:pPr>
        <w:pStyle w:val="a3"/>
        <w:rPr>
          <w:lang w:val="it-IT"/>
        </w:rPr>
      </w:pPr>
      <w:r w:rsidRPr="00C35766">
        <w:rPr>
          <w:rFonts w:eastAsia="Times New Roman"/>
          <w:lang w:val="it-IT"/>
        </w:rPr>
        <w:t>Non sono disponibili dati preclinici sugli effetti di adalimumab sulla fertilità.</w:t>
      </w:r>
    </w:p>
    <w:p w14:paraId="28C5400B" w14:textId="77777777" w:rsidR="00F91711" w:rsidRPr="00C35766" w:rsidRDefault="00F91711" w:rsidP="00F91711">
      <w:pPr>
        <w:spacing w:before="18" w:line="240" w:lineRule="exact"/>
        <w:rPr>
          <w:rFonts w:ascii="Times New Roman" w:hAnsi="Times New Roman" w:cs="Times New Roman"/>
          <w:sz w:val="24"/>
          <w:szCs w:val="24"/>
          <w:lang w:val="it-IT"/>
        </w:rPr>
      </w:pPr>
    </w:p>
    <w:p w14:paraId="3236B68C" w14:textId="77777777" w:rsidR="00F91711" w:rsidRPr="00C35766" w:rsidRDefault="00F91711" w:rsidP="00933A6C">
      <w:pPr>
        <w:widowControl/>
        <w:numPr>
          <w:ilvl w:val="1"/>
          <w:numId w:val="5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Effetti sulla capacità di guidare veicoli e sull’uso di macchinari</w:t>
      </w:r>
    </w:p>
    <w:p w14:paraId="7805D673" w14:textId="77777777" w:rsidR="00F91711" w:rsidRPr="00C35766" w:rsidRDefault="00F91711" w:rsidP="00F91711">
      <w:pPr>
        <w:spacing w:before="12" w:line="240" w:lineRule="exact"/>
        <w:rPr>
          <w:rFonts w:ascii="Times New Roman" w:hAnsi="Times New Roman" w:cs="Times New Roman"/>
          <w:sz w:val="24"/>
          <w:lang w:val="it-IT"/>
        </w:rPr>
      </w:pPr>
    </w:p>
    <w:p w14:paraId="1300DF75" w14:textId="298D459E" w:rsidR="00F91711" w:rsidRPr="00C35766" w:rsidRDefault="00F91711" w:rsidP="00F91711">
      <w:pPr>
        <w:pStyle w:val="a3"/>
        <w:rPr>
          <w:lang w:val="it-IT"/>
        </w:rPr>
      </w:pPr>
      <w:r w:rsidRPr="00C35766">
        <w:rPr>
          <w:rFonts w:eastAsia="Times New Roman"/>
          <w:lang w:val="it-IT"/>
        </w:rPr>
        <w:t xml:space="preserve">Yuflyma può alterare lievemente la capacità di guidare veicoli e di usare macchinari. Dopo la somministrazione di Yuflyma si possono verificare vertigini e </w:t>
      </w:r>
      <w:r w:rsidR="003F78AB" w:rsidRPr="003F78AB">
        <w:rPr>
          <w:rFonts w:eastAsia="Times New Roman"/>
          <w:lang w:val="it-IT"/>
        </w:rPr>
        <w:t>compromissione</w:t>
      </w:r>
      <w:r w:rsidRPr="00C35766">
        <w:rPr>
          <w:rFonts w:eastAsia="Times New Roman"/>
          <w:lang w:val="it-IT"/>
        </w:rPr>
        <w:t xml:space="preserve"> della vista (vedere paragrafo 4.8).</w:t>
      </w:r>
    </w:p>
    <w:p w14:paraId="238951B7" w14:textId="77777777" w:rsidR="00F91711" w:rsidRPr="00C35766" w:rsidRDefault="00F91711" w:rsidP="00F91711">
      <w:pPr>
        <w:spacing w:before="15" w:line="240" w:lineRule="exact"/>
        <w:rPr>
          <w:rFonts w:ascii="Times New Roman" w:hAnsi="Times New Roman" w:cs="Times New Roman"/>
          <w:sz w:val="24"/>
          <w:lang w:val="it-IT"/>
        </w:rPr>
      </w:pPr>
    </w:p>
    <w:p w14:paraId="66109486" w14:textId="77777777" w:rsidR="00F91711" w:rsidRPr="00C35766" w:rsidRDefault="00F91711" w:rsidP="00933A6C">
      <w:pPr>
        <w:keepNext/>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Effetti indesiderati</w:t>
      </w:r>
    </w:p>
    <w:p w14:paraId="251EB79E" w14:textId="77777777" w:rsidR="00F91711" w:rsidRPr="00C35766" w:rsidRDefault="00F91711" w:rsidP="00F91711">
      <w:pPr>
        <w:keepNext/>
        <w:spacing w:before="9" w:line="240" w:lineRule="exact"/>
        <w:rPr>
          <w:rFonts w:ascii="Times New Roman" w:hAnsi="Times New Roman" w:cs="Times New Roman"/>
          <w:sz w:val="24"/>
          <w:szCs w:val="24"/>
        </w:rPr>
      </w:pPr>
    </w:p>
    <w:p w14:paraId="2676E132" w14:textId="77777777" w:rsidR="00F91711" w:rsidRPr="00C35766" w:rsidRDefault="00F91711" w:rsidP="00F91711">
      <w:pPr>
        <w:pStyle w:val="a3"/>
        <w:keepNext/>
        <w:rPr>
          <w:u w:val="single"/>
        </w:rPr>
      </w:pPr>
      <w:r w:rsidRPr="00C35766">
        <w:rPr>
          <w:rFonts w:eastAsia="Times New Roman"/>
          <w:u w:val="single" w:color="000000"/>
          <w:lang w:val="it-IT"/>
        </w:rPr>
        <w:t>Riassunto del profilo di sicurezza</w:t>
      </w:r>
    </w:p>
    <w:p w14:paraId="39AA08DE" w14:textId="77777777" w:rsidR="00F91711" w:rsidRPr="00C35766" w:rsidRDefault="00F91711" w:rsidP="00F91711">
      <w:pPr>
        <w:keepNext/>
        <w:spacing w:before="1" w:line="180" w:lineRule="exact"/>
        <w:rPr>
          <w:rFonts w:ascii="Times New Roman" w:hAnsi="Times New Roman" w:cs="Times New Roman"/>
          <w:sz w:val="18"/>
          <w:szCs w:val="18"/>
        </w:rPr>
      </w:pPr>
    </w:p>
    <w:p w14:paraId="4B22EDFC" w14:textId="77777777" w:rsidR="00F91711" w:rsidRPr="00C35766" w:rsidRDefault="00F91711" w:rsidP="00F91711">
      <w:pPr>
        <w:pStyle w:val="a3"/>
        <w:rPr>
          <w:lang w:val="it-IT"/>
        </w:rPr>
      </w:pPr>
      <w:r w:rsidRPr="00C35766">
        <w:rPr>
          <w:rFonts w:eastAsia="Times New Roman"/>
          <w:lang w:val="it-IT"/>
        </w:rPr>
        <w:t>Adalimumab è stato studiato in 9.506 pazienti nel corso di studi clinici registrativi controllati e in aperto per un periodo fino a 60 mesi o superiore. Tali studi sono stati effettuati su pazienti affetti da artrite reumatoide ad insorgenza precoce e di lunga durata, artrite idiopatica giovanile (artrite idiopatica giovanile poliarticolare e artrite associata ad entesite), così come su pazienti affetti da spondiloartrite assiale (spondilite anchilosante e spondiloartrite assiale senza evidenza radiografica di SA), artrite psoriasica, malattia di Crohn, colite ulcerosa, psoriasi, idrosadenite suppurativa e uveite.  Gli studi registrativi controllati sono stati condotti su 6.089 pazienti sottoposti a trattamento con adalimumab e su 3.801 pazienti cui è stato somministrato placebo o un comparatore attivo durante il periodo di controllo.</w:t>
      </w:r>
    </w:p>
    <w:p w14:paraId="1610C560" w14:textId="77777777" w:rsidR="00F91711" w:rsidRPr="00C35766" w:rsidRDefault="00F91711" w:rsidP="00F91711">
      <w:pPr>
        <w:spacing w:before="13" w:line="240" w:lineRule="exact"/>
        <w:rPr>
          <w:rFonts w:ascii="Times New Roman" w:hAnsi="Times New Roman" w:cs="Times New Roman"/>
          <w:sz w:val="24"/>
          <w:szCs w:val="24"/>
          <w:lang w:val="it-IT"/>
        </w:rPr>
      </w:pPr>
    </w:p>
    <w:p w14:paraId="1C70ABC6" w14:textId="77777777" w:rsidR="00F91711" w:rsidRPr="00C35766" w:rsidRDefault="00F91711" w:rsidP="00F91711">
      <w:pPr>
        <w:pStyle w:val="a3"/>
        <w:rPr>
          <w:lang w:val="it-IT"/>
        </w:rPr>
      </w:pPr>
      <w:r w:rsidRPr="00C35766">
        <w:rPr>
          <w:rFonts w:eastAsia="Times New Roman"/>
          <w:lang w:val="it-IT"/>
        </w:rPr>
        <w:t>La percentuale di pazienti che hanno interrotto il trattamento a causa di eventi avversi durante la fase in doppio cieco, controllata, degli studi registrativi è stata del 5,9% per i pazienti che hanno assunto adalimumab e del 5,4% per i pazienti trattati con il controllo.</w:t>
      </w:r>
    </w:p>
    <w:p w14:paraId="297A91BD" w14:textId="77777777" w:rsidR="00F91711" w:rsidRPr="00C35766" w:rsidRDefault="00F91711" w:rsidP="00F91711">
      <w:pPr>
        <w:spacing w:before="17" w:line="240" w:lineRule="exact"/>
        <w:rPr>
          <w:rFonts w:ascii="Times New Roman" w:hAnsi="Times New Roman" w:cs="Times New Roman"/>
          <w:sz w:val="24"/>
          <w:szCs w:val="24"/>
          <w:lang w:val="it-IT"/>
        </w:rPr>
      </w:pPr>
    </w:p>
    <w:p w14:paraId="5E35CC16" w14:textId="77777777" w:rsidR="00F91711" w:rsidRPr="00C35766" w:rsidRDefault="00F91711" w:rsidP="00F91711">
      <w:pPr>
        <w:pStyle w:val="a3"/>
        <w:rPr>
          <w:lang w:val="it-IT"/>
        </w:rPr>
      </w:pPr>
      <w:r w:rsidRPr="00C35766">
        <w:rPr>
          <w:rFonts w:eastAsia="Times New Roman"/>
          <w:lang w:val="it-IT"/>
        </w:rPr>
        <w:t>Le reazioni avverse più comunemente riportate sono infezioni (quali rinofaringiti, infezione delle alte vie respiratorie e sinusite), reazioni al sito di somministrazione (eritema, prurito, emorragia, dolore o tumefazione), cefalea e dolore muscoloscheletrico.</w:t>
      </w:r>
    </w:p>
    <w:p w14:paraId="50E34C52" w14:textId="77777777" w:rsidR="00F91711" w:rsidRPr="00C35766" w:rsidRDefault="00F91711" w:rsidP="00F91711">
      <w:pPr>
        <w:pStyle w:val="a3"/>
        <w:rPr>
          <w:lang w:val="it-IT"/>
        </w:rPr>
      </w:pPr>
    </w:p>
    <w:p w14:paraId="3AF3C7F2" w14:textId="0509476B" w:rsidR="00F91711" w:rsidRPr="00C35766" w:rsidRDefault="00F91711" w:rsidP="00F91711">
      <w:pPr>
        <w:pStyle w:val="a3"/>
        <w:rPr>
          <w:lang w:val="it-IT"/>
        </w:rPr>
      </w:pPr>
      <w:r w:rsidRPr="00C35766">
        <w:rPr>
          <w:rFonts w:eastAsia="Times New Roman"/>
          <w:lang w:val="it-IT"/>
        </w:rPr>
        <w:t>Sono state riportate reazioni avverse gravi per adalimumab. I farmaci anti-TNF, come adalimumab, influenzano il sistema immunitario e il loro uso può influenzare le difese dell’organismo contro infezioni e cancro.</w:t>
      </w:r>
    </w:p>
    <w:p w14:paraId="354A66CE" w14:textId="77777777" w:rsidR="00F91711" w:rsidRPr="00C35766" w:rsidRDefault="00F91711" w:rsidP="00F91711">
      <w:pPr>
        <w:pStyle w:val="a3"/>
        <w:rPr>
          <w:lang w:val="it-IT"/>
        </w:rPr>
      </w:pPr>
      <w:r w:rsidRPr="00C35766">
        <w:rPr>
          <w:rFonts w:eastAsia="Times New Roman"/>
          <w:lang w:val="it-IT"/>
        </w:rPr>
        <w:t>A seguito della somministrazione di adalimumab, sono stati riportati anche casi di infezioni fatali e potenzialmente fatali (inclusi casi di sepsi, infezioni opportunistiche e TBC), riattivazione dell’infezione da HBV e vari tipi di tumori maligni (inclusi casi di leucemia, linfomi e linfoma epato-splenico a cellule T-HSTCL).</w:t>
      </w:r>
    </w:p>
    <w:p w14:paraId="0256C927" w14:textId="77777777" w:rsidR="00F91711" w:rsidRPr="00C35766" w:rsidRDefault="00F91711" w:rsidP="00F91711">
      <w:pPr>
        <w:spacing w:before="17" w:line="240" w:lineRule="exact"/>
        <w:rPr>
          <w:rFonts w:ascii="Times New Roman" w:hAnsi="Times New Roman" w:cs="Times New Roman"/>
          <w:sz w:val="24"/>
          <w:szCs w:val="24"/>
          <w:lang w:val="it-IT"/>
        </w:rPr>
      </w:pPr>
    </w:p>
    <w:p w14:paraId="566F8840" w14:textId="77777777" w:rsidR="00F91711" w:rsidRPr="00C35766" w:rsidRDefault="00F91711" w:rsidP="00F91711">
      <w:pPr>
        <w:pStyle w:val="a3"/>
        <w:rPr>
          <w:lang w:val="it-IT"/>
        </w:rPr>
      </w:pPr>
      <w:r w:rsidRPr="00C35766">
        <w:rPr>
          <w:rFonts w:eastAsia="Times New Roman"/>
          <w:lang w:val="it-IT"/>
        </w:rPr>
        <w:t>Sono state inoltre riportate gravi reazioni ematologiche, neurologiche e autoimmuni. Queste ultime includono rari casi di pancitopenia, anemia aplastica, eventi di demielinizzazione centrale e periferica e casi di lupus, condizioni lupus-correlate e sindrome di Stevens-Johnson.</w:t>
      </w:r>
    </w:p>
    <w:p w14:paraId="0FCAEA1A" w14:textId="77777777" w:rsidR="00F91711" w:rsidRPr="00C35766" w:rsidRDefault="00F91711" w:rsidP="00F91711">
      <w:pPr>
        <w:spacing w:before="11" w:line="240" w:lineRule="exact"/>
        <w:rPr>
          <w:rFonts w:ascii="Times New Roman" w:hAnsi="Times New Roman" w:cs="Times New Roman"/>
          <w:sz w:val="24"/>
          <w:szCs w:val="24"/>
          <w:lang w:val="it-IT"/>
        </w:rPr>
      </w:pPr>
    </w:p>
    <w:p w14:paraId="7683B2AC" w14:textId="77777777" w:rsidR="00F91711" w:rsidRPr="00C35766" w:rsidRDefault="00F91711" w:rsidP="00F91711">
      <w:pPr>
        <w:pStyle w:val="a3"/>
        <w:rPr>
          <w:u w:val="single"/>
          <w:lang w:val="it-IT"/>
        </w:rPr>
      </w:pPr>
      <w:r w:rsidRPr="00C35766">
        <w:rPr>
          <w:rFonts w:eastAsia="Times New Roman"/>
          <w:u w:val="single" w:color="000000"/>
          <w:lang w:val="it-IT"/>
        </w:rPr>
        <w:t>Popolazione pediatrica</w:t>
      </w:r>
    </w:p>
    <w:p w14:paraId="356A5869" w14:textId="77777777" w:rsidR="00F91711" w:rsidRPr="00C35766" w:rsidRDefault="00F91711" w:rsidP="00F91711">
      <w:pPr>
        <w:spacing w:before="1" w:line="180" w:lineRule="exact"/>
        <w:rPr>
          <w:rFonts w:ascii="Times New Roman" w:hAnsi="Times New Roman" w:cs="Times New Roman"/>
          <w:sz w:val="18"/>
          <w:szCs w:val="18"/>
          <w:lang w:val="it-IT"/>
        </w:rPr>
      </w:pPr>
    </w:p>
    <w:p w14:paraId="4BCE8B96" w14:textId="77777777" w:rsidR="00F91711" w:rsidRPr="00C35766" w:rsidRDefault="00F91711" w:rsidP="00F91711">
      <w:pPr>
        <w:pStyle w:val="a3"/>
        <w:rPr>
          <w:lang w:val="it-IT"/>
        </w:rPr>
      </w:pPr>
      <w:r w:rsidRPr="00C35766">
        <w:rPr>
          <w:rFonts w:eastAsia="Times New Roman"/>
          <w:lang w:val="it-IT"/>
        </w:rPr>
        <w:t>In generale, gli eventi avversi nei pazienti pediatrici sono risultati simili a quelli riscontrati nei pazienti adulti sia in termini di frequenza che di tipologia.</w:t>
      </w:r>
    </w:p>
    <w:p w14:paraId="4DCDD25B" w14:textId="77777777" w:rsidR="00F91711" w:rsidRPr="00C35766" w:rsidRDefault="00F91711" w:rsidP="00F91711">
      <w:pPr>
        <w:spacing w:before="11" w:line="240" w:lineRule="exact"/>
        <w:rPr>
          <w:rFonts w:ascii="Times New Roman" w:hAnsi="Times New Roman" w:cs="Times New Roman"/>
          <w:sz w:val="24"/>
          <w:szCs w:val="24"/>
          <w:lang w:val="it-IT"/>
        </w:rPr>
      </w:pPr>
    </w:p>
    <w:p w14:paraId="6C0BD73B" w14:textId="77777777" w:rsidR="00F91711" w:rsidRPr="00C35766" w:rsidRDefault="00F91711" w:rsidP="00F91711">
      <w:pPr>
        <w:pStyle w:val="a3"/>
        <w:rPr>
          <w:u w:val="single"/>
          <w:lang w:val="es-ES"/>
        </w:rPr>
      </w:pPr>
      <w:r w:rsidRPr="00C35766">
        <w:rPr>
          <w:rFonts w:eastAsia="Times New Roman"/>
          <w:u w:val="single" w:color="000000"/>
          <w:lang w:val="it-IT"/>
        </w:rPr>
        <w:t>Tabella delle reazioni avverse</w:t>
      </w:r>
    </w:p>
    <w:p w14:paraId="1D4CDB09" w14:textId="77777777" w:rsidR="00F91711" w:rsidRPr="00C35766" w:rsidRDefault="00F91711" w:rsidP="00F91711">
      <w:pPr>
        <w:spacing w:before="1" w:line="180" w:lineRule="exact"/>
        <w:rPr>
          <w:rFonts w:ascii="Times New Roman" w:hAnsi="Times New Roman" w:cs="Times New Roman"/>
          <w:sz w:val="18"/>
          <w:szCs w:val="18"/>
          <w:lang w:val="es-ES"/>
        </w:rPr>
      </w:pPr>
    </w:p>
    <w:p w14:paraId="287BB1A0" w14:textId="53D43732" w:rsidR="00F91711" w:rsidRPr="00C35766" w:rsidRDefault="00F91711" w:rsidP="00F91711">
      <w:pPr>
        <w:pStyle w:val="a3"/>
        <w:rPr>
          <w:lang w:val="it-IT"/>
        </w:rPr>
      </w:pPr>
      <w:r w:rsidRPr="00C35766">
        <w:rPr>
          <w:rFonts w:eastAsia="Times New Roman"/>
          <w:lang w:val="it-IT"/>
        </w:rPr>
        <w:t xml:space="preserve">La seguente lista di reazioni avverse è basata su esperienza proveniente da studi clinici ed esperienze post marketing ed è riportata nella Tabella </w:t>
      </w:r>
      <w:r w:rsidR="00150B5C">
        <w:rPr>
          <w:rFonts w:eastAsia="Times New Roman"/>
          <w:lang w:val="it-IT"/>
        </w:rPr>
        <w:t>4</w:t>
      </w:r>
      <w:r w:rsidRPr="00C35766">
        <w:rPr>
          <w:rFonts w:eastAsia="Times New Roman"/>
          <w:lang w:val="it-IT"/>
        </w:rPr>
        <w:t xml:space="preserve"> classificata in base al sistema/organo coinvolto e alla frequenza: molto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 &lt; 1/10); non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 &lt; 1/100), raro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1/10.000, &lt; 1/1.000) e non nota (la frequenza non può essere definita sulla base dei dati disponibili). All’interno di ciascun raggruppamento per frequenza, gli effetti indesiderati sono presentati in ordine di gravità decrescente. È stata inclusa la frequenza più elevata osservata tra le varie indicazioni. Nella colonna Classificazione per sistemi ed organi compare un asterisco (*) nel caso in cui siano presenti ulteriori informazioni contenute nei paragrafi 4.3, 4.4 e 4.8.</w:t>
      </w:r>
    </w:p>
    <w:p w14:paraId="2C5A1A4C" w14:textId="77777777" w:rsidR="00F91711" w:rsidRPr="00C35766" w:rsidRDefault="00F91711" w:rsidP="00F91711">
      <w:pPr>
        <w:spacing w:before="15" w:line="240" w:lineRule="exact"/>
        <w:rPr>
          <w:rFonts w:ascii="Times New Roman" w:hAnsi="Times New Roman" w:cs="Times New Roman"/>
          <w:lang w:val="it-IT"/>
        </w:rPr>
      </w:pPr>
    </w:p>
    <w:p w14:paraId="47BCF98A" w14:textId="0F565F72" w:rsidR="00F91711" w:rsidRPr="00C35766" w:rsidRDefault="00F91711" w:rsidP="00F91711">
      <w:pPr>
        <w:pStyle w:val="a3"/>
        <w:jc w:val="center"/>
        <w:rPr>
          <w:b/>
        </w:rPr>
      </w:pPr>
      <w:r w:rsidRPr="00C35766">
        <w:rPr>
          <w:rFonts w:eastAsia="Times New Roman"/>
          <w:b/>
          <w:bCs/>
          <w:lang w:val="it-IT"/>
        </w:rPr>
        <w:t xml:space="preserve">Tabella </w:t>
      </w:r>
      <w:r w:rsidR="00150B5C">
        <w:rPr>
          <w:rFonts w:eastAsia="Times New Roman"/>
          <w:b/>
          <w:bCs/>
          <w:lang w:val="it-IT"/>
        </w:rPr>
        <w:t>4</w:t>
      </w:r>
      <w:r w:rsidRPr="00C35766">
        <w:rPr>
          <w:rFonts w:eastAsia="Times New Roman"/>
          <w:b/>
          <w:bCs/>
          <w:lang w:val="it-IT"/>
        </w:rPr>
        <w:t xml:space="preserve"> Effetti indesiderati</w:t>
      </w:r>
    </w:p>
    <w:p w14:paraId="37BDF661" w14:textId="77777777" w:rsidR="00F91711" w:rsidRPr="00C35766" w:rsidRDefault="00F91711" w:rsidP="00F91711">
      <w:pPr>
        <w:spacing w:before="10" w:line="240" w:lineRule="exact"/>
        <w:rPr>
          <w:rFonts w:ascii="Times New Roman" w:hAnsi="Times New Roman" w:cs="Times New Roman"/>
          <w:sz w:val="24"/>
          <w:szCs w:val="24"/>
        </w:rPr>
      </w:pPr>
    </w:p>
    <w:tbl>
      <w:tblPr>
        <w:tblStyle w:val="TableNormal1"/>
        <w:tblW w:w="0" w:type="auto"/>
        <w:tblInd w:w="110" w:type="dxa"/>
        <w:tblLayout w:type="fixed"/>
        <w:tblLook w:val="01E0" w:firstRow="1" w:lastRow="1" w:firstColumn="1" w:lastColumn="1" w:noHBand="0" w:noVBand="0"/>
      </w:tblPr>
      <w:tblGrid>
        <w:gridCol w:w="2599"/>
        <w:gridCol w:w="2076"/>
        <w:gridCol w:w="4574"/>
      </w:tblGrid>
      <w:tr w:rsidR="00F91711" w:rsidRPr="00C35766" w14:paraId="3F8DFC83" w14:textId="77777777" w:rsidTr="00F91711">
        <w:tc>
          <w:tcPr>
            <w:tcW w:w="2599" w:type="dxa"/>
            <w:tcBorders>
              <w:top w:val="single" w:sz="5" w:space="0" w:color="000000"/>
              <w:left w:val="single" w:sz="5" w:space="0" w:color="000000"/>
              <w:bottom w:val="single" w:sz="5" w:space="0" w:color="000000"/>
              <w:right w:val="single" w:sz="5" w:space="0" w:color="000000"/>
            </w:tcBorders>
          </w:tcPr>
          <w:p w14:paraId="0DA1B983" w14:textId="77777777" w:rsidR="00F91711" w:rsidRPr="00C35766" w:rsidRDefault="00F91711" w:rsidP="00F91711">
            <w:pPr>
              <w:pStyle w:val="TableParagraph"/>
              <w:ind w:left="347"/>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Classificazione per sistemi e organi</w:t>
            </w:r>
          </w:p>
        </w:tc>
        <w:tc>
          <w:tcPr>
            <w:tcW w:w="2076" w:type="dxa"/>
            <w:tcBorders>
              <w:top w:val="single" w:sz="5" w:space="0" w:color="000000"/>
              <w:left w:val="single" w:sz="5" w:space="0" w:color="000000"/>
              <w:bottom w:val="single" w:sz="5" w:space="0" w:color="000000"/>
              <w:right w:val="single" w:sz="5" w:space="0" w:color="000000"/>
            </w:tcBorders>
          </w:tcPr>
          <w:p w14:paraId="10569B01" w14:textId="77777777" w:rsidR="00F91711" w:rsidRPr="00C35766" w:rsidRDefault="00F91711" w:rsidP="00F91711">
            <w:pPr>
              <w:pStyle w:val="TableParagraph"/>
              <w:ind w:left="529"/>
              <w:rPr>
                <w:rFonts w:ascii="Times New Roman" w:eastAsia="Times New Roman" w:hAnsi="Times New Roman" w:cs="Times New Roman"/>
              </w:rPr>
            </w:pPr>
            <w:r w:rsidRPr="00C35766">
              <w:rPr>
                <w:rFonts w:ascii="Times New Roman" w:eastAsia="Times New Roman" w:hAnsi="Times New Roman" w:cs="Times New Roman"/>
                <w:b/>
                <w:bCs/>
                <w:lang w:val="it-IT"/>
              </w:rPr>
              <w:t>Frequenza</w:t>
            </w:r>
          </w:p>
        </w:tc>
        <w:tc>
          <w:tcPr>
            <w:tcW w:w="4574" w:type="dxa"/>
            <w:tcBorders>
              <w:top w:val="single" w:sz="5" w:space="0" w:color="000000"/>
              <w:left w:val="single" w:sz="5" w:space="0" w:color="000000"/>
              <w:bottom w:val="single" w:sz="5" w:space="0" w:color="000000"/>
              <w:right w:val="single" w:sz="5" w:space="0" w:color="000000"/>
            </w:tcBorders>
          </w:tcPr>
          <w:p w14:paraId="6585229E" w14:textId="77777777" w:rsidR="00F91711" w:rsidRPr="00C35766" w:rsidRDefault="00F91711" w:rsidP="00F91711">
            <w:pPr>
              <w:pStyle w:val="TableParagraph"/>
              <w:ind w:left="1451" w:right="15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Reazione avversa</w:t>
            </w:r>
          </w:p>
        </w:tc>
      </w:tr>
      <w:tr w:rsidR="00F91711" w:rsidRPr="006501B3" w14:paraId="039AF6D1" w14:textId="77777777" w:rsidTr="00F91711">
        <w:tc>
          <w:tcPr>
            <w:tcW w:w="2599" w:type="dxa"/>
            <w:vMerge w:val="restart"/>
            <w:tcBorders>
              <w:top w:val="single" w:sz="5" w:space="0" w:color="000000"/>
              <w:left w:val="single" w:sz="5" w:space="0" w:color="000000"/>
              <w:right w:val="single" w:sz="5" w:space="0" w:color="000000"/>
            </w:tcBorders>
          </w:tcPr>
          <w:p w14:paraId="451D03C2" w14:textId="77777777" w:rsidR="00F91711" w:rsidRPr="00C35766" w:rsidRDefault="00F91711" w:rsidP="00F91711">
            <w:pPr>
              <w:pStyle w:val="TableParagraph"/>
              <w:spacing w:before="53"/>
              <w:ind w:left="102" w:right="155"/>
              <w:rPr>
                <w:rFonts w:ascii="Times New Roman" w:eastAsia="Times New Roman" w:hAnsi="Times New Roman" w:cs="Times New Roman"/>
              </w:rPr>
            </w:pPr>
            <w:r w:rsidRPr="00C35766">
              <w:rPr>
                <w:rFonts w:ascii="Times New Roman" w:eastAsia="Times New Roman" w:hAnsi="Times New Roman" w:cs="Times New Roman"/>
                <w:spacing w:val="-1"/>
                <w:lang w:val="it-IT"/>
              </w:rPr>
              <w:t>Infezioni ed infestazioni*</w:t>
            </w:r>
          </w:p>
        </w:tc>
        <w:tc>
          <w:tcPr>
            <w:tcW w:w="2076" w:type="dxa"/>
            <w:tcBorders>
              <w:top w:val="single" w:sz="5" w:space="0" w:color="000000"/>
              <w:left w:val="single" w:sz="5" w:space="0" w:color="000000"/>
              <w:bottom w:val="single" w:sz="5" w:space="0" w:color="000000"/>
              <w:right w:val="single" w:sz="5" w:space="0" w:color="000000"/>
            </w:tcBorders>
          </w:tcPr>
          <w:p w14:paraId="0525FEF9"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1DB3539A"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Infezioni delle vie respiratorie (tra cui infezioni delle vie respiratorie superiori ed inferiori, polmonite, sinusite, faringite, rinofaringite e polmonite da herpes virus)</w:t>
            </w:r>
          </w:p>
        </w:tc>
      </w:tr>
      <w:tr w:rsidR="00F91711" w:rsidRPr="00C35766" w14:paraId="26754933" w14:textId="77777777" w:rsidTr="00F91711">
        <w:tc>
          <w:tcPr>
            <w:tcW w:w="2599" w:type="dxa"/>
            <w:vMerge/>
            <w:tcBorders>
              <w:left w:val="single" w:sz="5" w:space="0" w:color="000000"/>
              <w:right w:val="single" w:sz="5" w:space="0" w:color="000000"/>
            </w:tcBorders>
          </w:tcPr>
          <w:p w14:paraId="6AFB686B"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49E1CF6D"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76DF5A7E"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sistemiche (incluse sepsi, candidiasi e influenza),</w:t>
            </w:r>
          </w:p>
          <w:p w14:paraId="719F8211" w14:textId="77777777" w:rsidR="00F91711" w:rsidRPr="00C35766" w:rsidRDefault="00F91711" w:rsidP="00F91711">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intestinali (compresa gastroenterite virale),</w:t>
            </w:r>
          </w:p>
          <w:p w14:paraId="0F4DAE68"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della pelle e dei tessuti molli (tra cui paronichia, cellulite, impetigine, fascite necrotizzante ed herpes zoster),</w:t>
            </w:r>
          </w:p>
          <w:p w14:paraId="3228725F"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dell’orecchio,</w:t>
            </w:r>
          </w:p>
          <w:p w14:paraId="54B86EE4" w14:textId="7F984990" w:rsidR="00F91711" w:rsidRPr="00C35766" w:rsidRDefault="00F91711" w:rsidP="00F91711">
            <w:pPr>
              <w:pStyle w:val="TableParagraph"/>
              <w:spacing w:before="5"/>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 xml:space="preserve">infezioni del cavo orale (tra cui herpes </w:t>
            </w:r>
            <w:r w:rsidR="00842603" w:rsidRPr="00075E40">
              <w:rPr>
                <w:rFonts w:ascii="Times New Roman" w:eastAsia="Times New Roman" w:hAnsi="Times New Roman" w:cs="Times New Roman"/>
                <w:lang w:val="it-IT"/>
              </w:rPr>
              <w:t>labiali</w:t>
            </w:r>
            <w:r w:rsidRPr="00C35766">
              <w:rPr>
                <w:rFonts w:ascii="Times New Roman" w:eastAsia="Times New Roman" w:hAnsi="Times New Roman" w:cs="Times New Roman"/>
                <w:spacing w:val="-1"/>
                <w:lang w:val="it-IT"/>
              </w:rPr>
              <w:t>, herpes orale ed infezioni dentali),</w:t>
            </w:r>
          </w:p>
          <w:p w14:paraId="42830C80"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dell’apparato riproduttivo (tra cui infezione vulvovaginale micotica), </w:t>
            </w:r>
          </w:p>
          <w:p w14:paraId="38836504" w14:textId="77777777" w:rsidR="00F91711" w:rsidRPr="00C35766" w:rsidRDefault="00F91711" w:rsidP="00F91711">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infezioni delle vie urinarie (tra cui pielonefrite), </w:t>
            </w:r>
            <w:r w:rsidRPr="00C35766">
              <w:rPr>
                <w:rFonts w:ascii="Times New Roman" w:eastAsia="Times New Roman" w:hAnsi="Times New Roman" w:cs="Times New Roman"/>
                <w:lang w:val="it-IT"/>
              </w:rPr>
              <w:t xml:space="preserve">infezioni fungine, </w:t>
            </w:r>
          </w:p>
          <w:p w14:paraId="23C70E1E"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infezioni articolari</w:t>
            </w:r>
          </w:p>
        </w:tc>
      </w:tr>
      <w:tr w:rsidR="00F91711" w:rsidRPr="00494E69" w14:paraId="26AD2503" w14:textId="77777777" w:rsidTr="00F91711">
        <w:tc>
          <w:tcPr>
            <w:tcW w:w="2599" w:type="dxa"/>
            <w:vMerge/>
            <w:tcBorders>
              <w:left w:val="single" w:sz="5" w:space="0" w:color="000000"/>
              <w:bottom w:val="single" w:sz="5" w:space="0" w:color="000000"/>
              <w:right w:val="single" w:sz="5" w:space="0" w:color="000000"/>
            </w:tcBorders>
          </w:tcPr>
          <w:p w14:paraId="7C85FB1F"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3AFFCD0C"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026A17B6" w14:textId="77777777" w:rsidR="00F91711" w:rsidRPr="00C35766" w:rsidRDefault="00F91711" w:rsidP="00F91711">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Infezioni neurologiche (tra cui meningite </w:t>
            </w:r>
            <w:r w:rsidRPr="00C35766">
              <w:rPr>
                <w:rFonts w:ascii="Times New Roman" w:eastAsia="Times New Roman" w:hAnsi="Times New Roman" w:cs="Times New Roman"/>
                <w:lang w:val="it-IT"/>
              </w:rPr>
              <w:t>virale),</w:t>
            </w:r>
          </w:p>
          <w:p w14:paraId="3B1C4622"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opportunistiche e tubercolosi (tra cui </w:t>
            </w:r>
            <w:r w:rsidRPr="00C35766">
              <w:rPr>
                <w:rFonts w:ascii="Times New Roman" w:eastAsia="Times New Roman" w:hAnsi="Times New Roman" w:cs="Times New Roman"/>
                <w:spacing w:val="-1"/>
                <w:lang w:val="it-IT"/>
              </w:rPr>
              <w:lastRenderedPageBreak/>
              <w:t xml:space="preserve">coccidioidomicosi, istoplasmosi e infezioni da mycobacterium avium complex), </w:t>
            </w:r>
          </w:p>
          <w:p w14:paraId="46BB55DA"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batteriche, </w:t>
            </w:r>
          </w:p>
          <w:p w14:paraId="1BD97253"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oculari, </w:t>
            </w:r>
          </w:p>
          <w:p w14:paraId="0003A3BC" w14:textId="77777777" w:rsidR="00F91711" w:rsidRPr="00C35766" w:rsidRDefault="00F91711" w:rsidP="00F91711">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diverticolite</w:t>
            </w:r>
            <w:r w:rsidRPr="00C35766">
              <w:rPr>
                <w:rFonts w:ascii="Times New Roman" w:eastAsia="Times New Roman" w:hAnsi="Times New Roman" w:cs="Times New Roman"/>
                <w:spacing w:val="-1"/>
                <w:vertAlign w:val="superscript"/>
                <w:lang w:val="it-IT"/>
              </w:rPr>
              <w:t>1)</w:t>
            </w:r>
          </w:p>
        </w:tc>
      </w:tr>
      <w:tr w:rsidR="00F91711" w:rsidRPr="00C35766" w14:paraId="2E29B300" w14:textId="77777777" w:rsidTr="00F91711">
        <w:tc>
          <w:tcPr>
            <w:tcW w:w="2599" w:type="dxa"/>
            <w:vMerge w:val="restart"/>
            <w:tcBorders>
              <w:top w:val="single" w:sz="5" w:space="0" w:color="000000"/>
              <w:left w:val="single" w:sz="5" w:space="0" w:color="000000"/>
              <w:right w:val="single" w:sz="5" w:space="0" w:color="000000"/>
            </w:tcBorders>
          </w:tcPr>
          <w:p w14:paraId="5B71A308" w14:textId="77777777" w:rsidR="00F91711" w:rsidRPr="00C35766" w:rsidRDefault="00F91711" w:rsidP="00F91711">
            <w:pPr>
              <w:pStyle w:val="TableParagraph"/>
              <w:spacing w:before="53"/>
              <w:ind w:left="102" w:right="163"/>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Tumori benigni, maligni e non specificati (cisti e polipi compresi)*</w:t>
            </w:r>
          </w:p>
        </w:tc>
        <w:tc>
          <w:tcPr>
            <w:tcW w:w="2076" w:type="dxa"/>
            <w:tcBorders>
              <w:top w:val="single" w:sz="5" w:space="0" w:color="000000"/>
              <w:left w:val="single" w:sz="5" w:space="0" w:color="000000"/>
              <w:bottom w:val="single" w:sz="5" w:space="0" w:color="000000"/>
              <w:right w:val="single" w:sz="5" w:space="0" w:color="000000"/>
            </w:tcBorders>
          </w:tcPr>
          <w:p w14:paraId="31884163"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53413C18"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Tumore cutaneo escluso il melanoma (tra cui carcinoma basocellulare e carcinoma a cellule squamose), </w:t>
            </w:r>
          </w:p>
          <w:p w14:paraId="08AB495A" w14:textId="77777777" w:rsidR="00F91711" w:rsidRPr="00C35766" w:rsidRDefault="00F91711" w:rsidP="00F91711">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neoplasia benigna</w:t>
            </w:r>
          </w:p>
        </w:tc>
      </w:tr>
      <w:tr w:rsidR="00F91711" w:rsidRPr="00494E69" w14:paraId="57576A73" w14:textId="77777777" w:rsidTr="00F91711">
        <w:tc>
          <w:tcPr>
            <w:tcW w:w="2599" w:type="dxa"/>
            <w:vMerge/>
            <w:tcBorders>
              <w:left w:val="single" w:sz="5" w:space="0" w:color="000000"/>
              <w:right w:val="single" w:sz="5" w:space="0" w:color="000000"/>
            </w:tcBorders>
          </w:tcPr>
          <w:p w14:paraId="10C4CE69" w14:textId="77777777" w:rsidR="00F91711" w:rsidRPr="00C35766" w:rsidRDefault="00F91711" w:rsidP="00F91711">
            <w:pPr>
              <w:rPr>
                <w:rFonts w:ascii="Times New Roman" w:hAnsi="Times New Roman" w:cs="Times New Roman"/>
                <w:lang w:val="pt-BR"/>
              </w:rPr>
            </w:pPr>
          </w:p>
        </w:tc>
        <w:tc>
          <w:tcPr>
            <w:tcW w:w="2076" w:type="dxa"/>
            <w:tcBorders>
              <w:top w:val="single" w:sz="5" w:space="0" w:color="000000"/>
              <w:left w:val="single" w:sz="5" w:space="0" w:color="000000"/>
              <w:bottom w:val="single" w:sz="5" w:space="0" w:color="000000"/>
              <w:right w:val="single" w:sz="5" w:space="0" w:color="000000"/>
            </w:tcBorders>
          </w:tcPr>
          <w:p w14:paraId="692F4997"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56270F94"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Linfoma**, </w:t>
            </w:r>
          </w:p>
          <w:p w14:paraId="338D85EB" w14:textId="77777777" w:rsidR="00F91711" w:rsidRPr="004F0B2E" w:rsidRDefault="00F91711" w:rsidP="00F91711">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tumori solidi (tra cui carcinoma mammario, neoplasia polmonare e neoplasia tiroidea), melanoma**</w:t>
            </w:r>
          </w:p>
        </w:tc>
      </w:tr>
      <w:tr w:rsidR="00F91711" w:rsidRPr="00C35766" w14:paraId="620BC15F" w14:textId="77777777" w:rsidTr="00F91711">
        <w:tc>
          <w:tcPr>
            <w:tcW w:w="2599" w:type="dxa"/>
            <w:vMerge/>
            <w:tcBorders>
              <w:left w:val="single" w:sz="5" w:space="0" w:color="000000"/>
              <w:right w:val="single" w:sz="5" w:space="0" w:color="000000"/>
            </w:tcBorders>
          </w:tcPr>
          <w:p w14:paraId="4F9BB510" w14:textId="77777777" w:rsidR="00F91711" w:rsidRPr="004F0B2E"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237E073F"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34E8CCF6" w14:textId="77777777" w:rsidR="00F91711" w:rsidRPr="00C35766" w:rsidRDefault="00F91711" w:rsidP="00F91711">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Leucemia</w:t>
            </w:r>
            <w:r w:rsidRPr="00C35766">
              <w:rPr>
                <w:rFonts w:ascii="Times New Roman" w:eastAsia="Times New Roman" w:hAnsi="Times New Roman" w:cs="Times New Roman"/>
                <w:spacing w:val="-1"/>
                <w:vertAlign w:val="superscript"/>
                <w:lang w:val="it-IT"/>
              </w:rPr>
              <w:t>1)</w:t>
            </w:r>
          </w:p>
        </w:tc>
      </w:tr>
      <w:tr w:rsidR="00F91711" w:rsidRPr="00C35766" w14:paraId="6726239A" w14:textId="77777777" w:rsidTr="00F91711">
        <w:tc>
          <w:tcPr>
            <w:tcW w:w="2599" w:type="dxa"/>
            <w:vMerge/>
            <w:tcBorders>
              <w:left w:val="single" w:sz="5" w:space="0" w:color="000000"/>
              <w:bottom w:val="single" w:sz="5" w:space="0" w:color="000000"/>
              <w:right w:val="single" w:sz="5" w:space="0" w:color="000000"/>
            </w:tcBorders>
          </w:tcPr>
          <w:p w14:paraId="780648B4"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24201083"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4574" w:type="dxa"/>
            <w:tcBorders>
              <w:top w:val="single" w:sz="5" w:space="0" w:color="000000"/>
              <w:left w:val="single" w:sz="5" w:space="0" w:color="000000"/>
              <w:bottom w:val="single" w:sz="5" w:space="0" w:color="000000"/>
              <w:right w:val="single" w:sz="5" w:space="0" w:color="000000"/>
            </w:tcBorders>
          </w:tcPr>
          <w:p w14:paraId="7D263373" w14:textId="77777777" w:rsidR="00F91711" w:rsidRPr="00C35766" w:rsidRDefault="00F91711" w:rsidP="00F91711">
            <w:pPr>
              <w:pStyle w:val="TableParagraph"/>
              <w:spacing w:before="56"/>
              <w:ind w:left="96" w:right="151"/>
              <w:rPr>
                <w:rFonts w:ascii="Times New Roman" w:eastAsia="Times New Roman" w:hAnsi="Times New Roman" w:cs="Times New Roman"/>
                <w:w w:val="99"/>
                <w:position w:val="8"/>
                <w:lang w:val="pt-BR"/>
              </w:rPr>
            </w:pPr>
            <w:r w:rsidRPr="00C35766">
              <w:rPr>
                <w:rFonts w:ascii="Times New Roman" w:eastAsia="Times New Roman" w:hAnsi="Times New Roman" w:cs="Times New Roman"/>
                <w:spacing w:val="-1"/>
                <w:lang w:val="it-IT"/>
              </w:rPr>
              <w:t>Linfoma epatosplenico a cellule T</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3D90B604" w14:textId="77777777" w:rsidR="00F91711" w:rsidRPr="00C35766" w:rsidRDefault="00F91711" w:rsidP="00F91711">
            <w:pPr>
              <w:pStyle w:val="TableParagraph"/>
              <w:spacing w:before="56"/>
              <w:ind w:left="96" w:right="151"/>
              <w:rPr>
                <w:rFonts w:ascii="Times New Roman" w:hAnsi="Times New Roman" w:cs="Times New Roman"/>
                <w:w w:val="99"/>
                <w:position w:val="8"/>
                <w:lang w:val="it-IT"/>
              </w:rPr>
            </w:pPr>
            <w:r w:rsidRPr="00C35766">
              <w:rPr>
                <w:rFonts w:ascii="Times New Roman" w:eastAsia="Times New Roman" w:hAnsi="Times New Roman" w:cs="Times New Roman"/>
                <w:spacing w:val="-1"/>
                <w:lang w:val="it-IT"/>
              </w:rPr>
              <w:t>carcinoma a cellule di Merkel (carcinoma neuroendocrino della pelle)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73A39F60" w14:textId="77777777" w:rsidR="00F91711" w:rsidRPr="00C35766" w:rsidRDefault="00F91711" w:rsidP="00F91711">
            <w:pPr>
              <w:pStyle w:val="TableParagraph"/>
              <w:spacing w:before="56"/>
              <w:ind w:left="96"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sarcoma di Kaposi </w:t>
            </w:r>
          </w:p>
        </w:tc>
      </w:tr>
      <w:tr w:rsidR="00F91711" w:rsidRPr="00C35766" w14:paraId="0D4EF459" w14:textId="77777777" w:rsidTr="00F91711">
        <w:tc>
          <w:tcPr>
            <w:tcW w:w="2599" w:type="dxa"/>
            <w:vMerge w:val="restart"/>
            <w:tcBorders>
              <w:top w:val="single" w:sz="5" w:space="0" w:color="000000"/>
              <w:left w:val="single" w:sz="5" w:space="0" w:color="000000"/>
              <w:right w:val="single" w:sz="5" w:space="0" w:color="000000"/>
            </w:tcBorders>
          </w:tcPr>
          <w:p w14:paraId="3D30C35B" w14:textId="77777777" w:rsidR="00F91711" w:rsidRPr="00C35766" w:rsidRDefault="00F91711" w:rsidP="00F91711">
            <w:pPr>
              <w:pStyle w:val="TableParagraph"/>
              <w:spacing w:before="56"/>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emolinfopoietico*</w:t>
            </w:r>
          </w:p>
        </w:tc>
        <w:tc>
          <w:tcPr>
            <w:tcW w:w="2076" w:type="dxa"/>
            <w:tcBorders>
              <w:top w:val="single" w:sz="5" w:space="0" w:color="000000"/>
              <w:left w:val="single" w:sz="5" w:space="0" w:color="000000"/>
              <w:bottom w:val="single" w:sz="5" w:space="0" w:color="000000"/>
              <w:right w:val="single" w:sz="5" w:space="0" w:color="000000"/>
            </w:tcBorders>
          </w:tcPr>
          <w:p w14:paraId="12C34FEE"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69DE1714" w14:textId="77777777" w:rsidR="00F91711" w:rsidRPr="00C35766" w:rsidRDefault="00F91711" w:rsidP="00F91711">
            <w:pPr>
              <w:pStyle w:val="TableParagraph"/>
              <w:spacing w:before="56"/>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Leucopenia (tra cui neutropenia e agranulocitosi),</w:t>
            </w:r>
          </w:p>
          <w:p w14:paraId="08284E42" w14:textId="77777777" w:rsidR="00F91711" w:rsidRPr="00C35766" w:rsidRDefault="00F91711" w:rsidP="00F91711">
            <w:pPr>
              <w:pStyle w:val="TableParagraph"/>
              <w:spacing w:before="58"/>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anemia</w:t>
            </w:r>
          </w:p>
        </w:tc>
      </w:tr>
      <w:tr w:rsidR="00F91711" w:rsidRPr="00C35766" w14:paraId="036704CB" w14:textId="77777777" w:rsidTr="00F91711">
        <w:tc>
          <w:tcPr>
            <w:tcW w:w="2599" w:type="dxa"/>
            <w:vMerge/>
            <w:tcBorders>
              <w:left w:val="single" w:sz="5" w:space="0" w:color="000000"/>
              <w:right w:val="single" w:sz="5" w:space="0" w:color="000000"/>
            </w:tcBorders>
          </w:tcPr>
          <w:p w14:paraId="2900C0EB"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1CF5AEE5"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18435186"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Leucocitosi,</w:t>
            </w:r>
          </w:p>
          <w:p w14:paraId="699B3C59"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trombocitopenia</w:t>
            </w:r>
          </w:p>
        </w:tc>
      </w:tr>
      <w:tr w:rsidR="00F91711" w:rsidRPr="00C35766" w14:paraId="0C9EA20F" w14:textId="77777777" w:rsidTr="00F91711">
        <w:tc>
          <w:tcPr>
            <w:tcW w:w="2599" w:type="dxa"/>
            <w:vMerge/>
            <w:tcBorders>
              <w:left w:val="single" w:sz="5" w:space="0" w:color="000000"/>
              <w:right w:val="single" w:sz="5" w:space="0" w:color="000000"/>
            </w:tcBorders>
          </w:tcPr>
          <w:p w14:paraId="222F86C9"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145298DA"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3FBE8FC7"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Porpora trombocitopenica idiopatica</w:t>
            </w:r>
          </w:p>
        </w:tc>
      </w:tr>
      <w:tr w:rsidR="00F91711" w:rsidRPr="00C35766" w14:paraId="679BB6D8" w14:textId="77777777" w:rsidTr="00F91711">
        <w:tc>
          <w:tcPr>
            <w:tcW w:w="2599" w:type="dxa"/>
            <w:vMerge/>
            <w:tcBorders>
              <w:left w:val="single" w:sz="5" w:space="0" w:color="000000"/>
              <w:bottom w:val="single" w:sz="5" w:space="0" w:color="000000"/>
              <w:right w:val="single" w:sz="5" w:space="0" w:color="000000"/>
            </w:tcBorders>
          </w:tcPr>
          <w:p w14:paraId="3CBBC7FB"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0AF3BA4F"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433F1F2C"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Pancitopenia</w:t>
            </w:r>
          </w:p>
        </w:tc>
      </w:tr>
      <w:tr w:rsidR="00F91711" w:rsidRPr="006501B3" w14:paraId="3E805ED2" w14:textId="77777777" w:rsidTr="00F91711">
        <w:tc>
          <w:tcPr>
            <w:tcW w:w="2599" w:type="dxa"/>
            <w:vMerge w:val="restart"/>
            <w:tcBorders>
              <w:top w:val="single" w:sz="5" w:space="0" w:color="000000"/>
              <w:left w:val="single" w:sz="5" w:space="0" w:color="000000"/>
              <w:right w:val="single" w:sz="5" w:space="0" w:color="000000"/>
            </w:tcBorders>
          </w:tcPr>
          <w:p w14:paraId="5BC270D5"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Disturbi del sistema immunitario*</w:t>
            </w:r>
          </w:p>
        </w:tc>
        <w:tc>
          <w:tcPr>
            <w:tcW w:w="2076" w:type="dxa"/>
            <w:tcBorders>
              <w:top w:val="single" w:sz="5" w:space="0" w:color="000000"/>
              <w:left w:val="single" w:sz="5" w:space="0" w:color="000000"/>
              <w:bottom w:val="single" w:sz="5" w:space="0" w:color="000000"/>
              <w:right w:val="single" w:sz="5" w:space="0" w:color="000000"/>
            </w:tcBorders>
          </w:tcPr>
          <w:p w14:paraId="4D6F7897"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48721132"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Ipersensibilità,</w:t>
            </w:r>
          </w:p>
          <w:p w14:paraId="5B0A8AEC" w14:textId="77777777" w:rsidR="00F91711" w:rsidRPr="00C35766" w:rsidRDefault="00F91711" w:rsidP="00F91711">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allergie (tra cui allergia stagionale)</w:t>
            </w:r>
          </w:p>
        </w:tc>
      </w:tr>
      <w:tr w:rsidR="00F91711" w:rsidRPr="00C35766" w14:paraId="7CD7219E" w14:textId="77777777" w:rsidTr="00F91711">
        <w:tc>
          <w:tcPr>
            <w:tcW w:w="2599" w:type="dxa"/>
            <w:vMerge/>
            <w:tcBorders>
              <w:left w:val="single" w:sz="5" w:space="0" w:color="000000"/>
              <w:right w:val="single" w:sz="5" w:space="0" w:color="000000"/>
            </w:tcBorders>
          </w:tcPr>
          <w:p w14:paraId="5DC26505"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05AA5CA4"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73B0C1A9" w14:textId="77777777" w:rsidR="00F91711" w:rsidRPr="00C35766" w:rsidRDefault="00F91711" w:rsidP="00F91711">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Sarcoidosi</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5F02788A" w14:textId="77777777" w:rsidR="00F91711" w:rsidRPr="00C35766" w:rsidRDefault="00F91711" w:rsidP="00F91711">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vasculite</w:t>
            </w:r>
          </w:p>
        </w:tc>
      </w:tr>
      <w:tr w:rsidR="00F91711" w:rsidRPr="00C35766" w14:paraId="7F451A19" w14:textId="77777777" w:rsidTr="00F91711">
        <w:tc>
          <w:tcPr>
            <w:tcW w:w="2599" w:type="dxa"/>
            <w:vMerge/>
            <w:tcBorders>
              <w:left w:val="single" w:sz="5" w:space="0" w:color="000000"/>
              <w:bottom w:val="single" w:sz="5" w:space="0" w:color="000000"/>
              <w:right w:val="single" w:sz="5" w:space="0" w:color="000000"/>
            </w:tcBorders>
          </w:tcPr>
          <w:p w14:paraId="6431A248"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5F2B95F9"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262547ED" w14:textId="77777777" w:rsidR="00F91711" w:rsidRPr="00C35766" w:rsidRDefault="00F91711" w:rsidP="00F91711">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Anafilassi</w:t>
            </w:r>
            <w:r w:rsidRPr="00C35766">
              <w:rPr>
                <w:rFonts w:ascii="Times New Roman" w:eastAsia="Times New Roman" w:hAnsi="Times New Roman" w:cs="Times New Roman"/>
                <w:spacing w:val="-1"/>
                <w:vertAlign w:val="superscript"/>
                <w:lang w:val="it-IT"/>
              </w:rPr>
              <w:t>1)</w:t>
            </w:r>
          </w:p>
        </w:tc>
      </w:tr>
      <w:tr w:rsidR="00F91711" w:rsidRPr="00C35766" w14:paraId="50DCB793" w14:textId="77777777" w:rsidTr="00F91711">
        <w:tc>
          <w:tcPr>
            <w:tcW w:w="2599" w:type="dxa"/>
            <w:vMerge w:val="restart"/>
            <w:tcBorders>
              <w:top w:val="single" w:sz="5" w:space="0" w:color="000000"/>
              <w:left w:val="single" w:sz="5" w:space="0" w:color="000000"/>
              <w:right w:val="single" w:sz="5" w:space="0" w:color="000000"/>
            </w:tcBorders>
          </w:tcPr>
          <w:p w14:paraId="19072A78" w14:textId="77777777" w:rsidR="00F91711" w:rsidRPr="00C35766" w:rsidRDefault="00F91711" w:rsidP="00F91711">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Disturbi del metabolismo e della nutrizione</w:t>
            </w:r>
          </w:p>
        </w:tc>
        <w:tc>
          <w:tcPr>
            <w:tcW w:w="2076" w:type="dxa"/>
            <w:tcBorders>
              <w:top w:val="single" w:sz="5" w:space="0" w:color="000000"/>
              <w:left w:val="single" w:sz="5" w:space="0" w:color="000000"/>
              <w:bottom w:val="single" w:sz="5" w:space="0" w:color="000000"/>
              <w:right w:val="single" w:sz="5" w:space="0" w:color="000000"/>
            </w:tcBorders>
          </w:tcPr>
          <w:p w14:paraId="42F4FAF6"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4B4C8024"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Lipidi aumentati</w:t>
            </w:r>
          </w:p>
        </w:tc>
      </w:tr>
      <w:tr w:rsidR="00F91711" w:rsidRPr="007B2F1E" w14:paraId="2FACDA87" w14:textId="77777777" w:rsidTr="00F91711">
        <w:tc>
          <w:tcPr>
            <w:tcW w:w="2599" w:type="dxa"/>
            <w:vMerge/>
            <w:tcBorders>
              <w:left w:val="single" w:sz="5" w:space="0" w:color="000000"/>
              <w:bottom w:val="single" w:sz="5" w:space="0" w:color="000000"/>
              <w:right w:val="single" w:sz="5" w:space="0" w:color="000000"/>
            </w:tcBorders>
          </w:tcPr>
          <w:p w14:paraId="3E7B5BB8"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1D7A691A"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7C1EDA51"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Ipokaliemia,</w:t>
            </w:r>
          </w:p>
          <w:p w14:paraId="46AA4764" w14:textId="77777777" w:rsidR="00F91711" w:rsidRPr="00C35766" w:rsidRDefault="00F91711" w:rsidP="00F91711">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acido urico aumentato, </w:t>
            </w:r>
          </w:p>
          <w:p w14:paraId="0D81ABCF" w14:textId="77777777" w:rsidR="00F91711" w:rsidRPr="00C35766" w:rsidRDefault="00F91711" w:rsidP="00F91711">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sodio ematico anormale, </w:t>
            </w:r>
          </w:p>
          <w:p w14:paraId="42A8EDEE" w14:textId="77777777" w:rsidR="00F91711" w:rsidRPr="00C35766" w:rsidRDefault="00F91711" w:rsidP="00F91711">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ipocalcemia,</w:t>
            </w:r>
          </w:p>
          <w:p w14:paraId="65BC931C" w14:textId="77777777" w:rsidR="00F91711" w:rsidRPr="00C35766" w:rsidRDefault="00F91711" w:rsidP="00F91711">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iperglicemia, </w:t>
            </w:r>
          </w:p>
          <w:p w14:paraId="0E64763C" w14:textId="77777777" w:rsidR="00F91711" w:rsidRPr="00C35766" w:rsidRDefault="00F91711" w:rsidP="00F91711">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ipofosfatemia, </w:t>
            </w:r>
          </w:p>
          <w:p w14:paraId="3F18A633" w14:textId="77777777" w:rsidR="00F91711" w:rsidRPr="00C35766" w:rsidRDefault="00F91711" w:rsidP="00F91711">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disidratazione</w:t>
            </w:r>
          </w:p>
        </w:tc>
      </w:tr>
      <w:tr w:rsidR="00F91711" w:rsidRPr="00C35766" w14:paraId="2CE73A9F" w14:textId="77777777" w:rsidTr="00F91711">
        <w:tc>
          <w:tcPr>
            <w:tcW w:w="2599" w:type="dxa"/>
            <w:tcBorders>
              <w:top w:val="single" w:sz="5" w:space="0" w:color="000000"/>
              <w:left w:val="single" w:sz="5" w:space="0" w:color="000000"/>
              <w:bottom w:val="single" w:sz="5" w:space="0" w:color="000000"/>
              <w:right w:val="single" w:sz="5" w:space="0" w:color="000000"/>
            </w:tcBorders>
          </w:tcPr>
          <w:p w14:paraId="15484B61" w14:textId="77777777" w:rsidR="00F91711" w:rsidRPr="00C35766" w:rsidRDefault="00F91711" w:rsidP="00F91711">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Disturbi psichiatrici</w:t>
            </w:r>
          </w:p>
        </w:tc>
        <w:tc>
          <w:tcPr>
            <w:tcW w:w="2076" w:type="dxa"/>
            <w:tcBorders>
              <w:top w:val="single" w:sz="5" w:space="0" w:color="000000"/>
              <w:left w:val="single" w:sz="5" w:space="0" w:color="000000"/>
              <w:bottom w:val="single" w:sz="5" w:space="0" w:color="000000"/>
              <w:right w:val="single" w:sz="5" w:space="0" w:color="000000"/>
            </w:tcBorders>
          </w:tcPr>
          <w:p w14:paraId="11809604" w14:textId="77777777" w:rsidR="00F91711" w:rsidRPr="00C35766" w:rsidRDefault="00F91711" w:rsidP="00F91711">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0D07DFC3" w14:textId="77777777" w:rsidR="00F91711" w:rsidRPr="00C35766" w:rsidRDefault="00F91711" w:rsidP="00F91711">
            <w:pPr>
              <w:pStyle w:val="TableParagraph"/>
              <w:spacing w:before="55"/>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Disturbi dell’umore (tra cui depressione), </w:t>
            </w:r>
          </w:p>
          <w:p w14:paraId="021FFA2F" w14:textId="77777777" w:rsidR="00F91711" w:rsidRPr="00C35766" w:rsidRDefault="00F91711" w:rsidP="00F91711">
            <w:pPr>
              <w:pStyle w:val="TableParagraph"/>
              <w:spacing w:before="55"/>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ansia,</w:t>
            </w:r>
          </w:p>
          <w:p w14:paraId="1FCD9559" w14:textId="77777777" w:rsidR="00F91711" w:rsidRPr="00C35766" w:rsidRDefault="00F91711" w:rsidP="00F91711">
            <w:pPr>
              <w:pStyle w:val="TableParagraph"/>
              <w:spacing w:before="2"/>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insonnia</w:t>
            </w:r>
          </w:p>
        </w:tc>
      </w:tr>
      <w:tr w:rsidR="00F91711" w:rsidRPr="00C35766" w14:paraId="5FBD3BCD" w14:textId="77777777" w:rsidTr="00F91711">
        <w:tc>
          <w:tcPr>
            <w:tcW w:w="2599" w:type="dxa"/>
            <w:vMerge w:val="restart"/>
            <w:tcBorders>
              <w:top w:val="single" w:sz="5" w:space="0" w:color="000000"/>
              <w:left w:val="single" w:sz="5" w:space="0" w:color="000000"/>
              <w:right w:val="single" w:sz="5" w:space="0" w:color="000000"/>
            </w:tcBorders>
          </w:tcPr>
          <w:p w14:paraId="3DC0B496"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nervoso</w:t>
            </w:r>
          </w:p>
        </w:tc>
        <w:tc>
          <w:tcPr>
            <w:tcW w:w="2076" w:type="dxa"/>
            <w:tcBorders>
              <w:top w:val="single" w:sz="5" w:space="0" w:color="000000"/>
              <w:left w:val="single" w:sz="5" w:space="0" w:color="000000"/>
              <w:bottom w:val="single" w:sz="5" w:space="0" w:color="000000"/>
              <w:right w:val="single" w:sz="5" w:space="0" w:color="000000"/>
            </w:tcBorders>
          </w:tcPr>
          <w:p w14:paraId="24DCBBA1"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4316E0DC"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Cefalea</w:t>
            </w:r>
          </w:p>
        </w:tc>
      </w:tr>
      <w:tr w:rsidR="00F91711" w:rsidRPr="00C35766" w14:paraId="6C333930" w14:textId="77777777" w:rsidTr="00F91711">
        <w:tc>
          <w:tcPr>
            <w:tcW w:w="2599" w:type="dxa"/>
            <w:vMerge/>
            <w:tcBorders>
              <w:left w:val="single" w:sz="5" w:space="0" w:color="000000"/>
              <w:right w:val="single" w:sz="5" w:space="0" w:color="000000"/>
            </w:tcBorders>
          </w:tcPr>
          <w:p w14:paraId="79AC062E"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57760354"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656A87A7"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Parestesia (tra cui ipoestesia), </w:t>
            </w:r>
          </w:p>
          <w:p w14:paraId="42E2FF37" w14:textId="77777777" w:rsidR="00F91711" w:rsidRPr="00C35766" w:rsidRDefault="00F91711" w:rsidP="00F91711">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emicrania,</w:t>
            </w:r>
          </w:p>
          <w:p w14:paraId="1965A9E3"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compressione di radice nervosa</w:t>
            </w:r>
          </w:p>
        </w:tc>
      </w:tr>
      <w:tr w:rsidR="00F91711" w:rsidRPr="00C35766" w14:paraId="21B97D62" w14:textId="77777777" w:rsidTr="00F91711">
        <w:tc>
          <w:tcPr>
            <w:tcW w:w="2599" w:type="dxa"/>
            <w:vMerge/>
            <w:tcBorders>
              <w:left w:val="single" w:sz="5" w:space="0" w:color="000000"/>
              <w:right w:val="single" w:sz="5" w:space="0" w:color="000000"/>
            </w:tcBorders>
          </w:tcPr>
          <w:p w14:paraId="0425CA79"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38D523F4"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63D1109E"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Accidente cerebrovascolare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66777A74" w14:textId="77777777" w:rsidR="00F91711" w:rsidRPr="00C35766" w:rsidRDefault="00F91711" w:rsidP="00F91711">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tremore, </w:t>
            </w:r>
          </w:p>
          <w:p w14:paraId="10A1940D" w14:textId="77777777" w:rsidR="00F91711" w:rsidRPr="00C35766" w:rsidRDefault="00F91711" w:rsidP="00F91711">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lastRenderedPageBreak/>
              <w:t>neuropatia</w:t>
            </w:r>
          </w:p>
        </w:tc>
      </w:tr>
      <w:tr w:rsidR="00F91711" w:rsidRPr="00494E69" w14:paraId="47EDA245" w14:textId="77777777" w:rsidTr="00F91711">
        <w:tc>
          <w:tcPr>
            <w:tcW w:w="2599" w:type="dxa"/>
            <w:vMerge/>
            <w:tcBorders>
              <w:left w:val="single" w:sz="5" w:space="0" w:color="000000"/>
              <w:bottom w:val="single" w:sz="5" w:space="0" w:color="000000"/>
              <w:right w:val="single" w:sz="5" w:space="0" w:color="000000"/>
            </w:tcBorders>
          </w:tcPr>
          <w:p w14:paraId="640BD717"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354779ED"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121D5A82" w14:textId="77777777" w:rsidR="00F91711" w:rsidRPr="00C35766" w:rsidRDefault="00F91711" w:rsidP="00F91711">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Sclerosi multipla, </w:t>
            </w:r>
          </w:p>
          <w:p w14:paraId="0B25E5CD" w14:textId="77777777" w:rsidR="00F91711" w:rsidRPr="00C35766" w:rsidRDefault="00F91711" w:rsidP="00F91711">
            <w:pPr>
              <w:pStyle w:val="TableParagraph"/>
              <w:ind w:left="99" w:right="151"/>
              <w:rPr>
                <w:rFonts w:ascii="Times New Roman" w:eastAsia="Times New Roman" w:hAnsi="Times New Roman" w:cs="Times New Roman"/>
                <w:lang w:val="fr-FR"/>
              </w:rPr>
            </w:pPr>
            <w:r w:rsidRPr="00C35766">
              <w:rPr>
                <w:rFonts w:ascii="Times New Roman" w:eastAsia="Times New Roman" w:hAnsi="Times New Roman" w:cs="Times New Roman"/>
                <w:spacing w:val="-1"/>
                <w:lang w:val="it-IT"/>
              </w:rPr>
              <w:t>disturbi demielinizzanti (ad es., neurite ottica, sindrome di Guillain-Barré)</w:t>
            </w:r>
            <w:r w:rsidRPr="00C35766">
              <w:rPr>
                <w:rFonts w:ascii="Times New Roman" w:eastAsia="Times New Roman" w:hAnsi="Times New Roman" w:cs="Times New Roman"/>
                <w:spacing w:val="-1"/>
                <w:vertAlign w:val="superscript"/>
                <w:lang w:val="it-IT"/>
              </w:rPr>
              <w:t>1)</w:t>
            </w:r>
          </w:p>
        </w:tc>
      </w:tr>
      <w:tr w:rsidR="00F91711" w:rsidRPr="00C35766" w14:paraId="50FE1360" w14:textId="77777777" w:rsidTr="00F91711">
        <w:tc>
          <w:tcPr>
            <w:tcW w:w="2599" w:type="dxa"/>
            <w:vMerge w:val="restart"/>
            <w:tcBorders>
              <w:top w:val="single" w:sz="5" w:space="0" w:color="000000"/>
              <w:left w:val="single" w:sz="5" w:space="0" w:color="000000"/>
              <w:right w:val="single" w:sz="5" w:space="0" w:color="000000"/>
            </w:tcBorders>
          </w:tcPr>
          <w:p w14:paraId="0276FEC5"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dell’occhio</w:t>
            </w:r>
          </w:p>
        </w:tc>
        <w:tc>
          <w:tcPr>
            <w:tcW w:w="2076" w:type="dxa"/>
            <w:tcBorders>
              <w:top w:val="single" w:sz="5" w:space="0" w:color="000000"/>
              <w:left w:val="single" w:sz="5" w:space="0" w:color="000000"/>
              <w:bottom w:val="single" w:sz="5" w:space="0" w:color="000000"/>
              <w:right w:val="single" w:sz="5" w:space="0" w:color="000000"/>
            </w:tcBorders>
          </w:tcPr>
          <w:p w14:paraId="2A188CE8"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0AE262C0"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Compromissione della visione, congiuntivite, </w:t>
            </w:r>
          </w:p>
          <w:p w14:paraId="29F3084A"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blefarite, </w:t>
            </w:r>
          </w:p>
          <w:p w14:paraId="6B91BC9F" w14:textId="77777777" w:rsidR="00F91711" w:rsidRPr="00C35766" w:rsidRDefault="00F91711" w:rsidP="00F91711">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tumefazione degli occhi</w:t>
            </w:r>
          </w:p>
        </w:tc>
      </w:tr>
      <w:tr w:rsidR="00F91711" w:rsidRPr="00C35766" w14:paraId="4AC7C290" w14:textId="77777777" w:rsidTr="00F91711">
        <w:tc>
          <w:tcPr>
            <w:tcW w:w="2599" w:type="dxa"/>
            <w:vMerge/>
            <w:tcBorders>
              <w:left w:val="single" w:sz="5" w:space="0" w:color="000000"/>
              <w:bottom w:val="single" w:sz="5" w:space="0" w:color="000000"/>
              <w:right w:val="single" w:sz="5" w:space="0" w:color="000000"/>
            </w:tcBorders>
          </w:tcPr>
          <w:p w14:paraId="3E3A2E34" w14:textId="77777777" w:rsidR="00F91711" w:rsidRPr="00C35766" w:rsidRDefault="00F91711" w:rsidP="00F91711">
            <w:pPr>
              <w:rPr>
                <w:rFonts w:ascii="Times New Roman" w:hAnsi="Times New Roman" w:cs="Times New Roman"/>
                <w:lang w:val="pt-BR"/>
              </w:rPr>
            </w:pPr>
          </w:p>
        </w:tc>
        <w:tc>
          <w:tcPr>
            <w:tcW w:w="2076" w:type="dxa"/>
            <w:tcBorders>
              <w:top w:val="single" w:sz="5" w:space="0" w:color="000000"/>
              <w:left w:val="single" w:sz="5" w:space="0" w:color="000000"/>
              <w:bottom w:val="single" w:sz="5" w:space="0" w:color="000000"/>
              <w:right w:val="single" w:sz="5" w:space="0" w:color="000000"/>
            </w:tcBorders>
          </w:tcPr>
          <w:p w14:paraId="590B630C"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24E39B41"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Diplopia</w:t>
            </w:r>
          </w:p>
        </w:tc>
      </w:tr>
      <w:tr w:rsidR="00F91711" w:rsidRPr="00C35766" w14:paraId="1CD2E566" w14:textId="77777777" w:rsidTr="00F91711">
        <w:tc>
          <w:tcPr>
            <w:tcW w:w="2599" w:type="dxa"/>
            <w:vMerge w:val="restart"/>
            <w:tcBorders>
              <w:top w:val="single" w:sz="5" w:space="0" w:color="000000"/>
              <w:left w:val="single" w:sz="5" w:space="0" w:color="000000"/>
              <w:right w:val="single" w:sz="5" w:space="0" w:color="000000"/>
            </w:tcBorders>
          </w:tcPr>
          <w:p w14:paraId="6C7FDFC2" w14:textId="77777777" w:rsidR="00F91711" w:rsidRPr="00C35766" w:rsidRDefault="00F91711" w:rsidP="00F91711">
            <w:pPr>
              <w:pStyle w:val="TableParagraph"/>
              <w:spacing w:before="56"/>
              <w:ind w:left="102" w:right="196"/>
              <w:rPr>
                <w:rFonts w:ascii="Times New Roman" w:hAnsi="Times New Roman" w:cs="Times New Roman"/>
                <w:lang w:val="it-IT"/>
              </w:rPr>
            </w:pPr>
            <w:r w:rsidRPr="00C35766">
              <w:rPr>
                <w:rFonts w:ascii="Times New Roman" w:eastAsia="Times New Roman" w:hAnsi="Times New Roman" w:cs="Times New Roman"/>
                <w:spacing w:val="-1"/>
                <w:lang w:val="it-IT"/>
              </w:rPr>
              <w:t>Patologie dell’orecchio e del labirinto</w:t>
            </w:r>
          </w:p>
        </w:tc>
        <w:tc>
          <w:tcPr>
            <w:tcW w:w="2076" w:type="dxa"/>
            <w:tcBorders>
              <w:top w:val="single" w:sz="5" w:space="0" w:color="000000"/>
              <w:left w:val="single" w:sz="5" w:space="0" w:color="000000"/>
              <w:bottom w:val="single" w:sz="5" w:space="0" w:color="000000"/>
              <w:right w:val="single" w:sz="5" w:space="0" w:color="000000"/>
            </w:tcBorders>
          </w:tcPr>
          <w:p w14:paraId="00B80054"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2DF14AE4"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Vertigini</w:t>
            </w:r>
          </w:p>
        </w:tc>
      </w:tr>
      <w:tr w:rsidR="00F91711" w:rsidRPr="00C35766" w14:paraId="14BE921A" w14:textId="77777777" w:rsidTr="00F91711">
        <w:tc>
          <w:tcPr>
            <w:tcW w:w="2599" w:type="dxa"/>
            <w:vMerge/>
            <w:tcBorders>
              <w:left w:val="single" w:sz="5" w:space="0" w:color="000000"/>
              <w:bottom w:val="single" w:sz="5" w:space="0" w:color="000000"/>
              <w:right w:val="single" w:sz="5" w:space="0" w:color="000000"/>
            </w:tcBorders>
          </w:tcPr>
          <w:p w14:paraId="61B72D7E"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4B591C24"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34997FAC"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Sordità,</w:t>
            </w:r>
          </w:p>
          <w:p w14:paraId="7FC3C737"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tinnito</w:t>
            </w:r>
          </w:p>
        </w:tc>
      </w:tr>
      <w:tr w:rsidR="00F91711" w:rsidRPr="00C35766" w14:paraId="79D6B420" w14:textId="77777777" w:rsidTr="00F91711">
        <w:tc>
          <w:tcPr>
            <w:tcW w:w="2599" w:type="dxa"/>
            <w:vMerge w:val="restart"/>
            <w:tcBorders>
              <w:top w:val="single" w:sz="5" w:space="0" w:color="000000"/>
              <w:left w:val="single" w:sz="5" w:space="0" w:color="000000"/>
              <w:right w:val="single" w:sz="5" w:space="0" w:color="000000"/>
            </w:tcBorders>
          </w:tcPr>
          <w:p w14:paraId="6DF7B281"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cardiache</w:t>
            </w:r>
          </w:p>
        </w:tc>
        <w:tc>
          <w:tcPr>
            <w:tcW w:w="2076" w:type="dxa"/>
            <w:tcBorders>
              <w:top w:val="single" w:sz="5" w:space="0" w:color="000000"/>
              <w:left w:val="single" w:sz="5" w:space="0" w:color="000000"/>
              <w:bottom w:val="single" w:sz="5" w:space="0" w:color="000000"/>
              <w:right w:val="single" w:sz="5" w:space="0" w:color="000000"/>
            </w:tcBorders>
          </w:tcPr>
          <w:p w14:paraId="5287EE81"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43D5BD94"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Tachicardia</w:t>
            </w:r>
          </w:p>
        </w:tc>
      </w:tr>
      <w:tr w:rsidR="00F91711" w:rsidRPr="00494E69" w14:paraId="653F5602" w14:textId="77777777" w:rsidTr="00F91711">
        <w:tc>
          <w:tcPr>
            <w:tcW w:w="2599" w:type="dxa"/>
            <w:vMerge/>
            <w:tcBorders>
              <w:left w:val="single" w:sz="5" w:space="0" w:color="000000"/>
              <w:right w:val="single" w:sz="5" w:space="0" w:color="000000"/>
            </w:tcBorders>
          </w:tcPr>
          <w:p w14:paraId="3CC915E7"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right w:val="single" w:sz="5" w:space="0" w:color="000000"/>
            </w:tcBorders>
          </w:tcPr>
          <w:p w14:paraId="095A1683"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right w:val="single" w:sz="5" w:space="0" w:color="000000"/>
            </w:tcBorders>
          </w:tcPr>
          <w:p w14:paraId="601E6007" w14:textId="77777777" w:rsidR="00F91711" w:rsidRPr="00C35766" w:rsidRDefault="00F91711" w:rsidP="00F91711">
            <w:pPr>
              <w:pStyle w:val="TableParagraph"/>
              <w:spacing w:before="7"/>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Infarto del miocardio</w:t>
            </w:r>
            <w:r w:rsidRPr="00C35766">
              <w:rPr>
                <w:rFonts w:ascii="Times New Roman" w:eastAsia="Times New Roman" w:hAnsi="Times New Roman" w:cs="Times New Roman"/>
                <w:vertAlign w:val="superscript"/>
                <w:lang w:val="it-IT"/>
              </w:rPr>
              <w:t>1)</w:t>
            </w:r>
            <w:r w:rsidRPr="00C35766">
              <w:rPr>
                <w:rFonts w:ascii="Times New Roman" w:eastAsia="Times New Roman" w:hAnsi="Times New Roman" w:cs="Times New Roman"/>
                <w:lang w:val="it-IT"/>
              </w:rPr>
              <w:t xml:space="preserve">, </w:t>
            </w:r>
          </w:p>
          <w:p w14:paraId="0856CE7A" w14:textId="77777777" w:rsidR="00F91711" w:rsidRPr="00C35766" w:rsidRDefault="00F91711" w:rsidP="00F91711">
            <w:pPr>
              <w:pStyle w:val="TableParagraph"/>
              <w:spacing w:before="7"/>
              <w:ind w:left="99" w:right="151"/>
              <w:rPr>
                <w:rFonts w:ascii="Times New Roman" w:hAnsi="Times New Roman" w:cs="Times New Roman"/>
                <w:lang w:val="it-IT"/>
              </w:rPr>
            </w:pPr>
            <w:r w:rsidRPr="00C35766">
              <w:rPr>
                <w:rFonts w:ascii="Times New Roman" w:eastAsia="Times New Roman" w:hAnsi="Times New Roman" w:cs="Times New Roman"/>
                <w:lang w:val="it-IT"/>
              </w:rPr>
              <w:t>aritmia,</w:t>
            </w:r>
          </w:p>
          <w:p w14:paraId="053BE14F"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insufficienza cardiaca congestizia</w:t>
            </w:r>
          </w:p>
        </w:tc>
      </w:tr>
      <w:tr w:rsidR="00F91711" w:rsidRPr="00C35766" w14:paraId="13271880" w14:textId="77777777" w:rsidTr="00F91711">
        <w:tc>
          <w:tcPr>
            <w:tcW w:w="2599" w:type="dxa"/>
            <w:vMerge/>
            <w:tcBorders>
              <w:left w:val="single" w:sz="5" w:space="0" w:color="000000"/>
              <w:bottom w:val="single" w:sz="5" w:space="0" w:color="000000"/>
              <w:right w:val="single" w:sz="5" w:space="0" w:color="000000"/>
            </w:tcBorders>
          </w:tcPr>
          <w:p w14:paraId="49D3816A"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52188E8E"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1321CFA1"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Arresto cardiaco</w:t>
            </w:r>
          </w:p>
        </w:tc>
      </w:tr>
      <w:tr w:rsidR="00F91711" w:rsidRPr="00C35766" w14:paraId="354F46A9" w14:textId="77777777" w:rsidTr="00F91711">
        <w:tc>
          <w:tcPr>
            <w:tcW w:w="2599" w:type="dxa"/>
            <w:vMerge w:val="restart"/>
            <w:tcBorders>
              <w:top w:val="single" w:sz="5" w:space="0" w:color="000000"/>
              <w:left w:val="single" w:sz="5" w:space="0" w:color="000000"/>
              <w:right w:val="single" w:sz="5" w:space="0" w:color="000000"/>
            </w:tcBorders>
          </w:tcPr>
          <w:p w14:paraId="5DE3A523"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vascolari</w:t>
            </w:r>
          </w:p>
        </w:tc>
        <w:tc>
          <w:tcPr>
            <w:tcW w:w="2076" w:type="dxa"/>
            <w:tcBorders>
              <w:top w:val="single" w:sz="5" w:space="0" w:color="000000"/>
              <w:left w:val="single" w:sz="5" w:space="0" w:color="000000"/>
              <w:bottom w:val="single" w:sz="5" w:space="0" w:color="000000"/>
              <w:right w:val="single" w:sz="5" w:space="0" w:color="000000"/>
            </w:tcBorders>
          </w:tcPr>
          <w:p w14:paraId="01432A3A"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08B7A5E0"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Ipertensione, </w:t>
            </w:r>
          </w:p>
          <w:p w14:paraId="08633BB3"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vampate, </w:t>
            </w:r>
          </w:p>
          <w:p w14:paraId="61F5FF48"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ematoma</w:t>
            </w:r>
          </w:p>
        </w:tc>
      </w:tr>
      <w:tr w:rsidR="00F91711" w:rsidRPr="00C35766" w14:paraId="5B10E7E8" w14:textId="77777777" w:rsidTr="00F91711">
        <w:tc>
          <w:tcPr>
            <w:tcW w:w="2599" w:type="dxa"/>
            <w:vMerge/>
            <w:tcBorders>
              <w:left w:val="single" w:sz="5" w:space="0" w:color="000000"/>
              <w:bottom w:val="single" w:sz="5" w:space="0" w:color="000000"/>
              <w:right w:val="single" w:sz="5" w:space="0" w:color="000000"/>
            </w:tcBorders>
          </w:tcPr>
          <w:p w14:paraId="3D5686EE"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3B832184"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30A9A29D"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Aneurisma aortico,</w:t>
            </w:r>
          </w:p>
          <w:p w14:paraId="76D03CD2" w14:textId="77777777" w:rsidR="00F91711" w:rsidRPr="00C35766" w:rsidRDefault="00F91711" w:rsidP="00F91711">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occlusione vascolare arteriosa, </w:t>
            </w:r>
          </w:p>
          <w:p w14:paraId="2DBA31B0" w14:textId="77777777" w:rsidR="00F91711" w:rsidRPr="00C35766" w:rsidRDefault="00F91711" w:rsidP="00F91711">
            <w:pPr>
              <w:pStyle w:val="TableParagraph"/>
              <w:spacing w:before="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tromboflebite</w:t>
            </w:r>
          </w:p>
        </w:tc>
      </w:tr>
      <w:tr w:rsidR="00F91711" w:rsidRPr="00C35766" w14:paraId="69FC220A" w14:textId="77777777" w:rsidTr="00F91711">
        <w:tc>
          <w:tcPr>
            <w:tcW w:w="2599" w:type="dxa"/>
            <w:vMerge w:val="restart"/>
            <w:tcBorders>
              <w:top w:val="single" w:sz="5" w:space="0" w:color="000000"/>
              <w:left w:val="single" w:sz="5" w:space="0" w:color="000000"/>
              <w:right w:val="single" w:sz="5" w:space="0" w:color="000000"/>
            </w:tcBorders>
          </w:tcPr>
          <w:p w14:paraId="329D8740" w14:textId="77777777" w:rsidR="00F91711" w:rsidRPr="00C35766" w:rsidRDefault="00F91711" w:rsidP="00F91711">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respiratorie, toraciche e mediastiniche</w:t>
            </w:r>
          </w:p>
        </w:tc>
        <w:tc>
          <w:tcPr>
            <w:tcW w:w="2076" w:type="dxa"/>
            <w:tcBorders>
              <w:top w:val="single" w:sz="5" w:space="0" w:color="000000"/>
              <w:left w:val="single" w:sz="5" w:space="0" w:color="000000"/>
              <w:bottom w:val="single" w:sz="5" w:space="0" w:color="000000"/>
              <w:right w:val="single" w:sz="5" w:space="0" w:color="000000"/>
            </w:tcBorders>
          </w:tcPr>
          <w:p w14:paraId="605A5F2A"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0601C1F3"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Asma, </w:t>
            </w:r>
          </w:p>
          <w:p w14:paraId="0C7A4C24"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dispnea, </w:t>
            </w:r>
          </w:p>
          <w:p w14:paraId="4AC7B1C8"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tosse</w:t>
            </w:r>
          </w:p>
        </w:tc>
      </w:tr>
      <w:tr w:rsidR="00F91711" w:rsidRPr="00C35766" w14:paraId="60AB406B" w14:textId="77777777" w:rsidTr="00F91711">
        <w:tc>
          <w:tcPr>
            <w:tcW w:w="2599" w:type="dxa"/>
            <w:vMerge/>
            <w:tcBorders>
              <w:left w:val="single" w:sz="5" w:space="0" w:color="000000"/>
              <w:right w:val="single" w:sz="5" w:space="0" w:color="000000"/>
            </w:tcBorders>
          </w:tcPr>
          <w:p w14:paraId="08B2D86A"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50251ADF"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3A84B7FA" w14:textId="77777777" w:rsidR="00F91711" w:rsidRPr="00C35766" w:rsidRDefault="00F91711" w:rsidP="00F91711">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Embolia polmonare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1092B8EE" w14:textId="77777777" w:rsidR="00F91711" w:rsidRPr="00C35766" w:rsidRDefault="00F91711" w:rsidP="00F91711">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malattia polmonare interstiziale,</w:t>
            </w:r>
          </w:p>
          <w:p w14:paraId="67CD4465" w14:textId="77777777" w:rsidR="00F91711" w:rsidRPr="00C35766" w:rsidRDefault="00F91711" w:rsidP="00F91711">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polmonare cronica ostruttiva, </w:t>
            </w:r>
          </w:p>
          <w:p w14:paraId="48C5D0E6" w14:textId="77777777" w:rsidR="00F91711" w:rsidRPr="00C35766" w:rsidRDefault="00F91711" w:rsidP="00F91711">
            <w:pPr>
              <w:pStyle w:val="TableParagraph"/>
              <w:spacing w:before="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polmonite,</w:t>
            </w:r>
          </w:p>
          <w:p w14:paraId="67EBEB35"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effusione pleurica</w:t>
            </w:r>
            <w:r w:rsidRPr="00C35766">
              <w:rPr>
                <w:rFonts w:ascii="Times New Roman" w:eastAsia="Times New Roman" w:hAnsi="Times New Roman" w:cs="Times New Roman"/>
                <w:spacing w:val="-1"/>
                <w:vertAlign w:val="superscript"/>
                <w:lang w:val="it-IT"/>
              </w:rPr>
              <w:t>1</w:t>
            </w:r>
          </w:p>
        </w:tc>
      </w:tr>
      <w:tr w:rsidR="00F91711" w:rsidRPr="00C35766" w14:paraId="303C0841" w14:textId="77777777" w:rsidTr="00F91711">
        <w:tc>
          <w:tcPr>
            <w:tcW w:w="2599" w:type="dxa"/>
            <w:vMerge/>
            <w:tcBorders>
              <w:left w:val="single" w:sz="5" w:space="0" w:color="000000"/>
              <w:bottom w:val="single" w:sz="5" w:space="0" w:color="000000"/>
              <w:right w:val="single" w:sz="5" w:space="0" w:color="000000"/>
            </w:tcBorders>
          </w:tcPr>
          <w:p w14:paraId="24D345DA"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582B9522"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1B052A7F"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Fibrosi polmonare</w:t>
            </w:r>
            <w:r w:rsidRPr="00C35766">
              <w:rPr>
                <w:rFonts w:ascii="Times New Roman" w:eastAsia="Times New Roman" w:hAnsi="Times New Roman" w:cs="Times New Roman"/>
                <w:spacing w:val="-1"/>
                <w:vertAlign w:val="superscript"/>
                <w:lang w:val="it-IT"/>
              </w:rPr>
              <w:t>1)</w:t>
            </w:r>
          </w:p>
        </w:tc>
      </w:tr>
      <w:tr w:rsidR="00F91711" w:rsidRPr="006501B3" w14:paraId="7999E7CE" w14:textId="77777777" w:rsidTr="00F91711">
        <w:tc>
          <w:tcPr>
            <w:tcW w:w="2599" w:type="dxa"/>
            <w:vMerge w:val="restart"/>
            <w:tcBorders>
              <w:top w:val="single" w:sz="5" w:space="0" w:color="000000"/>
              <w:left w:val="single" w:sz="5" w:space="0" w:color="000000"/>
              <w:right w:val="single" w:sz="5" w:space="0" w:color="000000"/>
            </w:tcBorders>
          </w:tcPr>
          <w:p w14:paraId="0A156F59"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gastrointestinali</w:t>
            </w:r>
          </w:p>
        </w:tc>
        <w:tc>
          <w:tcPr>
            <w:tcW w:w="2076" w:type="dxa"/>
            <w:tcBorders>
              <w:top w:val="single" w:sz="5" w:space="0" w:color="000000"/>
              <w:left w:val="single" w:sz="5" w:space="0" w:color="000000"/>
              <w:bottom w:val="single" w:sz="5" w:space="0" w:color="000000"/>
              <w:right w:val="single" w:sz="5" w:space="0" w:color="000000"/>
            </w:tcBorders>
          </w:tcPr>
          <w:p w14:paraId="735D529D"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5E375475"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Dolore addominale, </w:t>
            </w:r>
          </w:p>
          <w:p w14:paraId="0BAFFD6D"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nausea e vomito</w:t>
            </w:r>
          </w:p>
        </w:tc>
      </w:tr>
      <w:tr w:rsidR="00F91711" w:rsidRPr="00C35766" w14:paraId="06C79E69" w14:textId="77777777" w:rsidTr="00F91711">
        <w:tc>
          <w:tcPr>
            <w:tcW w:w="2599" w:type="dxa"/>
            <w:vMerge/>
            <w:tcBorders>
              <w:left w:val="single" w:sz="5" w:space="0" w:color="000000"/>
              <w:right w:val="single" w:sz="5" w:space="0" w:color="000000"/>
            </w:tcBorders>
          </w:tcPr>
          <w:p w14:paraId="205EC64B"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6EE9F9D8"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2122C211" w14:textId="77777777" w:rsidR="00F91711" w:rsidRPr="00C35766" w:rsidRDefault="00F91711" w:rsidP="00F91711">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Emorragia gastrointestinale,</w:t>
            </w:r>
          </w:p>
          <w:p w14:paraId="4D7BBD8C"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dispepsia, </w:t>
            </w:r>
          </w:p>
          <w:p w14:paraId="1F23869E"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da reflusso gastroesofageo, </w:t>
            </w:r>
          </w:p>
          <w:p w14:paraId="30F01E50" w14:textId="77777777" w:rsidR="00F91711" w:rsidRPr="00C35766" w:rsidRDefault="00F91711" w:rsidP="00F91711">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sindrome sicca</w:t>
            </w:r>
          </w:p>
        </w:tc>
      </w:tr>
      <w:tr w:rsidR="00F91711" w:rsidRPr="00494E69" w14:paraId="28D5ABF1" w14:textId="77777777" w:rsidTr="00F91711">
        <w:tc>
          <w:tcPr>
            <w:tcW w:w="2599" w:type="dxa"/>
            <w:vMerge/>
            <w:tcBorders>
              <w:left w:val="single" w:sz="5" w:space="0" w:color="000000"/>
              <w:right w:val="single" w:sz="5" w:space="0" w:color="000000"/>
            </w:tcBorders>
          </w:tcPr>
          <w:p w14:paraId="3314D03A" w14:textId="77777777" w:rsidR="00F91711" w:rsidRPr="00C35766" w:rsidRDefault="00F91711" w:rsidP="00F91711">
            <w:pPr>
              <w:rPr>
                <w:rFonts w:ascii="Times New Roman" w:hAnsi="Times New Roman" w:cs="Times New Roman"/>
                <w:lang w:val="pt-BR"/>
              </w:rPr>
            </w:pPr>
          </w:p>
        </w:tc>
        <w:tc>
          <w:tcPr>
            <w:tcW w:w="2076" w:type="dxa"/>
            <w:tcBorders>
              <w:top w:val="single" w:sz="5" w:space="0" w:color="000000"/>
              <w:left w:val="single" w:sz="5" w:space="0" w:color="000000"/>
              <w:bottom w:val="single" w:sz="5" w:space="0" w:color="000000"/>
              <w:right w:val="single" w:sz="5" w:space="0" w:color="000000"/>
            </w:tcBorders>
          </w:tcPr>
          <w:p w14:paraId="40850FBF"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4BB9E196"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Pancreatite, </w:t>
            </w:r>
          </w:p>
          <w:p w14:paraId="3510111B"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disfagia, </w:t>
            </w:r>
          </w:p>
          <w:p w14:paraId="446D1BF0" w14:textId="77777777" w:rsidR="00F91711" w:rsidRPr="004F0B2E" w:rsidRDefault="00F91711" w:rsidP="00F91711">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edema della faccia</w:t>
            </w:r>
          </w:p>
        </w:tc>
      </w:tr>
      <w:tr w:rsidR="00F91711" w:rsidRPr="00C35766" w14:paraId="34648916" w14:textId="77777777" w:rsidTr="00F91711">
        <w:tc>
          <w:tcPr>
            <w:tcW w:w="2599" w:type="dxa"/>
            <w:vMerge/>
            <w:tcBorders>
              <w:left w:val="single" w:sz="5" w:space="0" w:color="000000"/>
              <w:bottom w:val="single" w:sz="5" w:space="0" w:color="000000"/>
              <w:right w:val="single" w:sz="5" w:space="0" w:color="000000"/>
            </w:tcBorders>
          </w:tcPr>
          <w:p w14:paraId="283209A7" w14:textId="77777777" w:rsidR="00F91711" w:rsidRPr="004F0B2E"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22A921FD"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4D89A3FA" w14:textId="77777777" w:rsidR="00F91711" w:rsidRPr="00C35766" w:rsidRDefault="00F91711" w:rsidP="00F91711">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Perforazione intestinale</w:t>
            </w:r>
            <w:r w:rsidRPr="00C35766">
              <w:rPr>
                <w:rFonts w:ascii="Times New Roman" w:eastAsia="Times New Roman" w:hAnsi="Times New Roman" w:cs="Times New Roman"/>
                <w:spacing w:val="-4"/>
                <w:vertAlign w:val="superscript"/>
                <w:lang w:val="it-IT"/>
              </w:rPr>
              <w:t>1)</w:t>
            </w:r>
          </w:p>
        </w:tc>
      </w:tr>
      <w:tr w:rsidR="00F91711" w:rsidRPr="00C35766" w14:paraId="788C0AAE" w14:textId="77777777" w:rsidTr="00F91711">
        <w:tc>
          <w:tcPr>
            <w:tcW w:w="2599" w:type="dxa"/>
            <w:vMerge w:val="restart"/>
            <w:tcBorders>
              <w:top w:val="single" w:sz="5" w:space="0" w:color="000000"/>
              <w:left w:val="single" w:sz="5" w:space="0" w:color="000000"/>
              <w:right w:val="single" w:sz="5" w:space="0" w:color="000000"/>
            </w:tcBorders>
          </w:tcPr>
          <w:p w14:paraId="0FEBCD9D"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Patologie epatobiliari*</w:t>
            </w:r>
          </w:p>
        </w:tc>
        <w:tc>
          <w:tcPr>
            <w:tcW w:w="2076" w:type="dxa"/>
            <w:tcBorders>
              <w:top w:val="single" w:sz="5" w:space="0" w:color="000000"/>
              <w:left w:val="single" w:sz="5" w:space="0" w:color="000000"/>
              <w:bottom w:val="single" w:sz="5" w:space="0" w:color="000000"/>
              <w:right w:val="single" w:sz="5" w:space="0" w:color="000000"/>
            </w:tcBorders>
          </w:tcPr>
          <w:p w14:paraId="643BB17C"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6114DDC0"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Enzimi epatici elevati</w:t>
            </w:r>
          </w:p>
        </w:tc>
      </w:tr>
      <w:tr w:rsidR="00F91711" w:rsidRPr="00C35766" w14:paraId="116CCCA4" w14:textId="77777777" w:rsidTr="00F91711">
        <w:tc>
          <w:tcPr>
            <w:tcW w:w="2599" w:type="dxa"/>
            <w:vMerge/>
            <w:tcBorders>
              <w:left w:val="single" w:sz="5" w:space="0" w:color="000000"/>
              <w:right w:val="single" w:sz="5" w:space="0" w:color="000000"/>
            </w:tcBorders>
          </w:tcPr>
          <w:p w14:paraId="2F829FAF"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4134DAC2"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23B92AAE"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Colecistite e colelitiasi, </w:t>
            </w:r>
          </w:p>
          <w:p w14:paraId="11A725C3" w14:textId="77777777" w:rsidR="00F91711" w:rsidRPr="00C35766" w:rsidRDefault="00F91711" w:rsidP="00F91711">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steatosi epatica, </w:t>
            </w:r>
          </w:p>
          <w:p w14:paraId="5460676E"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aumento della bilirubina</w:t>
            </w:r>
          </w:p>
        </w:tc>
      </w:tr>
      <w:tr w:rsidR="00F91711" w:rsidRPr="006501B3" w14:paraId="396804AC" w14:textId="77777777" w:rsidTr="00F91711">
        <w:tc>
          <w:tcPr>
            <w:tcW w:w="2599" w:type="dxa"/>
            <w:vMerge/>
            <w:tcBorders>
              <w:left w:val="single" w:sz="5" w:space="0" w:color="000000"/>
              <w:right w:val="single" w:sz="5" w:space="0" w:color="000000"/>
            </w:tcBorders>
          </w:tcPr>
          <w:p w14:paraId="15F375B7"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right w:val="single" w:sz="5" w:space="0" w:color="000000"/>
            </w:tcBorders>
          </w:tcPr>
          <w:p w14:paraId="37F7A18E"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right w:val="single" w:sz="5" w:space="0" w:color="000000"/>
            </w:tcBorders>
          </w:tcPr>
          <w:p w14:paraId="31FDA7A4"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Epatite, </w:t>
            </w:r>
          </w:p>
          <w:p w14:paraId="6B151D5C"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riattivazione dell’epatite B</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24144A02" w14:textId="77777777" w:rsidR="00F91711" w:rsidRPr="00C35766" w:rsidRDefault="00F91711" w:rsidP="00F91711">
            <w:pPr>
              <w:pStyle w:val="TableParagraph"/>
              <w:spacing w:before="47"/>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epatite autoimmune</w:t>
            </w:r>
            <w:r w:rsidRPr="00C35766">
              <w:rPr>
                <w:rFonts w:ascii="Times New Roman" w:eastAsia="Times New Roman" w:hAnsi="Times New Roman" w:cs="Times New Roman"/>
                <w:spacing w:val="-1"/>
                <w:vertAlign w:val="superscript"/>
                <w:lang w:val="it-IT"/>
              </w:rPr>
              <w:t>1)</w:t>
            </w:r>
          </w:p>
        </w:tc>
      </w:tr>
      <w:tr w:rsidR="00F91711" w:rsidRPr="00C35766" w14:paraId="73A9E4E3" w14:textId="77777777" w:rsidTr="00F91711">
        <w:tc>
          <w:tcPr>
            <w:tcW w:w="2599" w:type="dxa"/>
            <w:vMerge/>
            <w:tcBorders>
              <w:left w:val="single" w:sz="5" w:space="0" w:color="000000"/>
              <w:bottom w:val="single" w:sz="5" w:space="0" w:color="000000"/>
              <w:right w:val="single" w:sz="5" w:space="0" w:color="000000"/>
            </w:tcBorders>
          </w:tcPr>
          <w:p w14:paraId="6687FB12"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09B7D169"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4574" w:type="dxa"/>
            <w:tcBorders>
              <w:top w:val="single" w:sz="5" w:space="0" w:color="000000"/>
              <w:left w:val="single" w:sz="5" w:space="0" w:color="000000"/>
              <w:bottom w:val="single" w:sz="5" w:space="0" w:color="000000"/>
              <w:right w:val="single" w:sz="5" w:space="0" w:color="000000"/>
            </w:tcBorders>
          </w:tcPr>
          <w:p w14:paraId="6BE963E3" w14:textId="77777777" w:rsidR="00F91711" w:rsidRPr="00C35766" w:rsidRDefault="00F91711" w:rsidP="00F91711">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Insufficienza epatica</w:t>
            </w:r>
            <w:r w:rsidRPr="00C35766">
              <w:rPr>
                <w:rFonts w:ascii="Times New Roman" w:eastAsia="Times New Roman" w:hAnsi="Times New Roman" w:cs="Times New Roman"/>
                <w:spacing w:val="-1"/>
                <w:vertAlign w:val="superscript"/>
                <w:lang w:val="it-IT"/>
              </w:rPr>
              <w:t>1)</w:t>
            </w:r>
          </w:p>
        </w:tc>
      </w:tr>
      <w:tr w:rsidR="00F91711" w:rsidRPr="00494E69" w14:paraId="57CF8C39" w14:textId="77777777" w:rsidTr="00F91711">
        <w:tc>
          <w:tcPr>
            <w:tcW w:w="2599" w:type="dxa"/>
            <w:vMerge w:val="restart"/>
            <w:tcBorders>
              <w:top w:val="single" w:sz="5" w:space="0" w:color="000000"/>
              <w:left w:val="single" w:sz="5" w:space="0" w:color="000000"/>
              <w:right w:val="single" w:sz="5" w:space="0" w:color="000000"/>
            </w:tcBorders>
          </w:tcPr>
          <w:p w14:paraId="57BEC82F" w14:textId="77777777" w:rsidR="00F91711" w:rsidRPr="00C35766" w:rsidRDefault="00F91711" w:rsidP="00F91711">
            <w:pPr>
              <w:pStyle w:val="TableParagraph"/>
              <w:spacing w:before="56"/>
              <w:ind w:left="102" w:right="11"/>
              <w:rPr>
                <w:rFonts w:ascii="Times New Roman" w:hAnsi="Times New Roman" w:cs="Times New Roman"/>
                <w:lang w:val="it-IT"/>
              </w:rPr>
            </w:pPr>
            <w:r w:rsidRPr="00C35766">
              <w:rPr>
                <w:rFonts w:ascii="Times New Roman" w:eastAsia="Times New Roman" w:hAnsi="Times New Roman" w:cs="Times New Roman"/>
                <w:spacing w:val="-1"/>
                <w:lang w:val="it-IT"/>
              </w:rPr>
              <w:t>Patologie della cute e del tessuto sottocutaneo</w:t>
            </w:r>
          </w:p>
        </w:tc>
        <w:tc>
          <w:tcPr>
            <w:tcW w:w="2076" w:type="dxa"/>
            <w:tcBorders>
              <w:top w:val="single" w:sz="5" w:space="0" w:color="000000"/>
              <w:left w:val="single" w:sz="5" w:space="0" w:color="000000"/>
              <w:bottom w:val="single" w:sz="5" w:space="0" w:color="000000"/>
              <w:right w:val="single" w:sz="5" w:space="0" w:color="000000"/>
            </w:tcBorders>
          </w:tcPr>
          <w:p w14:paraId="4D128652"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5AB7CA0F" w14:textId="77777777" w:rsidR="00F91711" w:rsidRPr="00C35766" w:rsidRDefault="00F91711" w:rsidP="00F91711">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Eruzione cutanea (compresa eruzione esfoliativa)</w:t>
            </w:r>
          </w:p>
        </w:tc>
      </w:tr>
      <w:tr w:rsidR="00F91711" w:rsidRPr="00C35766" w14:paraId="380D1605" w14:textId="77777777" w:rsidTr="00F91711">
        <w:tc>
          <w:tcPr>
            <w:tcW w:w="2599" w:type="dxa"/>
            <w:vMerge/>
            <w:tcBorders>
              <w:left w:val="single" w:sz="5" w:space="0" w:color="000000"/>
              <w:right w:val="single" w:sz="5" w:space="0" w:color="000000"/>
            </w:tcBorders>
          </w:tcPr>
          <w:p w14:paraId="50433A54" w14:textId="77777777" w:rsidR="00F91711" w:rsidRPr="00C35766" w:rsidRDefault="00F91711" w:rsidP="00F91711">
            <w:pPr>
              <w:rPr>
                <w:rFonts w:ascii="Times New Roman" w:hAnsi="Times New Roman" w:cs="Times New Roman"/>
                <w:lang w:val="pt-BR"/>
              </w:rPr>
            </w:pPr>
          </w:p>
        </w:tc>
        <w:tc>
          <w:tcPr>
            <w:tcW w:w="2076" w:type="dxa"/>
            <w:tcBorders>
              <w:top w:val="single" w:sz="5" w:space="0" w:color="000000"/>
              <w:left w:val="single" w:sz="5" w:space="0" w:color="000000"/>
              <w:bottom w:val="single" w:sz="5" w:space="0" w:color="000000"/>
              <w:right w:val="single" w:sz="5" w:space="0" w:color="000000"/>
            </w:tcBorders>
          </w:tcPr>
          <w:p w14:paraId="3E217744"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24E941DF"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lang w:val="it-IT"/>
              </w:rPr>
              <w:t xml:space="preserve">Peggioramento o nuova insorgenza di psoriasi (tra cui </w:t>
            </w:r>
            <w:r w:rsidRPr="00C35766">
              <w:rPr>
                <w:rFonts w:ascii="Times New Roman" w:eastAsia="Times New Roman" w:hAnsi="Times New Roman" w:cs="Times New Roman"/>
                <w:spacing w:val="-1"/>
                <w:lang w:val="it-IT"/>
              </w:rPr>
              <w:t>psoriasi pustolosa palmoplantare)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2390DD82"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orticaria,</w:t>
            </w:r>
          </w:p>
          <w:p w14:paraId="078E815F" w14:textId="77777777" w:rsidR="00F91711" w:rsidRPr="00C35766" w:rsidRDefault="00F91711" w:rsidP="00F91711">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lividi (tra cui porpora),</w:t>
            </w:r>
          </w:p>
          <w:p w14:paraId="0105D562" w14:textId="77777777" w:rsidR="00F91711" w:rsidRPr="00C35766" w:rsidRDefault="00F91711" w:rsidP="00F91711">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dermatite (tra cui eczema), </w:t>
            </w:r>
          </w:p>
          <w:p w14:paraId="57D7C919" w14:textId="77777777" w:rsidR="00F91711" w:rsidRPr="00C35766" w:rsidRDefault="00F91711" w:rsidP="00F91711">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onicoclasia,</w:t>
            </w:r>
          </w:p>
          <w:p w14:paraId="0C4A9C47"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iperidrosi,</w:t>
            </w:r>
          </w:p>
          <w:p w14:paraId="255A06B8" w14:textId="77777777" w:rsidR="00F91711" w:rsidRPr="00C35766" w:rsidRDefault="00F91711" w:rsidP="00F91711">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alopecia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09C079CB" w14:textId="77777777" w:rsidR="00F91711" w:rsidRPr="00C35766" w:rsidRDefault="00F91711" w:rsidP="00F91711">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prurito</w:t>
            </w:r>
          </w:p>
        </w:tc>
      </w:tr>
      <w:tr w:rsidR="00F91711" w:rsidRPr="00C35766" w14:paraId="5DA5CF87" w14:textId="77777777" w:rsidTr="00F91711">
        <w:tc>
          <w:tcPr>
            <w:tcW w:w="2599" w:type="dxa"/>
            <w:vMerge/>
            <w:tcBorders>
              <w:left w:val="single" w:sz="5" w:space="0" w:color="000000"/>
              <w:right w:val="single" w:sz="5" w:space="0" w:color="000000"/>
            </w:tcBorders>
          </w:tcPr>
          <w:p w14:paraId="69129D46"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0A287002"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4C5DAD94"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Sudorazione notturna,</w:t>
            </w:r>
          </w:p>
          <w:p w14:paraId="40D8F117" w14:textId="77777777" w:rsidR="00F91711" w:rsidRPr="00C35766" w:rsidRDefault="00F91711" w:rsidP="00F91711">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lang w:val="it-IT"/>
              </w:rPr>
              <w:t>cicatrice</w:t>
            </w:r>
          </w:p>
        </w:tc>
      </w:tr>
      <w:tr w:rsidR="00F91711" w:rsidRPr="00494E69" w14:paraId="12C5615C" w14:textId="77777777" w:rsidTr="00F91711">
        <w:tc>
          <w:tcPr>
            <w:tcW w:w="2599" w:type="dxa"/>
            <w:vMerge/>
            <w:tcBorders>
              <w:left w:val="single" w:sz="5" w:space="0" w:color="000000"/>
              <w:right w:val="single" w:sz="5" w:space="0" w:color="000000"/>
            </w:tcBorders>
          </w:tcPr>
          <w:p w14:paraId="3D175585"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4338A33C"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6EDB1F6B" w14:textId="77777777" w:rsidR="00F91711" w:rsidRPr="00C35766" w:rsidRDefault="00F91711" w:rsidP="00F91711">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Eritema multiforme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675137EA" w14:textId="77777777" w:rsidR="00F91711" w:rsidRPr="00C35766" w:rsidRDefault="00F91711" w:rsidP="00F91711">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sindrome di Stevens-Johnson</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31DB0984" w14:textId="77777777" w:rsidR="00F91711" w:rsidRPr="00C35766" w:rsidRDefault="00F91711" w:rsidP="00F91711">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angioedema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3B08C9F2" w14:textId="77777777" w:rsidR="00F91711" w:rsidRPr="00C35766" w:rsidRDefault="00F91711" w:rsidP="00F91711">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vasculite cutanea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5B381D35" w14:textId="77777777" w:rsidR="00F91711" w:rsidRPr="00C35766" w:rsidRDefault="00F91711" w:rsidP="00F91711">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reazione cutanea lichenoide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F91711" w:rsidRPr="00494E69" w14:paraId="3C78869B" w14:textId="77777777" w:rsidTr="00F91711">
        <w:tc>
          <w:tcPr>
            <w:tcW w:w="2599" w:type="dxa"/>
            <w:vMerge/>
            <w:tcBorders>
              <w:left w:val="single" w:sz="5" w:space="0" w:color="000000"/>
              <w:bottom w:val="single" w:sz="5" w:space="0" w:color="000000"/>
              <w:right w:val="single" w:sz="5" w:space="0" w:color="000000"/>
            </w:tcBorders>
          </w:tcPr>
          <w:p w14:paraId="3934B780" w14:textId="77777777" w:rsidR="00F91711" w:rsidRPr="00C35766" w:rsidRDefault="00F91711" w:rsidP="00F91711">
            <w:pPr>
              <w:rPr>
                <w:rFonts w:ascii="Times New Roman" w:hAnsi="Times New Roman" w:cs="Times New Roman"/>
                <w:lang w:val="pt-BR"/>
              </w:rPr>
            </w:pPr>
          </w:p>
        </w:tc>
        <w:tc>
          <w:tcPr>
            <w:tcW w:w="2076" w:type="dxa"/>
            <w:tcBorders>
              <w:top w:val="single" w:sz="5" w:space="0" w:color="000000"/>
              <w:left w:val="single" w:sz="5" w:space="0" w:color="000000"/>
              <w:bottom w:val="single" w:sz="5" w:space="0" w:color="000000"/>
              <w:right w:val="single" w:sz="5" w:space="0" w:color="000000"/>
            </w:tcBorders>
          </w:tcPr>
          <w:p w14:paraId="3670825E"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4574" w:type="dxa"/>
            <w:tcBorders>
              <w:top w:val="single" w:sz="5" w:space="0" w:color="000000"/>
              <w:left w:val="single" w:sz="5" w:space="0" w:color="000000"/>
              <w:bottom w:val="single" w:sz="5" w:space="0" w:color="000000"/>
              <w:right w:val="single" w:sz="5" w:space="0" w:color="000000"/>
            </w:tcBorders>
          </w:tcPr>
          <w:p w14:paraId="154613F6" w14:textId="77777777" w:rsidR="00F91711" w:rsidRPr="00C35766" w:rsidRDefault="00F91711" w:rsidP="00F91711">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Peggioramento dei sintomi di dermatomiosite</w:t>
            </w:r>
            <w:r w:rsidRPr="00C35766">
              <w:rPr>
                <w:rFonts w:ascii="Times New Roman" w:eastAsia="Times New Roman" w:hAnsi="Times New Roman" w:cs="Times New Roman"/>
                <w:vertAlign w:val="superscript"/>
                <w:lang w:val="it-IT"/>
              </w:rPr>
              <w:t>1)</w:t>
            </w:r>
          </w:p>
        </w:tc>
      </w:tr>
      <w:tr w:rsidR="00F91711" w:rsidRPr="00C35766" w14:paraId="37B1897A" w14:textId="77777777" w:rsidTr="00F91711">
        <w:tc>
          <w:tcPr>
            <w:tcW w:w="2599" w:type="dxa"/>
            <w:vMerge w:val="restart"/>
            <w:tcBorders>
              <w:top w:val="single" w:sz="5" w:space="0" w:color="000000"/>
              <w:left w:val="single" w:sz="5" w:space="0" w:color="000000"/>
              <w:right w:val="single" w:sz="5" w:space="0" w:color="000000"/>
            </w:tcBorders>
          </w:tcPr>
          <w:p w14:paraId="76D0B1A9" w14:textId="77777777" w:rsidR="00F91711" w:rsidRPr="00C35766" w:rsidRDefault="00F91711" w:rsidP="00F91711">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 sistema muscoloscheletrico e del tessuto connettivo</w:t>
            </w:r>
          </w:p>
        </w:tc>
        <w:tc>
          <w:tcPr>
            <w:tcW w:w="2076" w:type="dxa"/>
            <w:tcBorders>
              <w:top w:val="single" w:sz="5" w:space="0" w:color="000000"/>
              <w:left w:val="single" w:sz="5" w:space="0" w:color="000000"/>
              <w:bottom w:val="single" w:sz="5" w:space="0" w:color="000000"/>
              <w:right w:val="single" w:sz="5" w:space="0" w:color="000000"/>
            </w:tcBorders>
          </w:tcPr>
          <w:p w14:paraId="3F3C99EE"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bottom w:val="single" w:sz="5" w:space="0" w:color="000000"/>
              <w:right w:val="single" w:sz="5" w:space="0" w:color="000000"/>
            </w:tcBorders>
          </w:tcPr>
          <w:p w14:paraId="12EA0AEB"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lang w:val="it-IT"/>
              </w:rPr>
              <w:t>Dolore muscoloscheletrico</w:t>
            </w:r>
          </w:p>
        </w:tc>
      </w:tr>
      <w:tr w:rsidR="00F91711" w:rsidRPr="00494E69" w14:paraId="3D4DBF41" w14:textId="77777777" w:rsidTr="00F91711">
        <w:tc>
          <w:tcPr>
            <w:tcW w:w="2599" w:type="dxa"/>
            <w:vMerge/>
            <w:tcBorders>
              <w:left w:val="single" w:sz="5" w:space="0" w:color="000000"/>
              <w:right w:val="single" w:sz="5" w:space="0" w:color="000000"/>
            </w:tcBorders>
          </w:tcPr>
          <w:p w14:paraId="30F3D853"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15BEBB2D"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511F6AB7" w14:textId="77777777" w:rsidR="00F91711" w:rsidRPr="00C35766" w:rsidRDefault="00F91711" w:rsidP="00F91711">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lang w:val="it-IT"/>
              </w:rPr>
              <w:t>Spasmi muscolari (tra cui aumento della creatinfosfochinasi ematica)</w:t>
            </w:r>
          </w:p>
        </w:tc>
      </w:tr>
      <w:tr w:rsidR="00F91711" w:rsidRPr="00C35766" w14:paraId="7EE1013C" w14:textId="77777777" w:rsidTr="00F91711">
        <w:tc>
          <w:tcPr>
            <w:tcW w:w="2599" w:type="dxa"/>
            <w:vMerge/>
            <w:tcBorders>
              <w:left w:val="single" w:sz="5" w:space="0" w:color="000000"/>
              <w:right w:val="single" w:sz="5" w:space="0" w:color="000000"/>
            </w:tcBorders>
          </w:tcPr>
          <w:p w14:paraId="6AAEF31B" w14:textId="77777777" w:rsidR="00F91711" w:rsidRPr="00C35766" w:rsidRDefault="00F91711" w:rsidP="00F91711">
            <w:pPr>
              <w:rPr>
                <w:rFonts w:ascii="Times New Roman" w:hAnsi="Times New Roman" w:cs="Times New Roman"/>
                <w:lang w:val="it-IT"/>
              </w:rPr>
            </w:pPr>
          </w:p>
        </w:tc>
        <w:tc>
          <w:tcPr>
            <w:tcW w:w="2076" w:type="dxa"/>
            <w:tcBorders>
              <w:top w:val="single" w:sz="5" w:space="0" w:color="000000"/>
              <w:left w:val="single" w:sz="5" w:space="0" w:color="000000"/>
              <w:bottom w:val="single" w:sz="5" w:space="0" w:color="000000"/>
              <w:right w:val="single" w:sz="5" w:space="0" w:color="000000"/>
            </w:tcBorders>
          </w:tcPr>
          <w:p w14:paraId="54B1527C"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31B64CAB"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Rabdomiolisi,</w:t>
            </w:r>
          </w:p>
          <w:p w14:paraId="39A80BFF" w14:textId="77777777" w:rsidR="00F91711" w:rsidRPr="00C35766" w:rsidRDefault="00F91711" w:rsidP="00F91711">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lupus eritematoso sistemico</w:t>
            </w:r>
          </w:p>
        </w:tc>
      </w:tr>
      <w:tr w:rsidR="00F91711" w:rsidRPr="00C35766" w14:paraId="742C2F30" w14:textId="77777777" w:rsidTr="00F91711">
        <w:tc>
          <w:tcPr>
            <w:tcW w:w="2599" w:type="dxa"/>
            <w:vMerge/>
            <w:tcBorders>
              <w:left w:val="single" w:sz="5" w:space="0" w:color="000000"/>
              <w:bottom w:val="single" w:sz="5" w:space="0" w:color="000000"/>
              <w:right w:val="single" w:sz="5" w:space="0" w:color="000000"/>
            </w:tcBorders>
          </w:tcPr>
          <w:p w14:paraId="18F96591"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32BA2E70"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4574" w:type="dxa"/>
            <w:tcBorders>
              <w:top w:val="single" w:sz="5" w:space="0" w:color="000000"/>
              <w:left w:val="single" w:sz="5" w:space="0" w:color="000000"/>
              <w:bottom w:val="single" w:sz="5" w:space="0" w:color="000000"/>
              <w:right w:val="single" w:sz="5" w:space="0" w:color="000000"/>
            </w:tcBorders>
          </w:tcPr>
          <w:p w14:paraId="2B945275"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Sindrome simile al lupus</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F91711" w:rsidRPr="00C35766" w14:paraId="15CF90EC" w14:textId="77777777" w:rsidTr="00F91711">
        <w:tc>
          <w:tcPr>
            <w:tcW w:w="2599" w:type="dxa"/>
            <w:vMerge w:val="restart"/>
            <w:tcBorders>
              <w:top w:val="single" w:sz="5" w:space="0" w:color="000000"/>
              <w:left w:val="single" w:sz="5" w:space="0" w:color="000000"/>
              <w:right w:val="single" w:sz="5" w:space="0" w:color="000000"/>
            </w:tcBorders>
          </w:tcPr>
          <w:p w14:paraId="5E1B38BA" w14:textId="77777777" w:rsidR="00F91711" w:rsidRPr="00C35766" w:rsidRDefault="00F91711" w:rsidP="00F91711">
            <w:pPr>
              <w:pStyle w:val="TableParagraph"/>
              <w:spacing w:before="56"/>
              <w:ind w:left="102" w:right="196"/>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renali e urinarie</w:t>
            </w:r>
          </w:p>
        </w:tc>
        <w:tc>
          <w:tcPr>
            <w:tcW w:w="2076" w:type="dxa"/>
            <w:tcBorders>
              <w:top w:val="single" w:sz="5" w:space="0" w:color="000000"/>
              <w:left w:val="single" w:sz="5" w:space="0" w:color="000000"/>
              <w:bottom w:val="single" w:sz="5" w:space="0" w:color="000000"/>
              <w:right w:val="single" w:sz="5" w:space="0" w:color="000000"/>
            </w:tcBorders>
          </w:tcPr>
          <w:p w14:paraId="555C0DD0"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478AC106" w14:textId="77777777" w:rsidR="00F91711" w:rsidRPr="00C35766" w:rsidRDefault="00F91711" w:rsidP="00F91711">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Compromissione renale, </w:t>
            </w:r>
          </w:p>
          <w:p w14:paraId="311BE291"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ematuria</w:t>
            </w:r>
          </w:p>
        </w:tc>
      </w:tr>
      <w:tr w:rsidR="00F91711" w:rsidRPr="00C35766" w14:paraId="366C95C9" w14:textId="77777777" w:rsidTr="00F91711">
        <w:tc>
          <w:tcPr>
            <w:tcW w:w="2599" w:type="dxa"/>
            <w:vMerge/>
            <w:tcBorders>
              <w:left w:val="single" w:sz="5" w:space="0" w:color="000000"/>
              <w:bottom w:val="single" w:sz="5" w:space="0" w:color="000000"/>
              <w:right w:val="single" w:sz="5" w:space="0" w:color="000000"/>
            </w:tcBorders>
          </w:tcPr>
          <w:p w14:paraId="56F762B5"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6B92A3B3"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739F0415"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Nicturia</w:t>
            </w:r>
          </w:p>
        </w:tc>
      </w:tr>
      <w:tr w:rsidR="00F91711" w:rsidRPr="00C35766" w14:paraId="7B617ADE" w14:textId="77777777" w:rsidTr="00F91711">
        <w:tc>
          <w:tcPr>
            <w:tcW w:w="2599" w:type="dxa"/>
            <w:tcBorders>
              <w:top w:val="single" w:sz="5" w:space="0" w:color="000000"/>
              <w:left w:val="single" w:sz="5" w:space="0" w:color="000000"/>
              <w:bottom w:val="single" w:sz="5" w:space="0" w:color="000000"/>
              <w:right w:val="single" w:sz="5" w:space="0" w:color="000000"/>
            </w:tcBorders>
          </w:tcPr>
          <w:p w14:paraId="7EBB191B" w14:textId="77777777" w:rsidR="00F91711" w:rsidRPr="00C35766" w:rsidRDefault="00F91711" w:rsidP="00F91711">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dell’apparato riproduttivo e della mammella</w:t>
            </w:r>
          </w:p>
        </w:tc>
        <w:tc>
          <w:tcPr>
            <w:tcW w:w="2076" w:type="dxa"/>
            <w:tcBorders>
              <w:top w:val="single" w:sz="5" w:space="0" w:color="000000"/>
              <w:left w:val="single" w:sz="5" w:space="0" w:color="000000"/>
              <w:bottom w:val="single" w:sz="5" w:space="0" w:color="000000"/>
              <w:right w:val="single" w:sz="5" w:space="0" w:color="000000"/>
            </w:tcBorders>
          </w:tcPr>
          <w:p w14:paraId="6ABF1FE2"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413723B4" w14:textId="77777777" w:rsidR="00F91711" w:rsidRPr="00C35766" w:rsidRDefault="00F91711" w:rsidP="00F91711">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Disfunzione erettile</w:t>
            </w:r>
          </w:p>
        </w:tc>
      </w:tr>
      <w:tr w:rsidR="00F91711" w:rsidRPr="00494E69" w14:paraId="30AEFE03" w14:textId="77777777" w:rsidTr="00F91711">
        <w:tc>
          <w:tcPr>
            <w:tcW w:w="2599" w:type="dxa"/>
            <w:vMerge w:val="restart"/>
            <w:tcBorders>
              <w:top w:val="single" w:sz="5" w:space="0" w:color="000000"/>
              <w:left w:val="single" w:sz="5" w:space="0" w:color="000000"/>
              <w:right w:val="single" w:sz="5" w:space="0" w:color="000000"/>
            </w:tcBorders>
          </w:tcPr>
          <w:p w14:paraId="65B3859E" w14:textId="2BB48BA7" w:rsidR="00F91711" w:rsidRPr="00C35766" w:rsidRDefault="00F91711" w:rsidP="00F91711">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Patologie </w:t>
            </w:r>
            <w:r w:rsidR="00803155">
              <w:rPr>
                <w:rFonts w:ascii="Times New Roman" w:eastAsia="Times New Roman" w:hAnsi="Times New Roman" w:cs="Times New Roman"/>
                <w:spacing w:val="-1"/>
                <w:lang w:val="it-IT"/>
              </w:rPr>
              <w:t>generali</w:t>
            </w:r>
            <w:r w:rsidRPr="00C35766">
              <w:rPr>
                <w:rFonts w:ascii="Times New Roman" w:eastAsia="Times New Roman" w:hAnsi="Times New Roman" w:cs="Times New Roman"/>
                <w:spacing w:val="-1"/>
                <w:lang w:val="it-IT"/>
              </w:rPr>
              <w:t xml:space="preserve"> e condizioni relative alla sede</w:t>
            </w:r>
          </w:p>
          <w:p w14:paraId="3319D8B0" w14:textId="77777777" w:rsidR="00F91711" w:rsidRPr="00BD232C" w:rsidRDefault="00F91711" w:rsidP="00F91711">
            <w:pPr>
              <w:pStyle w:val="TableParagraph"/>
              <w:ind w:left="102"/>
              <w:rPr>
                <w:rFonts w:ascii="Times New Roman" w:eastAsia="Times New Roman" w:hAnsi="Times New Roman" w:cs="Times New Roman"/>
                <w:lang w:val="fr-CA"/>
              </w:rPr>
            </w:pPr>
            <w:r w:rsidRPr="00C35766">
              <w:rPr>
                <w:rFonts w:ascii="Times New Roman" w:eastAsia="Times New Roman" w:hAnsi="Times New Roman" w:cs="Times New Roman"/>
                <w:spacing w:val="-1"/>
                <w:lang w:val="it-IT"/>
              </w:rPr>
              <w:t>di somministrazione*</w:t>
            </w:r>
          </w:p>
        </w:tc>
        <w:tc>
          <w:tcPr>
            <w:tcW w:w="2076" w:type="dxa"/>
            <w:tcBorders>
              <w:top w:val="single" w:sz="5" w:space="0" w:color="000000"/>
              <w:left w:val="single" w:sz="5" w:space="0" w:color="000000"/>
              <w:right w:val="single" w:sz="5" w:space="0" w:color="000000"/>
            </w:tcBorders>
          </w:tcPr>
          <w:p w14:paraId="019AAD0F"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4574" w:type="dxa"/>
            <w:tcBorders>
              <w:top w:val="single" w:sz="5" w:space="0" w:color="000000"/>
              <w:left w:val="single" w:sz="5" w:space="0" w:color="000000"/>
              <w:right w:val="single" w:sz="5" w:space="0" w:color="000000"/>
            </w:tcBorders>
          </w:tcPr>
          <w:p w14:paraId="25EDD91D" w14:textId="77777777" w:rsidR="00F91711" w:rsidRPr="00C35766" w:rsidRDefault="00F91711" w:rsidP="00F91711">
            <w:pPr>
              <w:pStyle w:val="TableParagraph"/>
              <w:spacing w:before="53"/>
              <w:ind w:left="99" w:right="151"/>
              <w:rPr>
                <w:rFonts w:ascii="Times New Roman" w:eastAsia="Times New Roman" w:hAnsi="Times New Roman" w:cs="Times New Roman"/>
                <w:lang w:val="es-ES"/>
              </w:rPr>
            </w:pPr>
            <w:r w:rsidRPr="00C35766">
              <w:rPr>
                <w:rFonts w:ascii="Times New Roman" w:eastAsia="Times New Roman" w:hAnsi="Times New Roman" w:cs="Times New Roman"/>
                <w:spacing w:val="-4"/>
                <w:lang w:val="it-IT"/>
              </w:rPr>
              <w:t xml:space="preserve">Reazione al  sito di iniezione (tra cui eritema al sito di iniezione) </w:t>
            </w:r>
            <w:r w:rsidRPr="00C35766">
              <w:rPr>
                <w:rFonts w:ascii="Times New Roman" w:eastAsia="Times New Roman" w:hAnsi="Times New Roman" w:cs="Times New Roman"/>
                <w:spacing w:val="-1"/>
                <w:lang w:val="it-IT"/>
              </w:rPr>
              <w:t> </w:t>
            </w:r>
          </w:p>
        </w:tc>
      </w:tr>
      <w:tr w:rsidR="00F91711" w:rsidRPr="00C35766" w14:paraId="0651E35B" w14:textId="77777777" w:rsidTr="00F91711">
        <w:tc>
          <w:tcPr>
            <w:tcW w:w="2599" w:type="dxa"/>
            <w:vMerge/>
            <w:tcBorders>
              <w:left w:val="single" w:sz="5" w:space="0" w:color="000000"/>
              <w:right w:val="single" w:sz="5" w:space="0" w:color="000000"/>
            </w:tcBorders>
          </w:tcPr>
          <w:p w14:paraId="44537B37" w14:textId="77777777" w:rsidR="00F91711" w:rsidRPr="00C35766" w:rsidRDefault="00F91711" w:rsidP="00F91711">
            <w:pPr>
              <w:rPr>
                <w:rFonts w:ascii="Times New Roman" w:hAnsi="Times New Roman" w:cs="Times New Roman"/>
                <w:lang w:val="es-ES"/>
              </w:rPr>
            </w:pPr>
          </w:p>
        </w:tc>
        <w:tc>
          <w:tcPr>
            <w:tcW w:w="2076" w:type="dxa"/>
            <w:tcBorders>
              <w:top w:val="single" w:sz="5" w:space="0" w:color="000000"/>
              <w:left w:val="single" w:sz="5" w:space="0" w:color="000000"/>
              <w:bottom w:val="single" w:sz="5" w:space="0" w:color="000000"/>
              <w:right w:val="single" w:sz="5" w:space="0" w:color="000000"/>
            </w:tcBorders>
          </w:tcPr>
          <w:p w14:paraId="51AABF10"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1E70B550"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Dolore toracico,</w:t>
            </w:r>
          </w:p>
          <w:p w14:paraId="64E87223" w14:textId="77777777" w:rsidR="00F91711" w:rsidRPr="00C35766" w:rsidRDefault="00F91711" w:rsidP="00F91711">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edema, </w:t>
            </w:r>
          </w:p>
          <w:p w14:paraId="446F8BC5"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piressia</w:t>
            </w:r>
            <w:r w:rsidRPr="00C35766">
              <w:rPr>
                <w:rFonts w:ascii="Times New Roman" w:eastAsia="Times New Roman" w:hAnsi="Times New Roman" w:cs="Times New Roman"/>
                <w:spacing w:val="-1"/>
                <w:vertAlign w:val="superscript"/>
                <w:lang w:val="it-IT"/>
              </w:rPr>
              <w:t>1)</w:t>
            </w:r>
          </w:p>
        </w:tc>
      </w:tr>
      <w:tr w:rsidR="00F91711" w:rsidRPr="00C35766" w14:paraId="301E3FF6" w14:textId="77777777" w:rsidTr="00F91711">
        <w:tc>
          <w:tcPr>
            <w:tcW w:w="2599" w:type="dxa"/>
            <w:vMerge/>
            <w:tcBorders>
              <w:left w:val="single" w:sz="5" w:space="0" w:color="000000"/>
              <w:bottom w:val="single" w:sz="5" w:space="0" w:color="000000"/>
              <w:right w:val="single" w:sz="5" w:space="0" w:color="000000"/>
            </w:tcBorders>
          </w:tcPr>
          <w:p w14:paraId="0E8BC4EC" w14:textId="77777777" w:rsidR="00F91711" w:rsidRPr="00C35766" w:rsidRDefault="00F91711" w:rsidP="00F91711">
            <w:pPr>
              <w:rPr>
                <w:rFonts w:ascii="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230E4151"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4574" w:type="dxa"/>
            <w:tcBorders>
              <w:top w:val="single" w:sz="5" w:space="0" w:color="000000"/>
              <w:left w:val="single" w:sz="5" w:space="0" w:color="000000"/>
              <w:bottom w:val="single" w:sz="5" w:space="0" w:color="000000"/>
              <w:right w:val="single" w:sz="5" w:space="0" w:color="000000"/>
            </w:tcBorders>
          </w:tcPr>
          <w:p w14:paraId="74EC8103" w14:textId="77777777" w:rsidR="00F91711" w:rsidRPr="00C35766" w:rsidRDefault="00F91711" w:rsidP="00F91711">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Infiammazione</w:t>
            </w:r>
          </w:p>
        </w:tc>
      </w:tr>
      <w:tr w:rsidR="00F91711" w:rsidRPr="00494E69" w14:paraId="62BBB7AD" w14:textId="77777777" w:rsidTr="00F91711">
        <w:tc>
          <w:tcPr>
            <w:tcW w:w="2599" w:type="dxa"/>
            <w:vMerge w:val="restart"/>
            <w:tcBorders>
              <w:top w:val="single" w:sz="5" w:space="0" w:color="000000"/>
              <w:left w:val="single" w:sz="5" w:space="0" w:color="000000"/>
              <w:right w:val="single" w:sz="5" w:space="0" w:color="000000"/>
            </w:tcBorders>
          </w:tcPr>
          <w:p w14:paraId="13887B30"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4"/>
                <w:lang w:val="it-IT"/>
              </w:rPr>
              <w:t>Esami diagnostici*</w:t>
            </w:r>
          </w:p>
          <w:p w14:paraId="75EAAA77" w14:textId="77777777" w:rsidR="00F91711" w:rsidRPr="00C35766" w:rsidRDefault="00F91711" w:rsidP="00F91711">
            <w:pPr>
              <w:pStyle w:val="TableParagraph"/>
              <w:spacing w:before="53"/>
              <w:ind w:left="102"/>
              <w:rPr>
                <w:rFonts w:ascii="Times New Roman" w:eastAsia="Times New Roman" w:hAnsi="Times New Roman" w:cs="Times New Roman"/>
              </w:rPr>
            </w:pPr>
          </w:p>
        </w:tc>
        <w:tc>
          <w:tcPr>
            <w:tcW w:w="2076" w:type="dxa"/>
            <w:tcBorders>
              <w:top w:val="single" w:sz="5" w:space="0" w:color="000000"/>
              <w:left w:val="single" w:sz="5" w:space="0" w:color="000000"/>
              <w:bottom w:val="single" w:sz="5" w:space="0" w:color="000000"/>
              <w:right w:val="single" w:sz="5" w:space="0" w:color="000000"/>
            </w:tcBorders>
          </w:tcPr>
          <w:p w14:paraId="469A82C1"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3096F2C4" w14:textId="77777777" w:rsidR="00F91711" w:rsidRPr="00C35766" w:rsidRDefault="00F91711" w:rsidP="00F91711">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Disturbi della coagulazione e disturbi emorragici (tra cui prolungamento del tempo di tromboplastina parziale attivata), </w:t>
            </w:r>
          </w:p>
          <w:p w14:paraId="29EC1C13" w14:textId="77777777" w:rsidR="00F91711" w:rsidRPr="00C35766" w:rsidRDefault="00F91711" w:rsidP="00F91711">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positività ai test per autoanticorpi (tra cui anticorpi anti-DNA a doppia catena), </w:t>
            </w:r>
          </w:p>
          <w:p w14:paraId="61FDDAB2" w14:textId="77777777" w:rsidR="00F91711" w:rsidRPr="00C35766" w:rsidRDefault="00F91711" w:rsidP="00F91711">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aumento della lattato deidrogenasi ematica</w:t>
            </w:r>
          </w:p>
        </w:tc>
      </w:tr>
      <w:tr w:rsidR="00F91711" w:rsidRPr="00C35766" w14:paraId="628895F4" w14:textId="77777777" w:rsidTr="00F91711">
        <w:tc>
          <w:tcPr>
            <w:tcW w:w="2599" w:type="dxa"/>
            <w:vMerge/>
            <w:tcBorders>
              <w:left w:val="single" w:sz="5" w:space="0" w:color="000000"/>
              <w:bottom w:val="single" w:sz="5" w:space="0" w:color="000000"/>
              <w:right w:val="single" w:sz="5" w:space="0" w:color="000000"/>
            </w:tcBorders>
          </w:tcPr>
          <w:p w14:paraId="56825FF5" w14:textId="77777777" w:rsidR="00F91711" w:rsidRPr="00C35766" w:rsidRDefault="00F91711" w:rsidP="00F91711">
            <w:pPr>
              <w:pStyle w:val="TableParagraph"/>
              <w:spacing w:before="53"/>
              <w:ind w:left="102"/>
              <w:rPr>
                <w:rFonts w:ascii="Times New Roman" w:eastAsia="Times New Roman" w:hAnsi="Times New Roman" w:cs="Times New Roman"/>
                <w:spacing w:val="-4"/>
                <w:lang w:val="it-IT"/>
              </w:rPr>
            </w:pPr>
          </w:p>
        </w:tc>
        <w:tc>
          <w:tcPr>
            <w:tcW w:w="2076" w:type="dxa"/>
            <w:tcBorders>
              <w:top w:val="single" w:sz="5" w:space="0" w:color="000000"/>
              <w:left w:val="single" w:sz="5" w:space="0" w:color="000000"/>
              <w:bottom w:val="single" w:sz="5" w:space="0" w:color="000000"/>
              <w:right w:val="single" w:sz="5" w:space="0" w:color="000000"/>
            </w:tcBorders>
          </w:tcPr>
          <w:p w14:paraId="62A81A5C" w14:textId="77777777" w:rsidR="00F91711" w:rsidRPr="00C35766" w:rsidRDefault="00F91711" w:rsidP="00F91711">
            <w:pPr>
              <w:pStyle w:val="TableParagraph"/>
              <w:spacing w:before="53"/>
              <w:ind w:left="102"/>
              <w:rPr>
                <w:rFonts w:ascii="Times New Roman" w:eastAsia="Times New Roman" w:hAnsi="Times New Roman" w:cs="Times New Roman"/>
                <w:spacing w:val="-2"/>
                <w:lang w:val="it-IT"/>
              </w:rPr>
            </w:pPr>
            <w:r w:rsidRPr="00C35766">
              <w:rPr>
                <w:rFonts w:ascii="Times New Roman" w:eastAsia="Times New Roman" w:hAnsi="Times New Roman" w:cs="Times New Roman"/>
                <w:spacing w:val="-2"/>
                <w:lang w:val="it-IT"/>
              </w:rPr>
              <w:t>Non nota</w:t>
            </w:r>
          </w:p>
        </w:tc>
        <w:tc>
          <w:tcPr>
            <w:tcW w:w="4574" w:type="dxa"/>
            <w:tcBorders>
              <w:top w:val="single" w:sz="5" w:space="0" w:color="000000"/>
              <w:left w:val="single" w:sz="5" w:space="0" w:color="000000"/>
              <w:bottom w:val="single" w:sz="5" w:space="0" w:color="000000"/>
              <w:right w:val="single" w:sz="5" w:space="0" w:color="000000"/>
            </w:tcBorders>
          </w:tcPr>
          <w:p w14:paraId="66082BE3" w14:textId="77777777" w:rsidR="00F91711" w:rsidRPr="00C35766" w:rsidRDefault="00F91711" w:rsidP="00F91711">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Aumento di peso</w:t>
            </w:r>
            <w:r w:rsidRPr="00C35766">
              <w:rPr>
                <w:rFonts w:ascii="Times New Roman" w:eastAsia="Times New Roman" w:hAnsi="Times New Roman" w:cs="Times New Roman"/>
                <w:spacing w:val="-1"/>
                <w:vertAlign w:val="superscript"/>
                <w:lang w:val="it-IT"/>
              </w:rPr>
              <w:t>2)</w:t>
            </w:r>
          </w:p>
        </w:tc>
      </w:tr>
      <w:tr w:rsidR="00F91711" w:rsidRPr="00494E69" w14:paraId="21A1C5C7" w14:textId="77777777" w:rsidTr="00F91711">
        <w:tc>
          <w:tcPr>
            <w:tcW w:w="2599" w:type="dxa"/>
            <w:tcBorders>
              <w:top w:val="single" w:sz="5" w:space="0" w:color="000000"/>
              <w:left w:val="single" w:sz="5" w:space="0" w:color="000000"/>
              <w:bottom w:val="single" w:sz="5" w:space="0" w:color="000000"/>
              <w:right w:val="single" w:sz="5" w:space="0" w:color="000000"/>
            </w:tcBorders>
          </w:tcPr>
          <w:p w14:paraId="2CEDA076" w14:textId="77777777" w:rsidR="00F91711" w:rsidRPr="00C35766" w:rsidRDefault="00F91711" w:rsidP="00F91711">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2"/>
                <w:lang w:val="it-IT"/>
              </w:rPr>
              <w:t>Traumatismo, avvelenamento e complicazioni da procedura</w:t>
            </w:r>
          </w:p>
        </w:tc>
        <w:tc>
          <w:tcPr>
            <w:tcW w:w="2076" w:type="dxa"/>
            <w:tcBorders>
              <w:top w:val="single" w:sz="5" w:space="0" w:color="000000"/>
              <w:left w:val="single" w:sz="5" w:space="0" w:color="000000"/>
              <w:bottom w:val="single" w:sz="5" w:space="0" w:color="000000"/>
              <w:right w:val="single" w:sz="5" w:space="0" w:color="000000"/>
            </w:tcBorders>
          </w:tcPr>
          <w:p w14:paraId="33319B25" w14:textId="77777777" w:rsidR="00F91711" w:rsidRPr="00C35766" w:rsidRDefault="00F91711" w:rsidP="00F91711">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4574" w:type="dxa"/>
            <w:tcBorders>
              <w:top w:val="single" w:sz="5" w:space="0" w:color="000000"/>
              <w:left w:val="single" w:sz="5" w:space="0" w:color="000000"/>
              <w:bottom w:val="single" w:sz="5" w:space="0" w:color="000000"/>
              <w:right w:val="single" w:sz="5" w:space="0" w:color="000000"/>
            </w:tcBorders>
          </w:tcPr>
          <w:p w14:paraId="1119B0D6" w14:textId="77777777" w:rsidR="00F91711" w:rsidRPr="00C35766" w:rsidRDefault="00F91711" w:rsidP="00F91711">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2"/>
                <w:lang w:val="it-IT"/>
              </w:rPr>
              <w:t>Compromissione della guarigione delle ferite</w:t>
            </w:r>
          </w:p>
        </w:tc>
      </w:tr>
    </w:tbl>
    <w:p w14:paraId="562D3A6F" w14:textId="77777777" w:rsidR="00F91711" w:rsidRPr="00C35766" w:rsidRDefault="00F91711" w:rsidP="00F91711">
      <w:pPr>
        <w:spacing w:before="1" w:line="150" w:lineRule="exact"/>
        <w:rPr>
          <w:rFonts w:ascii="Times New Roman" w:hAnsi="Times New Roman" w:cs="Times New Roman"/>
          <w:sz w:val="15"/>
          <w:lang w:val="it-IT"/>
        </w:rPr>
      </w:pPr>
    </w:p>
    <w:p w14:paraId="202797AE" w14:textId="77777777" w:rsidR="00F91711" w:rsidRPr="00C35766" w:rsidRDefault="00F91711" w:rsidP="00F91711">
      <w:pPr>
        <w:pStyle w:val="a3"/>
        <w:numPr>
          <w:ilvl w:val="0"/>
          <w:numId w:val="0"/>
        </w:numPr>
        <w:rPr>
          <w:lang w:val="pt-BR"/>
        </w:rPr>
      </w:pPr>
      <w:r w:rsidRPr="00C35766">
        <w:rPr>
          <w:rFonts w:eastAsia="Times New Roman"/>
          <w:lang w:val="it-IT"/>
        </w:rPr>
        <w:t>* sono presenti ulteriori informazioni contenute nei paragrafi 4.3, 4.4 e 4.8</w:t>
      </w:r>
    </w:p>
    <w:p w14:paraId="29F2C282" w14:textId="77777777" w:rsidR="00F91711" w:rsidRPr="00C35766" w:rsidRDefault="00F91711" w:rsidP="00F91711">
      <w:pPr>
        <w:pStyle w:val="a3"/>
        <w:rPr>
          <w:lang w:val="pt-BR"/>
        </w:rPr>
      </w:pPr>
      <w:r w:rsidRPr="00C35766">
        <w:rPr>
          <w:rFonts w:eastAsia="Times New Roman"/>
          <w:lang w:val="it-IT"/>
        </w:rPr>
        <w:lastRenderedPageBreak/>
        <w:t>** tra cui studi di estensione in aperto</w:t>
      </w:r>
    </w:p>
    <w:p w14:paraId="611CB5F7" w14:textId="77777777" w:rsidR="00F91711" w:rsidRPr="00C35766" w:rsidRDefault="00F91711" w:rsidP="00F91711">
      <w:pPr>
        <w:pStyle w:val="a3"/>
        <w:rPr>
          <w:rFonts w:eastAsia="Times New Roman"/>
          <w:position w:val="8"/>
          <w:lang w:val="it-IT"/>
        </w:rPr>
      </w:pPr>
      <w:r w:rsidRPr="00C35766">
        <w:rPr>
          <w:rFonts w:eastAsia="Times New Roman"/>
          <w:position w:val="8"/>
          <w:vertAlign w:val="superscript"/>
          <w:lang w:val="it-IT"/>
        </w:rPr>
        <w:t>1)</w:t>
      </w:r>
      <w:r w:rsidRPr="00C35766">
        <w:rPr>
          <w:rFonts w:eastAsia="Times New Roman"/>
          <w:position w:val="8"/>
          <w:sz w:val="14"/>
          <w:szCs w:val="14"/>
          <w:lang w:val="it-IT"/>
        </w:rPr>
        <w:t xml:space="preserve"> </w:t>
      </w:r>
      <w:r w:rsidRPr="00C35766">
        <w:rPr>
          <w:rFonts w:eastAsia="Times New Roman"/>
          <w:position w:val="8"/>
          <w:lang w:val="it-IT"/>
        </w:rPr>
        <w:t>tra cui dati provenienti da segnalazioni spontanee</w:t>
      </w:r>
    </w:p>
    <w:p w14:paraId="257D9C2C" w14:textId="77777777" w:rsidR="00F91711" w:rsidRPr="00C35766" w:rsidRDefault="00F91711" w:rsidP="00F91711">
      <w:pPr>
        <w:pStyle w:val="a3"/>
        <w:ind w:left="176" w:hangingChars="80" w:hanging="176"/>
        <w:rPr>
          <w:lang w:val="it-IT"/>
        </w:rPr>
      </w:pPr>
      <w:r w:rsidRPr="00C35766">
        <w:rPr>
          <w:vertAlign w:val="superscript"/>
          <w:lang w:val="it-IT"/>
        </w:rPr>
        <w:t>2)</w:t>
      </w:r>
      <w:r w:rsidRPr="00C35766">
        <w:rPr>
          <w:lang w:val="it-IT"/>
        </w:rPr>
        <w:t xml:space="preserve"> La variazione ponderale media rispetto al basale per adalimumab era compresa tra 0,3 kg e 1,0 kg per le indicazioni per adulti rispetto a (meno) - 0,4 kg e 0,4 kg per il placebo nell’arco di un periodo di trattamento di 4-6 mesi. È stato osservato anche un aumento di peso di 5-6 kg in studi di estensione a lungo termine con esposizioni medie di circa 1-2 anni in assenza di un gruppo di controllo, in particolare nei pazienti affetti da morbo di Crohn e colite ulcerosa. Il meccanismo alla base di questo effetto non è chiaro, ma potrebbe essere associato all’effetto antinfiammatorio di adalimumab.</w:t>
      </w:r>
    </w:p>
    <w:p w14:paraId="5EDD1CD9" w14:textId="77777777" w:rsidR="00F91711" w:rsidRPr="00C35766" w:rsidRDefault="00F91711" w:rsidP="00F91711">
      <w:pPr>
        <w:spacing w:before="13" w:line="240" w:lineRule="exact"/>
        <w:rPr>
          <w:rFonts w:ascii="Times New Roman" w:hAnsi="Times New Roman" w:cs="Times New Roman"/>
          <w:sz w:val="24"/>
          <w:szCs w:val="24"/>
          <w:lang w:val="pt-BR"/>
        </w:rPr>
      </w:pPr>
    </w:p>
    <w:p w14:paraId="63A89B01" w14:textId="77777777" w:rsidR="00F91711" w:rsidRPr="00C35766" w:rsidRDefault="00F91711" w:rsidP="00F91711">
      <w:pPr>
        <w:pStyle w:val="a3"/>
        <w:rPr>
          <w:u w:val="single"/>
          <w:lang w:val="pt-BR"/>
        </w:rPr>
      </w:pPr>
      <w:r w:rsidRPr="00C35766">
        <w:rPr>
          <w:rFonts w:eastAsia="Times New Roman"/>
          <w:u w:val="single" w:color="000000"/>
          <w:lang w:val="it-IT"/>
        </w:rPr>
        <w:t>Idrosadenite suppurativa</w:t>
      </w:r>
    </w:p>
    <w:p w14:paraId="564F5DF6" w14:textId="77777777" w:rsidR="00F91711" w:rsidRPr="00C35766" w:rsidRDefault="00F91711" w:rsidP="00F91711">
      <w:pPr>
        <w:spacing w:before="1" w:line="180" w:lineRule="exact"/>
        <w:rPr>
          <w:rFonts w:ascii="Times New Roman" w:hAnsi="Times New Roman" w:cs="Times New Roman"/>
          <w:sz w:val="18"/>
          <w:szCs w:val="18"/>
          <w:lang w:val="pt-BR"/>
        </w:rPr>
      </w:pPr>
    </w:p>
    <w:p w14:paraId="3DD49616" w14:textId="77777777" w:rsidR="00F91711" w:rsidRPr="00C35766" w:rsidRDefault="00F91711" w:rsidP="00F91711">
      <w:pPr>
        <w:pStyle w:val="a3"/>
        <w:rPr>
          <w:lang w:val="pt-BR"/>
        </w:rPr>
      </w:pPr>
      <w:r w:rsidRPr="00C35766">
        <w:rPr>
          <w:rFonts w:eastAsia="Times New Roman"/>
          <w:lang w:val="it-IT"/>
        </w:rPr>
        <w:t>Il profilo di sicurezza di adalimumab utilizzato ogni settimana nei pazienti con Idrosadenite Suppurativa (HS) è stato coerente con il profilo di sicurezza noto di adalimumab.</w:t>
      </w:r>
    </w:p>
    <w:p w14:paraId="1F8E9D2A" w14:textId="77777777" w:rsidR="00F91711" w:rsidRPr="00C35766" w:rsidRDefault="00F91711" w:rsidP="00F91711">
      <w:pPr>
        <w:spacing w:before="11" w:line="240" w:lineRule="exact"/>
        <w:rPr>
          <w:rFonts w:ascii="Times New Roman" w:hAnsi="Times New Roman" w:cs="Times New Roman"/>
          <w:sz w:val="24"/>
          <w:szCs w:val="24"/>
          <w:lang w:val="pt-BR"/>
        </w:rPr>
      </w:pPr>
    </w:p>
    <w:p w14:paraId="3D301F90" w14:textId="77777777" w:rsidR="00F91711" w:rsidRPr="00C35766" w:rsidRDefault="00F91711" w:rsidP="00F91711">
      <w:pPr>
        <w:pStyle w:val="a3"/>
        <w:rPr>
          <w:u w:val="single"/>
          <w:lang w:val="pt-BR"/>
        </w:rPr>
      </w:pPr>
      <w:r w:rsidRPr="00C35766">
        <w:rPr>
          <w:rFonts w:eastAsia="Times New Roman"/>
          <w:u w:val="single" w:color="000000"/>
          <w:lang w:val="it-IT"/>
        </w:rPr>
        <w:t>Uveite</w:t>
      </w:r>
    </w:p>
    <w:p w14:paraId="7A379FD7" w14:textId="77777777" w:rsidR="00F91711" w:rsidRPr="00C35766" w:rsidRDefault="00F91711" w:rsidP="00F91711">
      <w:pPr>
        <w:spacing w:before="1" w:line="180" w:lineRule="exact"/>
        <w:rPr>
          <w:rFonts w:ascii="Times New Roman" w:hAnsi="Times New Roman" w:cs="Times New Roman"/>
          <w:sz w:val="18"/>
          <w:szCs w:val="18"/>
          <w:lang w:val="pt-BR"/>
        </w:rPr>
      </w:pPr>
    </w:p>
    <w:p w14:paraId="42FBF4B7" w14:textId="77777777" w:rsidR="00F91711" w:rsidRPr="00C35766" w:rsidRDefault="00F91711" w:rsidP="00F91711">
      <w:pPr>
        <w:pStyle w:val="a3"/>
        <w:rPr>
          <w:lang w:val="pt-BR"/>
        </w:rPr>
      </w:pPr>
      <w:r w:rsidRPr="00C35766">
        <w:rPr>
          <w:rFonts w:eastAsia="Times New Roman"/>
          <w:lang w:val="it-IT"/>
        </w:rPr>
        <w:t>Il profilo di sicurezza di adalimumab utilizzato a settimane alterne nei pazienti con uverite è stato coerente con il profilo di sicurezza noto di adalimumab.</w:t>
      </w:r>
    </w:p>
    <w:p w14:paraId="56E7E2D3" w14:textId="77777777" w:rsidR="00F91711" w:rsidRPr="00C35766" w:rsidRDefault="00F91711" w:rsidP="00F91711">
      <w:pPr>
        <w:spacing w:before="11" w:line="240" w:lineRule="exact"/>
        <w:rPr>
          <w:rFonts w:ascii="Times New Roman" w:hAnsi="Times New Roman" w:cs="Times New Roman"/>
          <w:sz w:val="24"/>
          <w:szCs w:val="24"/>
          <w:lang w:val="pt-BR"/>
        </w:rPr>
      </w:pPr>
    </w:p>
    <w:p w14:paraId="18F5AA65" w14:textId="77777777" w:rsidR="00F91711" w:rsidRPr="00C35766" w:rsidRDefault="00F91711" w:rsidP="00F91711">
      <w:pPr>
        <w:pStyle w:val="a3"/>
        <w:rPr>
          <w:u w:val="single"/>
          <w:lang w:val="pt-BR"/>
        </w:rPr>
      </w:pPr>
      <w:r w:rsidRPr="00C35766">
        <w:rPr>
          <w:rFonts w:eastAsia="Times New Roman"/>
          <w:u w:val="single" w:color="000000"/>
          <w:lang w:val="it-IT"/>
        </w:rPr>
        <w:t>Descrizione di reazioni avverse selezionate</w:t>
      </w:r>
    </w:p>
    <w:p w14:paraId="2396B431" w14:textId="77777777" w:rsidR="00F91711" w:rsidRPr="00C35766" w:rsidRDefault="00F91711" w:rsidP="00F91711">
      <w:pPr>
        <w:pStyle w:val="a3"/>
        <w:rPr>
          <w:sz w:val="18"/>
          <w:szCs w:val="18"/>
          <w:lang w:val="pt-BR"/>
        </w:rPr>
      </w:pPr>
    </w:p>
    <w:p w14:paraId="678B8AEC" w14:textId="77777777" w:rsidR="00F91711" w:rsidRPr="00C35766" w:rsidRDefault="00F91711" w:rsidP="00F91711">
      <w:pPr>
        <w:pStyle w:val="a3"/>
        <w:rPr>
          <w:rFonts w:eastAsia="Times New Roman"/>
          <w:lang w:val="pt-BR"/>
        </w:rPr>
      </w:pPr>
      <w:r w:rsidRPr="00C35766">
        <w:rPr>
          <w:rFonts w:eastAsia="Times New Roman"/>
          <w:i/>
          <w:iCs/>
          <w:spacing w:val="-1"/>
          <w:lang w:val="it-IT"/>
        </w:rPr>
        <w:t>Reazioni nel sito di iniezione</w:t>
      </w:r>
    </w:p>
    <w:p w14:paraId="6F5D78BE" w14:textId="77777777" w:rsidR="00F91711" w:rsidRPr="00C35766" w:rsidRDefault="00F91711" w:rsidP="00F91711">
      <w:pPr>
        <w:pStyle w:val="a3"/>
        <w:rPr>
          <w:sz w:val="24"/>
          <w:szCs w:val="24"/>
          <w:lang w:val="pt-BR"/>
        </w:rPr>
      </w:pPr>
    </w:p>
    <w:p w14:paraId="6FEDF846" w14:textId="77777777" w:rsidR="00F91711" w:rsidRPr="00C35766" w:rsidRDefault="00F91711" w:rsidP="00F91711">
      <w:pPr>
        <w:pStyle w:val="a3"/>
        <w:rPr>
          <w:lang w:val="es-ES"/>
        </w:rPr>
      </w:pPr>
      <w:r w:rsidRPr="00C35766">
        <w:rPr>
          <w:rFonts w:eastAsia="Times New Roman"/>
          <w:lang w:val="it-IT"/>
        </w:rPr>
        <w:t>Negli studi clinici registrativi controllati su adulti e bambini, il 12,9% dei pazienti trattati con adalimumab ha manifestato reazioni nel sito d’iniezione (eritema e/o prurito, emorragia, dolore o tumefazione), rispetto al 7,2% dei pazienti trattati con placebo o con controllo attivo. Le reazioni nel sito d’iniezione non hanno richiesto generalmente la sospensione del medicinale.</w:t>
      </w:r>
    </w:p>
    <w:p w14:paraId="175A7AF6" w14:textId="77777777" w:rsidR="00F91711" w:rsidRPr="00C35766" w:rsidRDefault="00F91711" w:rsidP="00F91711">
      <w:pPr>
        <w:pStyle w:val="a3"/>
        <w:rPr>
          <w:lang w:val="es-ES"/>
        </w:rPr>
      </w:pPr>
    </w:p>
    <w:p w14:paraId="052BE7A4" w14:textId="77777777" w:rsidR="00F91711" w:rsidRPr="00C35766" w:rsidRDefault="00F91711" w:rsidP="00F91711">
      <w:pPr>
        <w:pStyle w:val="a3"/>
        <w:rPr>
          <w:rFonts w:eastAsia="Times New Roman"/>
          <w:lang w:val="es-ES"/>
        </w:rPr>
      </w:pPr>
      <w:r w:rsidRPr="00C35766">
        <w:rPr>
          <w:rFonts w:eastAsia="Times New Roman"/>
          <w:i/>
          <w:iCs/>
          <w:spacing w:val="-1"/>
          <w:lang w:val="it-IT"/>
        </w:rPr>
        <w:t>Infezioni</w:t>
      </w:r>
    </w:p>
    <w:p w14:paraId="006241DE" w14:textId="77777777" w:rsidR="00F91711" w:rsidRPr="00C35766" w:rsidRDefault="00F91711" w:rsidP="00F91711">
      <w:pPr>
        <w:pStyle w:val="a3"/>
        <w:rPr>
          <w:lang w:val="es-ES"/>
        </w:rPr>
      </w:pPr>
    </w:p>
    <w:p w14:paraId="54859978" w14:textId="77777777" w:rsidR="00F91711" w:rsidRPr="00C35766" w:rsidRDefault="00F91711" w:rsidP="00F91711">
      <w:pPr>
        <w:pStyle w:val="a3"/>
        <w:rPr>
          <w:lang w:val="it-IT"/>
        </w:rPr>
      </w:pPr>
      <w:r w:rsidRPr="00C35766">
        <w:rPr>
          <w:rFonts w:eastAsia="Times New Roman"/>
          <w:lang w:val="it-IT"/>
        </w:rPr>
        <w:t>Negli studi clinici registrativi controllati su adulti e bambini, il tasso d’infezione è stato di 1,51 per paziente/anno nel gruppo trattato con adalimumab e di 1,46 per paziente/anno nel gruppo trattato con placebo e con controllo attivo. Le infezioni sono state rappresentate principalmente da rinofaringiti, infezioni delle vie respiratorie superiori e sinusite. La maggior parte dei pazienti ha continuato ad assumere adalimumab dopo la remissione dell’infezione.</w:t>
      </w:r>
    </w:p>
    <w:p w14:paraId="245D76CD" w14:textId="77777777" w:rsidR="00F91711" w:rsidRPr="00C35766" w:rsidRDefault="00F91711" w:rsidP="00F91711">
      <w:pPr>
        <w:pStyle w:val="a3"/>
        <w:rPr>
          <w:lang w:val="it-IT"/>
        </w:rPr>
      </w:pPr>
    </w:p>
    <w:p w14:paraId="30A34F0B" w14:textId="77777777" w:rsidR="00F91711" w:rsidRPr="00C35766" w:rsidRDefault="00F91711" w:rsidP="00F91711">
      <w:pPr>
        <w:pStyle w:val="a3"/>
        <w:rPr>
          <w:lang w:val="it-IT"/>
        </w:rPr>
      </w:pPr>
      <w:r w:rsidRPr="00C35766">
        <w:rPr>
          <w:rFonts w:eastAsia="Times New Roman"/>
          <w:lang w:val="it-IT"/>
        </w:rPr>
        <w:t>L’incidenza di infezioni gravi è stata di 0,04 per paziente/anno nel gruppo trattato con adalimumab e di 0,03 per paziente/anno in quello trattato con placebo e con controllo attivo.</w:t>
      </w:r>
    </w:p>
    <w:p w14:paraId="041C3829" w14:textId="77777777" w:rsidR="00F91711" w:rsidRPr="00C35766" w:rsidRDefault="00F91711" w:rsidP="00F91711">
      <w:pPr>
        <w:pStyle w:val="a3"/>
        <w:rPr>
          <w:lang w:val="it-IT"/>
        </w:rPr>
      </w:pPr>
    </w:p>
    <w:p w14:paraId="49A3243B" w14:textId="77777777" w:rsidR="00F91711" w:rsidRPr="00C35766" w:rsidRDefault="00F91711" w:rsidP="00F91711">
      <w:pPr>
        <w:pStyle w:val="a3"/>
        <w:rPr>
          <w:lang w:val="it-IT"/>
        </w:rPr>
      </w:pPr>
      <w:r w:rsidRPr="00C35766">
        <w:rPr>
          <w:rFonts w:eastAsia="Times New Roman"/>
          <w:lang w:val="it-IT"/>
        </w:rPr>
        <w:t>Nel corso degli studi controllati e in aperto condotti con adalimumab su adulti e bambini, sono state segnalate infezioni di grave entità (anche infezioni fatali, verificatesi solo raramente), che hanno incluso segnalazioni di casi di tubercolosi (anche con localizzazioni miliari ed extra-polmonari) e infezioni opportunistiche invasive (per esempio, da istoplasmosi disseminata o extrapolmonare, blastomicosi, coccidioidomicosi, pneumocistosi, candidiasi, aspergillosi e listeriosi). La maggior parte dei casi di tubercolosi si è verificata nel corso dei primi otto mesi dall’inizio della terapia e possono essere interpretati come una recrudescenza della malattia latente.</w:t>
      </w:r>
    </w:p>
    <w:p w14:paraId="12B1D323" w14:textId="77777777" w:rsidR="00F91711" w:rsidRPr="00C35766" w:rsidRDefault="00F91711" w:rsidP="00F91711">
      <w:pPr>
        <w:pStyle w:val="a3"/>
        <w:rPr>
          <w:lang w:val="it-IT"/>
        </w:rPr>
      </w:pPr>
    </w:p>
    <w:p w14:paraId="4AFDA82D" w14:textId="77777777" w:rsidR="00F91711" w:rsidRPr="00C35766" w:rsidRDefault="00F91711" w:rsidP="00F91711">
      <w:pPr>
        <w:pStyle w:val="a3"/>
        <w:rPr>
          <w:rFonts w:eastAsia="Times New Roman"/>
          <w:lang w:val="it-IT"/>
        </w:rPr>
      </w:pPr>
      <w:r w:rsidRPr="00C35766">
        <w:rPr>
          <w:rFonts w:eastAsia="Times New Roman"/>
          <w:i/>
          <w:iCs/>
          <w:spacing w:val="-1"/>
          <w:lang w:val="it-IT"/>
        </w:rPr>
        <w:t>Neoplasie e malattie linfoproliferative</w:t>
      </w:r>
    </w:p>
    <w:p w14:paraId="0029A49D" w14:textId="77777777" w:rsidR="00F91711" w:rsidRPr="00C35766" w:rsidRDefault="00F91711" w:rsidP="00F91711">
      <w:pPr>
        <w:pStyle w:val="a3"/>
        <w:rPr>
          <w:lang w:val="it-IT"/>
        </w:rPr>
      </w:pPr>
    </w:p>
    <w:p w14:paraId="589CBB7A" w14:textId="77777777" w:rsidR="00F91711" w:rsidRPr="00C35766" w:rsidRDefault="00F91711" w:rsidP="00F91711">
      <w:pPr>
        <w:pStyle w:val="a3"/>
        <w:rPr>
          <w:lang w:val="it-IT"/>
        </w:rPr>
      </w:pPr>
      <w:r w:rsidRPr="00C35766">
        <w:rPr>
          <w:rFonts w:eastAsia="Times New Roman"/>
          <w:lang w:val="it-IT"/>
        </w:rPr>
        <w:t xml:space="preserve">Nel corso di studi eseguiti somministrando adalimumab ai pazienti affetti da artrite idiopatica giovanile (artrite idiopatica giovanile poliarticolare e artrite associata ad entesite), non sono state osservate neoplasie maligne nei 249 pazienti pediatrici con un’esposizione di 655,6 anni-paziente. In aggiunta non sono state osservate neoplasie maligne nei 192 pazienti pediatrici con una esposizione di 498,1 anni-paziente durante studi eseguiti somministrando adalimumab ai pazienti pediatrici affetti da Malattia di Crohn. Nel corso di </w:t>
      </w:r>
      <w:r w:rsidRPr="00C35766">
        <w:rPr>
          <w:rFonts w:eastAsia="Times New Roman"/>
          <w:lang w:val="it-IT"/>
        </w:rPr>
        <w:lastRenderedPageBreak/>
        <w:t xml:space="preserve">uno studio in cui è stato somministrato adalimumab a pazienti pediatrici con psoriasi cronica a placche, non è stata osservata alcuna neoplasia maligna in 77 pazienti con un’esposizione di 80,0 anni-paziente. </w:t>
      </w:r>
      <w:r w:rsidRPr="004F0B2E">
        <w:rPr>
          <w:rStyle w:val="normaltextrun"/>
          <w:shd w:val="clear" w:color="auto" w:fill="FFFFFF"/>
          <w:lang w:val="it-IT"/>
        </w:rPr>
        <w:t xml:space="preserve">Non sono state osservate neoplasie maligne in 93 pazienti pediatrici con un'esposizione di 65,3 anni-paziente durante uno studio con adalimumab in pazienti pediatrici con colite ulcerosa. </w:t>
      </w:r>
      <w:r w:rsidRPr="00C35766">
        <w:rPr>
          <w:rFonts w:eastAsia="Times New Roman"/>
          <w:lang w:val="it-IT"/>
        </w:rPr>
        <w:t>Nel corso di uno studio in cui è stato somministrato adalimumab a pazienti pediatrici con uveite, non è stata osservata alcuna neoplasia maligna in 60 pazienti pediatrici con un’esposizione di 58,4 anni-paziente.</w:t>
      </w:r>
    </w:p>
    <w:p w14:paraId="0FD12A1D" w14:textId="77777777" w:rsidR="00F91711" w:rsidRPr="00C35766" w:rsidRDefault="00F91711" w:rsidP="00F91711">
      <w:pPr>
        <w:spacing w:before="13" w:line="240" w:lineRule="exact"/>
        <w:rPr>
          <w:rFonts w:ascii="Times New Roman" w:hAnsi="Times New Roman" w:cs="Times New Roman"/>
          <w:sz w:val="24"/>
          <w:szCs w:val="24"/>
          <w:lang w:val="it-IT"/>
        </w:rPr>
      </w:pPr>
    </w:p>
    <w:p w14:paraId="664966E3" w14:textId="77777777" w:rsidR="00F91711" w:rsidRPr="00C35766" w:rsidRDefault="00F91711" w:rsidP="00F91711">
      <w:pPr>
        <w:pStyle w:val="a3"/>
        <w:rPr>
          <w:lang w:val="it-IT"/>
        </w:rPr>
      </w:pPr>
      <w:r w:rsidRPr="00C35766">
        <w:rPr>
          <w:rFonts w:eastAsia="Times New Roman"/>
          <w:lang w:val="it-IT"/>
        </w:rPr>
        <w:t xml:space="preserve">Nelle sezioni controllate di studi registrativi su adulti con adalimumab della durata di almeno 12 settimane in pazienti con artrite reumatoide attiva di grado da moderato a severo, spondilite anchilosante, spondiloartrite assiale senza evidenza radiografica di SA, artrite psoriasica, psoriasi, idrosadenite suppurativa, malattia di Crohn, colite ulcerosa e uveite, sono state osservate neoplasie, oltre a linfoma e carcinoma cutaneo non melanotico con un tasso (95% di intervallo di confidenza) di 6,8 (4,4; 10,5) per 1.000 anni-paziente in 5.291 pazienti trattati con adalimumab </w:t>
      </w:r>
      <w:r w:rsidRPr="00C35766">
        <w:rPr>
          <w:rFonts w:eastAsia="Times New Roman"/>
          <w:i/>
          <w:iCs/>
          <w:lang w:val="it-IT"/>
        </w:rPr>
        <w:t xml:space="preserve">rispetto a </w:t>
      </w:r>
      <w:r w:rsidRPr="00C35766">
        <w:rPr>
          <w:rFonts w:eastAsia="Times New Roman"/>
          <w:lang w:val="it-IT"/>
        </w:rPr>
        <w:t>un tasso di 6,3 (3,4; 11,8) per 1.000 anni-paziente in 3.444 pazienti controllo (la durata mediana del trattamento è stata 4,0 mesi per i pazienti trattati con adalimumab e 3,8 mesi per i pazienti controllo).  Il tasso (95% di intervallo di confidenza) dei carcinomi cutanei non melanotici è stato di 8,8 (6,0; 13,0) per 1.000 anni-paziente nei pazienti trattati con adalimumab e 3,2 (1,3;7,6) per 1.000 anni-paziente nei pazienti controllo. Di questi carcinomi cutanei, i carcinomi a cellule squamose si sono verificati con tassi (95% di intervallo di confidenza) di 2,7 (1,4; 5,4) per 1.000 anni-paziente nei pazienti trattati con adalimumab e 0,6 (0,1;4,5) per 1.000 anni-paziente nei pazienti controllo. Il tasso (95% di intervallo di confidenza) di linfomi è stato di 0,7 (0,2; 2,7) per 1.000 anni-paziente nei pazienti trattati con adalimumab e 0,6 (0,1; 4,5) per 1.000 anni-paziente nei pazienti controllo.</w:t>
      </w:r>
    </w:p>
    <w:p w14:paraId="28FCEFD4" w14:textId="77777777" w:rsidR="00F91711" w:rsidRPr="00C35766" w:rsidRDefault="00F91711" w:rsidP="00F91711">
      <w:pPr>
        <w:spacing w:before="13" w:line="240" w:lineRule="exact"/>
        <w:rPr>
          <w:rFonts w:ascii="Times New Roman" w:hAnsi="Times New Roman" w:cs="Times New Roman"/>
          <w:sz w:val="24"/>
          <w:szCs w:val="24"/>
          <w:lang w:val="it-IT"/>
        </w:rPr>
      </w:pPr>
    </w:p>
    <w:p w14:paraId="0A8957EF" w14:textId="77777777" w:rsidR="00F91711" w:rsidRPr="00C35766" w:rsidRDefault="00F91711" w:rsidP="00F91711">
      <w:pPr>
        <w:pStyle w:val="a3"/>
        <w:rPr>
          <w:lang w:val="it-IT"/>
        </w:rPr>
      </w:pPr>
      <w:r w:rsidRPr="00C35766">
        <w:rPr>
          <w:rFonts w:eastAsia="Times New Roman"/>
          <w:lang w:val="it-IT"/>
        </w:rPr>
        <w:t>Quando vengono combinate parti controllate di questi studi e studi di estensione in aperto sia in corso che completati con una durata mediana di circa 3,3 anni includendo 6.427 pazienti e più di 26.439 anni-paziente di terapia, il tasso di neoplasie osservate, a parte linfoma e carcinoma cutaneo non melanotico, è di circa 8,5 per 1.000 anni-paziente. Il tasso osservato di carcinoma cutaneo non melanotico è di circa 9,6 per 1.000 anni-paziente e il tasso osservato di linfomi è di circa 1,3 per 1.000 anni-paziente.</w:t>
      </w:r>
    </w:p>
    <w:p w14:paraId="51FF1CFA" w14:textId="77777777" w:rsidR="00F91711" w:rsidRPr="00C35766" w:rsidRDefault="00F91711" w:rsidP="00F91711">
      <w:pPr>
        <w:spacing w:before="14" w:line="240" w:lineRule="exact"/>
        <w:rPr>
          <w:rFonts w:ascii="Times New Roman" w:hAnsi="Times New Roman" w:cs="Times New Roman"/>
          <w:sz w:val="24"/>
          <w:szCs w:val="24"/>
          <w:lang w:val="it-IT"/>
        </w:rPr>
      </w:pPr>
    </w:p>
    <w:p w14:paraId="78A0BDAE" w14:textId="5D08DF14" w:rsidR="002F12BC" w:rsidRPr="00C35766" w:rsidRDefault="002F12BC" w:rsidP="002F12BC">
      <w:pPr>
        <w:pStyle w:val="a3"/>
        <w:rPr>
          <w:lang w:val="pt-BR"/>
        </w:rPr>
      </w:pPr>
      <w:r w:rsidRPr="00C35766">
        <w:rPr>
          <w:rFonts w:eastAsia="Times New Roman"/>
          <w:lang w:val="it-IT"/>
        </w:rPr>
        <w:t xml:space="preserve">Nell’esperienza post-marketing da gennaio 2003 a dicembre 2010, principalmente in pazienti affetti da artrite reumatoide, il tasso di neoplasie </w:t>
      </w:r>
      <w:r w:rsidRPr="00BD232C">
        <w:rPr>
          <w:color w:val="000000"/>
          <w:lang w:val="it-IT"/>
        </w:rPr>
        <w:t xml:space="preserve">riportato spontaneamente </w:t>
      </w:r>
      <w:r w:rsidRPr="00C35766">
        <w:rPr>
          <w:rFonts w:eastAsia="Times New Roman"/>
          <w:lang w:val="it-IT"/>
        </w:rPr>
        <w:t xml:space="preserve">è di circa 2,7 per 1.000 anni trattamento/paziente. I tassi riportati </w:t>
      </w:r>
      <w:r w:rsidRPr="00BD232C">
        <w:rPr>
          <w:color w:val="000000"/>
          <w:lang w:val="it-IT"/>
        </w:rPr>
        <w:t>spontaneamente</w:t>
      </w:r>
      <w:r w:rsidR="00EA6662" w:rsidRPr="00BD232C">
        <w:rPr>
          <w:color w:val="000000"/>
          <w:lang w:val="it-IT"/>
        </w:rPr>
        <w:t>,</w:t>
      </w:r>
      <w:r w:rsidRPr="00BD232C">
        <w:rPr>
          <w:color w:val="000000"/>
          <w:lang w:val="it-IT"/>
        </w:rPr>
        <w:t xml:space="preserve"> </w:t>
      </w:r>
      <w:r w:rsidRPr="00C35766">
        <w:rPr>
          <w:rFonts w:eastAsia="Times New Roman"/>
          <w:lang w:val="it-IT"/>
        </w:rPr>
        <w:t>rispettivamente per carcinomi cutanei non melanotici e linfomi</w:t>
      </w:r>
      <w:r w:rsidR="00EA6662">
        <w:rPr>
          <w:rFonts w:eastAsia="Times New Roman"/>
          <w:lang w:val="it-IT"/>
        </w:rPr>
        <w:t>,</w:t>
      </w:r>
      <w:r w:rsidRPr="00C35766">
        <w:rPr>
          <w:rFonts w:eastAsia="Times New Roman"/>
          <w:lang w:val="it-IT"/>
        </w:rPr>
        <w:t xml:space="preserve"> sono di circa 0,2 e 0,3 per 1.000 anni trattamento/paziente (vedere paragrafo 4.4).</w:t>
      </w:r>
    </w:p>
    <w:p w14:paraId="122C26B9" w14:textId="77777777" w:rsidR="00F91711" w:rsidRPr="002F12BC" w:rsidRDefault="00F91711" w:rsidP="00F91711">
      <w:pPr>
        <w:spacing w:before="17" w:line="240" w:lineRule="exact"/>
        <w:rPr>
          <w:rFonts w:ascii="Times New Roman" w:hAnsi="Times New Roman" w:cs="Times New Roman"/>
          <w:sz w:val="24"/>
          <w:szCs w:val="24"/>
          <w:lang w:val="pt-BR"/>
        </w:rPr>
      </w:pPr>
    </w:p>
    <w:p w14:paraId="42D649D2" w14:textId="77777777" w:rsidR="00F91711" w:rsidRPr="00C35766" w:rsidRDefault="00F91711" w:rsidP="00F91711">
      <w:pPr>
        <w:pStyle w:val="a3"/>
        <w:rPr>
          <w:lang w:val="pt-BR"/>
        </w:rPr>
      </w:pPr>
      <w:r w:rsidRPr="00C35766">
        <w:rPr>
          <w:rFonts w:eastAsia="Times New Roman"/>
          <w:lang w:val="it-IT"/>
        </w:rPr>
        <w:t>Nell’esperienza post-marketing sono stati segnalati rari casi di linfoma epatosplenico a cellule T nei pazienti trattati con adalimumab (vedere paragrafo 4.4).</w:t>
      </w:r>
    </w:p>
    <w:p w14:paraId="31DAC320" w14:textId="77777777" w:rsidR="00F91711" w:rsidRPr="00C35766" w:rsidRDefault="00F91711" w:rsidP="00F91711">
      <w:pPr>
        <w:pStyle w:val="a3"/>
        <w:rPr>
          <w:sz w:val="24"/>
          <w:szCs w:val="24"/>
          <w:lang w:val="pt-BR"/>
        </w:rPr>
      </w:pPr>
    </w:p>
    <w:p w14:paraId="307C6131" w14:textId="77777777" w:rsidR="00F91711" w:rsidRPr="00C35766" w:rsidRDefault="00F91711" w:rsidP="00F91711">
      <w:pPr>
        <w:pStyle w:val="a3"/>
        <w:rPr>
          <w:rFonts w:eastAsia="Times New Roman"/>
          <w:lang w:val="pt-BR"/>
        </w:rPr>
      </w:pPr>
      <w:r w:rsidRPr="00C35766">
        <w:rPr>
          <w:rFonts w:eastAsia="Times New Roman"/>
          <w:i/>
          <w:iCs/>
          <w:spacing w:val="-1"/>
          <w:lang w:val="it-IT"/>
        </w:rPr>
        <w:t>Autoanticorpi</w:t>
      </w:r>
    </w:p>
    <w:p w14:paraId="2EA961FA" w14:textId="77777777" w:rsidR="00F91711" w:rsidRPr="00C35766" w:rsidRDefault="00F91711" w:rsidP="00F91711">
      <w:pPr>
        <w:pStyle w:val="a3"/>
        <w:rPr>
          <w:sz w:val="24"/>
          <w:szCs w:val="24"/>
          <w:lang w:val="pt-BR"/>
        </w:rPr>
      </w:pPr>
    </w:p>
    <w:p w14:paraId="3320911B" w14:textId="77777777" w:rsidR="00F91711" w:rsidRPr="00C35766" w:rsidRDefault="00F91711" w:rsidP="00F91711">
      <w:pPr>
        <w:pStyle w:val="a3"/>
        <w:rPr>
          <w:lang w:val="it-IT"/>
        </w:rPr>
      </w:pPr>
      <w:r w:rsidRPr="00C35766">
        <w:rPr>
          <w:rFonts w:eastAsia="Times New Roman"/>
          <w:lang w:val="it-IT"/>
        </w:rPr>
        <w:t>Nel corso degli studi I-V condotti sull’artrite reumatoide, sono stati analizzati, a vari intervalli temporali, i campioni sierici dei pazienti per la valutazione degli autoanticorpi. In questi studi, l’11,9% dei pazienti trattati con adalimumab e l’8,1% dei pazienti trattati con placebo e con controllo attivo, che presentavano valori negativi di anticorpi antinucleo al basale, ha presentato valori positivi alla settimana 24. Due pazienti su 3.441 trattati con adalimumab nel corso di tutti gli studi condotti sull’artrite reumatoide e sull’artrite psoriasica hanno manifestato segni clinici che indicavano l’insorgenza di una sindrome simile al lupus. I pazienti sono migliorati dopo la sospensione della terapia. Nessun paziente ha sviluppato una nefrite da lupus o sintomi a carico del sistema nervoso centrale.</w:t>
      </w:r>
    </w:p>
    <w:p w14:paraId="036B981F" w14:textId="77777777" w:rsidR="00F91711" w:rsidRPr="00C35766" w:rsidRDefault="00F91711" w:rsidP="00F91711">
      <w:pPr>
        <w:pStyle w:val="a3"/>
        <w:rPr>
          <w:sz w:val="24"/>
          <w:szCs w:val="24"/>
          <w:lang w:val="it-IT"/>
        </w:rPr>
      </w:pPr>
    </w:p>
    <w:p w14:paraId="51B79289" w14:textId="77777777" w:rsidR="00F91711" w:rsidRPr="00C35766" w:rsidRDefault="00F91711" w:rsidP="00F91711">
      <w:pPr>
        <w:pStyle w:val="a3"/>
        <w:rPr>
          <w:rFonts w:eastAsia="Times New Roman"/>
          <w:lang w:val="it-IT"/>
        </w:rPr>
      </w:pPr>
      <w:r w:rsidRPr="00C35766">
        <w:rPr>
          <w:rFonts w:eastAsia="Times New Roman"/>
          <w:i/>
          <w:iCs/>
          <w:lang w:val="it-IT"/>
        </w:rPr>
        <w:t>Eventi epato-biliari</w:t>
      </w:r>
    </w:p>
    <w:p w14:paraId="0A7D713B" w14:textId="77777777" w:rsidR="00F91711" w:rsidRPr="00C35766" w:rsidRDefault="00F91711" w:rsidP="00F91711">
      <w:pPr>
        <w:pStyle w:val="a3"/>
        <w:rPr>
          <w:sz w:val="24"/>
          <w:szCs w:val="24"/>
          <w:lang w:val="it-IT"/>
        </w:rPr>
      </w:pPr>
    </w:p>
    <w:p w14:paraId="096DA7A6" w14:textId="77777777" w:rsidR="00F91711" w:rsidRPr="00C35766" w:rsidRDefault="00F91711" w:rsidP="00F91711">
      <w:pPr>
        <w:pStyle w:val="a3"/>
        <w:rPr>
          <w:lang w:val="it-IT"/>
        </w:rPr>
      </w:pPr>
      <w:r w:rsidRPr="00C35766">
        <w:rPr>
          <w:rFonts w:eastAsia="Times New Roman"/>
          <w:lang w:val="it-IT"/>
        </w:rPr>
        <w:t xml:space="preserve">Negli studi clinici controllati di Fase 3 di adalimumab in pazienti con artrite reumatoide e artrite psoriasica con una durata del periodo di controllo che va da 4 a 104 settimane, gli aumenti delle transaminasi ALT superiori o uguali a tre volte il limite superiore di normalità (ULN) si sono verificati nel 3,7% dei pazienti </w:t>
      </w:r>
      <w:r w:rsidRPr="00C35766">
        <w:rPr>
          <w:rFonts w:eastAsia="Times New Roman"/>
          <w:lang w:val="it-IT"/>
        </w:rPr>
        <w:lastRenderedPageBreak/>
        <w:t>trattati con adalimumab e nell’1,6% dei pazienti trattati con il controllo.</w:t>
      </w:r>
    </w:p>
    <w:p w14:paraId="4EC53C28" w14:textId="77777777" w:rsidR="00F91711" w:rsidRPr="00C35766" w:rsidRDefault="00F91711" w:rsidP="00F91711">
      <w:pPr>
        <w:pStyle w:val="a3"/>
        <w:rPr>
          <w:sz w:val="24"/>
          <w:szCs w:val="24"/>
          <w:lang w:val="it-IT"/>
        </w:rPr>
      </w:pPr>
    </w:p>
    <w:p w14:paraId="7FA1B4DA" w14:textId="77777777" w:rsidR="00F91711" w:rsidRPr="00C35766" w:rsidRDefault="00F91711" w:rsidP="00F91711">
      <w:pPr>
        <w:pStyle w:val="a3"/>
        <w:rPr>
          <w:lang w:val="it-IT"/>
        </w:rPr>
      </w:pPr>
      <w:r w:rsidRPr="00C35766">
        <w:rPr>
          <w:rFonts w:eastAsia="Times New Roman"/>
          <w:lang w:val="it-IT"/>
        </w:rPr>
        <w:t>Negli studi clinici controllati di Fase 3 di adalimumab in pazienti con artrite idiopatica giovanile poliarticolare che avevano da 4 a 17 anni di età e in pazienti con artrite associata ad entesite, dai 6 ai 17 anni di età, gli aumenti delle transaminasi ALT superiori o uguali a tre volte l’ULN si sono verificati nel 6,1% dei pazienti trattati con adalimumab e nell’1,3% dei pazienti trattati con il farmaco di controllo. La maggior parte degli aumenti delle transaminasi ALT si sono verificati con l’uso concomitante di metotressato. Non si sono verificati aumenti delle transaminasi ALT superiori o uguali a tre volte l’ULN nello studio clinico di Fase 3 con adalimumab in pazienti con artrite idiopatica giovanile poliarticolare di età compresa tra 2 e &lt; 4 anni.</w:t>
      </w:r>
    </w:p>
    <w:p w14:paraId="79A405BB" w14:textId="77777777" w:rsidR="00F91711" w:rsidRPr="00C35766" w:rsidRDefault="00F91711" w:rsidP="00F91711">
      <w:pPr>
        <w:pStyle w:val="a3"/>
        <w:rPr>
          <w:sz w:val="24"/>
          <w:szCs w:val="24"/>
          <w:lang w:val="it-IT"/>
        </w:rPr>
      </w:pPr>
    </w:p>
    <w:p w14:paraId="247CBE90" w14:textId="77777777" w:rsidR="00F91711" w:rsidRPr="00C35766" w:rsidRDefault="00F91711" w:rsidP="00F91711">
      <w:pPr>
        <w:pStyle w:val="a3"/>
        <w:rPr>
          <w:lang w:val="it-IT"/>
        </w:rPr>
      </w:pPr>
      <w:r w:rsidRPr="00C35766">
        <w:rPr>
          <w:rFonts w:eastAsia="Times New Roman"/>
          <w:lang w:val="it-IT"/>
        </w:rPr>
        <w:t>Negli studi clinici controllati di Fase 3 di adalimumab in pazienti con malattia di Crohn e colite ulcerosa con un periodo di controllo che va da 4 a 52 settimane, gli aumenti delle transaminasi ALT superiori o uguali a tre volte l’ULN si sono verificati nello 0,9% dei pazienti trattati con adalimumab e nello 0,9% dei pazienti trattati con il controllo.</w:t>
      </w:r>
    </w:p>
    <w:p w14:paraId="60A755E1" w14:textId="77777777" w:rsidR="00F91711" w:rsidRPr="00C35766" w:rsidRDefault="00F91711" w:rsidP="00F91711">
      <w:pPr>
        <w:spacing w:before="11" w:line="240" w:lineRule="exact"/>
        <w:rPr>
          <w:rFonts w:ascii="Times New Roman" w:hAnsi="Times New Roman" w:cs="Times New Roman"/>
          <w:sz w:val="24"/>
          <w:szCs w:val="24"/>
          <w:lang w:val="it-IT"/>
        </w:rPr>
      </w:pPr>
    </w:p>
    <w:p w14:paraId="0E968217" w14:textId="77777777" w:rsidR="00F91711" w:rsidRPr="00C35766" w:rsidRDefault="00F91711" w:rsidP="00F91711">
      <w:pPr>
        <w:pStyle w:val="a3"/>
        <w:rPr>
          <w:lang w:val="it-IT"/>
        </w:rPr>
      </w:pPr>
      <w:r w:rsidRPr="00C35766">
        <w:rPr>
          <w:rFonts w:eastAsia="Times New Roman"/>
          <w:lang w:val="it-IT"/>
        </w:rPr>
        <w:t>Nello studio di fase 3 di adalimumab, in pazienti con malattia di Crohn in età pediatrica, che ha valutato la sicurezza e l’efficacia dei due regimi posologici aggiustati per il peso corporeo per la terapia di mantenimento che segue la terapia di induzione aggiustata per il peso corporeo fino a 52 settimane di trattamento, sono stati trovati livelli di ALT superiori o uguali a tre volte l’ULN nel 2,6% (5/192) dei pazienti di cui 4 ricevevano un trattamento concomitante con immunosoppressori al basale.</w:t>
      </w:r>
    </w:p>
    <w:p w14:paraId="3F096EAB" w14:textId="77777777" w:rsidR="00F91711" w:rsidRPr="00C35766" w:rsidRDefault="00F91711" w:rsidP="00F91711">
      <w:pPr>
        <w:spacing w:before="13" w:line="240" w:lineRule="exact"/>
        <w:rPr>
          <w:rFonts w:ascii="Times New Roman" w:hAnsi="Times New Roman" w:cs="Times New Roman"/>
          <w:sz w:val="24"/>
          <w:szCs w:val="24"/>
          <w:lang w:val="it-IT"/>
        </w:rPr>
      </w:pPr>
    </w:p>
    <w:p w14:paraId="67E76671" w14:textId="77777777" w:rsidR="00F91711" w:rsidRPr="00C35766" w:rsidRDefault="00F91711" w:rsidP="00F91711">
      <w:pPr>
        <w:pStyle w:val="a3"/>
        <w:rPr>
          <w:lang w:val="it-IT"/>
        </w:rPr>
      </w:pPr>
      <w:r w:rsidRPr="00C35766">
        <w:rPr>
          <w:rFonts w:eastAsia="Times New Roman"/>
          <w:lang w:val="it-IT"/>
        </w:rPr>
        <w:t>Negli studi clinici controllati di Fase 3 di adalimumab in pazienti con psoriasi a placche con una durata del periodo di controllo che va da 12 a 24 settimane, gli aumenti delle transaminasi ALT superiori o uguali a tre volte il limite superiore di normalità si sono verificati nell’1,8% dei pazienti trattati con adalimumab e nell’1,8% dei pazienti trattati con il controllo.</w:t>
      </w:r>
    </w:p>
    <w:p w14:paraId="3351F277" w14:textId="77777777" w:rsidR="00F91711" w:rsidRPr="00C35766" w:rsidRDefault="00F91711" w:rsidP="00F91711">
      <w:pPr>
        <w:spacing w:before="17" w:line="240" w:lineRule="exact"/>
        <w:rPr>
          <w:rFonts w:ascii="Times New Roman" w:hAnsi="Times New Roman" w:cs="Times New Roman"/>
          <w:sz w:val="24"/>
          <w:szCs w:val="24"/>
          <w:lang w:val="it-IT"/>
        </w:rPr>
      </w:pPr>
    </w:p>
    <w:p w14:paraId="69CF8AE8" w14:textId="77777777" w:rsidR="00F91711" w:rsidRPr="00C35766" w:rsidRDefault="00F91711" w:rsidP="00F91711">
      <w:pPr>
        <w:pStyle w:val="a3"/>
        <w:rPr>
          <w:lang w:val="it-IT"/>
        </w:rPr>
      </w:pPr>
      <w:r w:rsidRPr="00C35766">
        <w:rPr>
          <w:rFonts w:eastAsia="Times New Roman"/>
          <w:lang w:val="it-IT"/>
        </w:rPr>
        <w:t>Nello studio di fase 3 di adalimumab in pazienti pediatrici con psoriasi a placche non si è verificato alcun aumento dei livelli di ALT superiore o uguale a tre volte l’ULN.</w:t>
      </w:r>
    </w:p>
    <w:p w14:paraId="5A10D1A7" w14:textId="77777777" w:rsidR="00F91711" w:rsidRPr="00C35766" w:rsidRDefault="00F91711" w:rsidP="00F91711">
      <w:pPr>
        <w:spacing w:before="11" w:line="240" w:lineRule="exact"/>
        <w:rPr>
          <w:rFonts w:ascii="Times New Roman" w:hAnsi="Times New Roman" w:cs="Times New Roman"/>
          <w:sz w:val="24"/>
          <w:szCs w:val="24"/>
          <w:lang w:val="it-IT"/>
        </w:rPr>
      </w:pPr>
    </w:p>
    <w:p w14:paraId="5247D8AC" w14:textId="77777777" w:rsidR="00F91711" w:rsidRPr="00C35766" w:rsidRDefault="00F91711" w:rsidP="00F91711">
      <w:pPr>
        <w:pStyle w:val="a3"/>
        <w:rPr>
          <w:lang w:val="it-IT"/>
        </w:rPr>
      </w:pPr>
      <w:r w:rsidRPr="00C35766">
        <w:rPr>
          <w:rFonts w:eastAsia="Times New Roman"/>
          <w:lang w:val="it-IT"/>
        </w:rPr>
        <w:t>Negli studi clinici controllati di adalimumab (dosi iniziali di 160 mg alla settimana 0 e 80 mg alla settimana 2, seguiti da 40 mg ogni settimana a partire dalla settimana 4) in pazienti con idrosadenite suppurativa, con una durata del periodo di controllo tra 12 e 16 settimane, aumenti dei livelli di ALT superiori o uguali a tre volte l’ULN si sono verificati nello 0,3% dei pazienti trattati con adalimumab e nello 0,6% dei pazienti trattati con il controllo.</w:t>
      </w:r>
    </w:p>
    <w:p w14:paraId="295012A1" w14:textId="77777777" w:rsidR="00F91711" w:rsidRPr="00C35766" w:rsidRDefault="00F91711" w:rsidP="00F91711">
      <w:pPr>
        <w:spacing w:before="17" w:line="240" w:lineRule="exact"/>
        <w:rPr>
          <w:rFonts w:ascii="Times New Roman" w:hAnsi="Times New Roman" w:cs="Times New Roman"/>
          <w:sz w:val="24"/>
          <w:szCs w:val="24"/>
          <w:lang w:val="it-IT"/>
        </w:rPr>
      </w:pPr>
    </w:p>
    <w:p w14:paraId="7FE783A6" w14:textId="77777777" w:rsidR="00F91711" w:rsidRPr="00C35766" w:rsidRDefault="00F91711" w:rsidP="00F91711">
      <w:pPr>
        <w:pStyle w:val="a3"/>
        <w:rPr>
          <w:lang w:val="it-IT"/>
        </w:rPr>
      </w:pPr>
      <w:r w:rsidRPr="00C35766">
        <w:rPr>
          <w:rFonts w:eastAsia="Times New Roman"/>
          <w:lang w:val="it-IT"/>
        </w:rPr>
        <w:t>Negli studi clinici controllati di adalimumab (dosi iniziali di 80 mg alla settimana 0 seguiti da 40 mg a settimane alterne a partire dalla settimana 1) in pazienti adulti con uveite fino a 80 settimane con un’esposizione mediana rispettivamente di 166,5 giorni nei pazienti trattati con adalimumab e di 105,0 giorni nei pazienti trattati con il controllo, aumenti dei livelli di ALT superiori o uguali a tre volte l’ULN si sono verificati nel 2,4% dei pazienti trattati con adalimumab e nel 2,4% dei pazienti trattati con il controllo.</w:t>
      </w:r>
    </w:p>
    <w:p w14:paraId="6FB27D59" w14:textId="77777777" w:rsidR="00F91711" w:rsidRPr="00C35766" w:rsidRDefault="00F91711" w:rsidP="00F91711">
      <w:pPr>
        <w:spacing w:before="11" w:line="240" w:lineRule="exact"/>
        <w:rPr>
          <w:rFonts w:ascii="Times New Roman" w:hAnsi="Times New Roman" w:cs="Times New Roman"/>
          <w:sz w:val="24"/>
          <w:szCs w:val="24"/>
          <w:lang w:val="it-IT"/>
        </w:rPr>
      </w:pPr>
    </w:p>
    <w:p w14:paraId="2D7FBDE3" w14:textId="77777777" w:rsidR="00F91711" w:rsidRPr="00C35766" w:rsidRDefault="00F91711" w:rsidP="00F91711">
      <w:pPr>
        <w:rPr>
          <w:rStyle w:val="normaltextrun"/>
          <w:rFonts w:ascii="Times New Roman" w:hAnsi="Times New Roman" w:cs="Times New Roman"/>
          <w:shd w:val="clear" w:color="auto" w:fill="FFFFFF"/>
          <w:lang w:val="it-IT"/>
        </w:rPr>
      </w:pPr>
      <w:r w:rsidRPr="00C35766">
        <w:rPr>
          <w:rStyle w:val="normaltextrun"/>
          <w:rFonts w:ascii="Times New Roman" w:hAnsi="Times New Roman" w:cs="Times New Roman"/>
          <w:shd w:val="clear" w:color="auto" w:fill="FFFFFF"/>
          <w:lang w:val="it-IT"/>
        </w:rPr>
        <w:t>Nello studio controllato di fase 3 di adalimumab in pazienti con colite ulcerosa pediatrica (N=93) che ha valutato l'efficacia e la sicurezza di una dose di mantenimento di 0,6 mg/kg (massimo 40 mg) ogni due settimane (N=31) e di una dose di mantenimento di 0,6 mg/kg (massimo 40 mg) ogni settimana (N=32), a seguito di una dose di induzione aggiustata per il peso corporeo di 2,4 mg/kg (massimo 160 mg) alla Settimana 0 e alla Settimana 1, e di 1,2 mg/kg (massimo 80 mg) alla Settimana 2 (N=63), o di una dose di induzione di 2,4 mg/kg (massimo 160 mg) alla Settimana 0, placebo alla Settimana 1, e 1,2 mg/kg (massimo 80 mg) alla Settimana 2 (N=30), sono stati riscontrati aumenti delle ALT ≥ 3 X ULN nell'1,1% (1/93) dei pazienti.</w:t>
      </w:r>
    </w:p>
    <w:p w14:paraId="18A47F5D" w14:textId="77777777" w:rsidR="00F91711" w:rsidRPr="00C35766" w:rsidRDefault="00F91711" w:rsidP="00F91711">
      <w:pPr>
        <w:spacing w:before="11" w:line="240" w:lineRule="exact"/>
        <w:rPr>
          <w:rFonts w:ascii="Times New Roman" w:hAnsi="Times New Roman" w:cs="Times New Roman"/>
          <w:sz w:val="24"/>
          <w:szCs w:val="24"/>
          <w:lang w:val="it-IT"/>
        </w:rPr>
      </w:pPr>
    </w:p>
    <w:p w14:paraId="79B6DAB7" w14:textId="77777777" w:rsidR="00F91711" w:rsidRPr="00C35766" w:rsidRDefault="00F91711" w:rsidP="00F91711">
      <w:pPr>
        <w:pStyle w:val="a3"/>
        <w:rPr>
          <w:lang w:val="it-IT"/>
        </w:rPr>
      </w:pPr>
      <w:r w:rsidRPr="00C35766">
        <w:rPr>
          <w:rFonts w:eastAsia="Times New Roman"/>
          <w:lang w:val="it-IT"/>
        </w:rPr>
        <w:t xml:space="preserve">Negli studi clinici, in tutte le indicazioni, i pazienti con livelli aumentati di transaminasi ALT erano asintomatici e nella maggior parte dei casi gli innalzamenti erano transitori e si sono risolti nel corso del </w:t>
      </w:r>
      <w:r w:rsidRPr="00C35766">
        <w:rPr>
          <w:rFonts w:eastAsia="Times New Roman"/>
          <w:lang w:val="it-IT"/>
        </w:rPr>
        <w:lastRenderedPageBreak/>
        <w:t>trattamento. Tuttavia, in pazienti trattati con adalimumab, sono stati riportati anche casi post-marketing di insufficienza epatica come pure di disordini epatici meno severi che possono precedere l’insufficienza epatica, come l’epatite, inclusa l’epatite autoimmune.</w:t>
      </w:r>
    </w:p>
    <w:p w14:paraId="76F186B4" w14:textId="77777777" w:rsidR="00F91711" w:rsidRPr="00C35766" w:rsidRDefault="00F91711" w:rsidP="00F91711">
      <w:pPr>
        <w:pStyle w:val="a3"/>
        <w:rPr>
          <w:u w:color="000000"/>
          <w:lang w:val="it-IT"/>
        </w:rPr>
      </w:pPr>
    </w:p>
    <w:p w14:paraId="2AC99AB5" w14:textId="77777777" w:rsidR="00F91711" w:rsidRPr="00C35766" w:rsidRDefault="00F91711" w:rsidP="00F91711">
      <w:pPr>
        <w:pStyle w:val="a3"/>
        <w:rPr>
          <w:u w:val="single"/>
          <w:lang w:val="it-IT"/>
        </w:rPr>
      </w:pPr>
      <w:r w:rsidRPr="00C35766">
        <w:rPr>
          <w:rFonts w:eastAsia="Times New Roman"/>
          <w:u w:val="single" w:color="000000"/>
          <w:lang w:val="it-IT"/>
        </w:rPr>
        <w:t>Trattamento concomitante con azatioprina/6-mercaptopurina</w:t>
      </w:r>
    </w:p>
    <w:p w14:paraId="1340DA36" w14:textId="77777777" w:rsidR="00F91711" w:rsidRPr="00C35766" w:rsidRDefault="00F91711" w:rsidP="00F91711">
      <w:pPr>
        <w:spacing w:before="1" w:line="180" w:lineRule="exact"/>
        <w:rPr>
          <w:rFonts w:ascii="Times New Roman" w:hAnsi="Times New Roman" w:cs="Times New Roman"/>
          <w:sz w:val="18"/>
          <w:szCs w:val="18"/>
          <w:lang w:val="it-IT"/>
        </w:rPr>
      </w:pPr>
    </w:p>
    <w:p w14:paraId="3A0015E5" w14:textId="77777777" w:rsidR="00F91711" w:rsidRPr="00C35766" w:rsidRDefault="00F91711" w:rsidP="00F91711">
      <w:pPr>
        <w:pStyle w:val="a3"/>
        <w:rPr>
          <w:lang w:val="it-IT"/>
        </w:rPr>
      </w:pPr>
      <w:r w:rsidRPr="00C35766">
        <w:rPr>
          <w:rFonts w:eastAsia="Times New Roman"/>
          <w:lang w:val="it-IT"/>
        </w:rPr>
        <w:t>Negli studi sulla malattia di Crohn negli adulti, con l’associazione di adalimumab e azatioprina/6-mercaptopurina sono state osservate incidenze più elevate di eventi avversi correlati a infezioni gravi e a tumori maligni rispetto ad adalimumab da solo.</w:t>
      </w:r>
    </w:p>
    <w:p w14:paraId="3054C896" w14:textId="77777777" w:rsidR="00F91711" w:rsidRPr="00C35766" w:rsidRDefault="00F91711" w:rsidP="00F91711">
      <w:pPr>
        <w:spacing w:before="13" w:line="240" w:lineRule="exact"/>
        <w:rPr>
          <w:rFonts w:ascii="Times New Roman" w:hAnsi="Times New Roman" w:cs="Times New Roman"/>
          <w:sz w:val="24"/>
          <w:szCs w:val="24"/>
          <w:lang w:val="it-IT"/>
        </w:rPr>
      </w:pPr>
    </w:p>
    <w:p w14:paraId="3F9FE687" w14:textId="77777777" w:rsidR="00F91711" w:rsidRPr="00C35766" w:rsidRDefault="00F91711" w:rsidP="00F91711">
      <w:pPr>
        <w:pStyle w:val="a3"/>
        <w:rPr>
          <w:u w:val="single"/>
          <w:lang w:val="it-IT"/>
        </w:rPr>
      </w:pPr>
      <w:r w:rsidRPr="00C35766">
        <w:rPr>
          <w:rFonts w:eastAsia="Times New Roman"/>
          <w:u w:val="single" w:color="000000"/>
          <w:lang w:val="it-IT"/>
        </w:rPr>
        <w:t>Segnalazione delle reazioni avverse sospette</w:t>
      </w:r>
    </w:p>
    <w:p w14:paraId="745BA02F" w14:textId="77777777" w:rsidR="00F91711" w:rsidRPr="00C35766" w:rsidRDefault="00F91711" w:rsidP="00F91711">
      <w:pPr>
        <w:spacing w:before="9" w:line="170" w:lineRule="exact"/>
        <w:rPr>
          <w:rFonts w:ascii="Times New Roman" w:hAnsi="Times New Roman" w:cs="Times New Roman"/>
          <w:sz w:val="17"/>
          <w:szCs w:val="17"/>
          <w:lang w:val="it-IT"/>
        </w:rPr>
      </w:pPr>
    </w:p>
    <w:p w14:paraId="7A1D0E6D" w14:textId="1BB78480" w:rsidR="00F91711" w:rsidRPr="00C35766" w:rsidRDefault="00F91711" w:rsidP="00F91711">
      <w:pPr>
        <w:pStyle w:val="a3"/>
        <w:rPr>
          <w:lang w:val="it-IT"/>
        </w:rPr>
      </w:pPr>
      <w:r w:rsidRPr="00C35766">
        <w:rPr>
          <w:rFonts w:eastAsia="Times New Roman"/>
          <w:lang w:val="it-IT"/>
        </w:rPr>
        <w:t>La segnalazione delle reazioni avverse sospette che si verificano dopo l’autorizzazione del medicinale è importante, in quanto permette un monitoraggio continuo del rapporto beneficio/rischio del medicinale. Agli operatori sanitari è richiesto di segnalare qualsiasi reazione avversa sospetta tramite il sistema nazionale di segnalazione riportato nell’</w:t>
      </w:r>
      <w:hyperlink r:id="rId24" w:history="1">
        <w:bookmarkStart w:id="10" w:name="_Hlk147415988"/>
        <w:r w:rsidR="00AD1D4A">
          <w:rPr>
            <w:rFonts w:eastAsia="Times New Roman"/>
            <w:color w:val="0000FF"/>
            <w:u w:val="single"/>
            <w:lang w:val="it-IT"/>
          </w:rPr>
          <w:t>a</w:t>
        </w:r>
        <w:r w:rsidRPr="00C35766">
          <w:rPr>
            <w:rFonts w:eastAsia="Times New Roman"/>
            <w:color w:val="0000FF"/>
            <w:u w:val="single"/>
            <w:lang w:val="it-IT"/>
          </w:rPr>
          <w:t>llegato V</w:t>
        </w:r>
        <w:bookmarkEnd w:id="10"/>
        <w:r w:rsidRPr="00C35766">
          <w:rPr>
            <w:rFonts w:eastAsia="Times New Roman"/>
            <w:color w:val="000000"/>
            <w:lang w:val="it-IT"/>
          </w:rPr>
          <w:t>.</w:t>
        </w:r>
      </w:hyperlink>
    </w:p>
    <w:p w14:paraId="47BF6668" w14:textId="77777777" w:rsidR="00F91711" w:rsidRPr="00C35766" w:rsidRDefault="00F91711" w:rsidP="00F91711">
      <w:pPr>
        <w:spacing w:before="6" w:line="180" w:lineRule="exact"/>
        <w:rPr>
          <w:rFonts w:ascii="Times New Roman" w:hAnsi="Times New Roman" w:cs="Times New Roman"/>
          <w:sz w:val="18"/>
          <w:szCs w:val="18"/>
          <w:lang w:val="it-IT"/>
        </w:rPr>
      </w:pPr>
    </w:p>
    <w:p w14:paraId="14C87289" w14:textId="77777777" w:rsidR="00F91711" w:rsidRPr="00C35766" w:rsidRDefault="00F91711" w:rsidP="00933A6C">
      <w:pPr>
        <w:widowControl/>
        <w:numPr>
          <w:ilvl w:val="1"/>
          <w:numId w:val="5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Sovradosaggio</w:t>
      </w:r>
    </w:p>
    <w:p w14:paraId="68DEA192" w14:textId="77777777" w:rsidR="00F91711" w:rsidRPr="00C35766" w:rsidRDefault="00F91711" w:rsidP="00F91711">
      <w:pPr>
        <w:spacing w:before="12" w:line="240" w:lineRule="exact"/>
        <w:rPr>
          <w:rFonts w:ascii="Times New Roman" w:hAnsi="Times New Roman" w:cs="Times New Roman"/>
          <w:sz w:val="24"/>
          <w:szCs w:val="24"/>
        </w:rPr>
      </w:pPr>
    </w:p>
    <w:p w14:paraId="3FE959E5" w14:textId="77777777" w:rsidR="00F91711" w:rsidRPr="00C35766" w:rsidRDefault="00F91711" w:rsidP="00F91711">
      <w:pPr>
        <w:pStyle w:val="a3"/>
        <w:rPr>
          <w:lang w:val="it-IT"/>
        </w:rPr>
      </w:pPr>
      <w:r w:rsidRPr="00C35766">
        <w:rPr>
          <w:rFonts w:eastAsia="Times New Roman"/>
          <w:lang w:val="it-IT"/>
        </w:rPr>
        <w:t>Non è stata osservata tossicità dose-limitante durante gli studi clinici. La dose più elevata valutata è stata quella costituita da dosi multiple di 10 mg/kg per via endovenosa; tale dose risulta equivalente a circa 15 volte la dose raccomandata.</w:t>
      </w:r>
    </w:p>
    <w:p w14:paraId="762A89B1" w14:textId="77777777" w:rsidR="00F91711" w:rsidRPr="00C35766" w:rsidRDefault="00F91711" w:rsidP="00F91711">
      <w:pPr>
        <w:spacing w:line="200" w:lineRule="exact"/>
        <w:rPr>
          <w:rFonts w:ascii="Times New Roman" w:hAnsi="Times New Roman" w:cs="Times New Roman"/>
          <w:sz w:val="20"/>
          <w:lang w:val="it-IT"/>
        </w:rPr>
      </w:pPr>
    </w:p>
    <w:p w14:paraId="58F153E5" w14:textId="77777777" w:rsidR="00F91711" w:rsidRPr="00C35766" w:rsidRDefault="00F91711" w:rsidP="00F91711">
      <w:pPr>
        <w:widowControl/>
        <w:tabs>
          <w:tab w:val="left" w:pos="567"/>
        </w:tabs>
        <w:spacing w:line="260" w:lineRule="exact"/>
        <w:rPr>
          <w:rFonts w:ascii="Times New Roman" w:hAnsi="Times New Roman" w:cs="Times New Roman"/>
          <w:b/>
          <w:lang w:val="it-IT"/>
        </w:rPr>
      </w:pPr>
    </w:p>
    <w:p w14:paraId="3D2C5720" w14:textId="77777777" w:rsidR="00F91711" w:rsidRPr="00C35766" w:rsidRDefault="00F91711" w:rsidP="00933A6C">
      <w:pPr>
        <w:widowControl/>
        <w:numPr>
          <w:ilvl w:val="0"/>
          <w:numId w:val="5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FARMACOLOGICHE</w:t>
      </w:r>
    </w:p>
    <w:p w14:paraId="691745C8" w14:textId="77777777" w:rsidR="00F91711" w:rsidRPr="00C35766" w:rsidRDefault="00F91711" w:rsidP="00F91711">
      <w:pPr>
        <w:spacing w:before="11" w:line="240" w:lineRule="exact"/>
        <w:rPr>
          <w:rFonts w:ascii="Times New Roman" w:hAnsi="Times New Roman" w:cs="Times New Roman"/>
          <w:sz w:val="24"/>
          <w:szCs w:val="24"/>
        </w:rPr>
      </w:pPr>
    </w:p>
    <w:p w14:paraId="3CDCFDB8" w14:textId="77777777" w:rsidR="00F91711" w:rsidRPr="00C35766" w:rsidRDefault="00F91711" w:rsidP="00933A6C">
      <w:pPr>
        <w:widowControl/>
        <w:numPr>
          <w:ilvl w:val="1"/>
          <w:numId w:val="5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farmacodinamiche</w:t>
      </w:r>
    </w:p>
    <w:p w14:paraId="04FE638C" w14:textId="77777777" w:rsidR="00F91711" w:rsidRPr="00C35766" w:rsidRDefault="00F91711" w:rsidP="00F91711">
      <w:pPr>
        <w:spacing w:before="9" w:line="240" w:lineRule="exact"/>
        <w:rPr>
          <w:rFonts w:ascii="Times New Roman" w:hAnsi="Times New Roman" w:cs="Times New Roman"/>
          <w:sz w:val="24"/>
          <w:szCs w:val="24"/>
        </w:rPr>
      </w:pPr>
    </w:p>
    <w:p w14:paraId="2E3DB452" w14:textId="77777777" w:rsidR="00F91711" w:rsidRPr="00C35766" w:rsidRDefault="00F91711" w:rsidP="00F91711">
      <w:pPr>
        <w:pStyle w:val="a3"/>
        <w:rPr>
          <w:lang w:val="it-IT"/>
        </w:rPr>
      </w:pPr>
      <w:r w:rsidRPr="00C35766">
        <w:rPr>
          <w:rFonts w:eastAsia="Times New Roman"/>
          <w:lang w:val="it-IT"/>
        </w:rPr>
        <w:t>Categoria farmacoterapeutica: Immunosoppressori, inibitori del fattore di necrosi tumorale alfa (TNF-α). Codice ATC: L04AB04.</w:t>
      </w:r>
    </w:p>
    <w:p w14:paraId="103B8C0D" w14:textId="77777777" w:rsidR="00F91711" w:rsidRPr="00C35766" w:rsidRDefault="00F91711" w:rsidP="00F91711">
      <w:pPr>
        <w:pStyle w:val="a3"/>
        <w:rPr>
          <w:lang w:val="it-IT"/>
        </w:rPr>
      </w:pPr>
    </w:p>
    <w:p w14:paraId="57789587" w14:textId="77777777" w:rsidR="00F91711" w:rsidRPr="00C35766" w:rsidRDefault="00F91711" w:rsidP="00F91711">
      <w:pPr>
        <w:pStyle w:val="a3"/>
        <w:rPr>
          <w:lang w:val="pt-BR"/>
        </w:rPr>
      </w:pPr>
      <w:r w:rsidRPr="00C35766">
        <w:rPr>
          <w:rFonts w:eastAsia="Times New Roman"/>
          <w:lang w:val="it-IT"/>
        </w:rPr>
        <w:t xml:space="preserve">Yuflyma è un medicinale biosimilare. Informazioni più dettagliate sono disponibili sul sito web della Agenzia europea dei medicinali: </w:t>
      </w:r>
      <w:hyperlink r:id="rId25" w:history="1">
        <w:r w:rsidRPr="00C35766">
          <w:rPr>
            <w:rStyle w:val="ad"/>
            <w:rFonts w:eastAsia="Times New Roman"/>
            <w:lang w:val="it-IT"/>
          </w:rPr>
          <w:t>http://www.ema.europa.eu</w:t>
        </w:r>
      </w:hyperlink>
      <w:r w:rsidRPr="00C35766">
        <w:rPr>
          <w:rFonts w:eastAsia="Times New Roman"/>
          <w:lang w:val="it-IT"/>
        </w:rPr>
        <w:t xml:space="preserve">. </w:t>
      </w:r>
    </w:p>
    <w:p w14:paraId="480D4ED5" w14:textId="77777777" w:rsidR="00F91711" w:rsidRPr="00C35766" w:rsidRDefault="00F91711" w:rsidP="00F91711">
      <w:pPr>
        <w:spacing w:before="10" w:line="240" w:lineRule="exact"/>
        <w:rPr>
          <w:rFonts w:ascii="Times New Roman" w:hAnsi="Times New Roman" w:cs="Times New Roman"/>
          <w:sz w:val="24"/>
          <w:szCs w:val="24"/>
          <w:lang w:val="pt-BR"/>
        </w:rPr>
      </w:pPr>
    </w:p>
    <w:p w14:paraId="419625B5" w14:textId="77777777" w:rsidR="00F91711" w:rsidRPr="00C35766" w:rsidRDefault="00F91711" w:rsidP="00F91711">
      <w:pPr>
        <w:pStyle w:val="a3"/>
        <w:rPr>
          <w:u w:val="single"/>
          <w:lang w:val="pt-BR"/>
        </w:rPr>
      </w:pPr>
      <w:r w:rsidRPr="00C35766">
        <w:rPr>
          <w:rFonts w:eastAsia="Times New Roman"/>
          <w:u w:val="single" w:color="000000"/>
          <w:lang w:val="it-IT"/>
        </w:rPr>
        <w:t>Meccanismo d’azione</w:t>
      </w:r>
    </w:p>
    <w:p w14:paraId="383172E9" w14:textId="77777777" w:rsidR="00F91711" w:rsidRPr="00C35766" w:rsidRDefault="00F91711" w:rsidP="00F91711">
      <w:pPr>
        <w:spacing w:before="1" w:line="180" w:lineRule="exact"/>
        <w:rPr>
          <w:rFonts w:ascii="Times New Roman" w:hAnsi="Times New Roman" w:cs="Times New Roman"/>
          <w:sz w:val="18"/>
          <w:szCs w:val="18"/>
          <w:lang w:val="pt-BR"/>
        </w:rPr>
      </w:pPr>
    </w:p>
    <w:p w14:paraId="5C122C89" w14:textId="77777777" w:rsidR="00F91711" w:rsidRPr="00C35766" w:rsidRDefault="00F91711" w:rsidP="00F91711">
      <w:pPr>
        <w:pStyle w:val="a3"/>
        <w:rPr>
          <w:lang w:val="pt-BR"/>
        </w:rPr>
      </w:pPr>
      <w:r w:rsidRPr="00C35766">
        <w:rPr>
          <w:rFonts w:eastAsia="Times New Roman"/>
          <w:lang w:val="it-IT"/>
        </w:rPr>
        <w:t>Adalimumab si lega specificamente al TNF e neutralizza la funzione biologica del TNF bloccando la sua interazione con i recettori del TNF di membrana cellulare, p55 e p75.</w:t>
      </w:r>
    </w:p>
    <w:p w14:paraId="40436015" w14:textId="77777777" w:rsidR="00F91711" w:rsidRPr="00C35766" w:rsidRDefault="00F91711" w:rsidP="00F91711">
      <w:pPr>
        <w:spacing w:before="10" w:line="240" w:lineRule="exact"/>
        <w:rPr>
          <w:rFonts w:ascii="Times New Roman" w:hAnsi="Times New Roman" w:cs="Times New Roman"/>
          <w:sz w:val="24"/>
          <w:szCs w:val="24"/>
          <w:lang w:val="pt-BR"/>
        </w:rPr>
      </w:pPr>
    </w:p>
    <w:p w14:paraId="73C9D713" w14:textId="77777777" w:rsidR="00F91711" w:rsidRPr="00C35766" w:rsidRDefault="00F91711" w:rsidP="00F91711">
      <w:pPr>
        <w:pStyle w:val="a3"/>
        <w:rPr>
          <w:lang w:val="pt-BR"/>
        </w:rPr>
      </w:pPr>
      <w:r w:rsidRPr="00C35766">
        <w:rPr>
          <w:rFonts w:eastAsia="Times New Roman"/>
          <w:lang w:val="it-IT"/>
        </w:rPr>
        <w:t>Adalimumab modula anche le risposte biologiche che sono indotte o regolate dal TNF, inclusi i cambiamenti dei livelli delle molecole di adesione responsabili della migrazione dei leucociti (ELAM-1, VCAM-1 e ICAM-1 con un IC</w:t>
      </w:r>
      <w:r w:rsidRPr="00C35766">
        <w:rPr>
          <w:rFonts w:eastAsia="Times New Roman"/>
          <w:sz w:val="14"/>
          <w:szCs w:val="14"/>
          <w:lang w:val="it-IT"/>
        </w:rPr>
        <w:t xml:space="preserve">50 </w:t>
      </w:r>
      <w:r w:rsidRPr="00C35766">
        <w:rPr>
          <w:rFonts w:eastAsia="Times New Roman"/>
          <w:lang w:val="it-IT"/>
        </w:rPr>
        <w:t>di 0,1-0,2 nM).</w:t>
      </w:r>
    </w:p>
    <w:p w14:paraId="214CDEC1" w14:textId="77777777" w:rsidR="00F91711" w:rsidRPr="00C35766" w:rsidRDefault="00F91711" w:rsidP="00F91711">
      <w:pPr>
        <w:spacing w:before="12" w:line="240" w:lineRule="exact"/>
        <w:rPr>
          <w:rFonts w:ascii="Times New Roman" w:hAnsi="Times New Roman" w:cs="Times New Roman"/>
          <w:sz w:val="24"/>
          <w:szCs w:val="24"/>
          <w:lang w:val="pt-BR"/>
        </w:rPr>
      </w:pPr>
    </w:p>
    <w:p w14:paraId="1D0A467E" w14:textId="77777777" w:rsidR="00F91711" w:rsidRPr="00C35766" w:rsidRDefault="00F91711" w:rsidP="00F91711">
      <w:pPr>
        <w:pStyle w:val="a3"/>
        <w:rPr>
          <w:u w:val="single"/>
          <w:lang w:val="pt-BR"/>
        </w:rPr>
      </w:pPr>
      <w:r w:rsidRPr="00C35766">
        <w:rPr>
          <w:rFonts w:eastAsia="Times New Roman"/>
          <w:u w:val="single" w:color="000000"/>
          <w:lang w:val="it-IT"/>
        </w:rPr>
        <w:t>Effetti farmacodinamici</w:t>
      </w:r>
    </w:p>
    <w:p w14:paraId="2E3F01FA" w14:textId="77777777" w:rsidR="00F91711" w:rsidRPr="00C35766" w:rsidRDefault="00F91711" w:rsidP="00F91711">
      <w:pPr>
        <w:spacing w:before="1" w:line="180" w:lineRule="exact"/>
        <w:rPr>
          <w:rFonts w:ascii="Times New Roman" w:hAnsi="Times New Roman" w:cs="Times New Roman"/>
          <w:sz w:val="18"/>
          <w:szCs w:val="18"/>
          <w:lang w:val="pt-BR"/>
        </w:rPr>
      </w:pPr>
    </w:p>
    <w:p w14:paraId="423BA21F" w14:textId="77777777" w:rsidR="00F91711" w:rsidRPr="00C35766" w:rsidRDefault="00F91711" w:rsidP="00F91711">
      <w:pPr>
        <w:pStyle w:val="a3"/>
        <w:rPr>
          <w:lang w:val="it-IT"/>
        </w:rPr>
      </w:pPr>
      <w:r w:rsidRPr="00C35766">
        <w:rPr>
          <w:rFonts w:eastAsia="Times New Roman"/>
          <w:lang w:val="it-IT"/>
        </w:rPr>
        <w:t>Dopo trattamento con adalimumab, si è osservata una rapida diminuzione delle proteine di fase acuta, indici di infiammazione (proteina C reattiva -PCR e velocità di eritrosedimentazione -VES) e delle citochine sieriche (IL-6) nei pazienti con artrite reumatoide rispetto al valore basale. Anche i livelli sierici delle metalloproteinasi della matrice (MMP-1 e MMP-3), coinvolte nel rimodellamento tissutale responsabile della distruzione della cartilagine, erano diminuiti in seguito alla somministrazione di adalimumab. I pazienti trattati con adalimumab hanno generalmente mostrato un miglioramento dei segni ematologici dell’infiammazione cronica.</w:t>
      </w:r>
    </w:p>
    <w:p w14:paraId="04C751FD" w14:textId="77777777" w:rsidR="00F91711" w:rsidRPr="00C35766" w:rsidRDefault="00F91711" w:rsidP="00F91711">
      <w:pPr>
        <w:spacing w:before="10" w:line="240" w:lineRule="exact"/>
        <w:rPr>
          <w:rFonts w:ascii="Times New Roman" w:hAnsi="Times New Roman" w:cs="Times New Roman"/>
          <w:sz w:val="24"/>
          <w:szCs w:val="24"/>
          <w:lang w:val="it-IT"/>
        </w:rPr>
      </w:pPr>
    </w:p>
    <w:p w14:paraId="6DA0F867" w14:textId="77777777" w:rsidR="00F91711" w:rsidRPr="00C35766" w:rsidRDefault="00F91711" w:rsidP="00F91711">
      <w:pPr>
        <w:pStyle w:val="a3"/>
        <w:rPr>
          <w:lang w:val="es-ES"/>
        </w:rPr>
      </w:pPr>
      <w:r w:rsidRPr="00C35766">
        <w:rPr>
          <w:rFonts w:eastAsia="Times New Roman"/>
          <w:lang w:val="it-IT"/>
        </w:rPr>
        <w:t xml:space="preserve">Dopo trattamento con adalimumab, anche nei pazienti affetti da artrite idiopatica giovanile poliarticolare, malattia di Crohn, colite ulcerosa e idrosadenite suppurativa è stata osservata una rapida diminuzione dei </w:t>
      </w:r>
      <w:r w:rsidRPr="00C35766">
        <w:rPr>
          <w:rFonts w:eastAsia="Times New Roman"/>
          <w:lang w:val="it-IT"/>
        </w:rPr>
        <w:lastRenderedPageBreak/>
        <w:t>livelli di PCR (proteina C reattiva). Nei pazienti affetti dalla malattia di Crohn, è stata osservata una riduzione del numero di cellule che esprimono i marcatori infiammatori nel colon compresa una significativa riduzione dell’espressione del TNFα. Studi endoscopici sulla mucosa intestinale hanno evidenziato la guarigione mucosale nei pazienti trattati con adalimumab.</w:t>
      </w:r>
    </w:p>
    <w:p w14:paraId="536668AD" w14:textId="77777777" w:rsidR="00F91711" w:rsidRPr="00C35766" w:rsidRDefault="00F91711" w:rsidP="00F91711">
      <w:pPr>
        <w:pStyle w:val="a3"/>
        <w:rPr>
          <w:u w:val="single" w:color="000000"/>
          <w:lang w:val="es-ES"/>
        </w:rPr>
      </w:pPr>
    </w:p>
    <w:p w14:paraId="1ACA85FF" w14:textId="77777777" w:rsidR="00F91711" w:rsidRPr="00C35766" w:rsidRDefault="00F91711" w:rsidP="00F91711">
      <w:pPr>
        <w:pStyle w:val="a3"/>
        <w:rPr>
          <w:u w:val="single"/>
          <w:lang w:val="es-ES"/>
        </w:rPr>
      </w:pPr>
      <w:r w:rsidRPr="00C35766">
        <w:rPr>
          <w:rFonts w:eastAsia="Times New Roman"/>
          <w:u w:val="single" w:color="000000"/>
          <w:lang w:val="it-IT"/>
        </w:rPr>
        <w:t>Efficacia e sicurezza clinica</w:t>
      </w:r>
    </w:p>
    <w:p w14:paraId="6683569C" w14:textId="77777777" w:rsidR="00F91711" w:rsidRPr="00C35766" w:rsidRDefault="00F91711" w:rsidP="00F91711">
      <w:pPr>
        <w:spacing w:line="180" w:lineRule="exact"/>
        <w:rPr>
          <w:rFonts w:ascii="Times New Roman" w:hAnsi="Times New Roman" w:cs="Times New Roman"/>
          <w:sz w:val="18"/>
          <w:szCs w:val="18"/>
          <w:lang w:val="es-ES"/>
        </w:rPr>
      </w:pPr>
    </w:p>
    <w:p w14:paraId="579E89BE" w14:textId="77777777" w:rsidR="00F91711" w:rsidRPr="00C35766" w:rsidRDefault="00F91711" w:rsidP="00F91711">
      <w:pPr>
        <w:pStyle w:val="a3"/>
        <w:rPr>
          <w:i/>
          <w:iCs/>
          <w:lang w:val="es-ES"/>
        </w:rPr>
      </w:pPr>
      <w:r w:rsidRPr="00C35766">
        <w:rPr>
          <w:rFonts w:eastAsia="Times New Roman"/>
          <w:i/>
          <w:iCs/>
          <w:lang w:val="it-IT"/>
        </w:rPr>
        <w:t>Artrite reumatoide</w:t>
      </w:r>
    </w:p>
    <w:p w14:paraId="78172D83" w14:textId="77777777" w:rsidR="00F91711" w:rsidRPr="00C35766" w:rsidRDefault="00F91711" w:rsidP="00F91711">
      <w:pPr>
        <w:pStyle w:val="a3"/>
        <w:rPr>
          <w:sz w:val="24"/>
          <w:szCs w:val="24"/>
          <w:lang w:val="es-ES"/>
        </w:rPr>
      </w:pPr>
    </w:p>
    <w:p w14:paraId="2C3A0595" w14:textId="77777777" w:rsidR="00F91711" w:rsidRPr="00C35766" w:rsidRDefault="00F91711" w:rsidP="00F91711">
      <w:pPr>
        <w:pStyle w:val="a3"/>
        <w:rPr>
          <w:lang w:val="it-IT"/>
        </w:rPr>
      </w:pPr>
      <w:r w:rsidRPr="00C35766">
        <w:rPr>
          <w:rFonts w:eastAsia="Times New Roman"/>
          <w:lang w:val="it-IT"/>
        </w:rPr>
        <w:t>Adalimumab è stato valutato su oltre 3.000 pazienti in tutti gli studi clinici sull’artrite reumatoide. L’efficacia e la sicurezza di adalimumab sono state valutate in cinque studi randomizzati, in doppio cieco e ben controllati. Alcuni pazienti sono stati sottoposti a trattamento per un periodo fino a 120 mesi. Il dolore nel sito di iniezione di adalimumab 40 mg/0,4 mL è stato valutato in due studi randomizzati, con controllo attivo, in singolo cieco, con due periodi di crossover.</w:t>
      </w:r>
    </w:p>
    <w:p w14:paraId="48F4FCDF" w14:textId="77777777" w:rsidR="00F91711" w:rsidRPr="00C35766" w:rsidRDefault="00F91711" w:rsidP="00F91711">
      <w:pPr>
        <w:spacing w:before="13" w:line="240" w:lineRule="exact"/>
        <w:rPr>
          <w:rFonts w:ascii="Times New Roman" w:hAnsi="Times New Roman" w:cs="Times New Roman"/>
          <w:sz w:val="24"/>
          <w:szCs w:val="24"/>
          <w:lang w:val="it-IT"/>
        </w:rPr>
      </w:pPr>
    </w:p>
    <w:p w14:paraId="7995C562" w14:textId="77777777" w:rsidR="00F91711" w:rsidRPr="00C35766" w:rsidRDefault="00F91711" w:rsidP="00F91711">
      <w:pPr>
        <w:pStyle w:val="a3"/>
        <w:rPr>
          <w:lang w:val="it-IT"/>
        </w:rPr>
      </w:pPr>
      <w:r w:rsidRPr="00C35766">
        <w:rPr>
          <w:rFonts w:eastAsia="Times New Roman"/>
          <w:lang w:val="it-IT"/>
        </w:rPr>
        <w:t xml:space="preserve">Lo studio AR I è stato condotto su 271 pazienti di età </w:t>
      </w:r>
      <w:r w:rsidRPr="00C35766">
        <w:rPr>
          <w:lang w:val="it-IT"/>
        </w:rPr>
        <w:sym w:font="Symbol" w:char="F0B3"/>
      </w:r>
      <w:r w:rsidRPr="00C35766">
        <w:rPr>
          <w:lang w:val="it-IT"/>
        </w:rPr>
        <w:sym w:font="Symbol" w:char="F020"/>
      </w:r>
      <w:r w:rsidRPr="00C35766">
        <w:rPr>
          <w:rFonts w:eastAsia="Times New Roman"/>
          <w:lang w:val="it-IT"/>
        </w:rPr>
        <w:t xml:space="preserve"> 18 anni, affetti da artrite reumatoide attiva di grado da moderato a severo, refrattari ad almeno un farmaco DMARD e con risposta inadeguata al metotressato a dosaggi compresi tra 12,5 e 25 mg (10 mg se intolleranti al metotressato) a settimana e la cui dose di metotressato è rimasta costante a 10-25 mg a settimana. Adalimumab 20, 40 o 80 mg o placebo sono stati somministrati a settimane alterne per 24 settimane.</w:t>
      </w:r>
    </w:p>
    <w:p w14:paraId="01C240A8" w14:textId="77777777" w:rsidR="00F91711" w:rsidRPr="00C35766" w:rsidRDefault="00F91711" w:rsidP="00F91711">
      <w:pPr>
        <w:spacing w:before="13" w:line="240" w:lineRule="exact"/>
        <w:rPr>
          <w:rFonts w:ascii="Times New Roman" w:hAnsi="Times New Roman" w:cs="Times New Roman"/>
          <w:sz w:val="24"/>
          <w:szCs w:val="24"/>
          <w:lang w:val="it-IT"/>
        </w:rPr>
      </w:pPr>
    </w:p>
    <w:p w14:paraId="143730D8" w14:textId="77777777" w:rsidR="00F91711" w:rsidRPr="00C35766" w:rsidRDefault="00F91711" w:rsidP="00F91711">
      <w:pPr>
        <w:pStyle w:val="a3"/>
        <w:rPr>
          <w:lang w:val="it-IT"/>
        </w:rPr>
      </w:pPr>
      <w:r w:rsidRPr="00C35766">
        <w:rPr>
          <w:rFonts w:eastAsia="Times New Roman"/>
          <w:lang w:val="it-IT"/>
        </w:rPr>
        <w:t xml:space="preserve">Nello studio AR II sono stati studiati 544 pazienti affetti da artrite reumatoide attiva di grado da moderato a severo, di età </w:t>
      </w:r>
      <w:r w:rsidRPr="00C35766">
        <w:rPr>
          <w:lang w:val="it-IT"/>
        </w:rPr>
        <w:sym w:font="Symbol" w:char="F0B3"/>
      </w:r>
      <w:r w:rsidRPr="00C35766">
        <w:rPr>
          <w:lang w:val="it-IT"/>
        </w:rPr>
        <w:sym w:font="Symbol" w:char="F020"/>
      </w:r>
      <w:r w:rsidRPr="00C35766">
        <w:rPr>
          <w:rFonts w:eastAsia="Times New Roman"/>
          <w:lang w:val="it-IT"/>
        </w:rPr>
        <w:t>18 anni, con insufficiente risposta ad almeno un farmaco DMARD. Sono state somministrate dosi di 20 o 40 mg di adalimumab tramite iniezione sottocutanea ogni due settimane con placebo a settimane alterne, o ogni settimana per 26 settimane; il placebo è stato somministrato ogni settimana per la stessa durata. Non è stato consentito l’uso di altri DMARD.</w:t>
      </w:r>
    </w:p>
    <w:p w14:paraId="245990B6" w14:textId="77777777" w:rsidR="00F91711" w:rsidRPr="00C35766" w:rsidRDefault="00F91711" w:rsidP="00F91711">
      <w:pPr>
        <w:spacing w:before="13" w:line="240" w:lineRule="exact"/>
        <w:rPr>
          <w:rFonts w:ascii="Times New Roman" w:hAnsi="Times New Roman" w:cs="Times New Roman"/>
          <w:sz w:val="24"/>
          <w:lang w:val="it-IT"/>
        </w:rPr>
      </w:pPr>
    </w:p>
    <w:p w14:paraId="1B11501D" w14:textId="77777777" w:rsidR="00F91711" w:rsidRPr="00C35766" w:rsidRDefault="00F91711" w:rsidP="00F91711">
      <w:pPr>
        <w:pStyle w:val="a3"/>
        <w:rPr>
          <w:lang w:val="it-IT"/>
        </w:rPr>
      </w:pPr>
      <w:r w:rsidRPr="00C35766">
        <w:rPr>
          <w:rFonts w:eastAsia="Times New Roman"/>
          <w:lang w:val="it-IT"/>
        </w:rPr>
        <w:t xml:space="preserve">Allo studio AR III hanno partecipato 619 pazienti con artrite reumatoide attiva di grado da moderato a severo, di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18 anni di età, con inadeguata risposta alla terapia con metotressato a dosaggi compresi tra 12,5 e 25 mg, o intolleranti a 10 mg di metotressato ogni settimana. In questo studio sono stati costituiti 3 gruppi. Il primo ha ricevuto iniezioni di placebo ogni settimana per 52 settimane. Il secondo ha ricevuto 20 mg di adalimumab a settimana per 52 settimane, mentre il terzo ha ricevuto 40 mg di adalimumab ogni due settimane e iniezioni di placebo a settimane alterne. Al completamento delle prime 52 settimane, 457 pazienti sono stati arruolati in una fase di estensione in aperto in cui adalimumab/MTX è stato somministrato alla dose di 40 mg a settimane alterne fino a 10 anni.</w:t>
      </w:r>
    </w:p>
    <w:p w14:paraId="023B32A5" w14:textId="77777777" w:rsidR="00F91711" w:rsidRPr="00C35766" w:rsidRDefault="00F91711" w:rsidP="00F91711">
      <w:pPr>
        <w:spacing w:before="13" w:line="240" w:lineRule="exact"/>
        <w:rPr>
          <w:rFonts w:ascii="Times New Roman" w:hAnsi="Times New Roman" w:cs="Times New Roman"/>
          <w:sz w:val="24"/>
          <w:szCs w:val="24"/>
          <w:lang w:val="it-IT"/>
        </w:rPr>
      </w:pPr>
    </w:p>
    <w:p w14:paraId="341289B5" w14:textId="77777777" w:rsidR="00F91711" w:rsidRPr="00C35766" w:rsidRDefault="00F91711" w:rsidP="00F91711">
      <w:pPr>
        <w:pStyle w:val="a3"/>
        <w:rPr>
          <w:lang w:val="it-IT"/>
        </w:rPr>
      </w:pPr>
      <w:r w:rsidRPr="00C35766">
        <w:rPr>
          <w:rFonts w:eastAsia="Times New Roman"/>
          <w:lang w:val="it-IT"/>
        </w:rPr>
        <w:t xml:space="preserve">Lo studio AR IV ha valutato in primo luogo la sicurezza in 636 pazienti con artrite reumatoide attiva di grado da moderato a severo e con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18 anni. La popolazione studiata era costituita sia da pazienti mai trattati con DMARD, sia da pazienti che avevano continuato la terapia anti-reumatica preesistente a condizione che questa fosse stabile da un minimo di 28 giorni. Queste terapie includono metotressato, leflunomide, idrossiclorochina, sulfasalazina e/o sali d’oro. I pazienti sono stati randomizzati per ricevere 40 mg di adalimumab o placebo ogni due settimane per 24 settimane.</w:t>
      </w:r>
    </w:p>
    <w:p w14:paraId="4639AD36" w14:textId="77777777" w:rsidR="00F91711" w:rsidRPr="00C35766" w:rsidRDefault="00F91711" w:rsidP="00F91711">
      <w:pPr>
        <w:spacing w:before="11" w:line="240" w:lineRule="exact"/>
        <w:rPr>
          <w:rFonts w:ascii="Times New Roman" w:hAnsi="Times New Roman" w:cs="Times New Roman"/>
          <w:sz w:val="24"/>
          <w:szCs w:val="24"/>
          <w:lang w:val="it-IT"/>
        </w:rPr>
      </w:pPr>
    </w:p>
    <w:p w14:paraId="2DB6D3E6" w14:textId="77777777" w:rsidR="00F91711" w:rsidRPr="00C35766" w:rsidRDefault="00F91711" w:rsidP="00F91711">
      <w:pPr>
        <w:pStyle w:val="a3"/>
        <w:rPr>
          <w:lang w:val="it-IT"/>
        </w:rPr>
      </w:pPr>
      <w:r w:rsidRPr="00C35766">
        <w:rPr>
          <w:rFonts w:eastAsia="Times New Roman"/>
          <w:lang w:val="it-IT"/>
        </w:rPr>
        <w:t>Lo studio AR V ha valutato 799 pazienti adulti mai trattati in precedenza con metotressato ed affetti da artrite reumatoide precoce attiva di grado da moderato a severo (durata media della malattia inferiore a 9 mesi). Questo studio ha valutato l’efficacia di 40 mg di adalimumab somministrato a settimane alterne in terapia associata con il metotressato, di 40 mg di adalimumab somministrato in monoterapia a settimane alterne e di metotressato in monoterapia nella riduzione dei segni e sintomi di malattia e dell’indice di progressione del danno articolare causato dall’artrite reumatoide per 104 settimane. Al completamento delle prime 104 settimane, 497 pazienti sono stati arruolati in una fase di estensione in aperto in cui adalimumab è stato somministrato alla dose di 40 mg a settimane alterne fino a 10 anni.</w:t>
      </w:r>
    </w:p>
    <w:p w14:paraId="59EBEBE1" w14:textId="77777777" w:rsidR="00F91711" w:rsidRPr="00C35766" w:rsidRDefault="00F91711" w:rsidP="00F91711">
      <w:pPr>
        <w:spacing w:before="13" w:line="240" w:lineRule="exact"/>
        <w:rPr>
          <w:rFonts w:ascii="Times New Roman" w:hAnsi="Times New Roman" w:cs="Times New Roman"/>
          <w:sz w:val="24"/>
          <w:szCs w:val="24"/>
          <w:lang w:val="it-IT"/>
        </w:rPr>
      </w:pPr>
    </w:p>
    <w:p w14:paraId="4AC501F6" w14:textId="77777777" w:rsidR="00F91711" w:rsidRPr="00C35766" w:rsidRDefault="00F91711" w:rsidP="00F91711">
      <w:pPr>
        <w:pStyle w:val="a3"/>
        <w:rPr>
          <w:lang w:val="it-IT"/>
        </w:rPr>
      </w:pPr>
      <w:r w:rsidRPr="00C35766">
        <w:rPr>
          <w:rFonts w:eastAsia="Times New Roman"/>
          <w:lang w:val="it-IT"/>
        </w:rPr>
        <w:t xml:space="preserve">Gli studi AR VI e VII hanno valutato ciascuno 60 pazienti con artrite reumatoide attiva di grado da </w:t>
      </w:r>
      <w:r w:rsidRPr="00C35766">
        <w:rPr>
          <w:rFonts w:eastAsia="Times New Roman"/>
          <w:lang w:val="it-IT"/>
        </w:rPr>
        <w:lastRenderedPageBreak/>
        <w:t>moderato a severo con età ≥ 18 anni. I pazienti arruolati utilizzavano sia adalimumab 40 mg/0,8 mL e valutarono il dolore medio al sito di iniezione come una superficie di almeno 3 cm (su una scala VAS da 0-10 cm) oppure erano soggetti naive al trattamento con farmaco biologico che stavano iniziando il trattamento con adalimumab 40 mg/0,8 mL. I pazienti erano randomizzati a ricevere una singola dose di adalimumab 40 mg/0,8 mL oppure di adalimumab 40 mg/0,4 mL, seguita da una singola iniezione del trattamento alternativo alla dose successiva.</w:t>
      </w:r>
    </w:p>
    <w:p w14:paraId="02E91170" w14:textId="77777777" w:rsidR="00F91711" w:rsidRPr="00C35766" w:rsidRDefault="00F91711" w:rsidP="00F91711">
      <w:pPr>
        <w:spacing w:before="14" w:line="240" w:lineRule="exact"/>
        <w:rPr>
          <w:rFonts w:ascii="Times New Roman" w:hAnsi="Times New Roman" w:cs="Times New Roman"/>
          <w:sz w:val="24"/>
          <w:szCs w:val="24"/>
          <w:lang w:val="it-IT"/>
        </w:rPr>
      </w:pPr>
    </w:p>
    <w:p w14:paraId="424EABB6" w14:textId="77777777" w:rsidR="00F91711" w:rsidRPr="00C35766" w:rsidRDefault="00F91711" w:rsidP="00F91711">
      <w:pPr>
        <w:pStyle w:val="a3"/>
        <w:rPr>
          <w:lang w:val="it-IT"/>
        </w:rPr>
      </w:pPr>
      <w:r w:rsidRPr="00C35766">
        <w:rPr>
          <w:rFonts w:eastAsia="Times New Roman"/>
          <w:lang w:val="it-IT"/>
        </w:rPr>
        <w:t>L’endpoint primario degli studi AR I, II, III, e secondario dello studio AR IV, era la valutazione della percentuale di pazienti che raggiungeva una risposta ACR 20 alla settimana 24 o 26. L’endpoint primario dello studio AR V era la valutazione della percentuale di pazienti che raggiungeva una risposta ACR 50 alla settimana 52. Inoltre, gli studi AR III e V avevano un ulteriore endpoint primario rappresentato dal ritardo della progressione di malattia (attraverso gli esami radiografici) alla settimana 52. Lo studio AR III aveva anche l’endpoint primario di variazione della qualità di vita. L’endpoint primario negli studi RA VI e VII era rappresentato dal dolore al sito di iniezione immediatamente dopo l’iniezione misurato dalla scala VAS da 0-10 cm.</w:t>
      </w:r>
    </w:p>
    <w:p w14:paraId="5F1E3D89" w14:textId="77777777" w:rsidR="00F91711" w:rsidRPr="00C35766" w:rsidRDefault="00F91711" w:rsidP="00F91711">
      <w:pPr>
        <w:spacing w:before="13" w:line="240" w:lineRule="exact"/>
        <w:rPr>
          <w:rFonts w:ascii="Times New Roman" w:hAnsi="Times New Roman" w:cs="Times New Roman"/>
          <w:sz w:val="24"/>
          <w:szCs w:val="24"/>
          <w:lang w:val="it-IT"/>
        </w:rPr>
      </w:pPr>
    </w:p>
    <w:p w14:paraId="262B8823" w14:textId="77777777" w:rsidR="00F91711" w:rsidRPr="00C35766" w:rsidRDefault="00F91711" w:rsidP="00F91711">
      <w:pPr>
        <w:rPr>
          <w:rFonts w:ascii="Times New Roman" w:eastAsia="Times New Roman" w:hAnsi="Times New Roman" w:cs="Times New Roman"/>
          <w:lang w:val="pt-BR"/>
        </w:rPr>
      </w:pPr>
      <w:r w:rsidRPr="00C35766">
        <w:rPr>
          <w:rFonts w:ascii="Times New Roman" w:eastAsia="Times New Roman" w:hAnsi="Times New Roman" w:cs="Times New Roman"/>
          <w:i/>
          <w:iCs/>
          <w:spacing w:val="-1"/>
          <w:u w:val="single" w:color="000000"/>
          <w:lang w:val="it-IT"/>
        </w:rPr>
        <w:t>Risposta ACR</w:t>
      </w:r>
    </w:p>
    <w:p w14:paraId="6F12789C" w14:textId="77777777" w:rsidR="00F91711" w:rsidRPr="00C35766" w:rsidRDefault="00F91711" w:rsidP="00F91711">
      <w:pPr>
        <w:spacing w:before="1" w:line="180" w:lineRule="exact"/>
        <w:rPr>
          <w:rFonts w:ascii="Times New Roman" w:hAnsi="Times New Roman" w:cs="Times New Roman"/>
          <w:sz w:val="18"/>
          <w:szCs w:val="18"/>
          <w:lang w:val="pt-BR"/>
        </w:rPr>
      </w:pPr>
    </w:p>
    <w:p w14:paraId="32A9E6F8" w14:textId="104B1F83" w:rsidR="00F91711" w:rsidRPr="00C35766" w:rsidRDefault="00F91711" w:rsidP="00F91711">
      <w:pPr>
        <w:pStyle w:val="a3"/>
        <w:rPr>
          <w:lang w:val="it-IT"/>
        </w:rPr>
      </w:pPr>
      <w:r w:rsidRPr="00C35766">
        <w:rPr>
          <w:rFonts w:eastAsia="Times New Roman"/>
          <w:lang w:val="it-IT"/>
        </w:rPr>
        <w:t>Le percentuali di pazienti trattati con adalimumab che hanno raggiunto risposte ACR 20, 50 e 70 erano sovrapponibili negli studi AR I, II e III. I risultati relativi al trattamento con 40 mg ogni due settimane sono riassunti nella Tabella</w:t>
      </w:r>
      <w:r w:rsidR="003A249F" w:rsidRPr="00C35766">
        <w:rPr>
          <w:rFonts w:eastAsia="Times New Roman"/>
          <w:lang w:val="it-IT"/>
        </w:rPr>
        <w:t xml:space="preserve"> </w:t>
      </w:r>
      <w:r w:rsidR="00150B5C">
        <w:rPr>
          <w:rFonts w:eastAsia="Times New Roman"/>
          <w:lang w:val="it-IT"/>
        </w:rPr>
        <w:t>5</w:t>
      </w:r>
      <w:r w:rsidRPr="00C35766">
        <w:rPr>
          <w:rFonts w:eastAsia="Times New Roman"/>
          <w:lang w:val="it-IT"/>
        </w:rPr>
        <w:t>.</w:t>
      </w:r>
    </w:p>
    <w:p w14:paraId="3B0E79F5" w14:textId="77777777" w:rsidR="00F91711" w:rsidRPr="00C35766" w:rsidRDefault="00F91711" w:rsidP="00F91711">
      <w:pPr>
        <w:spacing w:before="15" w:line="240" w:lineRule="exact"/>
        <w:rPr>
          <w:rFonts w:ascii="Times New Roman" w:hAnsi="Times New Roman" w:cs="Times New Roman"/>
          <w:sz w:val="24"/>
          <w:szCs w:val="24"/>
          <w:lang w:val="it-IT"/>
        </w:rPr>
      </w:pPr>
    </w:p>
    <w:p w14:paraId="356978E2" w14:textId="2D04A45B" w:rsidR="00F91711" w:rsidRPr="00C35766" w:rsidRDefault="00F91711" w:rsidP="00F91711">
      <w:pPr>
        <w:pStyle w:val="a3"/>
        <w:jc w:val="center"/>
        <w:rPr>
          <w:b/>
          <w:lang w:val="it-IT"/>
        </w:rPr>
      </w:pPr>
      <w:r w:rsidRPr="00C35766">
        <w:rPr>
          <w:rFonts w:eastAsia="Times New Roman"/>
          <w:b/>
          <w:bCs/>
          <w:lang w:val="it-IT"/>
        </w:rPr>
        <w:t>Tabella</w:t>
      </w:r>
      <w:r w:rsidR="003A249F" w:rsidRPr="00C35766">
        <w:rPr>
          <w:rFonts w:eastAsia="Times New Roman"/>
          <w:b/>
          <w:bCs/>
          <w:lang w:val="it-IT"/>
        </w:rPr>
        <w:t xml:space="preserve"> </w:t>
      </w:r>
      <w:r w:rsidR="00150B5C">
        <w:rPr>
          <w:rFonts w:eastAsia="Times New Roman"/>
          <w:b/>
          <w:bCs/>
          <w:lang w:val="it-IT"/>
        </w:rPr>
        <w:t>5</w:t>
      </w:r>
    </w:p>
    <w:p w14:paraId="2A4F3784" w14:textId="77777777" w:rsidR="00F91711" w:rsidRPr="00C35766" w:rsidRDefault="00F91711" w:rsidP="00F91711">
      <w:pPr>
        <w:pStyle w:val="a3"/>
        <w:jc w:val="center"/>
        <w:rPr>
          <w:b/>
          <w:lang w:val="it-IT"/>
        </w:rPr>
      </w:pPr>
      <w:r w:rsidRPr="00C35766">
        <w:rPr>
          <w:rFonts w:eastAsia="Times New Roman"/>
          <w:b/>
          <w:bCs/>
          <w:lang w:val="it-IT"/>
        </w:rPr>
        <w:t xml:space="preserve">Risposte ACR negli studi clinici controllati con placebo </w:t>
      </w:r>
      <w:r w:rsidRPr="00C35766">
        <w:rPr>
          <w:rFonts w:eastAsia="Times New Roman"/>
          <w:b/>
          <w:bCs/>
          <w:lang w:val="it-IT"/>
        </w:rPr>
        <w:br/>
        <w:t>(percentuale di pazienti)</w:t>
      </w:r>
    </w:p>
    <w:p w14:paraId="3C118C62" w14:textId="77777777" w:rsidR="00F91711" w:rsidRPr="00C35766" w:rsidRDefault="00F91711" w:rsidP="00F91711">
      <w:pPr>
        <w:spacing w:before="11" w:line="240" w:lineRule="exact"/>
        <w:rPr>
          <w:rFonts w:ascii="Times New Roman" w:hAnsi="Times New Roman" w:cs="Times New Roman"/>
          <w:sz w:val="24"/>
          <w:szCs w:val="24"/>
          <w:lang w:val="it-IT"/>
        </w:rPr>
      </w:pPr>
    </w:p>
    <w:tbl>
      <w:tblPr>
        <w:tblStyle w:val="TableNormal1"/>
        <w:tblpPr w:leftFromText="180" w:rightFromText="180" w:vertAnchor="text" w:tblpX="201" w:tblpY="1"/>
        <w:tblOverlap w:val="never"/>
        <w:tblW w:w="0" w:type="auto"/>
        <w:tblLayout w:type="fixed"/>
        <w:tblLook w:val="01E0" w:firstRow="1" w:lastRow="1" w:firstColumn="1" w:lastColumn="1" w:noHBand="0" w:noVBand="0"/>
      </w:tblPr>
      <w:tblGrid>
        <w:gridCol w:w="1186"/>
        <w:gridCol w:w="1075"/>
        <w:gridCol w:w="1608"/>
        <w:gridCol w:w="1273"/>
        <w:gridCol w:w="1288"/>
        <w:gridCol w:w="1367"/>
        <w:gridCol w:w="1328"/>
      </w:tblGrid>
      <w:tr w:rsidR="00F91711" w:rsidRPr="00C35766" w14:paraId="164DF46E" w14:textId="77777777" w:rsidTr="00F91711">
        <w:tc>
          <w:tcPr>
            <w:tcW w:w="1186" w:type="dxa"/>
            <w:vMerge w:val="restart"/>
            <w:tcBorders>
              <w:top w:val="single" w:sz="4" w:space="0" w:color="auto"/>
              <w:right w:val="single" w:sz="4" w:space="0" w:color="auto"/>
            </w:tcBorders>
          </w:tcPr>
          <w:p w14:paraId="084365BE" w14:textId="77777777" w:rsidR="00F91711" w:rsidRPr="00C35766" w:rsidRDefault="00F91711" w:rsidP="00F91711">
            <w:pPr>
              <w:rPr>
                <w:rFonts w:ascii="Times New Roman" w:eastAsia="Times New Roman" w:hAnsi="Times New Roman" w:cs="Times New Roman"/>
              </w:rPr>
            </w:pPr>
            <w:r w:rsidRPr="00C35766">
              <w:rPr>
                <w:rFonts w:ascii="Times New Roman" w:eastAsia="Times New Roman" w:hAnsi="Times New Roman" w:cs="Times New Roman"/>
                <w:lang w:val="it-IT"/>
              </w:rPr>
              <w:t>Risposta</w:t>
            </w:r>
          </w:p>
        </w:tc>
        <w:tc>
          <w:tcPr>
            <w:tcW w:w="2683" w:type="dxa"/>
            <w:gridSpan w:val="2"/>
            <w:tcBorders>
              <w:top w:val="single" w:sz="4" w:space="0" w:color="auto"/>
              <w:left w:val="single" w:sz="4" w:space="0" w:color="auto"/>
              <w:bottom w:val="single" w:sz="4" w:space="0" w:color="auto"/>
              <w:right w:val="single" w:sz="4" w:space="0" w:color="auto"/>
            </w:tcBorders>
          </w:tcPr>
          <w:p w14:paraId="1CA2F135" w14:textId="77777777" w:rsidR="00F91711" w:rsidRPr="00C35766" w:rsidRDefault="00F91711" w:rsidP="00F91711">
            <w:pPr>
              <w:pStyle w:val="TableParagraph"/>
              <w:spacing w:line="246" w:lineRule="exact"/>
              <w:ind w:left="690"/>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2561" w:type="dxa"/>
            <w:gridSpan w:val="2"/>
            <w:tcBorders>
              <w:top w:val="single" w:sz="4" w:space="0" w:color="auto"/>
              <w:left w:val="single" w:sz="4" w:space="0" w:color="auto"/>
              <w:bottom w:val="single" w:sz="4" w:space="0" w:color="auto"/>
              <w:right w:val="single" w:sz="4" w:space="0" w:color="auto"/>
            </w:tcBorders>
          </w:tcPr>
          <w:p w14:paraId="320C4729" w14:textId="77777777" w:rsidR="00F91711" w:rsidRPr="00C35766" w:rsidRDefault="00F91711" w:rsidP="00F91711">
            <w:pPr>
              <w:pStyle w:val="TableParagraph"/>
              <w:spacing w:line="246" w:lineRule="exact"/>
              <w:ind w:left="591"/>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2695" w:type="dxa"/>
            <w:gridSpan w:val="2"/>
            <w:tcBorders>
              <w:top w:val="single" w:sz="4" w:space="0" w:color="auto"/>
              <w:left w:val="single" w:sz="4" w:space="0" w:color="auto"/>
              <w:bottom w:val="single" w:sz="4" w:space="0" w:color="auto"/>
            </w:tcBorders>
          </w:tcPr>
          <w:p w14:paraId="1C12BF9F" w14:textId="77777777" w:rsidR="00F91711" w:rsidRPr="00C35766" w:rsidRDefault="00F91711" w:rsidP="00F91711">
            <w:pPr>
              <w:pStyle w:val="TableParagraph"/>
              <w:spacing w:line="246" w:lineRule="exact"/>
              <w:ind w:left="625"/>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r>
      <w:tr w:rsidR="00F91711" w:rsidRPr="00C35766" w14:paraId="35A9F33D" w14:textId="77777777" w:rsidTr="00F91711">
        <w:tc>
          <w:tcPr>
            <w:tcW w:w="1186" w:type="dxa"/>
            <w:vMerge/>
            <w:tcBorders>
              <w:bottom w:val="single" w:sz="4" w:space="0" w:color="auto"/>
              <w:right w:val="single" w:sz="4" w:space="0" w:color="auto"/>
            </w:tcBorders>
          </w:tcPr>
          <w:p w14:paraId="47A6E63E" w14:textId="77777777" w:rsidR="00F91711" w:rsidRPr="00C35766" w:rsidRDefault="00F91711" w:rsidP="00F91711">
            <w:pPr>
              <w:rPr>
                <w:rFonts w:ascii="Times New Roman" w:hAnsi="Times New Roman" w:cs="Times New Roman"/>
              </w:rPr>
            </w:pPr>
          </w:p>
        </w:tc>
        <w:tc>
          <w:tcPr>
            <w:tcW w:w="1075" w:type="dxa"/>
            <w:tcBorders>
              <w:top w:val="single" w:sz="4" w:space="0" w:color="auto"/>
              <w:left w:val="single" w:sz="4" w:space="0" w:color="auto"/>
              <w:bottom w:val="single" w:sz="4" w:space="0" w:color="auto"/>
            </w:tcBorders>
          </w:tcPr>
          <w:p w14:paraId="68DBC0E5"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p>
          <w:p w14:paraId="5184125E" w14:textId="77777777" w:rsidR="00F91711" w:rsidRPr="00C35766" w:rsidRDefault="00F91711" w:rsidP="00F91711">
            <w:pPr>
              <w:pStyle w:val="TableParagraph"/>
              <w:spacing w:before="5" w:line="252" w:lineRule="exact"/>
              <w:ind w:right="226"/>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 xml:space="preserve">c </w:t>
            </w:r>
            <w:r w:rsidRPr="00C35766">
              <w:rPr>
                <w:rFonts w:ascii="Times New Roman" w:eastAsia="Times New Roman" w:hAnsi="Times New Roman" w:cs="Times New Roman"/>
                <w:lang w:val="it-IT"/>
              </w:rPr>
              <w:t>n=60</w:t>
            </w:r>
          </w:p>
        </w:tc>
        <w:tc>
          <w:tcPr>
            <w:tcW w:w="1608" w:type="dxa"/>
            <w:tcBorders>
              <w:top w:val="single" w:sz="4" w:space="0" w:color="auto"/>
              <w:bottom w:val="single" w:sz="4" w:space="0" w:color="auto"/>
              <w:right w:val="single" w:sz="4" w:space="0" w:color="auto"/>
            </w:tcBorders>
          </w:tcPr>
          <w:p w14:paraId="52C17FAE" w14:textId="77777777" w:rsidR="00F91711" w:rsidRPr="00C35766" w:rsidRDefault="00F91711" w:rsidP="00F91711">
            <w:pPr>
              <w:pStyle w:val="TableParagraph"/>
              <w:spacing w:line="246" w:lineRule="exact"/>
              <w:ind w:right="50"/>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/MTX</w:t>
            </w:r>
            <w:r w:rsidRPr="00C35766">
              <w:rPr>
                <w:rFonts w:ascii="Times New Roman" w:hAnsi="Times New Roman" w:cs="Times New Roman"/>
                <w:spacing w:val="-1"/>
                <w:vertAlign w:val="superscript"/>
                <w:lang w:val="it-IT"/>
              </w:rPr>
              <w:t>c</w:t>
            </w:r>
          </w:p>
          <w:p w14:paraId="644C26C0"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n=63</w:t>
            </w:r>
          </w:p>
        </w:tc>
        <w:tc>
          <w:tcPr>
            <w:tcW w:w="1273" w:type="dxa"/>
            <w:tcBorders>
              <w:top w:val="single" w:sz="4" w:space="0" w:color="auto"/>
              <w:left w:val="single" w:sz="4" w:space="0" w:color="auto"/>
              <w:bottom w:val="single" w:sz="4" w:space="0" w:color="auto"/>
            </w:tcBorders>
          </w:tcPr>
          <w:p w14:paraId="58778D35"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7D7114F3"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n=110</w:t>
            </w:r>
          </w:p>
        </w:tc>
        <w:tc>
          <w:tcPr>
            <w:tcW w:w="1288" w:type="dxa"/>
            <w:tcBorders>
              <w:top w:val="single" w:sz="4" w:space="0" w:color="auto"/>
              <w:bottom w:val="single" w:sz="4" w:space="0" w:color="auto"/>
              <w:right w:val="single" w:sz="4" w:space="0" w:color="auto"/>
            </w:tcBorders>
          </w:tcPr>
          <w:p w14:paraId="763DA14A"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p>
          <w:p w14:paraId="35618D3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n=113</w:t>
            </w:r>
          </w:p>
        </w:tc>
        <w:tc>
          <w:tcPr>
            <w:tcW w:w="1367" w:type="dxa"/>
            <w:tcBorders>
              <w:top w:val="single" w:sz="4" w:space="0" w:color="auto"/>
              <w:left w:val="single" w:sz="4" w:space="0" w:color="auto"/>
              <w:bottom w:val="single" w:sz="4" w:space="0" w:color="auto"/>
            </w:tcBorders>
          </w:tcPr>
          <w:p w14:paraId="7A726DA2"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p>
          <w:p w14:paraId="12E4E214" w14:textId="77777777" w:rsidR="00F91711" w:rsidRPr="00C35766" w:rsidRDefault="00F91711" w:rsidP="00F91711">
            <w:pPr>
              <w:pStyle w:val="TableParagraph"/>
              <w:spacing w:line="252" w:lineRule="exact"/>
              <w:ind w:hanging="4"/>
              <w:jc w:val="center"/>
              <w:rPr>
                <w:rFonts w:ascii="Times New Roman" w:eastAsia="Times New Roman" w:hAnsi="Times New Roman" w:cs="Times New Roman"/>
                <w:vertAlign w:val="superscript"/>
                <w:lang w:val="it-IT"/>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 xml:space="preserve">c </w:t>
            </w:r>
          </w:p>
          <w:p w14:paraId="71C1E76A" w14:textId="77777777" w:rsidR="00F91711" w:rsidRPr="00C35766" w:rsidRDefault="00F91711" w:rsidP="00F91711">
            <w:pPr>
              <w:pStyle w:val="TableParagraph"/>
              <w:spacing w:line="252" w:lineRule="exact"/>
              <w:ind w:hanging="4"/>
              <w:jc w:val="center"/>
              <w:rPr>
                <w:rFonts w:ascii="Times New Roman" w:eastAsia="Times New Roman" w:hAnsi="Times New Roman" w:cs="Times New Roman"/>
              </w:rPr>
            </w:pPr>
            <w:r w:rsidRPr="00C35766">
              <w:rPr>
                <w:rFonts w:ascii="Times New Roman" w:eastAsia="Times New Roman" w:hAnsi="Times New Roman" w:cs="Times New Roman"/>
                <w:lang w:val="it-IT"/>
              </w:rPr>
              <w:t>n=200</w:t>
            </w:r>
          </w:p>
        </w:tc>
        <w:tc>
          <w:tcPr>
            <w:tcW w:w="1328" w:type="dxa"/>
            <w:tcBorders>
              <w:top w:val="single" w:sz="4" w:space="0" w:color="auto"/>
              <w:bottom w:val="single" w:sz="4" w:space="0" w:color="auto"/>
            </w:tcBorders>
          </w:tcPr>
          <w:p w14:paraId="36D7B8A8"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/MTX</w:t>
            </w:r>
            <w:r w:rsidRPr="00C35766">
              <w:rPr>
                <w:rFonts w:ascii="Times New Roman" w:eastAsia="Times New Roman" w:hAnsi="Times New Roman" w:cs="Times New Roman"/>
                <w:spacing w:val="-1"/>
                <w:vertAlign w:val="superscript"/>
                <w:lang w:val="it-IT"/>
              </w:rPr>
              <w:t>c</w:t>
            </w:r>
          </w:p>
          <w:p w14:paraId="0CD3D548"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n=207</w:t>
            </w:r>
          </w:p>
        </w:tc>
      </w:tr>
      <w:tr w:rsidR="00F91711" w:rsidRPr="00C35766" w14:paraId="0E9F8A9D" w14:textId="77777777" w:rsidTr="00F91711">
        <w:tc>
          <w:tcPr>
            <w:tcW w:w="1186" w:type="dxa"/>
            <w:tcBorders>
              <w:top w:val="single" w:sz="4" w:space="0" w:color="auto"/>
              <w:right w:val="single" w:sz="4" w:space="0" w:color="auto"/>
            </w:tcBorders>
          </w:tcPr>
          <w:p w14:paraId="53E53AF5" w14:textId="77777777" w:rsidR="00F91711" w:rsidRPr="00C35766" w:rsidRDefault="00F91711" w:rsidP="00F91711">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20</w:t>
            </w:r>
          </w:p>
        </w:tc>
        <w:tc>
          <w:tcPr>
            <w:tcW w:w="1075" w:type="dxa"/>
            <w:vMerge w:val="restart"/>
            <w:tcBorders>
              <w:top w:val="single" w:sz="4" w:space="0" w:color="auto"/>
              <w:left w:val="single" w:sz="4" w:space="0" w:color="auto"/>
              <w:right w:val="nil"/>
            </w:tcBorders>
          </w:tcPr>
          <w:p w14:paraId="1C13B401" w14:textId="77777777" w:rsidR="00F91711" w:rsidRPr="00C35766" w:rsidRDefault="00F91711" w:rsidP="00F91711">
            <w:pPr>
              <w:pStyle w:val="TableParagraph"/>
              <w:spacing w:before="7" w:line="240" w:lineRule="exact"/>
              <w:rPr>
                <w:rFonts w:ascii="Times New Roman" w:hAnsi="Times New Roman" w:cs="Times New Roman"/>
              </w:rPr>
            </w:pPr>
          </w:p>
          <w:p w14:paraId="3AED4C87" w14:textId="77777777" w:rsidR="00F91711" w:rsidRPr="00C35766" w:rsidRDefault="00F91711" w:rsidP="00F91711">
            <w:pPr>
              <w:pStyle w:val="TableParagraph"/>
              <w:ind w:left="277"/>
              <w:rPr>
                <w:rFonts w:ascii="Times New Roman" w:eastAsia="Times New Roman" w:hAnsi="Times New Roman" w:cs="Times New Roman"/>
              </w:rPr>
            </w:pPr>
            <w:r w:rsidRPr="00C35766">
              <w:rPr>
                <w:rFonts w:ascii="Times New Roman" w:eastAsia="Times New Roman" w:hAnsi="Times New Roman" w:cs="Times New Roman"/>
                <w:lang w:val="it-IT"/>
              </w:rPr>
              <w:t>13,3%</w:t>
            </w:r>
          </w:p>
        </w:tc>
        <w:tc>
          <w:tcPr>
            <w:tcW w:w="1608" w:type="dxa"/>
            <w:vMerge w:val="restart"/>
            <w:tcBorders>
              <w:top w:val="single" w:sz="4" w:space="0" w:color="auto"/>
              <w:left w:val="nil"/>
              <w:right w:val="single" w:sz="7" w:space="0" w:color="000000"/>
            </w:tcBorders>
          </w:tcPr>
          <w:p w14:paraId="3C9D996E" w14:textId="77777777" w:rsidR="00F91711" w:rsidRPr="00C35766" w:rsidRDefault="00F91711" w:rsidP="00F91711">
            <w:pPr>
              <w:pStyle w:val="TableParagraph"/>
              <w:spacing w:before="7" w:line="240" w:lineRule="exact"/>
              <w:rPr>
                <w:rFonts w:ascii="Times New Roman" w:hAnsi="Times New Roman" w:cs="Times New Roman"/>
              </w:rPr>
            </w:pPr>
          </w:p>
          <w:p w14:paraId="0513E842" w14:textId="77777777" w:rsidR="00F91711" w:rsidRPr="00C35766" w:rsidRDefault="00F91711" w:rsidP="00F91711">
            <w:pPr>
              <w:pStyle w:val="TableParagraph"/>
              <w:ind w:left="544"/>
              <w:rPr>
                <w:rFonts w:ascii="Times New Roman" w:eastAsia="Times New Roman" w:hAnsi="Times New Roman" w:cs="Times New Roman"/>
              </w:rPr>
            </w:pPr>
            <w:r w:rsidRPr="00C35766">
              <w:rPr>
                <w:rFonts w:ascii="Times New Roman" w:eastAsia="Times New Roman" w:hAnsi="Times New Roman" w:cs="Times New Roman"/>
                <w:lang w:val="it-IT"/>
              </w:rPr>
              <w:t>65,1%</w:t>
            </w:r>
          </w:p>
        </w:tc>
        <w:tc>
          <w:tcPr>
            <w:tcW w:w="1273" w:type="dxa"/>
            <w:vMerge w:val="restart"/>
            <w:tcBorders>
              <w:top w:val="single" w:sz="4" w:space="0" w:color="auto"/>
              <w:left w:val="single" w:sz="7" w:space="0" w:color="000000"/>
              <w:right w:val="nil"/>
            </w:tcBorders>
          </w:tcPr>
          <w:p w14:paraId="67C1D08A" w14:textId="77777777" w:rsidR="00F91711" w:rsidRPr="00C35766" w:rsidRDefault="00F91711" w:rsidP="00F91711">
            <w:pPr>
              <w:pStyle w:val="TableParagraph"/>
              <w:spacing w:before="7" w:line="240" w:lineRule="exact"/>
              <w:rPr>
                <w:rFonts w:ascii="Times New Roman" w:hAnsi="Times New Roman" w:cs="Times New Roman"/>
              </w:rPr>
            </w:pPr>
          </w:p>
          <w:p w14:paraId="116A308D" w14:textId="77777777" w:rsidR="00F91711" w:rsidRPr="00C35766" w:rsidRDefault="00F91711" w:rsidP="00F91711">
            <w:pPr>
              <w:pStyle w:val="TableParagraph"/>
              <w:ind w:left="351"/>
              <w:rPr>
                <w:rFonts w:ascii="Times New Roman" w:eastAsia="Times New Roman" w:hAnsi="Times New Roman" w:cs="Times New Roman"/>
              </w:rPr>
            </w:pPr>
            <w:r w:rsidRPr="00C35766">
              <w:rPr>
                <w:rFonts w:ascii="Times New Roman" w:eastAsia="Times New Roman" w:hAnsi="Times New Roman" w:cs="Times New Roman"/>
                <w:lang w:val="it-IT"/>
              </w:rPr>
              <w:t>19,1%</w:t>
            </w:r>
          </w:p>
        </w:tc>
        <w:tc>
          <w:tcPr>
            <w:tcW w:w="1288" w:type="dxa"/>
            <w:vMerge w:val="restart"/>
            <w:tcBorders>
              <w:top w:val="single" w:sz="4" w:space="0" w:color="auto"/>
              <w:left w:val="nil"/>
              <w:right w:val="single" w:sz="7" w:space="0" w:color="000000"/>
            </w:tcBorders>
          </w:tcPr>
          <w:p w14:paraId="31D552B6" w14:textId="77777777" w:rsidR="00F91711" w:rsidRPr="00C35766" w:rsidRDefault="00F91711" w:rsidP="00F91711">
            <w:pPr>
              <w:pStyle w:val="TableParagraph"/>
              <w:spacing w:before="7" w:line="240" w:lineRule="exact"/>
              <w:rPr>
                <w:rFonts w:ascii="Times New Roman" w:hAnsi="Times New Roman" w:cs="Times New Roman"/>
              </w:rPr>
            </w:pPr>
          </w:p>
          <w:p w14:paraId="5FD2E083" w14:textId="77777777" w:rsidR="00F91711" w:rsidRPr="00C35766" w:rsidRDefault="00F91711" w:rsidP="00F91711">
            <w:pPr>
              <w:pStyle w:val="TableParagraph"/>
              <w:ind w:left="363"/>
              <w:rPr>
                <w:rFonts w:ascii="Times New Roman" w:eastAsia="Times New Roman" w:hAnsi="Times New Roman" w:cs="Times New Roman"/>
              </w:rPr>
            </w:pPr>
            <w:r w:rsidRPr="00C35766">
              <w:rPr>
                <w:rFonts w:ascii="Times New Roman" w:eastAsia="Times New Roman" w:hAnsi="Times New Roman" w:cs="Times New Roman"/>
                <w:lang w:val="it-IT"/>
              </w:rPr>
              <w:t>46,0%</w:t>
            </w:r>
          </w:p>
        </w:tc>
        <w:tc>
          <w:tcPr>
            <w:tcW w:w="1367" w:type="dxa"/>
            <w:vMerge w:val="restart"/>
            <w:tcBorders>
              <w:top w:val="single" w:sz="4" w:space="0" w:color="auto"/>
              <w:left w:val="single" w:sz="7" w:space="0" w:color="000000"/>
              <w:right w:val="nil"/>
            </w:tcBorders>
          </w:tcPr>
          <w:p w14:paraId="37FBFDF9" w14:textId="77777777" w:rsidR="00F91711" w:rsidRPr="00C35766" w:rsidRDefault="00F91711" w:rsidP="00F91711">
            <w:pPr>
              <w:pStyle w:val="TableParagraph"/>
              <w:spacing w:before="7" w:line="240" w:lineRule="exact"/>
              <w:rPr>
                <w:rFonts w:ascii="Times New Roman" w:hAnsi="Times New Roman" w:cs="Times New Roman"/>
              </w:rPr>
            </w:pPr>
          </w:p>
          <w:p w14:paraId="594B0103" w14:textId="77777777" w:rsidR="00F91711" w:rsidRPr="00C35766" w:rsidRDefault="00F91711" w:rsidP="00F91711">
            <w:pPr>
              <w:pStyle w:val="TableParagraph"/>
              <w:ind w:left="344"/>
              <w:rPr>
                <w:rFonts w:ascii="Times New Roman" w:eastAsia="Times New Roman" w:hAnsi="Times New Roman" w:cs="Times New Roman"/>
              </w:rPr>
            </w:pPr>
            <w:r w:rsidRPr="00C35766">
              <w:rPr>
                <w:rFonts w:ascii="Times New Roman" w:eastAsia="Times New Roman" w:hAnsi="Times New Roman" w:cs="Times New Roman"/>
                <w:lang w:val="it-IT"/>
              </w:rPr>
              <w:t>29,5%</w:t>
            </w:r>
          </w:p>
        </w:tc>
        <w:tc>
          <w:tcPr>
            <w:tcW w:w="1328" w:type="dxa"/>
            <w:vMerge w:val="restart"/>
            <w:tcBorders>
              <w:top w:val="single" w:sz="4" w:space="0" w:color="auto"/>
              <w:left w:val="nil"/>
            </w:tcBorders>
          </w:tcPr>
          <w:p w14:paraId="2D72BBD7" w14:textId="77777777" w:rsidR="00F91711" w:rsidRPr="00C35766" w:rsidRDefault="00F91711" w:rsidP="00F91711">
            <w:pPr>
              <w:pStyle w:val="TableParagraph"/>
              <w:spacing w:before="7" w:line="240" w:lineRule="exact"/>
              <w:rPr>
                <w:rFonts w:ascii="Times New Roman" w:hAnsi="Times New Roman" w:cs="Times New Roman"/>
              </w:rPr>
            </w:pPr>
          </w:p>
          <w:p w14:paraId="259CE23A" w14:textId="77777777" w:rsidR="00F91711" w:rsidRPr="00C35766" w:rsidRDefault="00F91711" w:rsidP="00F91711">
            <w:pPr>
              <w:pStyle w:val="TableParagraph"/>
              <w:ind w:left="567"/>
              <w:rPr>
                <w:rFonts w:ascii="Times New Roman" w:eastAsia="Times New Roman" w:hAnsi="Times New Roman" w:cs="Times New Roman"/>
              </w:rPr>
            </w:pPr>
            <w:r w:rsidRPr="00C35766">
              <w:rPr>
                <w:rFonts w:ascii="Times New Roman" w:eastAsia="Times New Roman" w:hAnsi="Times New Roman" w:cs="Times New Roman"/>
                <w:lang w:val="it-IT"/>
              </w:rPr>
              <w:t>63,3%</w:t>
            </w:r>
          </w:p>
        </w:tc>
      </w:tr>
      <w:tr w:rsidR="00F91711" w:rsidRPr="00C35766" w14:paraId="7837FFEB" w14:textId="77777777" w:rsidTr="00F91711">
        <w:tc>
          <w:tcPr>
            <w:tcW w:w="1186" w:type="dxa"/>
            <w:tcBorders>
              <w:right w:val="single" w:sz="4" w:space="0" w:color="auto"/>
            </w:tcBorders>
          </w:tcPr>
          <w:p w14:paraId="19955DB6" w14:textId="77777777" w:rsidR="00F91711" w:rsidRPr="00C35766" w:rsidRDefault="00F91711" w:rsidP="00F91711">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1075" w:type="dxa"/>
            <w:vMerge/>
            <w:tcBorders>
              <w:left w:val="single" w:sz="4" w:space="0" w:color="auto"/>
              <w:right w:val="nil"/>
            </w:tcBorders>
          </w:tcPr>
          <w:p w14:paraId="1238DD32" w14:textId="77777777" w:rsidR="00F91711" w:rsidRPr="00C35766" w:rsidRDefault="00F91711" w:rsidP="00F91711">
            <w:pPr>
              <w:rPr>
                <w:rFonts w:ascii="Times New Roman" w:hAnsi="Times New Roman" w:cs="Times New Roman"/>
              </w:rPr>
            </w:pPr>
          </w:p>
        </w:tc>
        <w:tc>
          <w:tcPr>
            <w:tcW w:w="1608" w:type="dxa"/>
            <w:vMerge/>
            <w:tcBorders>
              <w:left w:val="nil"/>
              <w:right w:val="single" w:sz="7" w:space="0" w:color="000000"/>
            </w:tcBorders>
          </w:tcPr>
          <w:p w14:paraId="2A8A84FB" w14:textId="77777777" w:rsidR="00F91711" w:rsidRPr="00C35766" w:rsidRDefault="00F91711" w:rsidP="00F91711">
            <w:pPr>
              <w:rPr>
                <w:rFonts w:ascii="Times New Roman" w:hAnsi="Times New Roman" w:cs="Times New Roman"/>
              </w:rPr>
            </w:pPr>
          </w:p>
        </w:tc>
        <w:tc>
          <w:tcPr>
            <w:tcW w:w="1273" w:type="dxa"/>
            <w:vMerge/>
            <w:tcBorders>
              <w:left w:val="single" w:sz="7" w:space="0" w:color="000000"/>
              <w:right w:val="nil"/>
            </w:tcBorders>
          </w:tcPr>
          <w:p w14:paraId="1F1C6568" w14:textId="77777777" w:rsidR="00F91711" w:rsidRPr="00C35766" w:rsidRDefault="00F91711" w:rsidP="00F91711">
            <w:pPr>
              <w:rPr>
                <w:rFonts w:ascii="Times New Roman" w:hAnsi="Times New Roman" w:cs="Times New Roman"/>
              </w:rPr>
            </w:pPr>
          </w:p>
        </w:tc>
        <w:tc>
          <w:tcPr>
            <w:tcW w:w="1288" w:type="dxa"/>
            <w:vMerge/>
            <w:tcBorders>
              <w:left w:val="nil"/>
              <w:right w:val="single" w:sz="7" w:space="0" w:color="000000"/>
            </w:tcBorders>
          </w:tcPr>
          <w:p w14:paraId="1F6B008E" w14:textId="77777777" w:rsidR="00F91711" w:rsidRPr="00C35766" w:rsidRDefault="00F91711" w:rsidP="00F91711">
            <w:pPr>
              <w:rPr>
                <w:rFonts w:ascii="Times New Roman" w:hAnsi="Times New Roman" w:cs="Times New Roman"/>
              </w:rPr>
            </w:pPr>
          </w:p>
        </w:tc>
        <w:tc>
          <w:tcPr>
            <w:tcW w:w="1367" w:type="dxa"/>
            <w:vMerge/>
            <w:tcBorders>
              <w:left w:val="single" w:sz="7" w:space="0" w:color="000000"/>
              <w:right w:val="nil"/>
            </w:tcBorders>
          </w:tcPr>
          <w:p w14:paraId="6700FCC8" w14:textId="77777777" w:rsidR="00F91711" w:rsidRPr="00C35766" w:rsidRDefault="00F91711" w:rsidP="00F91711">
            <w:pPr>
              <w:rPr>
                <w:rFonts w:ascii="Times New Roman" w:hAnsi="Times New Roman" w:cs="Times New Roman"/>
              </w:rPr>
            </w:pPr>
          </w:p>
        </w:tc>
        <w:tc>
          <w:tcPr>
            <w:tcW w:w="1328" w:type="dxa"/>
            <w:vMerge/>
            <w:tcBorders>
              <w:left w:val="nil"/>
            </w:tcBorders>
          </w:tcPr>
          <w:p w14:paraId="2BEE8383" w14:textId="77777777" w:rsidR="00F91711" w:rsidRPr="00C35766" w:rsidRDefault="00F91711" w:rsidP="00F91711">
            <w:pPr>
              <w:rPr>
                <w:rFonts w:ascii="Times New Roman" w:hAnsi="Times New Roman" w:cs="Times New Roman"/>
              </w:rPr>
            </w:pPr>
          </w:p>
        </w:tc>
      </w:tr>
      <w:tr w:rsidR="00F91711" w:rsidRPr="00C35766" w14:paraId="0C8F13A5" w14:textId="77777777" w:rsidTr="00F91711">
        <w:tc>
          <w:tcPr>
            <w:tcW w:w="1186" w:type="dxa"/>
            <w:tcBorders>
              <w:right w:val="single" w:sz="4" w:space="0" w:color="auto"/>
            </w:tcBorders>
          </w:tcPr>
          <w:p w14:paraId="1761D794" w14:textId="77777777" w:rsidR="00F91711" w:rsidRPr="00C35766" w:rsidRDefault="00F91711" w:rsidP="00F91711">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1075" w:type="dxa"/>
            <w:tcBorders>
              <w:left w:val="single" w:sz="4" w:space="0" w:color="auto"/>
              <w:right w:val="nil"/>
            </w:tcBorders>
          </w:tcPr>
          <w:p w14:paraId="1F981053" w14:textId="77777777" w:rsidR="00F91711" w:rsidRPr="00C35766" w:rsidRDefault="00F91711" w:rsidP="00F91711">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608" w:type="dxa"/>
            <w:tcBorders>
              <w:left w:val="nil"/>
              <w:right w:val="single" w:sz="7" w:space="0" w:color="000000"/>
            </w:tcBorders>
          </w:tcPr>
          <w:p w14:paraId="27B7058A" w14:textId="77777777" w:rsidR="00F91711" w:rsidRPr="00C35766" w:rsidRDefault="00F91711" w:rsidP="00F91711">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73" w:type="dxa"/>
            <w:tcBorders>
              <w:left w:val="single" w:sz="7" w:space="0" w:color="000000"/>
              <w:right w:val="nil"/>
            </w:tcBorders>
          </w:tcPr>
          <w:p w14:paraId="335C3A41" w14:textId="77777777" w:rsidR="00F91711" w:rsidRPr="00C35766" w:rsidRDefault="00F91711" w:rsidP="00F91711">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88" w:type="dxa"/>
            <w:tcBorders>
              <w:left w:val="nil"/>
              <w:right w:val="single" w:sz="7" w:space="0" w:color="000000"/>
            </w:tcBorders>
          </w:tcPr>
          <w:p w14:paraId="74338F26" w14:textId="77777777" w:rsidR="00F91711" w:rsidRPr="00C35766" w:rsidRDefault="00F91711" w:rsidP="00F91711">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367" w:type="dxa"/>
            <w:tcBorders>
              <w:left w:val="single" w:sz="7" w:space="0" w:color="000000"/>
              <w:right w:val="nil"/>
            </w:tcBorders>
          </w:tcPr>
          <w:p w14:paraId="7907A634" w14:textId="77777777" w:rsidR="00F91711" w:rsidRPr="00C35766" w:rsidRDefault="00F91711" w:rsidP="00F91711">
            <w:pPr>
              <w:pStyle w:val="TableParagraph"/>
              <w:spacing w:line="241" w:lineRule="exact"/>
              <w:ind w:left="344"/>
              <w:rPr>
                <w:rFonts w:ascii="Times New Roman" w:eastAsia="Times New Roman" w:hAnsi="Times New Roman" w:cs="Times New Roman"/>
              </w:rPr>
            </w:pPr>
            <w:r w:rsidRPr="00C35766">
              <w:rPr>
                <w:rFonts w:ascii="Times New Roman" w:eastAsia="Times New Roman" w:hAnsi="Times New Roman" w:cs="Times New Roman"/>
                <w:lang w:val="it-IT"/>
              </w:rPr>
              <w:t>24,0%</w:t>
            </w:r>
          </w:p>
        </w:tc>
        <w:tc>
          <w:tcPr>
            <w:tcW w:w="1328" w:type="dxa"/>
            <w:tcBorders>
              <w:left w:val="nil"/>
            </w:tcBorders>
          </w:tcPr>
          <w:p w14:paraId="35800D68" w14:textId="77777777" w:rsidR="00F91711" w:rsidRPr="00C35766" w:rsidRDefault="00F91711" w:rsidP="00F91711">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58,9%</w:t>
            </w:r>
          </w:p>
        </w:tc>
      </w:tr>
      <w:tr w:rsidR="00F91711" w:rsidRPr="00C35766" w14:paraId="590800E6" w14:textId="77777777" w:rsidTr="00F91711">
        <w:tc>
          <w:tcPr>
            <w:tcW w:w="1186" w:type="dxa"/>
            <w:tcBorders>
              <w:right w:val="single" w:sz="4" w:space="0" w:color="auto"/>
            </w:tcBorders>
          </w:tcPr>
          <w:p w14:paraId="67F151A5" w14:textId="77777777" w:rsidR="00F91711" w:rsidRPr="00C35766" w:rsidRDefault="00F91711" w:rsidP="00F91711">
            <w:pPr>
              <w:pStyle w:val="TableParagraph"/>
              <w:spacing w:line="242"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50</w:t>
            </w:r>
          </w:p>
        </w:tc>
        <w:tc>
          <w:tcPr>
            <w:tcW w:w="1075" w:type="dxa"/>
            <w:tcBorders>
              <w:left w:val="single" w:sz="4" w:space="0" w:color="auto"/>
              <w:right w:val="nil"/>
            </w:tcBorders>
          </w:tcPr>
          <w:p w14:paraId="2FD60354" w14:textId="77777777" w:rsidR="00F91711" w:rsidRPr="00C35766" w:rsidRDefault="00F91711" w:rsidP="00F91711">
            <w:pPr>
              <w:rPr>
                <w:rFonts w:ascii="Times New Roman" w:hAnsi="Times New Roman" w:cs="Times New Roman"/>
              </w:rPr>
            </w:pPr>
          </w:p>
        </w:tc>
        <w:tc>
          <w:tcPr>
            <w:tcW w:w="1608" w:type="dxa"/>
            <w:tcBorders>
              <w:left w:val="nil"/>
              <w:right w:val="single" w:sz="7" w:space="0" w:color="000000"/>
            </w:tcBorders>
          </w:tcPr>
          <w:p w14:paraId="404A85EE" w14:textId="77777777" w:rsidR="00F91711" w:rsidRPr="00C35766" w:rsidRDefault="00F91711" w:rsidP="00F91711">
            <w:pPr>
              <w:rPr>
                <w:rFonts w:ascii="Times New Roman" w:hAnsi="Times New Roman" w:cs="Times New Roman"/>
              </w:rPr>
            </w:pPr>
          </w:p>
        </w:tc>
        <w:tc>
          <w:tcPr>
            <w:tcW w:w="1273" w:type="dxa"/>
            <w:tcBorders>
              <w:left w:val="single" w:sz="7" w:space="0" w:color="000000"/>
              <w:right w:val="nil"/>
            </w:tcBorders>
          </w:tcPr>
          <w:p w14:paraId="0600E231" w14:textId="77777777" w:rsidR="00F91711" w:rsidRPr="00C35766" w:rsidRDefault="00F91711" w:rsidP="00F91711">
            <w:pPr>
              <w:rPr>
                <w:rFonts w:ascii="Times New Roman" w:hAnsi="Times New Roman" w:cs="Times New Roman"/>
              </w:rPr>
            </w:pPr>
          </w:p>
        </w:tc>
        <w:tc>
          <w:tcPr>
            <w:tcW w:w="1288" w:type="dxa"/>
            <w:tcBorders>
              <w:left w:val="nil"/>
              <w:right w:val="single" w:sz="7" w:space="0" w:color="000000"/>
            </w:tcBorders>
          </w:tcPr>
          <w:p w14:paraId="6AF22666" w14:textId="77777777" w:rsidR="00F91711" w:rsidRPr="00C35766" w:rsidRDefault="00F91711" w:rsidP="00F91711">
            <w:pPr>
              <w:rPr>
                <w:rFonts w:ascii="Times New Roman" w:hAnsi="Times New Roman" w:cs="Times New Roman"/>
              </w:rPr>
            </w:pPr>
          </w:p>
        </w:tc>
        <w:tc>
          <w:tcPr>
            <w:tcW w:w="1367" w:type="dxa"/>
            <w:tcBorders>
              <w:left w:val="single" w:sz="7" w:space="0" w:color="000000"/>
              <w:right w:val="nil"/>
            </w:tcBorders>
          </w:tcPr>
          <w:p w14:paraId="66B80486" w14:textId="77777777" w:rsidR="00F91711" w:rsidRPr="00C35766" w:rsidRDefault="00F91711" w:rsidP="00F91711">
            <w:pPr>
              <w:rPr>
                <w:rFonts w:ascii="Times New Roman" w:hAnsi="Times New Roman" w:cs="Times New Roman"/>
              </w:rPr>
            </w:pPr>
          </w:p>
        </w:tc>
        <w:tc>
          <w:tcPr>
            <w:tcW w:w="1328" w:type="dxa"/>
            <w:tcBorders>
              <w:left w:val="nil"/>
            </w:tcBorders>
          </w:tcPr>
          <w:p w14:paraId="3C92710E" w14:textId="77777777" w:rsidR="00F91711" w:rsidRPr="00C35766" w:rsidRDefault="00F91711" w:rsidP="00F91711">
            <w:pPr>
              <w:rPr>
                <w:rFonts w:ascii="Times New Roman" w:hAnsi="Times New Roman" w:cs="Times New Roman"/>
              </w:rPr>
            </w:pPr>
          </w:p>
        </w:tc>
      </w:tr>
      <w:tr w:rsidR="00F91711" w:rsidRPr="00C35766" w14:paraId="15251BAB" w14:textId="77777777" w:rsidTr="00F91711">
        <w:tc>
          <w:tcPr>
            <w:tcW w:w="1186" w:type="dxa"/>
            <w:tcBorders>
              <w:right w:val="single" w:sz="4" w:space="0" w:color="auto"/>
            </w:tcBorders>
          </w:tcPr>
          <w:p w14:paraId="23175717" w14:textId="77777777" w:rsidR="00F91711" w:rsidRPr="00C35766" w:rsidRDefault="00F91711" w:rsidP="00F91711">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1075" w:type="dxa"/>
            <w:tcBorders>
              <w:left w:val="single" w:sz="4" w:space="0" w:color="auto"/>
              <w:right w:val="nil"/>
            </w:tcBorders>
          </w:tcPr>
          <w:p w14:paraId="5174D789" w14:textId="77777777" w:rsidR="00F91711" w:rsidRPr="00C35766" w:rsidRDefault="00F91711" w:rsidP="00F91711">
            <w:pPr>
              <w:pStyle w:val="TableParagraph"/>
              <w:spacing w:line="241"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6,7%</w:t>
            </w:r>
          </w:p>
        </w:tc>
        <w:tc>
          <w:tcPr>
            <w:tcW w:w="1608" w:type="dxa"/>
            <w:tcBorders>
              <w:left w:val="nil"/>
              <w:right w:val="single" w:sz="7" w:space="0" w:color="000000"/>
            </w:tcBorders>
          </w:tcPr>
          <w:p w14:paraId="0A7D75DE" w14:textId="77777777" w:rsidR="00F91711" w:rsidRPr="00C35766" w:rsidRDefault="00F91711" w:rsidP="00F91711">
            <w:pPr>
              <w:pStyle w:val="TableParagraph"/>
              <w:spacing w:line="241"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52,4%</w:t>
            </w:r>
          </w:p>
        </w:tc>
        <w:tc>
          <w:tcPr>
            <w:tcW w:w="1273" w:type="dxa"/>
            <w:tcBorders>
              <w:left w:val="single" w:sz="7" w:space="0" w:color="000000"/>
              <w:right w:val="nil"/>
            </w:tcBorders>
          </w:tcPr>
          <w:p w14:paraId="0A1F89FD" w14:textId="77777777" w:rsidR="00F91711" w:rsidRPr="00C35766" w:rsidRDefault="00F91711" w:rsidP="00F91711">
            <w:pPr>
              <w:pStyle w:val="TableParagraph"/>
              <w:spacing w:line="241"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8,2%</w:t>
            </w:r>
          </w:p>
        </w:tc>
        <w:tc>
          <w:tcPr>
            <w:tcW w:w="1288" w:type="dxa"/>
            <w:tcBorders>
              <w:left w:val="nil"/>
              <w:right w:val="single" w:sz="7" w:space="0" w:color="000000"/>
            </w:tcBorders>
          </w:tcPr>
          <w:p w14:paraId="76FD5532" w14:textId="77777777" w:rsidR="00F91711" w:rsidRPr="00C35766" w:rsidRDefault="00F91711" w:rsidP="00F91711">
            <w:pPr>
              <w:pStyle w:val="TableParagraph"/>
              <w:spacing w:line="241"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22,1%</w:t>
            </w:r>
          </w:p>
        </w:tc>
        <w:tc>
          <w:tcPr>
            <w:tcW w:w="1367" w:type="dxa"/>
            <w:tcBorders>
              <w:left w:val="single" w:sz="7" w:space="0" w:color="000000"/>
              <w:right w:val="nil"/>
            </w:tcBorders>
          </w:tcPr>
          <w:p w14:paraId="6FBA5865" w14:textId="77777777" w:rsidR="00F91711" w:rsidRPr="00C35766" w:rsidRDefault="00F91711" w:rsidP="00F91711">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1328" w:type="dxa"/>
            <w:tcBorders>
              <w:left w:val="nil"/>
            </w:tcBorders>
          </w:tcPr>
          <w:p w14:paraId="5ADE16FF" w14:textId="77777777" w:rsidR="00F91711" w:rsidRPr="00C35766" w:rsidRDefault="00F91711" w:rsidP="00F91711">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39,1%</w:t>
            </w:r>
          </w:p>
        </w:tc>
      </w:tr>
      <w:tr w:rsidR="00F91711" w:rsidRPr="00C35766" w14:paraId="0CD7CB92" w14:textId="77777777" w:rsidTr="00F91711">
        <w:tc>
          <w:tcPr>
            <w:tcW w:w="1186" w:type="dxa"/>
            <w:tcBorders>
              <w:right w:val="single" w:sz="4" w:space="0" w:color="auto"/>
            </w:tcBorders>
          </w:tcPr>
          <w:p w14:paraId="4BA3193B" w14:textId="77777777" w:rsidR="00F91711" w:rsidRPr="00C35766" w:rsidRDefault="00F91711" w:rsidP="00F91711">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1075" w:type="dxa"/>
            <w:tcBorders>
              <w:left w:val="single" w:sz="4" w:space="0" w:color="auto"/>
              <w:right w:val="nil"/>
            </w:tcBorders>
          </w:tcPr>
          <w:p w14:paraId="4B0BC96B" w14:textId="77777777" w:rsidR="00F91711" w:rsidRPr="00C35766" w:rsidRDefault="00F91711" w:rsidP="00F91711">
            <w:pPr>
              <w:pStyle w:val="TableParagraph"/>
              <w:spacing w:line="242"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608" w:type="dxa"/>
            <w:tcBorders>
              <w:left w:val="nil"/>
              <w:right w:val="single" w:sz="7" w:space="0" w:color="000000"/>
            </w:tcBorders>
          </w:tcPr>
          <w:p w14:paraId="1E3AF7AC" w14:textId="77777777" w:rsidR="00F91711" w:rsidRPr="00C35766" w:rsidRDefault="00F91711" w:rsidP="00F91711">
            <w:pPr>
              <w:pStyle w:val="TableParagraph"/>
              <w:spacing w:line="242"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73" w:type="dxa"/>
            <w:tcBorders>
              <w:left w:val="single" w:sz="7" w:space="0" w:color="000000"/>
              <w:right w:val="nil"/>
            </w:tcBorders>
          </w:tcPr>
          <w:p w14:paraId="573C473E" w14:textId="77777777" w:rsidR="00F91711" w:rsidRPr="00C35766" w:rsidRDefault="00F91711" w:rsidP="00F91711">
            <w:pPr>
              <w:pStyle w:val="TableParagraph"/>
              <w:spacing w:line="242"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88" w:type="dxa"/>
            <w:tcBorders>
              <w:left w:val="nil"/>
              <w:right w:val="single" w:sz="7" w:space="0" w:color="000000"/>
            </w:tcBorders>
          </w:tcPr>
          <w:p w14:paraId="3E85F37C" w14:textId="77777777" w:rsidR="00F91711" w:rsidRPr="00C35766" w:rsidRDefault="00F91711" w:rsidP="00F91711">
            <w:pPr>
              <w:pStyle w:val="TableParagraph"/>
              <w:spacing w:line="242"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367" w:type="dxa"/>
            <w:tcBorders>
              <w:left w:val="single" w:sz="7" w:space="0" w:color="000000"/>
              <w:right w:val="nil"/>
            </w:tcBorders>
          </w:tcPr>
          <w:p w14:paraId="33DAAD58" w14:textId="77777777" w:rsidR="00F91711" w:rsidRPr="00C35766" w:rsidRDefault="00F91711" w:rsidP="00F91711">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1328" w:type="dxa"/>
            <w:tcBorders>
              <w:left w:val="nil"/>
            </w:tcBorders>
          </w:tcPr>
          <w:p w14:paraId="6738E5E1" w14:textId="77777777" w:rsidR="00F91711" w:rsidRPr="00C35766" w:rsidRDefault="00F91711" w:rsidP="00F91711">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41,5%</w:t>
            </w:r>
          </w:p>
        </w:tc>
      </w:tr>
      <w:tr w:rsidR="00F91711" w:rsidRPr="00C35766" w14:paraId="3B95964E" w14:textId="77777777" w:rsidTr="00F91711">
        <w:tc>
          <w:tcPr>
            <w:tcW w:w="1186" w:type="dxa"/>
            <w:tcBorders>
              <w:right w:val="single" w:sz="4" w:space="0" w:color="auto"/>
            </w:tcBorders>
          </w:tcPr>
          <w:p w14:paraId="4DA969EB" w14:textId="77777777" w:rsidR="00F91711" w:rsidRPr="00C35766" w:rsidRDefault="00F91711" w:rsidP="00F91711">
            <w:pPr>
              <w:pStyle w:val="TableParagraph"/>
              <w:spacing w:line="241"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70</w:t>
            </w:r>
          </w:p>
        </w:tc>
        <w:tc>
          <w:tcPr>
            <w:tcW w:w="1075" w:type="dxa"/>
            <w:tcBorders>
              <w:left w:val="single" w:sz="4" w:space="0" w:color="auto"/>
              <w:right w:val="nil"/>
            </w:tcBorders>
          </w:tcPr>
          <w:p w14:paraId="775139F4" w14:textId="77777777" w:rsidR="00F91711" w:rsidRPr="00C35766" w:rsidRDefault="00F91711" w:rsidP="00F91711">
            <w:pPr>
              <w:rPr>
                <w:rFonts w:ascii="Times New Roman" w:hAnsi="Times New Roman" w:cs="Times New Roman"/>
              </w:rPr>
            </w:pPr>
          </w:p>
        </w:tc>
        <w:tc>
          <w:tcPr>
            <w:tcW w:w="1608" w:type="dxa"/>
            <w:tcBorders>
              <w:left w:val="nil"/>
              <w:right w:val="single" w:sz="7" w:space="0" w:color="000000"/>
            </w:tcBorders>
          </w:tcPr>
          <w:p w14:paraId="022940D4" w14:textId="77777777" w:rsidR="00F91711" w:rsidRPr="00C35766" w:rsidRDefault="00F91711" w:rsidP="00F91711">
            <w:pPr>
              <w:rPr>
                <w:rFonts w:ascii="Times New Roman" w:hAnsi="Times New Roman" w:cs="Times New Roman"/>
              </w:rPr>
            </w:pPr>
          </w:p>
        </w:tc>
        <w:tc>
          <w:tcPr>
            <w:tcW w:w="1273" w:type="dxa"/>
            <w:tcBorders>
              <w:left w:val="single" w:sz="7" w:space="0" w:color="000000"/>
              <w:right w:val="nil"/>
            </w:tcBorders>
          </w:tcPr>
          <w:p w14:paraId="03A8A9CF" w14:textId="77777777" w:rsidR="00F91711" w:rsidRPr="00C35766" w:rsidRDefault="00F91711" w:rsidP="00F91711">
            <w:pPr>
              <w:rPr>
                <w:rFonts w:ascii="Times New Roman" w:hAnsi="Times New Roman" w:cs="Times New Roman"/>
              </w:rPr>
            </w:pPr>
          </w:p>
        </w:tc>
        <w:tc>
          <w:tcPr>
            <w:tcW w:w="1288" w:type="dxa"/>
            <w:tcBorders>
              <w:left w:val="nil"/>
              <w:right w:val="single" w:sz="7" w:space="0" w:color="000000"/>
            </w:tcBorders>
          </w:tcPr>
          <w:p w14:paraId="788724CB" w14:textId="77777777" w:rsidR="00F91711" w:rsidRPr="00C35766" w:rsidRDefault="00F91711" w:rsidP="00F91711">
            <w:pPr>
              <w:rPr>
                <w:rFonts w:ascii="Times New Roman" w:hAnsi="Times New Roman" w:cs="Times New Roman"/>
              </w:rPr>
            </w:pPr>
          </w:p>
        </w:tc>
        <w:tc>
          <w:tcPr>
            <w:tcW w:w="1367" w:type="dxa"/>
            <w:tcBorders>
              <w:left w:val="single" w:sz="7" w:space="0" w:color="000000"/>
              <w:right w:val="nil"/>
            </w:tcBorders>
          </w:tcPr>
          <w:p w14:paraId="739B7239" w14:textId="77777777" w:rsidR="00F91711" w:rsidRPr="00C35766" w:rsidRDefault="00F91711" w:rsidP="00F91711">
            <w:pPr>
              <w:rPr>
                <w:rFonts w:ascii="Times New Roman" w:hAnsi="Times New Roman" w:cs="Times New Roman"/>
              </w:rPr>
            </w:pPr>
          </w:p>
        </w:tc>
        <w:tc>
          <w:tcPr>
            <w:tcW w:w="1328" w:type="dxa"/>
            <w:tcBorders>
              <w:left w:val="nil"/>
            </w:tcBorders>
          </w:tcPr>
          <w:p w14:paraId="2D79FAC1" w14:textId="77777777" w:rsidR="00F91711" w:rsidRPr="00C35766" w:rsidRDefault="00F91711" w:rsidP="00F91711">
            <w:pPr>
              <w:rPr>
                <w:rFonts w:ascii="Times New Roman" w:hAnsi="Times New Roman" w:cs="Times New Roman"/>
              </w:rPr>
            </w:pPr>
          </w:p>
        </w:tc>
      </w:tr>
      <w:tr w:rsidR="00F91711" w:rsidRPr="00C35766" w14:paraId="2F93B83C" w14:textId="77777777" w:rsidTr="00F91711">
        <w:tc>
          <w:tcPr>
            <w:tcW w:w="1186" w:type="dxa"/>
            <w:tcBorders>
              <w:right w:val="single" w:sz="4" w:space="0" w:color="auto"/>
            </w:tcBorders>
          </w:tcPr>
          <w:p w14:paraId="74B40028" w14:textId="77777777" w:rsidR="00F91711" w:rsidRPr="00C35766" w:rsidRDefault="00F91711" w:rsidP="00F91711">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1075" w:type="dxa"/>
            <w:tcBorders>
              <w:left w:val="single" w:sz="4" w:space="0" w:color="auto"/>
              <w:right w:val="nil"/>
            </w:tcBorders>
          </w:tcPr>
          <w:p w14:paraId="3876E5DC" w14:textId="77777777" w:rsidR="00F91711" w:rsidRPr="00C35766" w:rsidRDefault="00F91711" w:rsidP="00F91711">
            <w:pPr>
              <w:pStyle w:val="TableParagraph"/>
              <w:spacing w:line="242"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3,3%</w:t>
            </w:r>
          </w:p>
        </w:tc>
        <w:tc>
          <w:tcPr>
            <w:tcW w:w="1608" w:type="dxa"/>
            <w:tcBorders>
              <w:left w:val="nil"/>
              <w:right w:val="single" w:sz="7" w:space="0" w:color="000000"/>
            </w:tcBorders>
          </w:tcPr>
          <w:p w14:paraId="445CEEFB" w14:textId="77777777" w:rsidR="00F91711" w:rsidRPr="00C35766" w:rsidRDefault="00F91711" w:rsidP="00F91711">
            <w:pPr>
              <w:pStyle w:val="TableParagraph"/>
              <w:spacing w:line="242"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1273" w:type="dxa"/>
            <w:tcBorders>
              <w:left w:val="single" w:sz="7" w:space="0" w:color="000000"/>
              <w:right w:val="nil"/>
            </w:tcBorders>
          </w:tcPr>
          <w:p w14:paraId="3C48E6A7" w14:textId="77777777" w:rsidR="00F91711" w:rsidRPr="00C35766" w:rsidRDefault="00F91711" w:rsidP="00F91711">
            <w:pPr>
              <w:pStyle w:val="TableParagraph"/>
              <w:spacing w:line="242"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1,8%</w:t>
            </w:r>
          </w:p>
        </w:tc>
        <w:tc>
          <w:tcPr>
            <w:tcW w:w="1288" w:type="dxa"/>
            <w:tcBorders>
              <w:left w:val="nil"/>
              <w:right w:val="single" w:sz="7" w:space="0" w:color="000000"/>
            </w:tcBorders>
          </w:tcPr>
          <w:p w14:paraId="53C57BD8" w14:textId="77777777" w:rsidR="00F91711" w:rsidRPr="00C35766" w:rsidRDefault="00F91711" w:rsidP="00F91711">
            <w:pPr>
              <w:pStyle w:val="TableParagraph"/>
              <w:spacing w:line="242"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12,4%</w:t>
            </w:r>
          </w:p>
        </w:tc>
        <w:tc>
          <w:tcPr>
            <w:tcW w:w="1367" w:type="dxa"/>
            <w:tcBorders>
              <w:left w:val="single" w:sz="7" w:space="0" w:color="000000"/>
              <w:right w:val="nil"/>
            </w:tcBorders>
          </w:tcPr>
          <w:p w14:paraId="5A2CEBE1" w14:textId="77777777" w:rsidR="00F91711" w:rsidRPr="00C35766" w:rsidRDefault="00F91711" w:rsidP="00F91711">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1328" w:type="dxa"/>
            <w:tcBorders>
              <w:left w:val="nil"/>
            </w:tcBorders>
          </w:tcPr>
          <w:p w14:paraId="0861EB7C" w14:textId="77777777" w:rsidR="00F91711" w:rsidRPr="00C35766" w:rsidRDefault="00F91711" w:rsidP="00F91711">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20,8%</w:t>
            </w:r>
          </w:p>
        </w:tc>
      </w:tr>
      <w:tr w:rsidR="00F91711" w:rsidRPr="00C35766" w14:paraId="1FC25C9E" w14:textId="77777777" w:rsidTr="00F91711">
        <w:tc>
          <w:tcPr>
            <w:tcW w:w="1186" w:type="dxa"/>
            <w:tcBorders>
              <w:bottom w:val="single" w:sz="4" w:space="0" w:color="auto"/>
              <w:right w:val="single" w:sz="4" w:space="0" w:color="auto"/>
            </w:tcBorders>
          </w:tcPr>
          <w:p w14:paraId="510F9483" w14:textId="77777777" w:rsidR="00F91711" w:rsidRPr="00C35766" w:rsidRDefault="00F91711" w:rsidP="00F91711">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1075" w:type="dxa"/>
            <w:tcBorders>
              <w:left w:val="single" w:sz="4" w:space="0" w:color="auto"/>
              <w:bottom w:val="single" w:sz="4" w:space="0" w:color="auto"/>
              <w:right w:val="nil"/>
            </w:tcBorders>
          </w:tcPr>
          <w:p w14:paraId="5DC140B3" w14:textId="77777777" w:rsidR="00F91711" w:rsidRPr="00C35766" w:rsidRDefault="00F91711" w:rsidP="00F91711">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608" w:type="dxa"/>
            <w:tcBorders>
              <w:left w:val="nil"/>
              <w:bottom w:val="single" w:sz="4" w:space="0" w:color="auto"/>
              <w:right w:val="single" w:sz="7" w:space="0" w:color="000000"/>
            </w:tcBorders>
          </w:tcPr>
          <w:p w14:paraId="59DC0E6F" w14:textId="77777777" w:rsidR="00F91711" w:rsidRPr="00C35766" w:rsidRDefault="00F91711" w:rsidP="00F91711">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73" w:type="dxa"/>
            <w:tcBorders>
              <w:left w:val="single" w:sz="7" w:space="0" w:color="000000"/>
              <w:bottom w:val="single" w:sz="4" w:space="0" w:color="auto"/>
              <w:right w:val="nil"/>
            </w:tcBorders>
          </w:tcPr>
          <w:p w14:paraId="6A229861" w14:textId="77777777" w:rsidR="00F91711" w:rsidRPr="00C35766" w:rsidRDefault="00F91711" w:rsidP="00F91711">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288" w:type="dxa"/>
            <w:tcBorders>
              <w:left w:val="nil"/>
              <w:bottom w:val="single" w:sz="4" w:space="0" w:color="auto"/>
              <w:right w:val="single" w:sz="7" w:space="0" w:color="000000"/>
            </w:tcBorders>
          </w:tcPr>
          <w:p w14:paraId="4C3CBC32" w14:textId="77777777" w:rsidR="00F91711" w:rsidRPr="00C35766" w:rsidRDefault="00F91711" w:rsidP="00F91711">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1367" w:type="dxa"/>
            <w:tcBorders>
              <w:left w:val="single" w:sz="7" w:space="0" w:color="000000"/>
              <w:bottom w:val="single" w:sz="4" w:space="0" w:color="auto"/>
              <w:right w:val="nil"/>
            </w:tcBorders>
          </w:tcPr>
          <w:p w14:paraId="510CA6C6" w14:textId="77777777" w:rsidR="00F91711" w:rsidRPr="00C35766" w:rsidRDefault="00F91711" w:rsidP="00F91711">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4,5%</w:t>
            </w:r>
          </w:p>
        </w:tc>
        <w:tc>
          <w:tcPr>
            <w:tcW w:w="1328" w:type="dxa"/>
            <w:tcBorders>
              <w:left w:val="nil"/>
              <w:bottom w:val="single" w:sz="4" w:space="0" w:color="auto"/>
            </w:tcBorders>
          </w:tcPr>
          <w:p w14:paraId="6D66E73F" w14:textId="77777777" w:rsidR="00F91711" w:rsidRPr="00C35766" w:rsidRDefault="00F91711" w:rsidP="00F91711">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23,2%</w:t>
            </w:r>
          </w:p>
        </w:tc>
      </w:tr>
    </w:tbl>
    <w:p w14:paraId="7E67CF45" w14:textId="77777777" w:rsidR="00F91711" w:rsidRPr="00C35766" w:rsidRDefault="00F91711" w:rsidP="00F91711">
      <w:pPr>
        <w:pStyle w:val="a3"/>
        <w:numPr>
          <w:ilvl w:val="0"/>
          <w:numId w:val="0"/>
        </w:numPr>
        <w:rPr>
          <w:lang w:val="pt-BR"/>
        </w:rPr>
      </w:pPr>
      <w:r w:rsidRPr="00C35766">
        <w:rPr>
          <w:rFonts w:eastAsia="Times New Roman"/>
          <w:position w:val="8"/>
          <w:vertAlign w:val="superscript"/>
          <w:lang w:val="it-IT"/>
        </w:rPr>
        <w:t xml:space="preserve">a </w:t>
      </w:r>
      <w:r w:rsidRPr="00C35766">
        <w:rPr>
          <w:rFonts w:eastAsia="Times New Roman"/>
          <w:position w:val="8"/>
          <w:lang w:val="it-IT"/>
        </w:rPr>
        <w:t>studio AR I a 24 settimane, studio AR II a 26 settimane, e studio AR III a 24 e 52 settimane</w:t>
      </w:r>
    </w:p>
    <w:p w14:paraId="6F877AE8" w14:textId="77777777" w:rsidR="00F91711" w:rsidRPr="00C35766" w:rsidRDefault="00F91711" w:rsidP="00F91711">
      <w:pPr>
        <w:pStyle w:val="a3"/>
        <w:numPr>
          <w:ilvl w:val="0"/>
          <w:numId w:val="0"/>
        </w:numPr>
        <w:rPr>
          <w:lang w:val="pt-BR"/>
        </w:rPr>
      </w:pPr>
      <w:r w:rsidRPr="00C35766">
        <w:rPr>
          <w:rFonts w:eastAsia="Times New Roman"/>
          <w:position w:val="8"/>
          <w:vertAlign w:val="superscript"/>
          <w:lang w:val="it-IT"/>
        </w:rPr>
        <w:t xml:space="preserve">b </w:t>
      </w:r>
      <w:r w:rsidRPr="00C35766">
        <w:rPr>
          <w:rFonts w:eastAsia="Times New Roman"/>
          <w:position w:val="8"/>
          <w:lang w:val="it-IT"/>
        </w:rPr>
        <w:t>40 mg di adalimumab somministrato ogni due settimane</w:t>
      </w:r>
    </w:p>
    <w:p w14:paraId="3B830567" w14:textId="77777777" w:rsidR="00F91711" w:rsidRPr="00C35766" w:rsidRDefault="00F91711" w:rsidP="00F91711">
      <w:pPr>
        <w:pStyle w:val="a3"/>
        <w:rPr>
          <w:lang w:val="pt-BR"/>
        </w:rPr>
      </w:pPr>
      <w:r w:rsidRPr="00C35766">
        <w:rPr>
          <w:rFonts w:eastAsia="Times New Roman"/>
          <w:position w:val="8"/>
          <w:vertAlign w:val="superscript"/>
          <w:lang w:val="it-IT"/>
        </w:rPr>
        <w:t>c</w:t>
      </w:r>
      <w:r w:rsidRPr="00C35766">
        <w:rPr>
          <w:rFonts w:eastAsia="Times New Roman"/>
          <w:position w:val="8"/>
          <w:lang w:val="it-IT"/>
        </w:rPr>
        <w:t xml:space="preserve"> MTX = metotressato</w:t>
      </w:r>
    </w:p>
    <w:p w14:paraId="2C730248" w14:textId="77777777" w:rsidR="00F91711" w:rsidRPr="00C35766" w:rsidRDefault="00F91711" w:rsidP="00F91711">
      <w:pPr>
        <w:spacing w:before="1"/>
        <w:rPr>
          <w:rFonts w:ascii="Times New Roman" w:eastAsia="Times New Roman" w:hAnsi="Times New Roman" w:cs="Times New Roman"/>
          <w:lang w:val="pt-BR"/>
        </w:rPr>
      </w:pPr>
      <w:r w:rsidRPr="00C35766">
        <w:rPr>
          <w:rFonts w:ascii="Times New Roman" w:eastAsia="Times New Roman" w:hAnsi="Times New Roman" w:cs="Times New Roman"/>
          <w:lang w:val="it-IT"/>
        </w:rPr>
        <w:t xml:space="preserve">**p &lt; 0,01, adalimumab </w:t>
      </w:r>
      <w:r w:rsidRPr="00C35766">
        <w:rPr>
          <w:rFonts w:ascii="Times New Roman" w:eastAsia="Times New Roman" w:hAnsi="Times New Roman" w:cs="Times New Roman"/>
          <w:i/>
          <w:iCs/>
          <w:lang w:val="it-IT"/>
        </w:rPr>
        <w:t xml:space="preserve">versus </w:t>
      </w:r>
      <w:r w:rsidRPr="00C35766">
        <w:rPr>
          <w:rFonts w:ascii="Times New Roman" w:eastAsia="Times New Roman" w:hAnsi="Times New Roman" w:cs="Times New Roman"/>
          <w:lang w:val="it-IT"/>
        </w:rPr>
        <w:t>placebo</w:t>
      </w:r>
    </w:p>
    <w:p w14:paraId="532B5108" w14:textId="77777777" w:rsidR="00F91711" w:rsidRPr="00C35766" w:rsidRDefault="00F91711" w:rsidP="00F91711">
      <w:pPr>
        <w:spacing w:before="1" w:line="180" w:lineRule="exact"/>
        <w:rPr>
          <w:rFonts w:ascii="Times New Roman" w:hAnsi="Times New Roman" w:cs="Times New Roman"/>
          <w:sz w:val="18"/>
          <w:szCs w:val="18"/>
          <w:lang w:val="pt-BR"/>
        </w:rPr>
      </w:pPr>
    </w:p>
    <w:p w14:paraId="3FD087AF" w14:textId="77777777" w:rsidR="00F91711" w:rsidRPr="00C35766" w:rsidRDefault="00F91711" w:rsidP="00F91711">
      <w:pPr>
        <w:pStyle w:val="a3"/>
        <w:rPr>
          <w:lang w:val="pt-BR"/>
        </w:rPr>
      </w:pPr>
      <w:r w:rsidRPr="00C35766">
        <w:rPr>
          <w:rFonts w:eastAsia="Times New Roman"/>
          <w:lang w:val="it-IT"/>
        </w:rPr>
        <w:t>Negli studi AR I-IV, tutti i parametri valutati per la definizione della risposta ACR (numero di articolazioni dolenti e tumefatte, valutazione dell’attività di malattia e del dolore da parte del medico e del paziente, indice di disabilità (HAQ) e i valori di PCR (mg/dL) sono migliorati a 24 o 26 settimane rispetto al placebo. Nello studio AR III, tali miglioramenti si sono mantenuti nell’arco di 52 settimane.</w:t>
      </w:r>
    </w:p>
    <w:p w14:paraId="3DF20E01" w14:textId="77777777" w:rsidR="00F91711" w:rsidRPr="00C35766" w:rsidRDefault="00F91711" w:rsidP="00F91711">
      <w:pPr>
        <w:spacing w:before="13" w:line="240" w:lineRule="exact"/>
        <w:rPr>
          <w:rFonts w:ascii="Times New Roman" w:hAnsi="Times New Roman" w:cs="Times New Roman"/>
          <w:sz w:val="24"/>
          <w:szCs w:val="24"/>
          <w:lang w:val="pt-BR"/>
        </w:rPr>
      </w:pPr>
    </w:p>
    <w:p w14:paraId="0A101681" w14:textId="77777777" w:rsidR="00F91711" w:rsidRPr="00C35766" w:rsidRDefault="00F91711" w:rsidP="00F91711">
      <w:pPr>
        <w:pStyle w:val="a3"/>
        <w:rPr>
          <w:lang w:val="it-IT"/>
        </w:rPr>
      </w:pPr>
      <w:r w:rsidRPr="00C35766">
        <w:rPr>
          <w:rFonts w:eastAsia="Times New Roman"/>
          <w:lang w:val="it-IT"/>
        </w:rPr>
        <w:t xml:space="preserve">Nella fase di estensione in aperto dello studio AR III, la maggior parte dei pazienti che hanno avuto una risposta ACR hanno mantenuto la risposta quando sono stati seguiti fino a per 10 anni. Su un totale di 207 pazienti che sono stati randomizzati ad adalimumab 40 mg a settimane alterne, 114 hanno continuato il trattamento con adalimumab 40 mg a settimane alterne per 5 anni. Di questi, 86 pazienti (75,4%) hanno avuto risposte ACR 20; 72 pazienti (63,2%) hanno avuto risposte ACR 50; e 41 pazienti (36%) hanno </w:t>
      </w:r>
      <w:r w:rsidRPr="00C35766">
        <w:rPr>
          <w:rFonts w:eastAsia="Times New Roman"/>
          <w:lang w:val="it-IT"/>
        </w:rPr>
        <w:lastRenderedPageBreak/>
        <w:t>avuto risposte ACR 70. Su un totale di 207 pazienti, 81 hanno continuato il trattamento con adalimumab 40 mg a settimane alterne per 10 anni. Di questi, 64 pazienti (79,0%) hanno avuto risposte ACR 20; 56 pazienti (69,1%) hanno avuto risposte ACR 50; e 43 pazienti (53,1%) hanno avuto risposte ACR 70.</w:t>
      </w:r>
    </w:p>
    <w:p w14:paraId="263C1A0C" w14:textId="77777777" w:rsidR="00F91711" w:rsidRPr="00C35766" w:rsidRDefault="00F91711" w:rsidP="00F91711">
      <w:pPr>
        <w:spacing w:before="17" w:line="240" w:lineRule="exact"/>
        <w:rPr>
          <w:rFonts w:ascii="Times New Roman" w:hAnsi="Times New Roman" w:cs="Times New Roman"/>
          <w:sz w:val="24"/>
          <w:szCs w:val="24"/>
          <w:lang w:val="it-IT"/>
        </w:rPr>
      </w:pPr>
    </w:p>
    <w:p w14:paraId="6AC00743" w14:textId="77777777" w:rsidR="00F91711" w:rsidRPr="00C35766" w:rsidRDefault="00F91711" w:rsidP="00F91711">
      <w:pPr>
        <w:pStyle w:val="a3"/>
        <w:rPr>
          <w:lang w:val="it-IT"/>
        </w:rPr>
      </w:pPr>
      <w:r w:rsidRPr="00C35766">
        <w:rPr>
          <w:rFonts w:eastAsia="Times New Roman"/>
          <w:lang w:val="it-IT"/>
        </w:rPr>
        <w:t>Nello studio AR IV, la risposta ACR 20 di pazienti trattati con adalimumab, in associazione con la terapia convenzionale, è stata migliore in misura statisticamente significativa rispetto ai pazienti trattati con placebo associato a terapia convenzionale (p &lt; 0,001).</w:t>
      </w:r>
    </w:p>
    <w:p w14:paraId="63E38B6D" w14:textId="77777777" w:rsidR="00F91711" w:rsidRPr="00C35766" w:rsidRDefault="00F91711" w:rsidP="00F91711">
      <w:pPr>
        <w:spacing w:before="11" w:line="240" w:lineRule="exact"/>
        <w:rPr>
          <w:rFonts w:ascii="Times New Roman" w:hAnsi="Times New Roman" w:cs="Times New Roman"/>
          <w:sz w:val="24"/>
          <w:szCs w:val="24"/>
          <w:lang w:val="it-IT"/>
        </w:rPr>
      </w:pPr>
    </w:p>
    <w:p w14:paraId="2B68B8A1" w14:textId="77777777" w:rsidR="00F91711" w:rsidRPr="00C35766" w:rsidRDefault="00F91711" w:rsidP="00F91711">
      <w:pPr>
        <w:pStyle w:val="a3"/>
        <w:rPr>
          <w:lang w:val="it-IT"/>
        </w:rPr>
      </w:pPr>
      <w:r w:rsidRPr="00C35766">
        <w:rPr>
          <w:rFonts w:eastAsia="Times New Roman"/>
          <w:lang w:val="it-IT"/>
        </w:rPr>
        <w:t>Negli studi AR I-IV, i pazienti trattati con adalimumab hanno raggiunto risposte ACR 20 e 50 statisticamente significative rispetto al placebo già entro 1-2 settimane dall’inizio del trattamento.</w:t>
      </w:r>
    </w:p>
    <w:p w14:paraId="6B7FBEC5" w14:textId="77777777" w:rsidR="00F91711" w:rsidRPr="00C35766" w:rsidRDefault="00F91711" w:rsidP="00F91711">
      <w:pPr>
        <w:pStyle w:val="a3"/>
        <w:rPr>
          <w:lang w:val="it-IT"/>
        </w:rPr>
      </w:pPr>
    </w:p>
    <w:p w14:paraId="1EC673F2" w14:textId="262200A4" w:rsidR="00F91711" w:rsidRPr="00C35766" w:rsidRDefault="00F91711" w:rsidP="00F91711">
      <w:pPr>
        <w:pStyle w:val="a3"/>
        <w:rPr>
          <w:lang w:val="it-IT"/>
        </w:rPr>
      </w:pPr>
      <w:r w:rsidRPr="004F0B2E">
        <w:rPr>
          <w:lang w:val="it-IT"/>
        </w:rPr>
        <w:t xml:space="preserve">Nello studio AR V, nei pazienti con artrite reumatoide precoce che non erano mai stati precedentemente trattati con metotressato, la terapia di associazione adalimumab/metotressato ha determinato risposte ACR più rapide e significativamente superiori rispetto alla monoterapia con metotressato ed alla monoterapia con adalimumab alla settimana 52 e tali risposte si sono mantenute nell’arco di 104 settimane </w:t>
      </w:r>
      <w:r w:rsidRPr="00C35766">
        <w:rPr>
          <w:rFonts w:eastAsia="Times New Roman"/>
          <w:lang w:val="it-IT"/>
        </w:rPr>
        <w:t xml:space="preserve">(vedere Tabella </w:t>
      </w:r>
      <w:r w:rsidR="003A249F" w:rsidRPr="00C35766">
        <w:rPr>
          <w:rFonts w:eastAsia="Times New Roman"/>
          <w:lang w:val="it-IT"/>
        </w:rPr>
        <w:t xml:space="preserve"> </w:t>
      </w:r>
      <w:r w:rsidR="00150B5C">
        <w:rPr>
          <w:rFonts w:eastAsia="Times New Roman"/>
          <w:lang w:val="it-IT"/>
        </w:rPr>
        <w:t>6</w:t>
      </w:r>
      <w:r w:rsidRPr="00C35766">
        <w:rPr>
          <w:rFonts w:eastAsia="Times New Roman"/>
          <w:lang w:val="it-IT"/>
        </w:rPr>
        <w:t>).</w:t>
      </w:r>
    </w:p>
    <w:p w14:paraId="3E5ABF70" w14:textId="77777777" w:rsidR="00F91711" w:rsidRPr="00C35766" w:rsidRDefault="00F91711" w:rsidP="00F91711">
      <w:pPr>
        <w:pStyle w:val="a3"/>
        <w:jc w:val="center"/>
        <w:rPr>
          <w:b/>
          <w:lang w:val="it-IT"/>
        </w:rPr>
      </w:pPr>
    </w:p>
    <w:p w14:paraId="3A6F1231" w14:textId="017F554B" w:rsidR="00F91711" w:rsidRPr="00C35766" w:rsidRDefault="00F91711" w:rsidP="00F91711">
      <w:pPr>
        <w:pStyle w:val="a3"/>
        <w:jc w:val="center"/>
        <w:rPr>
          <w:b/>
          <w:lang w:val="it-IT"/>
        </w:rPr>
      </w:pPr>
      <w:r w:rsidRPr="00C35766">
        <w:rPr>
          <w:rFonts w:eastAsia="Times New Roman"/>
          <w:b/>
          <w:bCs/>
          <w:lang w:val="it-IT"/>
        </w:rPr>
        <w:t xml:space="preserve">Tabella </w:t>
      </w:r>
      <w:r w:rsidR="00150B5C">
        <w:rPr>
          <w:rFonts w:eastAsia="Times New Roman"/>
          <w:b/>
          <w:bCs/>
          <w:lang w:val="it-IT"/>
        </w:rPr>
        <w:t>6</w:t>
      </w:r>
    </w:p>
    <w:p w14:paraId="5219A7DC" w14:textId="77777777" w:rsidR="00F91711" w:rsidRPr="00C35766" w:rsidRDefault="00F91711" w:rsidP="00F91711">
      <w:pPr>
        <w:pStyle w:val="a3"/>
        <w:jc w:val="center"/>
        <w:rPr>
          <w:b/>
          <w:lang w:val="it-IT"/>
        </w:rPr>
      </w:pPr>
      <w:r w:rsidRPr="00C35766">
        <w:rPr>
          <w:rFonts w:eastAsia="Times New Roman"/>
          <w:b/>
          <w:bCs/>
          <w:lang w:val="it-IT"/>
        </w:rPr>
        <w:t>Risposte ACR nello studio AR V</w:t>
      </w:r>
    </w:p>
    <w:p w14:paraId="3D497664" w14:textId="77777777" w:rsidR="00F91711" w:rsidRPr="00C35766" w:rsidRDefault="00F91711" w:rsidP="00F91711">
      <w:pPr>
        <w:pStyle w:val="a3"/>
        <w:jc w:val="center"/>
        <w:rPr>
          <w:b/>
        </w:rPr>
      </w:pPr>
      <w:r w:rsidRPr="00C35766">
        <w:rPr>
          <w:rFonts w:eastAsia="Times New Roman"/>
          <w:b/>
          <w:bCs/>
          <w:lang w:val="it-IT"/>
        </w:rPr>
        <w:t>(percentuale di pazienti)</w:t>
      </w:r>
    </w:p>
    <w:p w14:paraId="464FC181" w14:textId="77777777" w:rsidR="00F91711" w:rsidRPr="00C35766" w:rsidRDefault="00F91711" w:rsidP="00F91711">
      <w:pPr>
        <w:pStyle w:val="a3"/>
        <w:jc w:val="center"/>
        <w:rPr>
          <w:b/>
        </w:rPr>
      </w:pPr>
    </w:p>
    <w:tbl>
      <w:tblPr>
        <w:tblStyle w:val="TableNormal1"/>
        <w:tblpPr w:leftFromText="180" w:rightFromText="180" w:vertAnchor="text" w:tblpX="184" w:tblpY="1"/>
        <w:tblOverlap w:val="never"/>
        <w:tblW w:w="0" w:type="auto"/>
        <w:tblLayout w:type="fixed"/>
        <w:tblLook w:val="01E0" w:firstRow="1" w:lastRow="1" w:firstColumn="1" w:lastColumn="1" w:noHBand="0" w:noVBand="0"/>
      </w:tblPr>
      <w:tblGrid>
        <w:gridCol w:w="1366"/>
        <w:gridCol w:w="1275"/>
        <w:gridCol w:w="1276"/>
        <w:gridCol w:w="1985"/>
        <w:gridCol w:w="957"/>
        <w:gridCol w:w="1174"/>
        <w:gridCol w:w="1216"/>
      </w:tblGrid>
      <w:tr w:rsidR="00F91711" w:rsidRPr="00C35766" w14:paraId="5319B716" w14:textId="77777777" w:rsidTr="00F91711">
        <w:tc>
          <w:tcPr>
            <w:tcW w:w="1366" w:type="dxa"/>
            <w:tcBorders>
              <w:top w:val="single" w:sz="5" w:space="0" w:color="000000"/>
              <w:left w:val="single" w:sz="8" w:space="0" w:color="000000"/>
              <w:bottom w:val="single" w:sz="5" w:space="0" w:color="000000"/>
              <w:right w:val="single" w:sz="5" w:space="0" w:color="000000"/>
            </w:tcBorders>
            <w:vAlign w:val="center"/>
          </w:tcPr>
          <w:p w14:paraId="7CBF5045" w14:textId="77777777" w:rsidR="00F91711" w:rsidRPr="00C35766" w:rsidRDefault="00F91711" w:rsidP="00F91711">
            <w:pPr>
              <w:pStyle w:val="TableParagraph"/>
              <w:spacing w:line="120" w:lineRule="exact"/>
              <w:jc w:val="center"/>
              <w:rPr>
                <w:rFonts w:ascii="Times New Roman" w:hAnsi="Times New Roman" w:cs="Times New Roman"/>
              </w:rPr>
            </w:pPr>
          </w:p>
          <w:p w14:paraId="5277622C"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Risposta</w:t>
            </w:r>
          </w:p>
        </w:tc>
        <w:tc>
          <w:tcPr>
            <w:tcW w:w="1275" w:type="dxa"/>
            <w:tcBorders>
              <w:top w:val="single" w:sz="5" w:space="0" w:color="000000"/>
              <w:left w:val="single" w:sz="5" w:space="0" w:color="000000"/>
              <w:bottom w:val="single" w:sz="5" w:space="0" w:color="000000"/>
              <w:right w:val="single" w:sz="5" w:space="0" w:color="000000"/>
            </w:tcBorders>
            <w:vAlign w:val="center"/>
          </w:tcPr>
          <w:p w14:paraId="48FE1C9B" w14:textId="77777777" w:rsidR="00F91711" w:rsidRPr="00C35766" w:rsidRDefault="00F91711" w:rsidP="00F91711">
            <w:pPr>
              <w:pStyle w:val="TableParagraph"/>
              <w:spacing w:line="252" w:lineRule="exact"/>
              <w:ind w:firstLine="33"/>
              <w:jc w:val="center"/>
              <w:rPr>
                <w:rFonts w:ascii="Times New Roman" w:eastAsia="Times New Roman" w:hAnsi="Times New Roman" w:cs="Times New Roman"/>
                <w:b/>
                <w:bCs/>
                <w:spacing w:val="-1"/>
                <w:lang w:val="it-IT"/>
              </w:rPr>
            </w:pPr>
            <w:r w:rsidRPr="00C35766">
              <w:rPr>
                <w:rFonts w:ascii="Times New Roman" w:eastAsia="Times New Roman" w:hAnsi="Times New Roman" w:cs="Times New Roman"/>
                <w:b/>
                <w:bCs/>
                <w:spacing w:val="-1"/>
                <w:lang w:val="it-IT"/>
              </w:rPr>
              <w:t xml:space="preserve">MTX </w:t>
            </w:r>
          </w:p>
          <w:p w14:paraId="579C525B" w14:textId="77777777" w:rsidR="00F91711" w:rsidRPr="00C35766" w:rsidRDefault="00F91711" w:rsidP="00F91711">
            <w:pPr>
              <w:pStyle w:val="TableParagraph"/>
              <w:spacing w:line="252" w:lineRule="exact"/>
              <w:ind w:firstLine="3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2310440D" w14:textId="77777777" w:rsidR="00F91711" w:rsidRPr="00C35766" w:rsidRDefault="00F91711" w:rsidP="00F91711">
            <w:pPr>
              <w:pStyle w:val="TableParagraph"/>
              <w:spacing w:line="252" w:lineRule="exact"/>
              <w:ind w:hanging="8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  Adalimumab </w:t>
            </w:r>
          </w:p>
          <w:p w14:paraId="420F7C24" w14:textId="77777777" w:rsidR="00F91711" w:rsidRPr="00C35766" w:rsidRDefault="00F91711" w:rsidP="00F91711">
            <w:pPr>
              <w:pStyle w:val="TableParagraph"/>
              <w:spacing w:line="252" w:lineRule="exact"/>
              <w:ind w:hanging="8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671A4D9D" w14:textId="77777777" w:rsidR="00F91711" w:rsidRPr="00C35766" w:rsidRDefault="00F91711" w:rsidP="00F91711">
            <w:pPr>
              <w:pStyle w:val="TableParagraph"/>
              <w:spacing w:line="252" w:lineRule="exact"/>
              <w:ind w:hanging="372"/>
              <w:jc w:val="center"/>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 xml:space="preserve">      Adalimumab/MTX</w:t>
            </w:r>
          </w:p>
          <w:p w14:paraId="77206662" w14:textId="77777777" w:rsidR="00F91711" w:rsidRPr="00C35766" w:rsidRDefault="00F91711" w:rsidP="00F91711">
            <w:pPr>
              <w:pStyle w:val="TableParagraph"/>
              <w:spacing w:line="252" w:lineRule="exact"/>
              <w:ind w:hanging="37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3104C273"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1EA4919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2A712EB6"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c</w:t>
            </w:r>
          </w:p>
        </w:tc>
      </w:tr>
      <w:tr w:rsidR="00F91711" w:rsidRPr="00C35766" w14:paraId="198C0049" w14:textId="77777777" w:rsidTr="00F91711">
        <w:tc>
          <w:tcPr>
            <w:tcW w:w="9249" w:type="dxa"/>
            <w:gridSpan w:val="7"/>
            <w:tcBorders>
              <w:top w:val="single" w:sz="5" w:space="0" w:color="000000"/>
              <w:left w:val="single" w:sz="8" w:space="0" w:color="000000"/>
              <w:bottom w:val="single" w:sz="5" w:space="0" w:color="000000"/>
              <w:right w:val="single" w:sz="9" w:space="0" w:color="000000"/>
            </w:tcBorders>
          </w:tcPr>
          <w:p w14:paraId="1C919EF6" w14:textId="77777777" w:rsidR="00F91711" w:rsidRPr="00C35766" w:rsidRDefault="00F91711" w:rsidP="00F91711">
            <w:pPr>
              <w:rPr>
                <w:rFonts w:ascii="Times New Roman" w:hAnsi="Times New Roman" w:cs="Times New Roman"/>
              </w:rPr>
            </w:pPr>
            <w:r w:rsidRPr="00C35766">
              <w:rPr>
                <w:rFonts w:ascii="Times New Roman" w:eastAsia="Times New Roman" w:hAnsi="Times New Roman" w:cs="Times New Roman"/>
                <w:spacing w:val="-1"/>
                <w:lang w:val="it-IT"/>
              </w:rPr>
              <w:t>ACR 20</w:t>
            </w:r>
          </w:p>
        </w:tc>
      </w:tr>
      <w:tr w:rsidR="00F91711" w:rsidRPr="00C35766" w14:paraId="0E285CCC"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2AF3BDD9" w14:textId="77777777" w:rsidR="00F91711" w:rsidRPr="00C35766" w:rsidRDefault="00F91711" w:rsidP="00F91711">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63C6F2B0"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62,6%</w:t>
            </w:r>
          </w:p>
        </w:tc>
        <w:tc>
          <w:tcPr>
            <w:tcW w:w="1276" w:type="dxa"/>
            <w:tcBorders>
              <w:top w:val="single" w:sz="5" w:space="0" w:color="000000"/>
              <w:left w:val="single" w:sz="5" w:space="0" w:color="000000"/>
              <w:bottom w:val="single" w:sz="5" w:space="0" w:color="000000"/>
              <w:right w:val="single" w:sz="5" w:space="0" w:color="000000"/>
            </w:tcBorders>
          </w:tcPr>
          <w:p w14:paraId="6259475E"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54,4%</w:t>
            </w:r>
          </w:p>
        </w:tc>
        <w:tc>
          <w:tcPr>
            <w:tcW w:w="1985" w:type="dxa"/>
            <w:tcBorders>
              <w:top w:val="single" w:sz="5" w:space="0" w:color="000000"/>
              <w:left w:val="single" w:sz="5" w:space="0" w:color="000000"/>
              <w:bottom w:val="single" w:sz="5" w:space="0" w:color="000000"/>
              <w:right w:val="single" w:sz="5" w:space="0" w:color="000000"/>
            </w:tcBorders>
          </w:tcPr>
          <w:p w14:paraId="1613BD8A" w14:textId="77777777" w:rsidR="00F91711" w:rsidRPr="00C35766" w:rsidRDefault="00F91711" w:rsidP="00F91711">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72,8%</w:t>
            </w:r>
          </w:p>
        </w:tc>
        <w:tc>
          <w:tcPr>
            <w:tcW w:w="957" w:type="dxa"/>
            <w:tcBorders>
              <w:top w:val="single" w:sz="5" w:space="0" w:color="000000"/>
              <w:left w:val="single" w:sz="5" w:space="0" w:color="000000"/>
              <w:bottom w:val="single" w:sz="5" w:space="0" w:color="000000"/>
              <w:right w:val="single" w:sz="5" w:space="0" w:color="000000"/>
            </w:tcBorders>
          </w:tcPr>
          <w:p w14:paraId="0E5B0930"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0,013</w:t>
            </w:r>
          </w:p>
        </w:tc>
        <w:tc>
          <w:tcPr>
            <w:tcW w:w="1174" w:type="dxa"/>
            <w:tcBorders>
              <w:top w:val="single" w:sz="5" w:space="0" w:color="000000"/>
              <w:left w:val="single" w:sz="5" w:space="0" w:color="000000"/>
              <w:bottom w:val="single" w:sz="5" w:space="0" w:color="000000"/>
              <w:right w:val="single" w:sz="5" w:space="0" w:color="000000"/>
            </w:tcBorders>
          </w:tcPr>
          <w:p w14:paraId="557C36CD"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194F3170" w14:textId="77777777" w:rsidR="00F91711" w:rsidRPr="00C35766" w:rsidRDefault="00F91711" w:rsidP="00F91711">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0,043</w:t>
            </w:r>
          </w:p>
        </w:tc>
      </w:tr>
      <w:tr w:rsidR="00F91711" w:rsidRPr="00C35766" w14:paraId="550B159B"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3D7CC00C" w14:textId="77777777" w:rsidR="00F91711" w:rsidRPr="00C35766" w:rsidRDefault="00F91711" w:rsidP="00F91711">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75E06033"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56,0%</w:t>
            </w:r>
          </w:p>
        </w:tc>
        <w:tc>
          <w:tcPr>
            <w:tcW w:w="1276" w:type="dxa"/>
            <w:tcBorders>
              <w:top w:val="single" w:sz="5" w:space="0" w:color="000000"/>
              <w:left w:val="single" w:sz="5" w:space="0" w:color="000000"/>
              <w:bottom w:val="single" w:sz="5" w:space="0" w:color="000000"/>
              <w:right w:val="single" w:sz="5" w:space="0" w:color="000000"/>
            </w:tcBorders>
          </w:tcPr>
          <w:p w14:paraId="3BD78E8C"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49,3%</w:t>
            </w:r>
          </w:p>
        </w:tc>
        <w:tc>
          <w:tcPr>
            <w:tcW w:w="1985" w:type="dxa"/>
            <w:tcBorders>
              <w:top w:val="single" w:sz="5" w:space="0" w:color="000000"/>
              <w:left w:val="single" w:sz="5" w:space="0" w:color="000000"/>
              <w:bottom w:val="single" w:sz="5" w:space="0" w:color="000000"/>
              <w:right w:val="single" w:sz="5" w:space="0" w:color="000000"/>
            </w:tcBorders>
          </w:tcPr>
          <w:p w14:paraId="57845AD0" w14:textId="77777777" w:rsidR="00F91711" w:rsidRPr="00C35766" w:rsidRDefault="00F91711" w:rsidP="00F91711">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69,4%</w:t>
            </w:r>
          </w:p>
        </w:tc>
        <w:tc>
          <w:tcPr>
            <w:tcW w:w="957" w:type="dxa"/>
            <w:tcBorders>
              <w:top w:val="single" w:sz="5" w:space="0" w:color="000000"/>
              <w:left w:val="single" w:sz="5" w:space="0" w:color="000000"/>
              <w:bottom w:val="single" w:sz="5" w:space="0" w:color="000000"/>
              <w:right w:val="single" w:sz="5" w:space="0" w:color="000000"/>
            </w:tcBorders>
          </w:tcPr>
          <w:p w14:paraId="0B9CC21F"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c>
          <w:tcPr>
            <w:tcW w:w="1174" w:type="dxa"/>
            <w:tcBorders>
              <w:top w:val="single" w:sz="5" w:space="0" w:color="000000"/>
              <w:left w:val="single" w:sz="5" w:space="0" w:color="000000"/>
              <w:bottom w:val="single" w:sz="5" w:space="0" w:color="000000"/>
              <w:right w:val="single" w:sz="5" w:space="0" w:color="000000"/>
            </w:tcBorders>
          </w:tcPr>
          <w:p w14:paraId="17CFC999"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1975BE1D" w14:textId="77777777" w:rsidR="00F91711" w:rsidRPr="00C35766" w:rsidRDefault="00F91711" w:rsidP="00F91711">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0,140</w:t>
            </w:r>
          </w:p>
        </w:tc>
      </w:tr>
      <w:tr w:rsidR="00F91711" w:rsidRPr="00C35766" w14:paraId="7442C2FA" w14:textId="77777777" w:rsidTr="00F91711">
        <w:tc>
          <w:tcPr>
            <w:tcW w:w="9249" w:type="dxa"/>
            <w:gridSpan w:val="7"/>
            <w:tcBorders>
              <w:top w:val="single" w:sz="5" w:space="0" w:color="000000"/>
              <w:left w:val="single" w:sz="8" w:space="0" w:color="000000"/>
              <w:bottom w:val="single" w:sz="5" w:space="0" w:color="000000"/>
              <w:right w:val="single" w:sz="9" w:space="0" w:color="000000"/>
            </w:tcBorders>
          </w:tcPr>
          <w:p w14:paraId="2548C88E" w14:textId="77777777" w:rsidR="00F91711" w:rsidRPr="00C35766" w:rsidRDefault="00F91711" w:rsidP="00F91711">
            <w:pPr>
              <w:rPr>
                <w:rFonts w:ascii="Times New Roman" w:hAnsi="Times New Roman" w:cs="Times New Roman"/>
              </w:rPr>
            </w:pPr>
            <w:r w:rsidRPr="00C35766">
              <w:rPr>
                <w:rFonts w:ascii="Times New Roman" w:eastAsia="Times New Roman" w:hAnsi="Times New Roman" w:cs="Times New Roman"/>
                <w:spacing w:val="-1"/>
                <w:lang w:val="it-IT"/>
              </w:rPr>
              <w:t>ACR 50</w:t>
            </w:r>
          </w:p>
        </w:tc>
      </w:tr>
      <w:tr w:rsidR="00F91711" w:rsidRPr="00C35766" w14:paraId="70AF3782"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403EF764" w14:textId="77777777" w:rsidR="00F91711" w:rsidRPr="00C35766" w:rsidRDefault="00F91711" w:rsidP="00F91711">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4AA599DC" w14:textId="77777777" w:rsidR="00F91711" w:rsidRPr="00C35766" w:rsidRDefault="00F91711" w:rsidP="00F91711">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45,9%</w:t>
            </w:r>
          </w:p>
        </w:tc>
        <w:tc>
          <w:tcPr>
            <w:tcW w:w="1276" w:type="dxa"/>
            <w:tcBorders>
              <w:top w:val="single" w:sz="5" w:space="0" w:color="000000"/>
              <w:left w:val="single" w:sz="5" w:space="0" w:color="000000"/>
              <w:bottom w:val="single" w:sz="5" w:space="0" w:color="000000"/>
              <w:right w:val="single" w:sz="5" w:space="0" w:color="000000"/>
            </w:tcBorders>
          </w:tcPr>
          <w:p w14:paraId="4E0C614A" w14:textId="77777777" w:rsidR="00F91711" w:rsidRPr="00C35766" w:rsidRDefault="00F91711" w:rsidP="00F91711">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41,2%</w:t>
            </w:r>
          </w:p>
        </w:tc>
        <w:tc>
          <w:tcPr>
            <w:tcW w:w="1985" w:type="dxa"/>
            <w:tcBorders>
              <w:top w:val="single" w:sz="5" w:space="0" w:color="000000"/>
              <w:left w:val="single" w:sz="5" w:space="0" w:color="000000"/>
              <w:bottom w:val="single" w:sz="5" w:space="0" w:color="000000"/>
              <w:right w:val="single" w:sz="5" w:space="0" w:color="000000"/>
            </w:tcBorders>
          </w:tcPr>
          <w:p w14:paraId="4BFD41F4" w14:textId="77777777" w:rsidR="00F91711" w:rsidRPr="00C35766" w:rsidRDefault="00F91711" w:rsidP="00F91711">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61,6%</w:t>
            </w:r>
          </w:p>
        </w:tc>
        <w:tc>
          <w:tcPr>
            <w:tcW w:w="957" w:type="dxa"/>
            <w:tcBorders>
              <w:top w:val="single" w:sz="5" w:space="0" w:color="000000"/>
              <w:left w:val="single" w:sz="5" w:space="0" w:color="000000"/>
              <w:bottom w:val="single" w:sz="5" w:space="0" w:color="000000"/>
              <w:right w:val="single" w:sz="5" w:space="0" w:color="000000"/>
            </w:tcBorders>
          </w:tcPr>
          <w:p w14:paraId="4DD800F6"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72A9B69B"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73CF3EF5" w14:textId="77777777" w:rsidR="00F91711" w:rsidRPr="00C35766" w:rsidRDefault="00F91711" w:rsidP="00F91711">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0,317</w:t>
            </w:r>
          </w:p>
        </w:tc>
      </w:tr>
      <w:tr w:rsidR="00F91711" w:rsidRPr="00C35766" w14:paraId="64E50F11"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0CF175D5" w14:textId="77777777" w:rsidR="00F91711" w:rsidRPr="00C35766" w:rsidRDefault="00F91711" w:rsidP="00F91711">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26422CBF" w14:textId="77777777" w:rsidR="00F91711" w:rsidRPr="00C35766" w:rsidRDefault="00F91711" w:rsidP="00F91711">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42,8%</w:t>
            </w:r>
          </w:p>
        </w:tc>
        <w:tc>
          <w:tcPr>
            <w:tcW w:w="1276" w:type="dxa"/>
            <w:tcBorders>
              <w:top w:val="single" w:sz="5" w:space="0" w:color="000000"/>
              <w:left w:val="single" w:sz="5" w:space="0" w:color="000000"/>
              <w:bottom w:val="single" w:sz="5" w:space="0" w:color="000000"/>
              <w:right w:val="single" w:sz="5" w:space="0" w:color="000000"/>
            </w:tcBorders>
          </w:tcPr>
          <w:p w14:paraId="53BB4FFC" w14:textId="77777777" w:rsidR="00F91711" w:rsidRPr="00C35766" w:rsidRDefault="00F91711" w:rsidP="00F91711">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36,9%</w:t>
            </w:r>
          </w:p>
        </w:tc>
        <w:tc>
          <w:tcPr>
            <w:tcW w:w="1985" w:type="dxa"/>
            <w:tcBorders>
              <w:top w:val="single" w:sz="5" w:space="0" w:color="000000"/>
              <w:left w:val="single" w:sz="5" w:space="0" w:color="000000"/>
              <w:bottom w:val="single" w:sz="5" w:space="0" w:color="000000"/>
              <w:right w:val="single" w:sz="5" w:space="0" w:color="000000"/>
            </w:tcBorders>
          </w:tcPr>
          <w:p w14:paraId="53F86404" w14:textId="77777777" w:rsidR="00F91711" w:rsidRPr="00C35766" w:rsidRDefault="00F91711" w:rsidP="00F91711">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59.0%</w:t>
            </w:r>
          </w:p>
        </w:tc>
        <w:tc>
          <w:tcPr>
            <w:tcW w:w="957" w:type="dxa"/>
            <w:tcBorders>
              <w:top w:val="single" w:sz="5" w:space="0" w:color="000000"/>
              <w:left w:val="single" w:sz="5" w:space="0" w:color="000000"/>
              <w:bottom w:val="single" w:sz="5" w:space="0" w:color="000000"/>
              <w:right w:val="single" w:sz="5" w:space="0" w:color="000000"/>
            </w:tcBorders>
          </w:tcPr>
          <w:p w14:paraId="7B21D5C0"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5C1220F5"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3E873ABC" w14:textId="77777777" w:rsidR="00F91711" w:rsidRPr="00C35766" w:rsidRDefault="00F91711" w:rsidP="00F91711">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0,162</w:t>
            </w:r>
          </w:p>
        </w:tc>
      </w:tr>
      <w:tr w:rsidR="00F91711" w:rsidRPr="00C35766" w14:paraId="425B4A96" w14:textId="77777777" w:rsidTr="00F91711">
        <w:tc>
          <w:tcPr>
            <w:tcW w:w="9249" w:type="dxa"/>
            <w:gridSpan w:val="7"/>
            <w:tcBorders>
              <w:top w:val="single" w:sz="5" w:space="0" w:color="000000"/>
              <w:left w:val="single" w:sz="8" w:space="0" w:color="000000"/>
              <w:bottom w:val="single" w:sz="5" w:space="0" w:color="000000"/>
              <w:right w:val="single" w:sz="9" w:space="0" w:color="000000"/>
            </w:tcBorders>
          </w:tcPr>
          <w:p w14:paraId="427FF809" w14:textId="77777777" w:rsidR="00F91711" w:rsidRPr="00C35766" w:rsidRDefault="00F91711" w:rsidP="00F91711">
            <w:pPr>
              <w:rPr>
                <w:rFonts w:ascii="Times New Roman" w:hAnsi="Times New Roman" w:cs="Times New Roman"/>
              </w:rPr>
            </w:pPr>
            <w:r w:rsidRPr="00C35766">
              <w:rPr>
                <w:rFonts w:ascii="Times New Roman" w:eastAsia="Times New Roman" w:hAnsi="Times New Roman" w:cs="Times New Roman"/>
                <w:spacing w:val="-1"/>
                <w:lang w:val="it-IT"/>
              </w:rPr>
              <w:t>ACR 70</w:t>
            </w:r>
          </w:p>
        </w:tc>
      </w:tr>
      <w:tr w:rsidR="00F91711" w:rsidRPr="00C35766" w14:paraId="754CC256"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434923C0" w14:textId="77777777" w:rsidR="00F91711" w:rsidRPr="00C35766" w:rsidRDefault="00F91711" w:rsidP="00F91711">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67ED4C9F"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27,2%</w:t>
            </w:r>
          </w:p>
        </w:tc>
        <w:tc>
          <w:tcPr>
            <w:tcW w:w="1276" w:type="dxa"/>
            <w:tcBorders>
              <w:top w:val="single" w:sz="5" w:space="0" w:color="000000"/>
              <w:left w:val="single" w:sz="5" w:space="0" w:color="000000"/>
              <w:bottom w:val="single" w:sz="5" w:space="0" w:color="000000"/>
              <w:right w:val="single" w:sz="5" w:space="0" w:color="000000"/>
            </w:tcBorders>
          </w:tcPr>
          <w:p w14:paraId="15A161BB"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25,9%</w:t>
            </w:r>
          </w:p>
        </w:tc>
        <w:tc>
          <w:tcPr>
            <w:tcW w:w="1985" w:type="dxa"/>
            <w:tcBorders>
              <w:top w:val="single" w:sz="5" w:space="0" w:color="000000"/>
              <w:left w:val="single" w:sz="5" w:space="0" w:color="000000"/>
              <w:bottom w:val="single" w:sz="5" w:space="0" w:color="000000"/>
              <w:right w:val="single" w:sz="5" w:space="0" w:color="000000"/>
            </w:tcBorders>
          </w:tcPr>
          <w:p w14:paraId="6B2F00F9" w14:textId="77777777" w:rsidR="00F91711" w:rsidRPr="00C35766" w:rsidRDefault="00F91711" w:rsidP="00F91711">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45,5%</w:t>
            </w:r>
          </w:p>
        </w:tc>
        <w:tc>
          <w:tcPr>
            <w:tcW w:w="957" w:type="dxa"/>
            <w:tcBorders>
              <w:top w:val="single" w:sz="5" w:space="0" w:color="000000"/>
              <w:left w:val="single" w:sz="5" w:space="0" w:color="000000"/>
              <w:bottom w:val="single" w:sz="5" w:space="0" w:color="000000"/>
              <w:right w:val="single" w:sz="5" w:space="0" w:color="000000"/>
            </w:tcBorders>
          </w:tcPr>
          <w:p w14:paraId="05453996"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4BBEDCF9"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7430201C" w14:textId="77777777" w:rsidR="00F91711" w:rsidRPr="00C35766" w:rsidRDefault="00F91711" w:rsidP="00F91711">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0,656</w:t>
            </w:r>
          </w:p>
        </w:tc>
      </w:tr>
      <w:tr w:rsidR="00F91711" w:rsidRPr="00C35766" w14:paraId="30B86725" w14:textId="77777777" w:rsidTr="00F91711">
        <w:tc>
          <w:tcPr>
            <w:tcW w:w="1366" w:type="dxa"/>
            <w:tcBorders>
              <w:top w:val="single" w:sz="5" w:space="0" w:color="000000"/>
              <w:left w:val="single" w:sz="8" w:space="0" w:color="000000"/>
              <w:bottom w:val="single" w:sz="5" w:space="0" w:color="000000"/>
              <w:right w:val="single" w:sz="5" w:space="0" w:color="000000"/>
            </w:tcBorders>
          </w:tcPr>
          <w:p w14:paraId="1CC85A4D" w14:textId="77777777" w:rsidR="00F91711" w:rsidRPr="00C35766" w:rsidRDefault="00F91711" w:rsidP="00F91711">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4D3CF598"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276" w:type="dxa"/>
            <w:tcBorders>
              <w:top w:val="single" w:sz="5" w:space="0" w:color="000000"/>
              <w:left w:val="single" w:sz="5" w:space="0" w:color="000000"/>
              <w:bottom w:val="single" w:sz="5" w:space="0" w:color="000000"/>
              <w:right w:val="single" w:sz="5" w:space="0" w:color="000000"/>
            </w:tcBorders>
          </w:tcPr>
          <w:p w14:paraId="36A695D8" w14:textId="77777777" w:rsidR="00F91711" w:rsidRPr="00C35766" w:rsidRDefault="00F91711" w:rsidP="00F91711">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28,1%</w:t>
            </w:r>
          </w:p>
        </w:tc>
        <w:tc>
          <w:tcPr>
            <w:tcW w:w="1985" w:type="dxa"/>
            <w:tcBorders>
              <w:top w:val="single" w:sz="5" w:space="0" w:color="000000"/>
              <w:left w:val="single" w:sz="5" w:space="0" w:color="000000"/>
              <w:bottom w:val="single" w:sz="5" w:space="0" w:color="000000"/>
              <w:right w:val="single" w:sz="5" w:space="0" w:color="000000"/>
            </w:tcBorders>
          </w:tcPr>
          <w:p w14:paraId="2FCF6034" w14:textId="77777777" w:rsidR="00F91711" w:rsidRPr="00C35766" w:rsidRDefault="00F91711" w:rsidP="00F91711">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46,6%</w:t>
            </w:r>
          </w:p>
        </w:tc>
        <w:tc>
          <w:tcPr>
            <w:tcW w:w="957" w:type="dxa"/>
            <w:tcBorders>
              <w:top w:val="single" w:sz="5" w:space="0" w:color="000000"/>
              <w:left w:val="single" w:sz="5" w:space="0" w:color="000000"/>
              <w:bottom w:val="single" w:sz="5" w:space="0" w:color="000000"/>
              <w:right w:val="single" w:sz="5" w:space="0" w:color="000000"/>
            </w:tcBorders>
          </w:tcPr>
          <w:p w14:paraId="41AA7179"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42D00CD8" w14:textId="77777777" w:rsidR="00F91711" w:rsidRPr="00C35766" w:rsidRDefault="00F91711" w:rsidP="00F91711">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428984CC" w14:textId="77777777" w:rsidR="00F91711" w:rsidRPr="00C35766" w:rsidRDefault="00F91711" w:rsidP="00F91711">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0,864</w:t>
            </w:r>
          </w:p>
        </w:tc>
      </w:tr>
    </w:tbl>
    <w:p w14:paraId="2D59B289" w14:textId="77777777" w:rsidR="00F91711" w:rsidRPr="00C35766" w:rsidRDefault="00F91711" w:rsidP="00F91711">
      <w:pPr>
        <w:tabs>
          <w:tab w:val="left" w:pos="433"/>
        </w:tabs>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il valore p è stato ottenuto confrontando a due a due la monoterapia con metotressato e la terapia associata adalimumab/metotressato utilizzando il test U Mann-Whitney.</w:t>
      </w:r>
    </w:p>
    <w:p w14:paraId="6522FF2B" w14:textId="77777777" w:rsidR="00F91711" w:rsidRPr="00C35766" w:rsidRDefault="00F91711" w:rsidP="00F91711">
      <w:pPr>
        <w:tabs>
          <w:tab w:val="left" w:pos="433"/>
        </w:tabs>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b</w:t>
      </w:r>
      <w:r w:rsidRPr="00C35766">
        <w:rPr>
          <w:rFonts w:ascii="Times New Roman" w:eastAsia="Times New Roman" w:hAnsi="Times New Roman" w:cs="Times New Roman"/>
          <w:position w:val="8"/>
          <w:lang w:val="it-IT"/>
        </w:rPr>
        <w:t xml:space="preserve"> il valore p è stato ottenuto confrontando a due a due la monoterapia con adalimumab e la terapia associata adalimumab/metotressato utilizzando il test U Mann-Whitney</w:t>
      </w:r>
    </w:p>
    <w:p w14:paraId="0AA406D1" w14:textId="77777777" w:rsidR="00F91711" w:rsidRPr="00C35766" w:rsidRDefault="00F91711" w:rsidP="00F91711">
      <w:pPr>
        <w:tabs>
          <w:tab w:val="left" w:pos="421"/>
        </w:tabs>
        <w:rPr>
          <w:rFonts w:ascii="Times New Roman" w:hAnsi="Times New Roman" w:cs="Times New Roman"/>
          <w:lang w:val="es-ES"/>
        </w:rPr>
      </w:pPr>
      <w:r w:rsidRPr="00C35766">
        <w:rPr>
          <w:rFonts w:ascii="Times New Roman" w:eastAsia="Times New Roman" w:hAnsi="Times New Roman" w:cs="Times New Roman"/>
          <w:position w:val="8"/>
          <w:vertAlign w:val="superscript"/>
          <w:lang w:val="it-IT"/>
        </w:rPr>
        <w:t xml:space="preserve">c </w:t>
      </w:r>
      <w:r w:rsidRPr="00C35766">
        <w:rPr>
          <w:rFonts w:ascii="Times New Roman" w:eastAsia="Times New Roman" w:hAnsi="Times New Roman" w:cs="Times New Roman"/>
          <w:position w:val="8"/>
          <w:lang w:val="it-IT"/>
        </w:rPr>
        <w:t>il valore p è stato ottenuto confrontando a due a due la monoterapia con adalimumab e la monoterapia con metotressato utilizzando il test U Mann-Whitney</w:t>
      </w:r>
    </w:p>
    <w:p w14:paraId="51A62C82" w14:textId="77777777" w:rsidR="00F91711" w:rsidRPr="00C35766" w:rsidRDefault="00F91711" w:rsidP="00F91711">
      <w:pPr>
        <w:spacing w:before="5" w:line="170" w:lineRule="exact"/>
        <w:rPr>
          <w:rFonts w:ascii="Times New Roman" w:hAnsi="Times New Roman" w:cs="Times New Roman"/>
          <w:sz w:val="17"/>
          <w:szCs w:val="17"/>
          <w:lang w:val="es-ES"/>
        </w:rPr>
      </w:pPr>
    </w:p>
    <w:p w14:paraId="6F0653FC" w14:textId="77777777" w:rsidR="00F91711" w:rsidRPr="00C35766" w:rsidRDefault="00F91711" w:rsidP="00F91711">
      <w:pPr>
        <w:pStyle w:val="a3"/>
        <w:rPr>
          <w:lang w:val="pt-BR"/>
        </w:rPr>
      </w:pPr>
      <w:r w:rsidRPr="00C35766">
        <w:rPr>
          <w:rFonts w:eastAsia="Times New Roman"/>
          <w:lang w:val="it-IT"/>
        </w:rPr>
        <w:t>Nella fase di estensione in aperto dello studio AR V, il tasso di risposta ACR è stato mantenuto nei pazienti seguiti fino a 10 anni. Dei 542 pazienti che erano stati randomizzati alla somministrazione di 40 mg di adalimumab a settimane alterne, 170 pazienti hanno continuato il trattamento con adalimumab 40 mg a settimane alterne per 10 anni. Di questi, 154 pazienti (90,6%) hanno avuto risposte ACR 20; 127 pazienti (74,7%) hanno avuto risposte ACR 50; e 102 pazienti (60,0%) hanno avuto risposte ACR 70.</w:t>
      </w:r>
    </w:p>
    <w:p w14:paraId="60D0E5CD" w14:textId="77777777" w:rsidR="00F91711" w:rsidRPr="00C35766" w:rsidRDefault="00F91711" w:rsidP="00F91711">
      <w:pPr>
        <w:spacing w:before="13" w:line="240" w:lineRule="exact"/>
        <w:rPr>
          <w:rFonts w:ascii="Times New Roman" w:hAnsi="Times New Roman" w:cs="Times New Roman"/>
          <w:sz w:val="24"/>
          <w:szCs w:val="24"/>
          <w:lang w:val="pt-BR"/>
        </w:rPr>
      </w:pPr>
    </w:p>
    <w:p w14:paraId="490CE208" w14:textId="77777777" w:rsidR="00F91711" w:rsidRPr="00C35766" w:rsidRDefault="00F91711" w:rsidP="00F91711">
      <w:pPr>
        <w:pStyle w:val="a3"/>
        <w:rPr>
          <w:lang w:val="pt-BR"/>
        </w:rPr>
      </w:pPr>
      <w:r w:rsidRPr="00C35766">
        <w:rPr>
          <w:rFonts w:eastAsia="Times New Roman"/>
          <w:lang w:val="it-IT"/>
        </w:rPr>
        <w:t xml:space="preserve">Alla settimana 52, il 42,9% dei pazienti che era stato sottoposto a terapia associata con adalimumab/metotressato ha raggiunto remissione clinica (DAS28 (PCR) &lt; 2,6) rispetto al 20,6% dei pazienti trattati con metotressato in monoterapia ed al 23,4% dei pazienti che aveva ricevuto adalimumab in monoterapia. La terapia associata adalimumab/metotressato si è rivelata superiore dal punto di vista clinico e statistico alle monoterapie con metotressato (p &lt; 0,001) e adalimumab (p &lt; 0,001) nel determinare una riduzione dell’attività di malattia in pazienti in cui era stata di recente diagnosticata artrite reumatoide di grado da moderato a severo. La risposta ottenuta nei due gruppi in monoterapia è stata simile (p = 0.447). Dei 342 pazienti che erano stati inizialmente randomizzati alla somministrazione di adalimumab in </w:t>
      </w:r>
      <w:r w:rsidRPr="00C35766">
        <w:rPr>
          <w:rFonts w:eastAsia="Times New Roman"/>
          <w:lang w:val="it-IT"/>
        </w:rPr>
        <w:lastRenderedPageBreak/>
        <w:t>monoterapia o alla terapia associata adalimumab/metotressato e che erano stati arruolati nella fase di estensione in aperto dello studio, 171 hanno completato i 10 anni di trattamento con adalimumab. Di questi, è stato riportato che 109 pazienti (63,7%) erano in remissione a 10 anni.</w:t>
      </w:r>
    </w:p>
    <w:p w14:paraId="0E4830B7" w14:textId="77777777" w:rsidR="00F91711" w:rsidRPr="00C35766" w:rsidRDefault="00F91711" w:rsidP="00F91711">
      <w:pPr>
        <w:pStyle w:val="a3"/>
        <w:rPr>
          <w:lang w:val="pt-BR"/>
        </w:rPr>
      </w:pPr>
    </w:p>
    <w:p w14:paraId="02818DDD" w14:textId="485E438F" w:rsidR="00F91711" w:rsidRPr="00C35766" w:rsidRDefault="00F91711" w:rsidP="00F91711">
      <w:pPr>
        <w:pStyle w:val="a3"/>
        <w:rPr>
          <w:rFonts w:eastAsia="Times New Roman"/>
          <w:lang w:val="pt-BR"/>
        </w:rPr>
      </w:pPr>
      <w:r w:rsidRPr="00C35766">
        <w:rPr>
          <w:rFonts w:eastAsia="Times New Roman"/>
          <w:i/>
          <w:iCs/>
          <w:spacing w:val="-1"/>
          <w:u w:val="single" w:color="000000"/>
          <w:lang w:val="it-IT"/>
        </w:rPr>
        <w:t>Risposta radiografica</w:t>
      </w:r>
    </w:p>
    <w:p w14:paraId="3F2BFF4C" w14:textId="77777777" w:rsidR="00F91711" w:rsidRPr="00C35766" w:rsidRDefault="00F91711" w:rsidP="00F91711">
      <w:pPr>
        <w:pStyle w:val="a3"/>
        <w:rPr>
          <w:sz w:val="18"/>
          <w:szCs w:val="18"/>
          <w:lang w:val="pt-BR"/>
        </w:rPr>
      </w:pPr>
    </w:p>
    <w:p w14:paraId="15EDE04E" w14:textId="0CF7DD30" w:rsidR="00F91711" w:rsidRPr="00C35766" w:rsidRDefault="00F91711" w:rsidP="00F91711">
      <w:pPr>
        <w:pStyle w:val="a3"/>
        <w:rPr>
          <w:lang w:val="it-IT"/>
        </w:rPr>
      </w:pPr>
      <w:r w:rsidRPr="00C35766">
        <w:rPr>
          <w:rFonts w:eastAsia="Times New Roman"/>
          <w:lang w:val="it-IT"/>
        </w:rPr>
        <w:t xml:space="preserve">Nello studio AR III, in cui i pazienti trattati con adalimumab avevano una durata media di artrite reumatoide di circa 11 anni, il danno strutturale è stato valutato radiograficamente ed espresso come variazione dell’Indice Totale di Sharp modificato (Total Sharp Score TSS) e dei relativi componenti, gli indici di erosione e di riduzione della rima articolare (Joint Space Narrowing). I pazienti trattati con adalimumab/MTX hanno mostrato una progressione radiologica significativamente inferiore ai pazienti che hanno ricevuto solo MTX, a 6 e 12 mesi (vedere Tabella </w:t>
      </w:r>
      <w:r w:rsidR="00150B5C">
        <w:rPr>
          <w:rFonts w:eastAsia="Times New Roman"/>
          <w:lang w:val="it-IT"/>
        </w:rPr>
        <w:t>7</w:t>
      </w:r>
      <w:r w:rsidRPr="00C35766">
        <w:rPr>
          <w:rFonts w:eastAsia="Times New Roman"/>
          <w:lang w:val="it-IT"/>
        </w:rPr>
        <w:t>).</w:t>
      </w:r>
    </w:p>
    <w:p w14:paraId="61C2C4B6" w14:textId="77777777" w:rsidR="00F91711" w:rsidRPr="00C35766" w:rsidRDefault="00F91711" w:rsidP="00F91711">
      <w:pPr>
        <w:pStyle w:val="a3"/>
        <w:rPr>
          <w:lang w:val="it-IT"/>
        </w:rPr>
      </w:pPr>
    </w:p>
    <w:p w14:paraId="080152B0" w14:textId="77777777" w:rsidR="00F91711" w:rsidRPr="00C35766" w:rsidRDefault="00F91711" w:rsidP="00F91711">
      <w:pPr>
        <w:pStyle w:val="a3"/>
        <w:rPr>
          <w:lang w:val="it-IT"/>
        </w:rPr>
      </w:pPr>
      <w:r w:rsidRPr="00C35766">
        <w:rPr>
          <w:rFonts w:eastAsia="Times New Roman"/>
          <w:lang w:val="it-IT"/>
        </w:rPr>
        <w:t>Nell’estensione in aperto dello studio AR III, la riduzione del tasso di progressione del danno strutturale è stata mantenuta per 8 e 10 anni in un sottogruppo di pazienti. A 8 anni, 81 pazienti su 207 originariamente trattati con adalimumab 40 mg a settimane alterne sono stati valutati radiologicamente. Tra questi, 48 pazienti non hanno mostrato progressione del danno strutturale definita attraverso una modifica del mTSS di 0,5 o meno rispetto al valore basale. A 10 anni, 79 pazienti su 207 originariamente trattati con adalimumab 40 mg a settimane alterne sono stati valutati radiologicamente. Di questi, 40 pazienti non hanno dimostrato una progressione del danno strutturale definito da un cambiamento del mTSS di 0,5 o minore dal valore basale.</w:t>
      </w:r>
    </w:p>
    <w:p w14:paraId="35CDD1E0" w14:textId="77777777" w:rsidR="00F91711" w:rsidRPr="00C35766" w:rsidRDefault="00F91711" w:rsidP="00F91711">
      <w:pPr>
        <w:spacing w:before="18" w:line="240" w:lineRule="exact"/>
        <w:rPr>
          <w:rFonts w:ascii="Times New Roman" w:hAnsi="Times New Roman" w:cs="Times New Roman"/>
          <w:sz w:val="24"/>
          <w:szCs w:val="24"/>
          <w:lang w:val="it-IT"/>
        </w:rPr>
      </w:pPr>
    </w:p>
    <w:p w14:paraId="33F95119" w14:textId="1BED4419" w:rsidR="00F91711" w:rsidRPr="00C35766" w:rsidRDefault="00F91711" w:rsidP="00F91711">
      <w:pPr>
        <w:pStyle w:val="a3"/>
        <w:jc w:val="center"/>
        <w:rPr>
          <w:b/>
          <w:lang w:val="es-ES"/>
        </w:rPr>
      </w:pPr>
      <w:r w:rsidRPr="00C35766">
        <w:rPr>
          <w:rFonts w:eastAsia="Times New Roman"/>
          <w:b/>
          <w:bCs/>
          <w:lang w:val="it-IT"/>
        </w:rPr>
        <w:t xml:space="preserve">Tabella </w:t>
      </w:r>
      <w:r w:rsidR="00150B5C">
        <w:rPr>
          <w:rFonts w:eastAsia="Times New Roman"/>
          <w:b/>
          <w:bCs/>
          <w:lang w:val="it-IT"/>
        </w:rPr>
        <w:t>7</w:t>
      </w:r>
    </w:p>
    <w:p w14:paraId="7EA8F3EF" w14:textId="77777777" w:rsidR="00F91711" w:rsidRPr="00C35766" w:rsidRDefault="00F91711" w:rsidP="00F91711">
      <w:pPr>
        <w:pStyle w:val="a3"/>
        <w:jc w:val="center"/>
        <w:rPr>
          <w:b/>
          <w:lang w:val="es-ES"/>
        </w:rPr>
      </w:pPr>
      <w:r w:rsidRPr="00C35766">
        <w:rPr>
          <w:rFonts w:eastAsia="Times New Roman"/>
          <w:b/>
          <w:bCs/>
          <w:lang w:val="it-IT"/>
        </w:rPr>
        <w:t>Variazione radiografica media dopo 12 mesi nello studio AR III</w:t>
      </w:r>
    </w:p>
    <w:p w14:paraId="32A31F72" w14:textId="77777777" w:rsidR="00F91711" w:rsidRPr="00C35766" w:rsidRDefault="00F91711" w:rsidP="00F91711">
      <w:pPr>
        <w:spacing w:before="14" w:line="240" w:lineRule="exact"/>
        <w:rPr>
          <w:rFonts w:ascii="Times New Roman" w:hAnsi="Times New Roman" w:cs="Times New Roman"/>
          <w:sz w:val="24"/>
          <w:szCs w:val="24"/>
          <w:lang w:val="es-ES"/>
        </w:rPr>
      </w:pPr>
    </w:p>
    <w:tbl>
      <w:tblPr>
        <w:tblStyle w:val="TableNormal1"/>
        <w:tblW w:w="0" w:type="auto"/>
        <w:tblInd w:w="105" w:type="dxa"/>
        <w:tblLayout w:type="fixed"/>
        <w:tblLook w:val="01E0" w:firstRow="1" w:lastRow="1" w:firstColumn="1" w:lastColumn="1" w:noHBand="0" w:noVBand="0"/>
      </w:tblPr>
      <w:tblGrid>
        <w:gridCol w:w="2299"/>
        <w:gridCol w:w="1219"/>
        <w:gridCol w:w="1790"/>
        <w:gridCol w:w="1999"/>
        <w:gridCol w:w="1548"/>
      </w:tblGrid>
      <w:tr w:rsidR="00F91711" w:rsidRPr="00C35766" w14:paraId="5DD04514" w14:textId="77777777" w:rsidTr="00F91711">
        <w:tc>
          <w:tcPr>
            <w:tcW w:w="2299" w:type="dxa"/>
            <w:tcBorders>
              <w:top w:val="single" w:sz="5" w:space="0" w:color="000000"/>
              <w:left w:val="single" w:sz="5" w:space="0" w:color="000000"/>
              <w:bottom w:val="single" w:sz="5" w:space="0" w:color="000000"/>
              <w:right w:val="single" w:sz="5" w:space="0" w:color="000000"/>
            </w:tcBorders>
            <w:vAlign w:val="center"/>
          </w:tcPr>
          <w:p w14:paraId="36FA2990" w14:textId="77777777" w:rsidR="00F91711" w:rsidRPr="00C35766" w:rsidRDefault="00F91711" w:rsidP="00F91711">
            <w:pPr>
              <w:jc w:val="center"/>
              <w:rPr>
                <w:rFonts w:ascii="Times New Roman" w:hAnsi="Times New Roman" w:cs="Times New Roman"/>
                <w:lang w:val="es-ES"/>
              </w:rPr>
            </w:pPr>
          </w:p>
        </w:tc>
        <w:tc>
          <w:tcPr>
            <w:tcW w:w="1219" w:type="dxa"/>
            <w:tcBorders>
              <w:top w:val="single" w:sz="5" w:space="0" w:color="000000"/>
              <w:left w:val="single" w:sz="5" w:space="0" w:color="000000"/>
              <w:bottom w:val="single" w:sz="5" w:space="0" w:color="000000"/>
              <w:right w:val="single" w:sz="5" w:space="0" w:color="000000"/>
            </w:tcBorders>
            <w:vAlign w:val="center"/>
          </w:tcPr>
          <w:p w14:paraId="3619484A"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02F70399" w14:textId="77777777" w:rsidR="00F91711" w:rsidRPr="00C35766" w:rsidRDefault="00F91711" w:rsidP="00F91711">
            <w:pPr>
              <w:pStyle w:val="TableParagraph"/>
              <w:spacing w:line="254"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5951A759" w14:textId="77777777" w:rsidR="00F91711" w:rsidRPr="00C35766" w:rsidRDefault="00F91711" w:rsidP="00F91711">
            <w:pPr>
              <w:pStyle w:val="TableParagraph"/>
              <w:spacing w:line="246" w:lineRule="exact"/>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Adalimumab/MTX</w:t>
            </w:r>
          </w:p>
          <w:p w14:paraId="2C8DE5F7" w14:textId="77777777" w:rsidR="00F91711" w:rsidRPr="00C35766" w:rsidRDefault="00F91711" w:rsidP="00F91711">
            <w:pPr>
              <w:pStyle w:val="TableParagraph"/>
              <w:spacing w:line="252" w:lineRule="exact"/>
              <w:ind w:hanging="63"/>
              <w:jc w:val="center"/>
              <w:rPr>
                <w:rFonts w:ascii="Times New Roman" w:hAnsi="Times New Roman" w:cs="Times New Roman"/>
                <w:lang w:val="it-IT"/>
              </w:rPr>
            </w:pPr>
            <w:r w:rsidRPr="00C35766">
              <w:rPr>
                <w:rFonts w:ascii="Times New Roman" w:eastAsia="Times New Roman" w:hAnsi="Times New Roman" w:cs="Times New Roman"/>
                <w:lang w:val="it-IT"/>
              </w:rPr>
              <w:t>40 mg a settimane alterne</w:t>
            </w:r>
          </w:p>
        </w:tc>
        <w:tc>
          <w:tcPr>
            <w:tcW w:w="1999" w:type="dxa"/>
            <w:tcBorders>
              <w:top w:val="single" w:sz="5" w:space="0" w:color="000000"/>
              <w:left w:val="single" w:sz="5" w:space="0" w:color="000000"/>
              <w:bottom w:val="single" w:sz="5" w:space="0" w:color="000000"/>
              <w:right w:val="single" w:sz="5" w:space="0" w:color="000000"/>
            </w:tcBorders>
            <w:vAlign w:val="center"/>
          </w:tcPr>
          <w:p w14:paraId="5ABBFD09" w14:textId="77777777" w:rsidR="00F91711" w:rsidRPr="00C35766" w:rsidRDefault="00F91711" w:rsidP="00F91711">
            <w:pPr>
              <w:pStyle w:val="TableParagraph"/>
              <w:spacing w:line="246" w:lineRule="exact"/>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Placebo/MTX-</w:t>
            </w:r>
          </w:p>
          <w:p w14:paraId="78E726F8" w14:textId="77777777" w:rsidR="00F91711" w:rsidRPr="00C35766" w:rsidRDefault="00F91711" w:rsidP="00F91711">
            <w:pPr>
              <w:pStyle w:val="TableParagraph"/>
              <w:spacing w:line="237" w:lineRule="auto"/>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adalimumab/MTX (intervallo di confidenza 95%</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56CEFD17"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p>
        </w:tc>
      </w:tr>
      <w:tr w:rsidR="00F91711" w:rsidRPr="00C35766" w14:paraId="6889FADF" w14:textId="77777777" w:rsidTr="00F91711">
        <w:tc>
          <w:tcPr>
            <w:tcW w:w="2299" w:type="dxa"/>
            <w:tcBorders>
              <w:top w:val="single" w:sz="5" w:space="0" w:color="000000"/>
              <w:left w:val="single" w:sz="5" w:space="0" w:color="000000"/>
              <w:bottom w:val="single" w:sz="5" w:space="0" w:color="000000"/>
              <w:right w:val="single" w:sz="5" w:space="0" w:color="000000"/>
            </w:tcBorders>
          </w:tcPr>
          <w:p w14:paraId="19F6F56C" w14:textId="77777777" w:rsidR="00F91711" w:rsidRPr="00C35766" w:rsidRDefault="00F91711" w:rsidP="00F91711">
            <w:pPr>
              <w:pStyle w:val="TableParagraph"/>
              <w:spacing w:line="246" w:lineRule="exact"/>
              <w:ind w:left="243"/>
              <w:rPr>
                <w:rFonts w:ascii="Times New Roman" w:eastAsia="Times New Roman" w:hAnsi="Times New Roman" w:cs="Times New Roman"/>
              </w:rPr>
            </w:pPr>
            <w:r w:rsidRPr="00C35766">
              <w:rPr>
                <w:rFonts w:ascii="Times New Roman" w:eastAsia="Times New Roman" w:hAnsi="Times New Roman" w:cs="Times New Roman"/>
                <w:spacing w:val="-1"/>
                <w:lang w:val="it-IT"/>
              </w:rPr>
              <w:t>Indice totale di Sharp</w:t>
            </w:r>
          </w:p>
        </w:tc>
        <w:tc>
          <w:tcPr>
            <w:tcW w:w="1219" w:type="dxa"/>
            <w:tcBorders>
              <w:top w:val="single" w:sz="5" w:space="0" w:color="000000"/>
              <w:left w:val="single" w:sz="5" w:space="0" w:color="000000"/>
              <w:bottom w:val="single" w:sz="5" w:space="0" w:color="000000"/>
              <w:right w:val="single" w:sz="5" w:space="0" w:color="000000"/>
            </w:tcBorders>
          </w:tcPr>
          <w:p w14:paraId="3231EBF4" w14:textId="77777777" w:rsidR="00F91711" w:rsidRPr="00C35766" w:rsidRDefault="00F91711" w:rsidP="00F91711">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790" w:type="dxa"/>
            <w:tcBorders>
              <w:top w:val="single" w:sz="5" w:space="0" w:color="000000"/>
              <w:left w:val="single" w:sz="5" w:space="0" w:color="000000"/>
              <w:bottom w:val="single" w:sz="5" w:space="0" w:color="000000"/>
              <w:right w:val="single" w:sz="5" w:space="0" w:color="000000"/>
            </w:tcBorders>
          </w:tcPr>
          <w:p w14:paraId="4035C090" w14:textId="77777777" w:rsidR="00F91711" w:rsidRPr="00C35766" w:rsidRDefault="00F91711" w:rsidP="00F91711">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999" w:type="dxa"/>
            <w:tcBorders>
              <w:top w:val="single" w:sz="5" w:space="0" w:color="000000"/>
              <w:left w:val="single" w:sz="5" w:space="0" w:color="000000"/>
              <w:bottom w:val="single" w:sz="5" w:space="0" w:color="000000"/>
              <w:right w:val="single" w:sz="5" w:space="0" w:color="000000"/>
            </w:tcBorders>
          </w:tcPr>
          <w:p w14:paraId="692934BE" w14:textId="77777777" w:rsidR="00F91711" w:rsidRPr="00C35766" w:rsidRDefault="00F91711" w:rsidP="00F91711">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2,6 (1,4, 3,8)</w:t>
            </w:r>
          </w:p>
        </w:tc>
        <w:tc>
          <w:tcPr>
            <w:tcW w:w="1548" w:type="dxa"/>
            <w:tcBorders>
              <w:top w:val="single" w:sz="5" w:space="0" w:color="000000"/>
              <w:left w:val="single" w:sz="5" w:space="0" w:color="000000"/>
              <w:bottom w:val="single" w:sz="5" w:space="0" w:color="000000"/>
              <w:right w:val="single" w:sz="5" w:space="0" w:color="000000"/>
            </w:tcBorders>
          </w:tcPr>
          <w:p w14:paraId="6CD95475"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r w:rsidRPr="00C35766">
              <w:rPr>
                <w:rFonts w:ascii="Times New Roman" w:eastAsia="Times New Roman" w:hAnsi="Times New Roman" w:cs="Times New Roman"/>
                <w:vertAlign w:val="superscript"/>
                <w:lang w:val="it-IT"/>
              </w:rPr>
              <w:t>c</w:t>
            </w:r>
          </w:p>
        </w:tc>
      </w:tr>
      <w:tr w:rsidR="00F91711" w:rsidRPr="00C35766" w14:paraId="3CC5F411" w14:textId="77777777" w:rsidTr="00F91711">
        <w:tc>
          <w:tcPr>
            <w:tcW w:w="2299" w:type="dxa"/>
            <w:tcBorders>
              <w:top w:val="single" w:sz="5" w:space="0" w:color="000000"/>
              <w:left w:val="single" w:sz="5" w:space="0" w:color="000000"/>
              <w:bottom w:val="single" w:sz="5" w:space="0" w:color="000000"/>
              <w:right w:val="single" w:sz="5" w:space="0" w:color="000000"/>
            </w:tcBorders>
          </w:tcPr>
          <w:p w14:paraId="106A2C49" w14:textId="77777777" w:rsidR="00F91711" w:rsidRPr="00C35766" w:rsidRDefault="00F91711" w:rsidP="00F91711">
            <w:pPr>
              <w:pStyle w:val="TableParagraph"/>
              <w:spacing w:line="246" w:lineRule="exact"/>
              <w:ind w:left="435"/>
              <w:rPr>
                <w:rFonts w:ascii="Times New Roman" w:eastAsia="Times New Roman" w:hAnsi="Times New Roman" w:cs="Times New Roman"/>
              </w:rPr>
            </w:pPr>
            <w:r w:rsidRPr="00C35766">
              <w:rPr>
                <w:rFonts w:ascii="Times New Roman" w:eastAsia="Times New Roman" w:hAnsi="Times New Roman" w:cs="Times New Roman"/>
                <w:spacing w:val="-1"/>
                <w:lang w:val="it-IT"/>
              </w:rPr>
              <w:t>Indice di erosione</w:t>
            </w:r>
          </w:p>
        </w:tc>
        <w:tc>
          <w:tcPr>
            <w:tcW w:w="1219" w:type="dxa"/>
            <w:tcBorders>
              <w:top w:val="single" w:sz="5" w:space="0" w:color="000000"/>
              <w:left w:val="single" w:sz="5" w:space="0" w:color="000000"/>
              <w:bottom w:val="single" w:sz="5" w:space="0" w:color="000000"/>
              <w:right w:val="single" w:sz="5" w:space="0" w:color="000000"/>
            </w:tcBorders>
          </w:tcPr>
          <w:p w14:paraId="543195E1" w14:textId="77777777" w:rsidR="00F91711" w:rsidRPr="00C35766" w:rsidRDefault="00F91711" w:rsidP="00F91711">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1.6</w:t>
            </w:r>
          </w:p>
        </w:tc>
        <w:tc>
          <w:tcPr>
            <w:tcW w:w="1790" w:type="dxa"/>
            <w:tcBorders>
              <w:top w:val="single" w:sz="5" w:space="0" w:color="000000"/>
              <w:left w:val="single" w:sz="5" w:space="0" w:color="000000"/>
              <w:bottom w:val="single" w:sz="5" w:space="0" w:color="000000"/>
              <w:right w:val="single" w:sz="5" w:space="0" w:color="000000"/>
            </w:tcBorders>
          </w:tcPr>
          <w:p w14:paraId="0D4FBCC5" w14:textId="77777777" w:rsidR="00F91711" w:rsidRPr="00C35766" w:rsidRDefault="00F91711" w:rsidP="00F91711">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0,0</w:t>
            </w:r>
          </w:p>
        </w:tc>
        <w:tc>
          <w:tcPr>
            <w:tcW w:w="1999" w:type="dxa"/>
            <w:tcBorders>
              <w:top w:val="single" w:sz="5" w:space="0" w:color="000000"/>
              <w:left w:val="single" w:sz="5" w:space="0" w:color="000000"/>
              <w:bottom w:val="single" w:sz="5" w:space="0" w:color="000000"/>
              <w:right w:val="single" w:sz="5" w:space="0" w:color="000000"/>
            </w:tcBorders>
          </w:tcPr>
          <w:p w14:paraId="470997D9" w14:textId="77777777" w:rsidR="00F91711" w:rsidRPr="00C35766" w:rsidRDefault="00F91711" w:rsidP="00F91711">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1,6 (0,9, 2,2)</w:t>
            </w:r>
          </w:p>
        </w:tc>
        <w:tc>
          <w:tcPr>
            <w:tcW w:w="1548" w:type="dxa"/>
            <w:tcBorders>
              <w:top w:val="single" w:sz="5" w:space="0" w:color="000000"/>
              <w:left w:val="single" w:sz="5" w:space="0" w:color="000000"/>
              <w:bottom w:val="single" w:sz="5" w:space="0" w:color="000000"/>
              <w:right w:val="single" w:sz="5" w:space="0" w:color="000000"/>
            </w:tcBorders>
          </w:tcPr>
          <w:p w14:paraId="56134835"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F91711" w:rsidRPr="00C35766" w14:paraId="1C31079A" w14:textId="77777777" w:rsidTr="00F91711">
        <w:tc>
          <w:tcPr>
            <w:tcW w:w="2299" w:type="dxa"/>
            <w:tcBorders>
              <w:top w:val="single" w:sz="5" w:space="0" w:color="000000"/>
              <w:left w:val="single" w:sz="5" w:space="0" w:color="000000"/>
              <w:bottom w:val="single" w:sz="5" w:space="0" w:color="000000"/>
              <w:right w:val="single" w:sz="5" w:space="0" w:color="000000"/>
            </w:tcBorders>
          </w:tcPr>
          <w:p w14:paraId="11310FB6" w14:textId="77777777" w:rsidR="00F91711" w:rsidRPr="00C35766" w:rsidRDefault="00F91711" w:rsidP="00F91711">
            <w:pPr>
              <w:pStyle w:val="TableParagraph"/>
              <w:spacing w:line="246" w:lineRule="exact"/>
              <w:ind w:left="560"/>
              <w:rPr>
                <w:rFonts w:ascii="Times New Roman" w:eastAsia="Times New Roman" w:hAnsi="Times New Roman" w:cs="Times New Roman"/>
              </w:rPr>
            </w:pPr>
            <w:r w:rsidRPr="00C35766">
              <w:rPr>
                <w:rFonts w:ascii="Times New Roman" w:eastAsia="Times New Roman" w:hAnsi="Times New Roman" w:cs="Times New Roman"/>
                <w:spacing w:val="1"/>
                <w:lang w:val="it-IT"/>
              </w:rPr>
              <w:t>Punteggio JSN</w:t>
            </w:r>
            <w:r w:rsidRPr="00C35766">
              <w:rPr>
                <w:rFonts w:ascii="Times New Roman" w:eastAsia="Times New Roman" w:hAnsi="Times New Roman" w:cs="Times New Roman"/>
                <w:spacing w:val="1"/>
                <w:vertAlign w:val="superscript"/>
                <w:lang w:val="it-IT"/>
              </w:rPr>
              <w:t>d</w:t>
            </w:r>
          </w:p>
        </w:tc>
        <w:tc>
          <w:tcPr>
            <w:tcW w:w="1219" w:type="dxa"/>
            <w:tcBorders>
              <w:top w:val="single" w:sz="5" w:space="0" w:color="000000"/>
              <w:left w:val="single" w:sz="5" w:space="0" w:color="000000"/>
              <w:bottom w:val="single" w:sz="5" w:space="0" w:color="000000"/>
              <w:right w:val="single" w:sz="5" w:space="0" w:color="000000"/>
            </w:tcBorders>
          </w:tcPr>
          <w:p w14:paraId="2234834C" w14:textId="77777777" w:rsidR="00F91711" w:rsidRPr="00C35766" w:rsidRDefault="00F91711" w:rsidP="00F91711">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1,0</w:t>
            </w:r>
          </w:p>
        </w:tc>
        <w:tc>
          <w:tcPr>
            <w:tcW w:w="1790" w:type="dxa"/>
            <w:tcBorders>
              <w:top w:val="single" w:sz="5" w:space="0" w:color="000000"/>
              <w:left w:val="single" w:sz="5" w:space="0" w:color="000000"/>
              <w:bottom w:val="single" w:sz="5" w:space="0" w:color="000000"/>
              <w:right w:val="single" w:sz="5" w:space="0" w:color="000000"/>
            </w:tcBorders>
          </w:tcPr>
          <w:p w14:paraId="539DCDB4" w14:textId="77777777" w:rsidR="00F91711" w:rsidRPr="00C35766" w:rsidRDefault="00F91711" w:rsidP="00F91711">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999" w:type="dxa"/>
            <w:tcBorders>
              <w:top w:val="single" w:sz="5" w:space="0" w:color="000000"/>
              <w:left w:val="single" w:sz="5" w:space="0" w:color="000000"/>
              <w:bottom w:val="single" w:sz="5" w:space="0" w:color="000000"/>
              <w:right w:val="single" w:sz="5" w:space="0" w:color="000000"/>
            </w:tcBorders>
          </w:tcPr>
          <w:p w14:paraId="67E95D16" w14:textId="77777777" w:rsidR="00F91711" w:rsidRPr="00C35766" w:rsidRDefault="00F91711" w:rsidP="00F91711">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0,9 (0,3, 1,4)</w:t>
            </w:r>
          </w:p>
        </w:tc>
        <w:tc>
          <w:tcPr>
            <w:tcW w:w="1548" w:type="dxa"/>
            <w:tcBorders>
              <w:top w:val="single" w:sz="5" w:space="0" w:color="000000"/>
              <w:left w:val="single" w:sz="5" w:space="0" w:color="000000"/>
              <w:bottom w:val="single" w:sz="5" w:space="0" w:color="000000"/>
              <w:right w:val="single" w:sz="5" w:space="0" w:color="000000"/>
            </w:tcBorders>
          </w:tcPr>
          <w:p w14:paraId="7EA50801" w14:textId="77777777" w:rsidR="00F91711" w:rsidRPr="00C35766" w:rsidRDefault="00F91711" w:rsidP="00F91711">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r>
    </w:tbl>
    <w:p w14:paraId="1FFD4E87" w14:textId="77777777" w:rsidR="00F91711" w:rsidRPr="00C35766" w:rsidRDefault="00F91711" w:rsidP="00F91711">
      <w:pPr>
        <w:pStyle w:val="a3"/>
      </w:pPr>
      <w:r w:rsidRPr="00C35766">
        <w:rPr>
          <w:rFonts w:eastAsia="Times New Roman"/>
          <w:position w:val="8"/>
          <w:vertAlign w:val="superscript"/>
          <w:lang w:val="it-IT"/>
        </w:rPr>
        <w:t xml:space="preserve">a </w:t>
      </w:r>
      <w:r w:rsidRPr="00C35766">
        <w:rPr>
          <w:rFonts w:eastAsia="Times New Roman"/>
          <w:position w:val="8"/>
          <w:lang w:val="it-IT"/>
        </w:rPr>
        <w:t>metotressato</w:t>
      </w:r>
    </w:p>
    <w:p w14:paraId="53BA51A1" w14:textId="77777777" w:rsidR="00F91711" w:rsidRPr="00C35766" w:rsidRDefault="00F91711" w:rsidP="00F91711">
      <w:pPr>
        <w:pStyle w:val="a3"/>
        <w:rPr>
          <w:lang w:val="it-IT"/>
        </w:rPr>
      </w:pPr>
      <w:r w:rsidRPr="00C35766">
        <w:rPr>
          <w:rFonts w:eastAsia="Times New Roman"/>
          <w:position w:val="8"/>
          <w:vertAlign w:val="superscript"/>
          <w:lang w:val="it-IT"/>
        </w:rPr>
        <w:t>b</w:t>
      </w:r>
      <w:r w:rsidRPr="00C35766">
        <w:rPr>
          <w:rFonts w:eastAsia="Times New Roman"/>
          <w:position w:val="8"/>
          <w:lang w:val="it-IT"/>
        </w:rPr>
        <w:t xml:space="preserve"> Intervallo di confidenza del 95% per le differenze nelle variazioni degli indici tra metotressato e adalimumab.</w:t>
      </w:r>
    </w:p>
    <w:p w14:paraId="2DDA7D5C" w14:textId="77777777" w:rsidR="00F91711" w:rsidRPr="00C35766" w:rsidRDefault="00F91711" w:rsidP="00F91711">
      <w:pPr>
        <w:pStyle w:val="a3"/>
        <w:rPr>
          <w:lang w:val="it-IT"/>
        </w:rPr>
      </w:pPr>
      <w:r w:rsidRPr="00C35766">
        <w:rPr>
          <w:rFonts w:eastAsia="Times New Roman"/>
          <w:position w:val="8"/>
          <w:vertAlign w:val="superscript"/>
          <w:lang w:val="it-IT"/>
        </w:rPr>
        <w:t>c</w:t>
      </w:r>
      <w:r w:rsidRPr="00C35766">
        <w:rPr>
          <w:rFonts w:eastAsia="Times New Roman"/>
          <w:position w:val="8"/>
          <w:lang w:val="it-IT"/>
        </w:rPr>
        <w:t xml:space="preserve"> Basato sull’analisi a ranghi</w:t>
      </w:r>
    </w:p>
    <w:p w14:paraId="3207ED2B" w14:textId="77777777" w:rsidR="00F91711" w:rsidRPr="00C35766" w:rsidRDefault="00F91711" w:rsidP="00F91711">
      <w:pPr>
        <w:pStyle w:val="a3"/>
        <w:rPr>
          <w:lang w:val="it-IT"/>
        </w:rPr>
      </w:pPr>
      <w:r w:rsidRPr="00C35766">
        <w:rPr>
          <w:rFonts w:eastAsia="Times New Roman"/>
          <w:position w:val="8"/>
          <w:vertAlign w:val="superscript"/>
          <w:lang w:val="it-IT"/>
        </w:rPr>
        <w:t>d</w:t>
      </w:r>
      <w:r w:rsidRPr="00C35766">
        <w:rPr>
          <w:rFonts w:eastAsia="Times New Roman"/>
          <w:position w:val="8"/>
          <w:lang w:val="it-IT"/>
        </w:rPr>
        <w:t>Joint Space Narrowing (riduzione della rima articolare)</w:t>
      </w:r>
    </w:p>
    <w:p w14:paraId="75224DAE" w14:textId="77777777" w:rsidR="00F91711" w:rsidRPr="00C35766" w:rsidRDefault="00F91711" w:rsidP="00F91711">
      <w:pPr>
        <w:spacing w:before="17" w:line="240" w:lineRule="exact"/>
        <w:rPr>
          <w:rFonts w:ascii="Times New Roman" w:hAnsi="Times New Roman" w:cs="Times New Roman"/>
          <w:sz w:val="24"/>
          <w:lang w:val="it-IT"/>
        </w:rPr>
      </w:pPr>
    </w:p>
    <w:p w14:paraId="400AFBDB" w14:textId="785A20E6" w:rsidR="00F91711" w:rsidRPr="00C35766" w:rsidRDefault="00F91711" w:rsidP="00F91711">
      <w:pPr>
        <w:pStyle w:val="a3"/>
        <w:rPr>
          <w:lang w:val="it-IT"/>
        </w:rPr>
      </w:pPr>
      <w:r w:rsidRPr="00C35766">
        <w:rPr>
          <w:rFonts w:eastAsia="Times New Roman"/>
          <w:lang w:val="it-IT"/>
        </w:rPr>
        <w:t xml:space="preserve">Nello studio AR V, il danno articolare strutturale è stato valutato radiograficamente ed è espresso in termini di variazione dell’Indice Totale di Sharp modificato (vedere Tabella </w:t>
      </w:r>
      <w:r w:rsidR="00150B5C">
        <w:rPr>
          <w:rFonts w:eastAsia="Times New Roman"/>
          <w:lang w:val="it-IT"/>
        </w:rPr>
        <w:t>8</w:t>
      </w:r>
      <w:r w:rsidRPr="00C35766">
        <w:rPr>
          <w:rFonts w:eastAsia="Times New Roman"/>
          <w:lang w:val="it-IT"/>
        </w:rPr>
        <w:t>).</w:t>
      </w:r>
    </w:p>
    <w:p w14:paraId="006CCCEA" w14:textId="7878A8DD" w:rsidR="00F91711" w:rsidRPr="00C35766" w:rsidRDefault="00F91711" w:rsidP="00F91711">
      <w:pPr>
        <w:spacing w:before="15" w:line="240" w:lineRule="exact"/>
        <w:rPr>
          <w:rFonts w:ascii="Times New Roman" w:hAnsi="Times New Roman" w:cs="Times New Roman"/>
          <w:sz w:val="24"/>
          <w:lang w:val="it-IT"/>
        </w:rPr>
      </w:pPr>
    </w:p>
    <w:p w14:paraId="68FDE401" w14:textId="34AD0763" w:rsidR="00F91711" w:rsidRPr="00C35766" w:rsidRDefault="00F91711" w:rsidP="00F91711">
      <w:pPr>
        <w:pStyle w:val="a3"/>
        <w:jc w:val="center"/>
        <w:rPr>
          <w:b/>
          <w:lang w:val="es-ES"/>
        </w:rPr>
      </w:pPr>
      <w:r w:rsidRPr="00C35766">
        <w:rPr>
          <w:rFonts w:eastAsia="Times New Roman"/>
          <w:b/>
          <w:bCs/>
          <w:lang w:val="it-IT"/>
        </w:rPr>
        <w:t xml:space="preserve">Tabella </w:t>
      </w:r>
      <w:r w:rsidR="00150B5C">
        <w:rPr>
          <w:rFonts w:eastAsia="Times New Roman"/>
          <w:b/>
          <w:bCs/>
          <w:lang w:val="it-IT"/>
        </w:rPr>
        <w:t>8</w:t>
      </w:r>
    </w:p>
    <w:p w14:paraId="6F20E0A4" w14:textId="77777777" w:rsidR="00F91711" w:rsidRPr="00C35766" w:rsidRDefault="00F91711" w:rsidP="00F91711">
      <w:pPr>
        <w:pStyle w:val="a3"/>
        <w:jc w:val="center"/>
        <w:rPr>
          <w:b/>
          <w:lang w:val="es-ES"/>
        </w:rPr>
      </w:pPr>
      <w:r w:rsidRPr="00C35766">
        <w:rPr>
          <w:rFonts w:eastAsia="Times New Roman"/>
          <w:b/>
          <w:bCs/>
          <w:lang w:val="it-IT"/>
        </w:rPr>
        <w:t>Variazioni radiografiche medie alla settimana 52 nello studio AR V</w:t>
      </w:r>
    </w:p>
    <w:p w14:paraId="5B56D68F" w14:textId="77777777" w:rsidR="00F91711" w:rsidRPr="00C35766" w:rsidRDefault="00F91711" w:rsidP="00F91711">
      <w:pPr>
        <w:spacing w:before="11" w:line="240" w:lineRule="exact"/>
        <w:rPr>
          <w:rFonts w:ascii="Times New Roman" w:hAnsi="Times New Roman" w:cs="Times New Roman"/>
          <w:sz w:val="24"/>
          <w:szCs w:val="24"/>
          <w:lang w:val="es-ES"/>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F91711" w:rsidRPr="00C35766" w14:paraId="6EAA116D" w14:textId="77777777" w:rsidTr="00F91711">
        <w:tc>
          <w:tcPr>
            <w:tcW w:w="1430" w:type="dxa"/>
            <w:tcBorders>
              <w:top w:val="single" w:sz="5" w:space="0" w:color="000000"/>
              <w:left w:val="single" w:sz="5" w:space="0" w:color="000000"/>
              <w:bottom w:val="single" w:sz="5" w:space="0" w:color="000000"/>
              <w:right w:val="single" w:sz="5" w:space="0" w:color="000000"/>
            </w:tcBorders>
          </w:tcPr>
          <w:p w14:paraId="2D7203D7" w14:textId="77777777" w:rsidR="00F91711" w:rsidRPr="00C35766" w:rsidRDefault="00F91711" w:rsidP="00F91711">
            <w:pPr>
              <w:rPr>
                <w:rFonts w:ascii="Times New Roman" w:hAnsi="Times New Roman" w:cs="Times New Roman"/>
                <w:lang w:val="es-ES"/>
              </w:rPr>
            </w:pPr>
          </w:p>
        </w:tc>
        <w:tc>
          <w:tcPr>
            <w:tcW w:w="1541" w:type="dxa"/>
            <w:tcBorders>
              <w:top w:val="single" w:sz="5" w:space="0" w:color="000000"/>
              <w:left w:val="single" w:sz="5" w:space="0" w:color="000000"/>
              <w:bottom w:val="single" w:sz="5" w:space="0" w:color="000000"/>
              <w:right w:val="single" w:sz="5" w:space="0" w:color="000000"/>
            </w:tcBorders>
            <w:vAlign w:val="center"/>
          </w:tcPr>
          <w:p w14:paraId="0A0A2B6C"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MTX</w:t>
            </w:r>
          </w:p>
          <w:p w14:paraId="43307951" w14:textId="77777777" w:rsidR="00F91711" w:rsidRPr="00C35766" w:rsidRDefault="00F91711" w:rsidP="00F91711">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n=257</w:t>
            </w:r>
          </w:p>
          <w:p w14:paraId="35AB0346"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7CA96F04"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1481" w:type="dxa"/>
            <w:tcBorders>
              <w:top w:val="single" w:sz="5" w:space="0" w:color="000000"/>
              <w:left w:val="single" w:sz="5" w:space="0" w:color="000000"/>
              <w:bottom w:val="single" w:sz="5" w:space="0" w:color="000000"/>
              <w:right w:val="single" w:sz="5" w:space="0" w:color="000000"/>
            </w:tcBorders>
            <w:vAlign w:val="center"/>
          </w:tcPr>
          <w:p w14:paraId="0B14DD73"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w:t>
            </w:r>
          </w:p>
          <w:p w14:paraId="3A8034F5" w14:textId="77777777" w:rsidR="00F91711" w:rsidRPr="00C35766" w:rsidRDefault="00F91711" w:rsidP="00F91711">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n=274</w:t>
            </w:r>
          </w:p>
          <w:p w14:paraId="637C6CF9"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376D81B8"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1488" w:type="dxa"/>
            <w:tcBorders>
              <w:top w:val="single" w:sz="5" w:space="0" w:color="000000"/>
              <w:left w:val="single" w:sz="5" w:space="0" w:color="000000"/>
              <w:bottom w:val="single" w:sz="5" w:space="0" w:color="000000"/>
              <w:right w:val="single" w:sz="5" w:space="0" w:color="000000"/>
            </w:tcBorders>
            <w:vAlign w:val="center"/>
          </w:tcPr>
          <w:p w14:paraId="7F1653F2"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Adalimumab/MTX</w:t>
            </w:r>
          </w:p>
          <w:p w14:paraId="169F5E88" w14:textId="77777777" w:rsidR="00F91711" w:rsidRPr="00C35766" w:rsidRDefault="00F91711" w:rsidP="00F91711">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n=268</w:t>
            </w:r>
          </w:p>
          <w:p w14:paraId="7AFA455E"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6E442FAA" w14:textId="77777777" w:rsidR="00F91711" w:rsidRPr="00C35766" w:rsidRDefault="00F91711" w:rsidP="00F91711">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991" w:type="dxa"/>
            <w:tcBorders>
              <w:top w:val="single" w:sz="5" w:space="0" w:color="000000"/>
              <w:left w:val="single" w:sz="5" w:space="0" w:color="000000"/>
              <w:bottom w:val="single" w:sz="5" w:space="0" w:color="000000"/>
              <w:right w:val="single" w:sz="5" w:space="0" w:color="000000"/>
            </w:tcBorders>
            <w:vAlign w:val="center"/>
          </w:tcPr>
          <w:p w14:paraId="48E58B29"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vAlign w:val="center"/>
          </w:tcPr>
          <w:p w14:paraId="29188E38"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b</w:t>
            </w:r>
          </w:p>
        </w:tc>
        <w:tc>
          <w:tcPr>
            <w:tcW w:w="991" w:type="dxa"/>
            <w:tcBorders>
              <w:top w:val="single" w:sz="5" w:space="0" w:color="000000"/>
              <w:left w:val="single" w:sz="5" w:space="0" w:color="000000"/>
              <w:bottom w:val="single" w:sz="5" w:space="0" w:color="000000"/>
              <w:right w:val="single" w:sz="5" w:space="0" w:color="000000"/>
            </w:tcBorders>
            <w:vAlign w:val="center"/>
          </w:tcPr>
          <w:p w14:paraId="2E14CA85"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c</w:t>
            </w:r>
          </w:p>
        </w:tc>
      </w:tr>
      <w:tr w:rsidR="00F91711" w:rsidRPr="00C35766" w14:paraId="1C9750D2" w14:textId="77777777" w:rsidTr="00F91711">
        <w:tc>
          <w:tcPr>
            <w:tcW w:w="1430" w:type="dxa"/>
            <w:tcBorders>
              <w:top w:val="single" w:sz="5" w:space="0" w:color="000000"/>
              <w:left w:val="single" w:sz="5" w:space="0" w:color="000000"/>
              <w:bottom w:val="single" w:sz="5" w:space="0" w:color="000000"/>
              <w:right w:val="single" w:sz="5" w:space="0" w:color="000000"/>
            </w:tcBorders>
          </w:tcPr>
          <w:p w14:paraId="0D6B7CE2" w14:textId="77777777" w:rsidR="00F91711" w:rsidRPr="00C35766" w:rsidRDefault="00F91711" w:rsidP="00F91711">
            <w:pPr>
              <w:pStyle w:val="TableParagraph"/>
              <w:spacing w:line="246" w:lineRule="exact"/>
              <w:ind w:left="65" w:right="179"/>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Indice totale </w:t>
            </w:r>
            <w:r w:rsidRPr="00C35766">
              <w:rPr>
                <w:rFonts w:ascii="Times New Roman" w:eastAsia="Times New Roman" w:hAnsi="Times New Roman" w:cs="Times New Roman"/>
                <w:lang w:val="it-IT"/>
              </w:rPr>
              <w:t>di Sharp</w:t>
            </w:r>
          </w:p>
        </w:tc>
        <w:tc>
          <w:tcPr>
            <w:tcW w:w="1541" w:type="dxa"/>
            <w:tcBorders>
              <w:top w:val="single" w:sz="5" w:space="0" w:color="000000"/>
              <w:left w:val="single" w:sz="5" w:space="0" w:color="000000"/>
              <w:bottom w:val="single" w:sz="5" w:space="0" w:color="000000"/>
              <w:right w:val="single" w:sz="5" w:space="0" w:color="000000"/>
            </w:tcBorders>
          </w:tcPr>
          <w:p w14:paraId="6FA2AE5C" w14:textId="77777777" w:rsidR="00F91711" w:rsidRPr="00C35766" w:rsidRDefault="00F91711" w:rsidP="00F91711">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5,7 (4,2-7,3)</w:t>
            </w:r>
          </w:p>
        </w:tc>
        <w:tc>
          <w:tcPr>
            <w:tcW w:w="1481" w:type="dxa"/>
            <w:tcBorders>
              <w:top w:val="single" w:sz="5" w:space="0" w:color="000000"/>
              <w:left w:val="single" w:sz="5" w:space="0" w:color="000000"/>
              <w:bottom w:val="single" w:sz="5" w:space="0" w:color="000000"/>
              <w:right w:val="single" w:sz="5" w:space="0" w:color="000000"/>
            </w:tcBorders>
          </w:tcPr>
          <w:p w14:paraId="4F07EB78"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3,0 (1,7-4,3)</w:t>
            </w:r>
          </w:p>
        </w:tc>
        <w:tc>
          <w:tcPr>
            <w:tcW w:w="1488" w:type="dxa"/>
            <w:tcBorders>
              <w:top w:val="single" w:sz="5" w:space="0" w:color="000000"/>
              <w:left w:val="single" w:sz="5" w:space="0" w:color="000000"/>
              <w:bottom w:val="single" w:sz="5" w:space="0" w:color="000000"/>
              <w:right w:val="single" w:sz="5" w:space="0" w:color="000000"/>
            </w:tcBorders>
          </w:tcPr>
          <w:p w14:paraId="7DE131BB" w14:textId="77777777" w:rsidR="00F91711" w:rsidRPr="00C35766" w:rsidRDefault="00F91711" w:rsidP="00F91711">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991" w:type="dxa"/>
            <w:tcBorders>
              <w:top w:val="single" w:sz="5" w:space="0" w:color="000000"/>
              <w:left w:val="single" w:sz="5" w:space="0" w:color="000000"/>
              <w:bottom w:val="single" w:sz="5" w:space="0" w:color="000000"/>
              <w:right w:val="single" w:sz="5" w:space="0" w:color="000000"/>
            </w:tcBorders>
          </w:tcPr>
          <w:p w14:paraId="433DDCA7" w14:textId="77777777" w:rsidR="00F91711" w:rsidRPr="00C35766" w:rsidRDefault="00F91711" w:rsidP="00F91711">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989" w:type="dxa"/>
            <w:tcBorders>
              <w:top w:val="single" w:sz="5" w:space="0" w:color="000000"/>
              <w:left w:val="single" w:sz="5" w:space="0" w:color="000000"/>
              <w:bottom w:val="single" w:sz="5" w:space="0" w:color="000000"/>
              <w:right w:val="single" w:sz="5" w:space="0" w:color="000000"/>
            </w:tcBorders>
          </w:tcPr>
          <w:p w14:paraId="3746C71D"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0,0020</w:t>
            </w:r>
          </w:p>
        </w:tc>
        <w:tc>
          <w:tcPr>
            <w:tcW w:w="991" w:type="dxa"/>
            <w:tcBorders>
              <w:top w:val="single" w:sz="5" w:space="0" w:color="000000"/>
              <w:left w:val="single" w:sz="5" w:space="0" w:color="000000"/>
              <w:bottom w:val="single" w:sz="5" w:space="0" w:color="000000"/>
              <w:right w:val="single" w:sz="5" w:space="0" w:color="000000"/>
            </w:tcBorders>
          </w:tcPr>
          <w:p w14:paraId="31517236" w14:textId="77777777" w:rsidR="00F91711" w:rsidRPr="00C35766" w:rsidRDefault="00F91711" w:rsidP="00F91711">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F91711" w:rsidRPr="00C35766" w14:paraId="59F1CCB2" w14:textId="77777777" w:rsidTr="00F91711">
        <w:tc>
          <w:tcPr>
            <w:tcW w:w="1430" w:type="dxa"/>
            <w:tcBorders>
              <w:top w:val="single" w:sz="5" w:space="0" w:color="000000"/>
              <w:left w:val="single" w:sz="5" w:space="0" w:color="000000"/>
              <w:bottom w:val="single" w:sz="5" w:space="0" w:color="000000"/>
              <w:right w:val="single" w:sz="5" w:space="0" w:color="000000"/>
            </w:tcBorders>
          </w:tcPr>
          <w:p w14:paraId="74043B8A" w14:textId="77777777" w:rsidR="00F91711" w:rsidRPr="00C35766" w:rsidRDefault="00F91711" w:rsidP="00F91711">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Indice di </w:t>
            </w:r>
            <w:r w:rsidRPr="00C35766">
              <w:rPr>
                <w:rFonts w:ascii="Times New Roman" w:eastAsia="Times New Roman" w:hAnsi="Times New Roman" w:cs="Times New Roman"/>
                <w:spacing w:val="-1"/>
                <w:lang w:val="it-IT"/>
              </w:rPr>
              <w:lastRenderedPageBreak/>
              <w:t>erosione</w:t>
            </w:r>
          </w:p>
        </w:tc>
        <w:tc>
          <w:tcPr>
            <w:tcW w:w="1541" w:type="dxa"/>
            <w:tcBorders>
              <w:top w:val="single" w:sz="5" w:space="0" w:color="000000"/>
              <w:left w:val="single" w:sz="5" w:space="0" w:color="000000"/>
              <w:bottom w:val="single" w:sz="5" w:space="0" w:color="000000"/>
              <w:right w:val="single" w:sz="5" w:space="0" w:color="000000"/>
            </w:tcBorders>
          </w:tcPr>
          <w:p w14:paraId="616D0043" w14:textId="77777777" w:rsidR="00F91711" w:rsidRPr="00C35766" w:rsidRDefault="00F91711" w:rsidP="00F91711">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lastRenderedPageBreak/>
              <w:t>3,7 (2,7-4,7)</w:t>
            </w:r>
          </w:p>
        </w:tc>
        <w:tc>
          <w:tcPr>
            <w:tcW w:w="1481" w:type="dxa"/>
            <w:tcBorders>
              <w:top w:val="single" w:sz="5" w:space="0" w:color="000000"/>
              <w:left w:val="single" w:sz="5" w:space="0" w:color="000000"/>
              <w:bottom w:val="single" w:sz="5" w:space="0" w:color="000000"/>
              <w:right w:val="single" w:sz="5" w:space="0" w:color="000000"/>
            </w:tcBorders>
          </w:tcPr>
          <w:p w14:paraId="2DAFF02B"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1,7 (1,0-2,4)</w:t>
            </w:r>
          </w:p>
        </w:tc>
        <w:tc>
          <w:tcPr>
            <w:tcW w:w="1488" w:type="dxa"/>
            <w:tcBorders>
              <w:top w:val="single" w:sz="5" w:space="0" w:color="000000"/>
              <w:left w:val="single" w:sz="5" w:space="0" w:color="000000"/>
              <w:bottom w:val="single" w:sz="5" w:space="0" w:color="000000"/>
              <w:right w:val="single" w:sz="5" w:space="0" w:color="000000"/>
            </w:tcBorders>
          </w:tcPr>
          <w:p w14:paraId="519D75B1" w14:textId="77777777" w:rsidR="00F91711" w:rsidRPr="00C35766" w:rsidRDefault="00F91711" w:rsidP="00F91711">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0,8 (0,4; 1,2)</w:t>
            </w:r>
          </w:p>
        </w:tc>
        <w:tc>
          <w:tcPr>
            <w:tcW w:w="991" w:type="dxa"/>
            <w:tcBorders>
              <w:top w:val="single" w:sz="5" w:space="0" w:color="000000"/>
              <w:left w:val="single" w:sz="5" w:space="0" w:color="000000"/>
              <w:bottom w:val="single" w:sz="5" w:space="0" w:color="000000"/>
              <w:right w:val="single" w:sz="5" w:space="0" w:color="000000"/>
            </w:tcBorders>
          </w:tcPr>
          <w:p w14:paraId="20B8D980" w14:textId="77777777" w:rsidR="00F91711" w:rsidRPr="00C35766" w:rsidRDefault="00F91711" w:rsidP="00F91711">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989" w:type="dxa"/>
            <w:tcBorders>
              <w:top w:val="single" w:sz="5" w:space="0" w:color="000000"/>
              <w:left w:val="single" w:sz="5" w:space="0" w:color="000000"/>
              <w:bottom w:val="single" w:sz="5" w:space="0" w:color="000000"/>
              <w:right w:val="single" w:sz="5" w:space="0" w:color="000000"/>
            </w:tcBorders>
          </w:tcPr>
          <w:p w14:paraId="6E7CC0F0"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0,0082</w:t>
            </w:r>
          </w:p>
        </w:tc>
        <w:tc>
          <w:tcPr>
            <w:tcW w:w="991" w:type="dxa"/>
            <w:tcBorders>
              <w:top w:val="single" w:sz="5" w:space="0" w:color="000000"/>
              <w:left w:val="single" w:sz="5" w:space="0" w:color="000000"/>
              <w:bottom w:val="single" w:sz="5" w:space="0" w:color="000000"/>
              <w:right w:val="single" w:sz="5" w:space="0" w:color="000000"/>
            </w:tcBorders>
          </w:tcPr>
          <w:p w14:paraId="4302B54B" w14:textId="77777777" w:rsidR="00F91711" w:rsidRPr="00C35766" w:rsidRDefault="00F91711" w:rsidP="00F91711">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F91711" w:rsidRPr="00C35766" w14:paraId="5FF3C8FD" w14:textId="77777777" w:rsidTr="00F91711">
        <w:tc>
          <w:tcPr>
            <w:tcW w:w="1430" w:type="dxa"/>
            <w:tcBorders>
              <w:top w:val="single" w:sz="5" w:space="0" w:color="000000"/>
              <w:left w:val="single" w:sz="5" w:space="0" w:color="000000"/>
              <w:bottom w:val="single" w:sz="5" w:space="0" w:color="000000"/>
              <w:right w:val="single" w:sz="5" w:space="0" w:color="000000"/>
            </w:tcBorders>
          </w:tcPr>
          <w:p w14:paraId="2C46A953" w14:textId="77777777" w:rsidR="00F91711" w:rsidRPr="00C35766" w:rsidRDefault="00F91711" w:rsidP="00F91711">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Indice JSN</w:t>
            </w:r>
          </w:p>
        </w:tc>
        <w:tc>
          <w:tcPr>
            <w:tcW w:w="1541" w:type="dxa"/>
            <w:tcBorders>
              <w:top w:val="single" w:sz="5" w:space="0" w:color="000000"/>
              <w:left w:val="single" w:sz="5" w:space="0" w:color="000000"/>
              <w:bottom w:val="single" w:sz="5" w:space="0" w:color="000000"/>
              <w:right w:val="single" w:sz="5" w:space="0" w:color="000000"/>
            </w:tcBorders>
          </w:tcPr>
          <w:p w14:paraId="2DDA94C5" w14:textId="77777777" w:rsidR="00F91711" w:rsidRPr="00C35766" w:rsidRDefault="00F91711" w:rsidP="00F91711">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2,0 (1,2-2,8)</w:t>
            </w:r>
          </w:p>
        </w:tc>
        <w:tc>
          <w:tcPr>
            <w:tcW w:w="1481" w:type="dxa"/>
            <w:tcBorders>
              <w:top w:val="single" w:sz="5" w:space="0" w:color="000000"/>
              <w:left w:val="single" w:sz="5" w:space="0" w:color="000000"/>
              <w:bottom w:val="single" w:sz="5" w:space="0" w:color="000000"/>
              <w:right w:val="single" w:sz="5" w:space="0" w:color="000000"/>
            </w:tcBorders>
          </w:tcPr>
          <w:p w14:paraId="358A0536"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1488" w:type="dxa"/>
            <w:tcBorders>
              <w:top w:val="single" w:sz="5" w:space="0" w:color="000000"/>
              <w:left w:val="single" w:sz="5" w:space="0" w:color="000000"/>
              <w:bottom w:val="single" w:sz="5" w:space="0" w:color="000000"/>
              <w:right w:val="single" w:sz="5" w:space="0" w:color="000000"/>
            </w:tcBorders>
          </w:tcPr>
          <w:p w14:paraId="0AF6B293" w14:textId="77777777" w:rsidR="00F91711" w:rsidRPr="00C35766" w:rsidRDefault="00F91711" w:rsidP="00F91711">
            <w:pPr>
              <w:pStyle w:val="TableParagraph"/>
              <w:spacing w:line="246" w:lineRule="exact"/>
              <w:ind w:left="270"/>
              <w:rPr>
                <w:rFonts w:ascii="Times New Roman" w:eastAsia="Times New Roman" w:hAnsi="Times New Roman" w:cs="Times New Roman"/>
              </w:rPr>
            </w:pPr>
            <w:r w:rsidRPr="00C35766">
              <w:rPr>
                <w:rFonts w:ascii="Times New Roman" w:eastAsia="Times New Roman" w:hAnsi="Times New Roman" w:cs="Times New Roman"/>
                <w:lang w:val="it-IT"/>
              </w:rPr>
              <w:t>0,5 (0-1,0)</w:t>
            </w:r>
          </w:p>
        </w:tc>
        <w:tc>
          <w:tcPr>
            <w:tcW w:w="991" w:type="dxa"/>
            <w:tcBorders>
              <w:top w:val="single" w:sz="5" w:space="0" w:color="000000"/>
              <w:left w:val="single" w:sz="5" w:space="0" w:color="000000"/>
              <w:bottom w:val="single" w:sz="5" w:space="0" w:color="000000"/>
              <w:right w:val="single" w:sz="5" w:space="0" w:color="000000"/>
            </w:tcBorders>
          </w:tcPr>
          <w:p w14:paraId="352D6F98" w14:textId="77777777" w:rsidR="00F91711" w:rsidRPr="00C35766" w:rsidRDefault="00F91711" w:rsidP="00F91711">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989" w:type="dxa"/>
            <w:tcBorders>
              <w:top w:val="single" w:sz="5" w:space="0" w:color="000000"/>
              <w:left w:val="single" w:sz="5" w:space="0" w:color="000000"/>
              <w:bottom w:val="single" w:sz="5" w:space="0" w:color="000000"/>
              <w:right w:val="single" w:sz="5" w:space="0" w:color="000000"/>
            </w:tcBorders>
          </w:tcPr>
          <w:p w14:paraId="2B1EEAEB" w14:textId="77777777" w:rsidR="00F91711" w:rsidRPr="00C35766" w:rsidRDefault="00F91711" w:rsidP="00F91711">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0,0037</w:t>
            </w:r>
          </w:p>
        </w:tc>
        <w:tc>
          <w:tcPr>
            <w:tcW w:w="991" w:type="dxa"/>
            <w:tcBorders>
              <w:top w:val="single" w:sz="5" w:space="0" w:color="000000"/>
              <w:left w:val="single" w:sz="5" w:space="0" w:color="000000"/>
              <w:bottom w:val="single" w:sz="5" w:space="0" w:color="000000"/>
              <w:right w:val="single" w:sz="5" w:space="0" w:color="000000"/>
            </w:tcBorders>
          </w:tcPr>
          <w:p w14:paraId="5C2704E6" w14:textId="77777777" w:rsidR="00F91711" w:rsidRPr="00C35766" w:rsidRDefault="00F91711" w:rsidP="00F91711">
            <w:pPr>
              <w:pStyle w:val="TableParagraph"/>
              <w:spacing w:line="246" w:lineRule="exact"/>
              <w:ind w:left="241"/>
              <w:rPr>
                <w:rFonts w:ascii="Times New Roman" w:eastAsia="Times New Roman" w:hAnsi="Times New Roman" w:cs="Times New Roman"/>
              </w:rPr>
            </w:pPr>
            <w:r w:rsidRPr="00C35766">
              <w:rPr>
                <w:rFonts w:ascii="Times New Roman" w:eastAsia="Times New Roman" w:hAnsi="Times New Roman" w:cs="Times New Roman"/>
                <w:lang w:val="it-IT"/>
              </w:rPr>
              <w:t>0,151</w:t>
            </w:r>
          </w:p>
        </w:tc>
      </w:tr>
    </w:tbl>
    <w:p w14:paraId="26727F28" w14:textId="77777777" w:rsidR="00F91711" w:rsidRPr="00C35766" w:rsidRDefault="00F91711" w:rsidP="00F91711">
      <w:pPr>
        <w:pStyle w:val="a3"/>
        <w:rPr>
          <w:lang w:val="it-IT"/>
        </w:rPr>
      </w:pPr>
      <w:r w:rsidRPr="00C35766">
        <w:rPr>
          <w:rFonts w:eastAsia="Times New Roman"/>
          <w:position w:val="8"/>
          <w:sz w:val="14"/>
          <w:szCs w:val="14"/>
          <w:lang w:val="it-IT"/>
        </w:rPr>
        <w:t>a</w:t>
      </w:r>
      <w:r w:rsidRPr="00C35766">
        <w:rPr>
          <w:rFonts w:eastAsia="Times New Roman"/>
          <w:position w:val="8"/>
          <w:lang w:val="it-IT"/>
        </w:rPr>
        <w:t xml:space="preserve"> il valore p è stato ottenuto confrontando a due a due la monoterapia con metotressato e la terapia associata adalimumab/metotressato utilizzando il test U Mann-Whitney.</w:t>
      </w:r>
    </w:p>
    <w:p w14:paraId="1184F4EE" w14:textId="77777777" w:rsidR="00F91711" w:rsidRPr="00C35766" w:rsidRDefault="00F91711" w:rsidP="00F91711">
      <w:pPr>
        <w:pStyle w:val="a3"/>
        <w:rPr>
          <w:lang w:val="it-IT"/>
        </w:rPr>
      </w:pPr>
      <w:r w:rsidRPr="00C35766">
        <w:rPr>
          <w:rFonts w:eastAsia="Times New Roman"/>
          <w:position w:val="8"/>
          <w:sz w:val="14"/>
          <w:szCs w:val="14"/>
          <w:lang w:val="it-IT"/>
        </w:rPr>
        <w:t>b</w:t>
      </w:r>
      <w:r w:rsidRPr="00C35766">
        <w:rPr>
          <w:rFonts w:eastAsia="Times New Roman"/>
          <w:position w:val="8"/>
          <w:lang w:val="it-IT"/>
        </w:rPr>
        <w:t xml:space="preserve"> il valore p è stato ottenuto confrontando a due a due la monoterapia con adalimumab e la terapia associata adalimumab/metotressato utilizzando il test U Mann-Whitney</w:t>
      </w:r>
    </w:p>
    <w:p w14:paraId="34B5084E" w14:textId="77777777" w:rsidR="00F91711" w:rsidRPr="00C35766" w:rsidRDefault="00F91711" w:rsidP="00F91711">
      <w:pPr>
        <w:pStyle w:val="a3"/>
        <w:rPr>
          <w:lang w:val="es-ES"/>
        </w:rPr>
      </w:pPr>
      <w:r w:rsidRPr="00C35766">
        <w:rPr>
          <w:rFonts w:eastAsia="Times New Roman"/>
          <w:position w:val="8"/>
          <w:sz w:val="14"/>
          <w:szCs w:val="14"/>
          <w:lang w:val="it-IT"/>
        </w:rPr>
        <w:t>c</w:t>
      </w:r>
      <w:r w:rsidRPr="00C35766">
        <w:rPr>
          <w:rFonts w:eastAsia="Times New Roman"/>
          <w:position w:val="8"/>
          <w:lang w:val="it-IT"/>
        </w:rPr>
        <w:t xml:space="preserve"> il valore p è stato ottenuto confrontando a due a due la monoterapia con adalimumab e la monoterapia con metotressato utilizzando il test U Mann-Whitney</w:t>
      </w:r>
    </w:p>
    <w:p w14:paraId="200C7ADE" w14:textId="77777777" w:rsidR="00F91711" w:rsidRPr="00C35766" w:rsidRDefault="00F91711" w:rsidP="00F91711">
      <w:pPr>
        <w:spacing w:before="8" w:line="170" w:lineRule="exact"/>
        <w:rPr>
          <w:rFonts w:ascii="Times New Roman" w:hAnsi="Times New Roman" w:cs="Times New Roman"/>
          <w:sz w:val="17"/>
          <w:szCs w:val="17"/>
          <w:lang w:val="es-ES"/>
        </w:rPr>
      </w:pPr>
    </w:p>
    <w:p w14:paraId="19D26B05" w14:textId="77777777" w:rsidR="00F91711" w:rsidRPr="00C35766" w:rsidRDefault="00F91711" w:rsidP="00F91711">
      <w:pPr>
        <w:pStyle w:val="a3"/>
        <w:rPr>
          <w:lang w:val="es-ES"/>
        </w:rPr>
      </w:pPr>
      <w:r w:rsidRPr="00C35766">
        <w:rPr>
          <w:rFonts w:eastAsia="Times New Roman"/>
          <w:lang w:val="it-IT"/>
        </w:rPr>
        <w:t xml:space="preserve">Dopo 52 settimane e 104 settimane di trattamento, la percentuale di pazienti in cui non si è avuta progressione (variazione rispetto al valore basale dell’indice totale di Sharp modificato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0,5) è stata significativamente maggiore con la terapia associata adalimumab/metotressato (rispettivamente 63,8% e 61,2%) rispetto alla monoterapia con metotressato (rispettivamente 37,4% e 33,5%, p &lt; 0,001) e alla monoterapia con adalimumab (rispettivamente 50,7%, p &lt; 0,002 e 44,5%, p &lt; 0,001).</w:t>
      </w:r>
    </w:p>
    <w:p w14:paraId="38606686" w14:textId="77777777" w:rsidR="00F91711" w:rsidRPr="00C35766" w:rsidRDefault="00F91711" w:rsidP="00F91711">
      <w:pPr>
        <w:spacing w:before="10" w:line="240" w:lineRule="exact"/>
        <w:rPr>
          <w:rFonts w:ascii="Times New Roman" w:hAnsi="Times New Roman" w:cs="Times New Roman"/>
          <w:sz w:val="24"/>
          <w:szCs w:val="24"/>
          <w:lang w:val="es-ES"/>
        </w:rPr>
      </w:pPr>
    </w:p>
    <w:p w14:paraId="6549F5FF" w14:textId="77777777" w:rsidR="00F91711" w:rsidRPr="00C35766" w:rsidRDefault="00F91711" w:rsidP="00F91711">
      <w:pPr>
        <w:pStyle w:val="a3"/>
        <w:rPr>
          <w:lang w:val="pt-BR"/>
        </w:rPr>
      </w:pPr>
      <w:r w:rsidRPr="00C35766">
        <w:rPr>
          <w:rFonts w:eastAsia="Times New Roman"/>
          <w:lang w:val="it-IT"/>
        </w:rPr>
        <w:t>Nella fase di estensione in aperto dello studio AR V, la variazione media rispetto al valore basale all’Anno 10 dell’indice totale di Sharp modificato è stata, rispettivamente, di 10,8, 9,2 e 3,9 nei pazienti che erano stati inizialmente randomizzati alla somministrazione di metotressato in monoterapia, di adalimumab in monoterapia e della terapia associata adalimumab/metotressato. Le corrispondenti percentuali di pazienti senza progressione radiologica sono state, rispettivamente, 31,3%, 23,7% e 36,7%.</w:t>
      </w:r>
    </w:p>
    <w:p w14:paraId="616F373D" w14:textId="77777777" w:rsidR="00F91711" w:rsidRPr="00C35766" w:rsidRDefault="00F91711" w:rsidP="00F91711">
      <w:pPr>
        <w:pStyle w:val="a3"/>
        <w:rPr>
          <w:sz w:val="24"/>
          <w:szCs w:val="24"/>
          <w:lang w:val="pt-BR"/>
        </w:rPr>
      </w:pPr>
    </w:p>
    <w:p w14:paraId="02A705D1" w14:textId="77777777" w:rsidR="00F91711" w:rsidRPr="00C35766" w:rsidRDefault="00F91711" w:rsidP="00F91711">
      <w:pPr>
        <w:pStyle w:val="a3"/>
        <w:rPr>
          <w:rFonts w:eastAsia="Times New Roman"/>
          <w:lang w:val="pt-BR"/>
        </w:rPr>
      </w:pPr>
      <w:r w:rsidRPr="00C35766">
        <w:rPr>
          <w:rFonts w:eastAsia="Times New Roman"/>
          <w:i/>
          <w:iCs/>
          <w:spacing w:val="-1"/>
          <w:u w:val="single" w:color="000000"/>
          <w:lang w:val="it-IT"/>
        </w:rPr>
        <w:t>Qualità della vita e funzionalità fisica</w:t>
      </w:r>
    </w:p>
    <w:p w14:paraId="5C96D08E" w14:textId="77777777" w:rsidR="00F91711" w:rsidRPr="00C35766" w:rsidRDefault="00F91711" w:rsidP="00F91711">
      <w:pPr>
        <w:pStyle w:val="a3"/>
        <w:rPr>
          <w:sz w:val="18"/>
          <w:szCs w:val="18"/>
          <w:lang w:val="pt-BR"/>
        </w:rPr>
      </w:pPr>
    </w:p>
    <w:p w14:paraId="20CBC92F" w14:textId="77777777" w:rsidR="00F91711" w:rsidRPr="00C35766" w:rsidRDefault="00F91711" w:rsidP="00F91711">
      <w:pPr>
        <w:pStyle w:val="a3"/>
        <w:rPr>
          <w:lang w:val="it-IT"/>
        </w:rPr>
      </w:pPr>
      <w:r w:rsidRPr="00C35766">
        <w:rPr>
          <w:rFonts w:eastAsia="Times New Roman"/>
          <w:lang w:val="it-IT"/>
        </w:rPr>
        <w:t>La qualità di vita correlata allo stato di salute e la funzionalità fisica sono state valutate con l’indice di disabilità ottenuto attraverso il questionario di valutazione dello stato di salute (Health Assessment Questionnaire - HAQ), in quattro studi originali, adeguati e ben controllati, che è stato un endpoint primario prespecificato dello studio AR III alla settimana 52. Tutti gli schemi terapeutici con adalimumab nei quattro studi hanno evidenziato miglioramenti maggiori in misura statisticamente significativa dell’indice di disabilità dell’HAQ tra il valore basale e il 6° mese rispetto al placebo e nello studio AR III il medesimo risultato è stato osservato alla settimana 52. L’analisi dello stato generale di salute, valutato attraverso lo Short Form Health Survey (SF-36) nei quattro studi, supporta queste conclusioni per tutti gli schemi di somministrazione di adalimumab con risultati statisticamente significativi per quanto riguarda gli indici di attività fisica, di dolore e dello stato di benessere, registrati con adalimumab 40 mg a settimane alterne. Una diminuzione statisticamente significativa della stanchezza così come risulta dagli indici della valutazione funzionale relativa al trattamento della patologia cronica (FACIT) è stata riscontrata in tutti i tre studi in cui è stata valutata (studi AR I, III, IV).</w:t>
      </w:r>
    </w:p>
    <w:p w14:paraId="44F1C247" w14:textId="77777777" w:rsidR="00F91711" w:rsidRPr="00C35766" w:rsidRDefault="00F91711" w:rsidP="00F91711">
      <w:pPr>
        <w:pStyle w:val="a3"/>
        <w:rPr>
          <w:sz w:val="24"/>
          <w:szCs w:val="24"/>
          <w:lang w:val="it-IT"/>
        </w:rPr>
      </w:pPr>
    </w:p>
    <w:p w14:paraId="09B6EC19" w14:textId="77777777" w:rsidR="00F91711" w:rsidRPr="00C35766" w:rsidRDefault="00F91711" w:rsidP="00F91711">
      <w:pPr>
        <w:pStyle w:val="a3"/>
        <w:rPr>
          <w:lang w:val="pt-BR"/>
        </w:rPr>
      </w:pPr>
      <w:r w:rsidRPr="00C35766">
        <w:rPr>
          <w:rFonts w:eastAsia="Times New Roman"/>
          <w:lang w:val="it-IT"/>
        </w:rPr>
        <w:t>Nello studio AR III, la maggioranza dei soggetti che hanno raggiunto il miglioramento della funzionalità fisica e che hanno continuato il trattamento hanno mantenuto il miglioramento per 520 settimane (120 mesi) di trattamento in aperto. Il miglioramento della qualità di vita è stato misurato fino alla settimana 156 (36 mesi) ed il miglioramento è stato mantenuto nel tempo.</w:t>
      </w:r>
    </w:p>
    <w:p w14:paraId="498C2770" w14:textId="77777777" w:rsidR="00F91711" w:rsidRPr="00C35766" w:rsidRDefault="00F91711" w:rsidP="00F91711">
      <w:pPr>
        <w:pStyle w:val="a3"/>
        <w:rPr>
          <w:sz w:val="24"/>
          <w:szCs w:val="24"/>
          <w:lang w:val="pt-BR"/>
        </w:rPr>
      </w:pPr>
    </w:p>
    <w:p w14:paraId="20D1E1E9" w14:textId="77777777" w:rsidR="00F91711" w:rsidRPr="00C35766" w:rsidRDefault="00F91711" w:rsidP="00F91711">
      <w:pPr>
        <w:pStyle w:val="a3"/>
        <w:rPr>
          <w:lang w:val="it-IT"/>
        </w:rPr>
      </w:pPr>
      <w:r w:rsidRPr="00C35766">
        <w:rPr>
          <w:rFonts w:eastAsia="Times New Roman"/>
          <w:lang w:val="it-IT"/>
        </w:rPr>
        <w:t xml:space="preserve">Nello studio AR V, l’indice di disabilità valutato in base all’HAQ e la componente fisica dell’SF-36 hanno dimostrato un miglioramento superiore (p &lt; 0,001) quando è stata effettuata terapia associata adalimumab/metotressato </w:t>
      </w:r>
      <w:r w:rsidRPr="00C35766">
        <w:rPr>
          <w:rFonts w:eastAsia="Times New Roman"/>
          <w:i/>
          <w:iCs/>
          <w:lang w:val="it-IT"/>
        </w:rPr>
        <w:t>rispetto</w:t>
      </w:r>
      <w:r w:rsidRPr="00C35766">
        <w:rPr>
          <w:rFonts w:eastAsia="Times New Roman"/>
          <w:lang w:val="it-IT"/>
        </w:rPr>
        <w:t xml:space="preserve"> alla monoterapia con metotressato ed a quella con adalimumab alla settimana 52, e questo miglioramento si è mantenuto nell’arco di 104 settimane. Nei 250 pazienti che hanno completato la fase di estensione in aperto dello studio, i miglioramenti nella funzionalità fisica sono stati mantenuti nell’arco dei 10 anni di trattamento.</w:t>
      </w:r>
    </w:p>
    <w:p w14:paraId="2ED4628A" w14:textId="77777777" w:rsidR="00F91711" w:rsidRPr="00C35766" w:rsidRDefault="00F91711" w:rsidP="00F91711">
      <w:pPr>
        <w:pStyle w:val="a3"/>
        <w:rPr>
          <w:sz w:val="24"/>
          <w:szCs w:val="24"/>
          <w:lang w:val="it-IT"/>
        </w:rPr>
      </w:pPr>
    </w:p>
    <w:p w14:paraId="24D51922" w14:textId="77777777" w:rsidR="00F91711" w:rsidRPr="00C35766" w:rsidRDefault="00F91711" w:rsidP="00F91711">
      <w:pPr>
        <w:pStyle w:val="a3"/>
        <w:rPr>
          <w:rFonts w:eastAsia="Times New Roman"/>
          <w:lang w:val="it-IT"/>
        </w:rPr>
      </w:pPr>
      <w:r w:rsidRPr="00C35766">
        <w:rPr>
          <w:rFonts w:eastAsia="Times New Roman"/>
          <w:i/>
          <w:iCs/>
          <w:spacing w:val="-1"/>
          <w:u w:val="single" w:color="000000"/>
          <w:lang w:val="it-IT"/>
        </w:rPr>
        <w:t>Dolore al sito di iniezione</w:t>
      </w:r>
    </w:p>
    <w:p w14:paraId="1E31EE64" w14:textId="77777777" w:rsidR="00F91711" w:rsidRPr="00C35766" w:rsidRDefault="00F91711" w:rsidP="00F91711">
      <w:pPr>
        <w:pStyle w:val="a3"/>
        <w:rPr>
          <w:sz w:val="18"/>
          <w:szCs w:val="18"/>
          <w:lang w:val="it-IT"/>
        </w:rPr>
      </w:pPr>
    </w:p>
    <w:p w14:paraId="7C933F47" w14:textId="77777777" w:rsidR="00F91711" w:rsidRPr="00C35766" w:rsidRDefault="00F91711" w:rsidP="00F91711">
      <w:pPr>
        <w:pStyle w:val="a3"/>
        <w:rPr>
          <w:lang w:val="es-ES"/>
        </w:rPr>
      </w:pPr>
      <w:r w:rsidRPr="00C35766">
        <w:rPr>
          <w:rFonts w:eastAsia="Times New Roman"/>
          <w:lang w:val="it-IT"/>
        </w:rPr>
        <w:t xml:space="preserve">Per gli studi crossover raggruppati RA VI e VII, è stata osservata una differenza statisticamente significativa per il dolore al sito di iniezione subito dopo la somministrazione tra adalimumab 40 mg/0,8 </w:t>
      </w:r>
      <w:r w:rsidRPr="00C35766">
        <w:rPr>
          <w:rFonts w:eastAsia="Times New Roman"/>
          <w:lang w:val="it-IT"/>
        </w:rPr>
        <w:lastRenderedPageBreak/>
        <w:t>mL e adalimumab 40 mg/0,4 mL (valore medio di VAS di 3,7 cm contro un valore di 1,2 cm, scala 0 – 10 cm, p &lt; 0,001). Questo rappresenta una riduzione mediana del dolore al sito di iniezione pari all’84%.</w:t>
      </w:r>
    </w:p>
    <w:p w14:paraId="37EF758A" w14:textId="77777777" w:rsidR="00F91711" w:rsidRPr="00C35766" w:rsidRDefault="00F91711" w:rsidP="00F91711">
      <w:pPr>
        <w:pStyle w:val="a3"/>
        <w:rPr>
          <w:sz w:val="24"/>
          <w:szCs w:val="24"/>
          <w:lang w:val="es-ES"/>
        </w:rPr>
      </w:pPr>
    </w:p>
    <w:p w14:paraId="386804B1" w14:textId="77777777" w:rsidR="00F91711" w:rsidRPr="00C35766" w:rsidRDefault="00F91711" w:rsidP="00F91711">
      <w:pPr>
        <w:pStyle w:val="a3"/>
        <w:rPr>
          <w:rFonts w:eastAsia="Times New Roman"/>
          <w:lang w:val="it-IT"/>
        </w:rPr>
      </w:pPr>
      <w:r w:rsidRPr="00C35766">
        <w:rPr>
          <w:rFonts w:eastAsia="Times New Roman"/>
          <w:i/>
          <w:iCs/>
          <w:spacing w:val="-1"/>
          <w:lang w:val="it-IT"/>
        </w:rPr>
        <w:t>Psoriasi</w:t>
      </w:r>
    </w:p>
    <w:p w14:paraId="0988D3FE" w14:textId="77777777" w:rsidR="00F91711" w:rsidRPr="00C35766" w:rsidRDefault="00F91711" w:rsidP="00F91711">
      <w:pPr>
        <w:pStyle w:val="a3"/>
        <w:rPr>
          <w:sz w:val="24"/>
          <w:szCs w:val="24"/>
          <w:lang w:val="it-IT"/>
        </w:rPr>
      </w:pPr>
    </w:p>
    <w:p w14:paraId="61397B02" w14:textId="77777777" w:rsidR="00F91711" w:rsidRPr="00C35766" w:rsidRDefault="00F91711" w:rsidP="00F91711">
      <w:pPr>
        <w:pStyle w:val="a3"/>
        <w:rPr>
          <w:lang w:val="it-IT"/>
        </w:rPr>
      </w:pPr>
      <w:r w:rsidRPr="00C35766">
        <w:rPr>
          <w:rFonts w:eastAsia="Times New Roman"/>
          <w:lang w:val="it-IT"/>
        </w:rPr>
        <w:t xml:space="preserve">La sicurezza e l’efficacia di adalimumab sono state studiate nei pazienti adulti affetti da psoriasi cronica a placche (BSA coinvolta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10% e Psoriasis Area and Severity Index (PASI)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12 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10), i quali erano candidati alla terapia sistemica o alla fototerapia, durante gli studi randomizzati in doppio cieco. Il 73% dei pazienti arruolati negli studi I e II sulla psoriasi erano stati precedentemente sottoposti a terapia sistemica o fototerapia. La sicurezza e l’efficacia di adalimumab sono state studiate anche nei pazienti adulti affetti da psoriasi cronica a placche da moderata a severa con concomitante psoriasi localizzata alla mano e/o al piede, i quali erano candidati alla terapia sistemica in uno studio randomizzato in doppio cieco (studio di fase III sulla psoriasi).</w:t>
      </w:r>
    </w:p>
    <w:p w14:paraId="7530DD5B" w14:textId="77777777" w:rsidR="00F91711" w:rsidRPr="00C35766" w:rsidRDefault="00F91711" w:rsidP="00F91711">
      <w:pPr>
        <w:pStyle w:val="a3"/>
        <w:rPr>
          <w:lang w:val="it-IT"/>
        </w:rPr>
      </w:pPr>
    </w:p>
    <w:p w14:paraId="6EA8DFE5" w14:textId="77777777" w:rsidR="00F91711" w:rsidRPr="00C35766" w:rsidRDefault="00F91711" w:rsidP="00F91711">
      <w:pPr>
        <w:pStyle w:val="a3"/>
        <w:rPr>
          <w:lang w:val="it-IT"/>
        </w:rPr>
      </w:pPr>
      <w:r w:rsidRPr="00C35766">
        <w:rPr>
          <w:rFonts w:eastAsia="Times New Roman"/>
          <w:lang w:val="it-IT"/>
        </w:rPr>
        <w:t xml:space="preserve">Lo studio I sulla psoriasi (REVEAL) ha valutato 1.212 pazienti entro tre periodi di trattamento. Nel corso del periodo A, ai pazienti è stato somministrato placebo o adalimumab a una dose iniziale di 80 mg, seguita da una dose di 40 mg, a settimane alterne, somministrata a partire dalla settimana successiva all’assunzione della dose iniziale. Dopo 16 settimane di terapia, i pazienti che hanno ottenuto almeno una risposta PASI 75 (in cui il punteggio PASI ha registrato un miglioramento pari ad almeno il 75% del valore al basale) sono stati ammessi al periodo B ed hanno ricevuto una dose di adalimumab pari a 40 mg, a settimane alterne, in aperto. I pazienti che hanno mantenuto una risposta </w:t>
      </w:r>
      <w:r w:rsidRPr="00C35766">
        <w:rPr>
          <w:rFonts w:eastAsia="Symbol"/>
          <w:lang w:val="it-IT"/>
        </w:rPr>
        <w:sym w:font="Symbol" w:char="F0B3"/>
      </w:r>
      <w:r w:rsidRPr="00C35766">
        <w:rPr>
          <w:rFonts w:eastAsia="Times New Roman"/>
          <w:lang w:val="it-IT"/>
        </w:rPr>
        <w:t>PASI 75 alla settimana 33 e che erano stati inizialmente randomizzati per la terapia attiva nel corso del periodo A sono stati nuovamente randomizzati nel periodo C a ricevere 40 mg di adalimumab a settimane alterne, o placebo per un ulteriore periodo di 19 settimane. In tutti i gruppi di trattamento il punteggio PASI medio al basale è risultato pari a 18,9 ed il punteggio relativo al Physician’s Global Assessment (PGA) è risultato di grado da “moderato” (53% dei soggetti inclusi) a “severo” (41%) fino a “molto severo” (6%).</w:t>
      </w:r>
    </w:p>
    <w:p w14:paraId="5FA24D80" w14:textId="77777777" w:rsidR="00F91711" w:rsidRPr="00C35766" w:rsidRDefault="00F91711" w:rsidP="00F91711">
      <w:pPr>
        <w:spacing w:before="14" w:line="240" w:lineRule="exact"/>
        <w:rPr>
          <w:rFonts w:ascii="Times New Roman" w:hAnsi="Times New Roman" w:cs="Times New Roman"/>
          <w:sz w:val="24"/>
          <w:szCs w:val="24"/>
          <w:lang w:val="it-IT"/>
        </w:rPr>
      </w:pPr>
    </w:p>
    <w:p w14:paraId="70840455" w14:textId="77777777" w:rsidR="00F91711" w:rsidRPr="00C35766" w:rsidRDefault="00F91711" w:rsidP="00F91711">
      <w:pPr>
        <w:pStyle w:val="a3"/>
        <w:rPr>
          <w:lang w:val="es-ES"/>
        </w:rPr>
      </w:pPr>
      <w:r w:rsidRPr="00C35766">
        <w:rPr>
          <w:rFonts w:eastAsia="Times New Roman"/>
          <w:lang w:val="it-IT"/>
        </w:rPr>
        <w:t xml:space="preserve">Lo studio II sulla psoriasi (CHAMPION) ha paragonato l’efficacia e la sicurezza di adalimumab </w:t>
      </w:r>
      <w:r w:rsidRPr="00C35766">
        <w:rPr>
          <w:lang w:val="it-IT"/>
        </w:rPr>
        <w:t>rispetto</w:t>
      </w:r>
      <w:r w:rsidRPr="00C35766">
        <w:rPr>
          <w:rFonts w:eastAsia="Times New Roman"/>
          <w:lang w:val="it-IT"/>
        </w:rPr>
        <w:t xml:space="preserve"> al metotressato e al placebo in 271 pazienti. Per un periodo di 16 settimane, i pazienti hanno ricevuto placebo, o metotressato con una dose iniziale pari a 7,5 mg successivamente elevata fino alla settimana 12 e con un massimo di 25 mg, o adalimumab alla dose iniziale di 80 mg seguita dalla dose di 40 mg somministrata a settimane alterne (a iniziare dalla settimana successiva all’assunzione della dose iniziale). Non sono disponibili dati che mettano a confronto adalimumab e metotressato oltre le 16 settimane di terapia. Nei pazienti trattati con metotressato che hanno raggiunto una risposta </w:t>
      </w:r>
      <w:r w:rsidRPr="00C35766">
        <w:rPr>
          <w:rFonts w:eastAsia="Symbol"/>
          <w:lang w:val="it-IT"/>
        </w:rPr>
        <w:sym w:font="Symbol" w:char="F0B3"/>
      </w:r>
      <w:r w:rsidRPr="00C35766">
        <w:rPr>
          <w:rFonts w:eastAsia="Times New Roman"/>
          <w:lang w:val="it-IT"/>
        </w:rPr>
        <w:t>PASI 50 alla settimana 8 e/o alla settimana 12, non sono stati effettuati incrementi della dose. In tutti i gruppi di trattamento, il punteggio PASI al basale medio è risultato pari a 19,7 ed il punteggio PGA al basale è risultato da “lieve” (&lt; 1%) a “moderato” (48%) a “severo” (46%) a “molto severo” (6%).</w:t>
      </w:r>
    </w:p>
    <w:p w14:paraId="13A7331B" w14:textId="77777777" w:rsidR="00F91711" w:rsidRPr="00C35766" w:rsidRDefault="00F91711" w:rsidP="00F91711">
      <w:pPr>
        <w:spacing w:before="17" w:line="240" w:lineRule="exact"/>
        <w:rPr>
          <w:rFonts w:ascii="Times New Roman" w:hAnsi="Times New Roman" w:cs="Times New Roman"/>
          <w:sz w:val="24"/>
          <w:szCs w:val="24"/>
          <w:lang w:val="es-ES"/>
        </w:rPr>
      </w:pPr>
    </w:p>
    <w:p w14:paraId="106060F6" w14:textId="77777777" w:rsidR="00F91711" w:rsidRPr="00C35766" w:rsidRDefault="00F91711" w:rsidP="00F91711">
      <w:pPr>
        <w:pStyle w:val="a3"/>
        <w:rPr>
          <w:lang w:val="es-ES"/>
        </w:rPr>
      </w:pPr>
      <w:r w:rsidRPr="00C35766">
        <w:rPr>
          <w:rFonts w:eastAsia="Times New Roman"/>
          <w:lang w:val="it-IT"/>
        </w:rPr>
        <w:t>I pazienti che hanno partecipato a tutti gli studi di fase 2 e fase 3 sulla psoriasi sono stati considerati idonei ad essere arruolati in uno studio di estensione in aperto, dove adalimumab è stato somministrato per un periodo aggiuntivo di almeno 108 settimane.</w:t>
      </w:r>
    </w:p>
    <w:p w14:paraId="5C748226" w14:textId="77777777" w:rsidR="00F91711" w:rsidRPr="00C35766" w:rsidRDefault="00F91711" w:rsidP="00F91711">
      <w:pPr>
        <w:spacing w:before="14" w:line="240" w:lineRule="exact"/>
        <w:rPr>
          <w:rFonts w:ascii="Times New Roman" w:hAnsi="Times New Roman" w:cs="Times New Roman"/>
          <w:sz w:val="24"/>
          <w:szCs w:val="24"/>
          <w:lang w:val="es-ES"/>
        </w:rPr>
      </w:pPr>
    </w:p>
    <w:p w14:paraId="7CB1E243" w14:textId="59CB6D12" w:rsidR="00F91711" w:rsidRPr="00C35766" w:rsidRDefault="00F91711" w:rsidP="00F91711">
      <w:pPr>
        <w:pStyle w:val="a3"/>
        <w:rPr>
          <w:lang w:val="es-ES"/>
        </w:rPr>
      </w:pPr>
      <w:r w:rsidRPr="00C35766">
        <w:rPr>
          <w:rFonts w:eastAsia="Times New Roman"/>
          <w:lang w:val="it-IT"/>
        </w:rPr>
        <w:t xml:space="preserve">Negli studi I e II sulla psoriasi, l’endpoint primario è stato rappresentato dalla percentuale di pazienti che ha ottenuto una risposta PASI 75 rispetto al valore basale alla settimana 16 (vedere Tabelle </w:t>
      </w:r>
      <w:r w:rsidR="00150B5C">
        <w:rPr>
          <w:rFonts w:eastAsia="Times New Roman"/>
          <w:lang w:val="it-IT"/>
        </w:rPr>
        <w:t>9</w:t>
      </w:r>
      <w:r w:rsidR="00150B5C" w:rsidRPr="00C35766">
        <w:rPr>
          <w:rFonts w:eastAsia="Times New Roman"/>
          <w:lang w:val="it-IT"/>
        </w:rPr>
        <w:t xml:space="preserve"> </w:t>
      </w:r>
      <w:r w:rsidRPr="00C35766">
        <w:rPr>
          <w:rFonts w:eastAsia="Times New Roman"/>
          <w:lang w:val="it-IT"/>
        </w:rPr>
        <w:t xml:space="preserve">e </w:t>
      </w:r>
      <w:r w:rsidR="00150B5C">
        <w:rPr>
          <w:rFonts w:eastAsia="Times New Roman"/>
          <w:lang w:val="it-IT"/>
        </w:rPr>
        <w:t>10</w:t>
      </w:r>
      <w:r w:rsidRPr="00C35766">
        <w:rPr>
          <w:rFonts w:eastAsia="Times New Roman"/>
          <w:lang w:val="it-IT"/>
        </w:rPr>
        <w:t>).</w:t>
      </w:r>
    </w:p>
    <w:p w14:paraId="4F422B36" w14:textId="77777777" w:rsidR="00F91711" w:rsidRPr="00C35766" w:rsidRDefault="00F91711" w:rsidP="00F91711">
      <w:pPr>
        <w:rPr>
          <w:rFonts w:ascii="Times New Roman" w:hAnsi="Times New Roman" w:cs="Times New Roman"/>
          <w:b/>
          <w:lang w:val="es-ES"/>
        </w:rPr>
      </w:pPr>
    </w:p>
    <w:p w14:paraId="38808EA9" w14:textId="6C242800" w:rsidR="00F91711" w:rsidRPr="00C35766" w:rsidRDefault="00F91711" w:rsidP="00F91711">
      <w:pPr>
        <w:pStyle w:val="a3"/>
        <w:jc w:val="center"/>
        <w:rPr>
          <w:b/>
          <w:lang w:val="it-IT"/>
        </w:rPr>
      </w:pPr>
      <w:r w:rsidRPr="00C35766">
        <w:rPr>
          <w:rFonts w:eastAsia="Times New Roman"/>
          <w:b/>
          <w:bCs/>
          <w:lang w:val="it-IT"/>
        </w:rPr>
        <w:t xml:space="preserve">Tabella </w:t>
      </w:r>
      <w:r w:rsidR="00150B5C">
        <w:rPr>
          <w:rFonts w:eastAsia="Times New Roman"/>
          <w:b/>
          <w:bCs/>
          <w:lang w:val="it-IT"/>
        </w:rPr>
        <w:t>9</w:t>
      </w:r>
    </w:p>
    <w:p w14:paraId="36EDAD48" w14:textId="77777777" w:rsidR="00F91711" w:rsidRPr="00C35766" w:rsidRDefault="00F91711" w:rsidP="00F91711">
      <w:pPr>
        <w:pStyle w:val="a3"/>
        <w:jc w:val="center"/>
        <w:rPr>
          <w:b/>
          <w:lang w:val="it-IT"/>
        </w:rPr>
      </w:pPr>
      <w:r w:rsidRPr="00C35766">
        <w:rPr>
          <w:rFonts w:eastAsia="Times New Roman"/>
          <w:b/>
          <w:bCs/>
          <w:lang w:val="it-IT"/>
        </w:rPr>
        <w:t>Studio I sulla psoriasi (REVEAL) - Risultati relativi all’efficacia alla settimana 16</w:t>
      </w:r>
    </w:p>
    <w:tbl>
      <w:tblPr>
        <w:tblStyle w:val="TableNormal1"/>
        <w:tblW w:w="9356" w:type="dxa"/>
        <w:tblInd w:w="136" w:type="dxa"/>
        <w:tblLayout w:type="fixed"/>
        <w:tblLook w:val="01E0" w:firstRow="1" w:lastRow="1" w:firstColumn="1" w:lastColumn="1" w:noHBand="0" w:noVBand="0"/>
      </w:tblPr>
      <w:tblGrid>
        <w:gridCol w:w="3827"/>
        <w:gridCol w:w="2694"/>
        <w:gridCol w:w="2835"/>
      </w:tblGrid>
      <w:tr w:rsidR="00F91711" w:rsidRPr="00C35766" w14:paraId="0BBFCADD" w14:textId="77777777" w:rsidTr="001E77AC">
        <w:tc>
          <w:tcPr>
            <w:tcW w:w="3827" w:type="dxa"/>
            <w:tcBorders>
              <w:top w:val="single" w:sz="5" w:space="0" w:color="000000"/>
              <w:left w:val="single" w:sz="5" w:space="0" w:color="000000"/>
              <w:bottom w:val="single" w:sz="5" w:space="0" w:color="000000"/>
              <w:right w:val="single" w:sz="5" w:space="0" w:color="000000"/>
            </w:tcBorders>
          </w:tcPr>
          <w:p w14:paraId="571D6C5C" w14:textId="77777777" w:rsidR="00F91711" w:rsidRPr="00C35766" w:rsidRDefault="00F91711" w:rsidP="00F91711">
            <w:pPr>
              <w:rPr>
                <w:rFonts w:ascii="Times New Roman" w:hAnsi="Times New Roman" w:cs="Times New Roman"/>
                <w:lang w:val="it-IT"/>
              </w:rPr>
            </w:pPr>
          </w:p>
        </w:tc>
        <w:tc>
          <w:tcPr>
            <w:tcW w:w="2694" w:type="dxa"/>
            <w:tcBorders>
              <w:top w:val="single" w:sz="5" w:space="0" w:color="000000"/>
              <w:left w:val="single" w:sz="5" w:space="0" w:color="000000"/>
              <w:bottom w:val="single" w:sz="5" w:space="0" w:color="000000"/>
              <w:right w:val="single" w:sz="5" w:space="0" w:color="000000"/>
            </w:tcBorders>
          </w:tcPr>
          <w:p w14:paraId="4331CA09" w14:textId="77777777" w:rsidR="001E77AC" w:rsidRPr="00C35766" w:rsidRDefault="00F91711" w:rsidP="001E77AC">
            <w:pPr>
              <w:pStyle w:val="TableParagraph"/>
              <w:spacing w:before="3" w:line="252" w:lineRule="exact"/>
              <w:ind w:left="498" w:right="433" w:firstLine="347"/>
              <w:jc w:val="both"/>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Placebo </w:t>
            </w:r>
          </w:p>
          <w:p w14:paraId="1ED2F105" w14:textId="7641539E" w:rsidR="00F91711" w:rsidRPr="00C35766" w:rsidRDefault="00F91711" w:rsidP="001E77AC">
            <w:pPr>
              <w:pStyle w:val="TableParagraph"/>
              <w:spacing w:before="3" w:line="252" w:lineRule="exact"/>
              <w:ind w:left="498" w:right="433" w:firstLine="347"/>
              <w:jc w:val="both"/>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 xml:space="preserve">N=398 </w:t>
            </w:r>
          </w:p>
          <w:p w14:paraId="1D75205D" w14:textId="082B2A53" w:rsidR="00F91711" w:rsidRPr="00C35766" w:rsidRDefault="00F91711" w:rsidP="00626057">
            <w:pPr>
              <w:pStyle w:val="TableParagraph"/>
              <w:spacing w:before="3" w:line="252" w:lineRule="exact"/>
              <w:ind w:right="433" w:firstLineChars="456" w:firstLine="1004"/>
              <w:rPr>
                <w:rFonts w:ascii="Times New Roman" w:eastAsia="Times New Roman" w:hAnsi="Times New Roman" w:cs="Times New Roman"/>
              </w:rPr>
            </w:pPr>
            <w:r w:rsidRPr="00C35766">
              <w:rPr>
                <w:rFonts w:ascii="Times New Roman" w:eastAsia="Times New Roman" w:hAnsi="Times New Roman" w:cs="Times New Roman"/>
                <w:b/>
                <w:bCs/>
                <w:lang w:val="it-IT"/>
              </w:rPr>
              <w:t>n (%)</w:t>
            </w:r>
          </w:p>
        </w:tc>
        <w:tc>
          <w:tcPr>
            <w:tcW w:w="2835" w:type="dxa"/>
            <w:tcBorders>
              <w:top w:val="single" w:sz="5" w:space="0" w:color="000000"/>
              <w:left w:val="single" w:sz="5" w:space="0" w:color="000000"/>
              <w:bottom w:val="single" w:sz="5" w:space="0" w:color="000000"/>
              <w:right w:val="single" w:sz="5" w:space="0" w:color="000000"/>
            </w:tcBorders>
          </w:tcPr>
          <w:p w14:paraId="31675791" w14:textId="77777777" w:rsidR="00F91711" w:rsidRPr="00C35766" w:rsidRDefault="00F91711" w:rsidP="00F91711">
            <w:pPr>
              <w:pStyle w:val="TableParagraph"/>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Adalimumab 40 mg a settimane alterne </w:t>
            </w:r>
          </w:p>
          <w:p w14:paraId="64972FF6" w14:textId="77777777" w:rsidR="00F91711" w:rsidRPr="00C35766" w:rsidRDefault="00F91711" w:rsidP="00F91711">
            <w:pPr>
              <w:pStyle w:val="TableParagraph"/>
              <w:spacing w:before="3" w:line="252" w:lineRule="exact"/>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N=814 </w:t>
            </w:r>
          </w:p>
          <w:p w14:paraId="1717EBDA" w14:textId="77777777" w:rsidR="00F91711" w:rsidRPr="00C35766" w:rsidRDefault="00F91711" w:rsidP="00F91711">
            <w:pPr>
              <w:pStyle w:val="TableParagraph"/>
              <w:spacing w:before="3" w:line="252" w:lineRule="exact"/>
              <w:ind w:left="277" w:right="271"/>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F91711" w:rsidRPr="00C35766" w14:paraId="17426D11" w14:textId="77777777" w:rsidTr="001E77AC">
        <w:tc>
          <w:tcPr>
            <w:tcW w:w="3827" w:type="dxa"/>
            <w:tcBorders>
              <w:top w:val="single" w:sz="5" w:space="0" w:color="000000"/>
              <w:left w:val="single" w:sz="5" w:space="0" w:color="000000"/>
              <w:bottom w:val="single" w:sz="5" w:space="0" w:color="000000"/>
              <w:right w:val="single" w:sz="5" w:space="0" w:color="000000"/>
            </w:tcBorders>
          </w:tcPr>
          <w:p w14:paraId="57D62A65" w14:textId="77777777" w:rsidR="00F91711" w:rsidRPr="00C35766" w:rsidRDefault="00F91711" w:rsidP="00F91711">
            <w:pPr>
              <w:pStyle w:val="TableParagraph"/>
              <w:spacing w:line="267" w:lineRule="exact"/>
              <w:ind w:left="320"/>
              <w:rPr>
                <w:rFonts w:ascii="Times New Roman" w:eastAsia="Times New Roman" w:hAnsi="Times New Roman" w:cs="Times New Roman"/>
              </w:rPr>
            </w:pPr>
            <w:r w:rsidRPr="00C35766">
              <w:rPr>
                <w:rFonts w:ascii="Times New Roman" w:eastAsia="Symbol" w:hAnsi="Times New Roman" w:cs="Times New Roman"/>
                <w:b/>
                <w:bCs/>
                <w:lang w:val="it-IT"/>
              </w:rPr>
              <w:sym w:font="Symbol" w:char="F0B3"/>
            </w:r>
            <w:r w:rsidRPr="00C35766">
              <w:rPr>
                <w:rFonts w:ascii="Times New Roman" w:eastAsia="Symbol" w:hAnsi="Times New Roman" w:cs="Times New Roman"/>
                <w:b/>
                <w:bCs/>
                <w:lang w:val="it-IT"/>
              </w:rPr>
              <w:sym w:font="Symbol" w:char="F020"/>
            </w:r>
            <w:r w:rsidRPr="00C35766">
              <w:rPr>
                <w:rFonts w:ascii="Times New Roman" w:eastAsia="Times New Roman" w:hAnsi="Times New Roman" w:cs="Times New Roman"/>
                <w:b/>
                <w:bCs/>
                <w:lang w:val="it-IT"/>
              </w:rPr>
              <w:t>PASI 75</w:t>
            </w:r>
            <w:r w:rsidRPr="00C35766">
              <w:rPr>
                <w:rFonts w:ascii="Times New Roman" w:eastAsia="Times New Roman" w:hAnsi="Times New Roman" w:cs="Times New Roman"/>
                <w:b/>
                <w:bCs/>
                <w:vertAlign w:val="superscript"/>
                <w:lang w:val="it-IT"/>
              </w:rPr>
              <w:t>a</w:t>
            </w:r>
          </w:p>
        </w:tc>
        <w:tc>
          <w:tcPr>
            <w:tcW w:w="2694" w:type="dxa"/>
            <w:tcBorders>
              <w:top w:val="single" w:sz="5" w:space="0" w:color="000000"/>
              <w:left w:val="single" w:sz="5" w:space="0" w:color="000000"/>
              <w:bottom w:val="single" w:sz="5" w:space="0" w:color="000000"/>
              <w:right w:val="single" w:sz="5" w:space="0" w:color="000000"/>
            </w:tcBorders>
          </w:tcPr>
          <w:p w14:paraId="4E2541AD" w14:textId="77777777" w:rsidR="00F91711" w:rsidRPr="00C35766" w:rsidRDefault="00F91711" w:rsidP="00626057">
            <w:pPr>
              <w:pStyle w:val="TableParagraph"/>
              <w:spacing w:line="246" w:lineRule="exact"/>
              <w:ind w:leftChars="-145" w:left="5" w:hangingChars="148" w:hanging="32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26 (6,5)</w:t>
            </w:r>
          </w:p>
        </w:tc>
        <w:tc>
          <w:tcPr>
            <w:tcW w:w="2835" w:type="dxa"/>
            <w:tcBorders>
              <w:top w:val="single" w:sz="5" w:space="0" w:color="000000"/>
              <w:left w:val="single" w:sz="5" w:space="0" w:color="000000"/>
              <w:bottom w:val="single" w:sz="5" w:space="0" w:color="000000"/>
              <w:right w:val="single" w:sz="5" w:space="0" w:color="000000"/>
            </w:tcBorders>
          </w:tcPr>
          <w:p w14:paraId="065573A6" w14:textId="77777777" w:rsidR="00F91711" w:rsidRPr="00C35766" w:rsidRDefault="00F91711" w:rsidP="00F91711">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578 (70,9)</w:t>
            </w:r>
            <w:r w:rsidRPr="00C35766">
              <w:rPr>
                <w:rFonts w:ascii="Times New Roman" w:eastAsia="Times New Roman" w:hAnsi="Times New Roman" w:cs="Times New Roman"/>
                <w:spacing w:val="-1"/>
                <w:vertAlign w:val="superscript"/>
                <w:lang w:val="it-IT"/>
              </w:rPr>
              <w:t>b</w:t>
            </w:r>
          </w:p>
        </w:tc>
      </w:tr>
      <w:tr w:rsidR="00F91711" w:rsidRPr="00C35766" w14:paraId="1E542A04" w14:textId="77777777" w:rsidTr="001E77AC">
        <w:tc>
          <w:tcPr>
            <w:tcW w:w="3827" w:type="dxa"/>
            <w:tcBorders>
              <w:top w:val="single" w:sz="5" w:space="0" w:color="000000"/>
              <w:left w:val="single" w:sz="5" w:space="0" w:color="000000"/>
              <w:bottom w:val="single" w:sz="5" w:space="0" w:color="000000"/>
              <w:right w:val="single" w:sz="5" w:space="0" w:color="000000"/>
            </w:tcBorders>
          </w:tcPr>
          <w:p w14:paraId="6A5EDCC5" w14:textId="77777777" w:rsidR="00F91711" w:rsidRPr="00C35766" w:rsidRDefault="00F91711" w:rsidP="00F91711">
            <w:pPr>
              <w:pStyle w:val="TableParagraph"/>
              <w:spacing w:line="251"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t>PASI 100</w:t>
            </w:r>
          </w:p>
        </w:tc>
        <w:tc>
          <w:tcPr>
            <w:tcW w:w="2694" w:type="dxa"/>
            <w:tcBorders>
              <w:top w:val="single" w:sz="5" w:space="0" w:color="000000"/>
              <w:left w:val="single" w:sz="5" w:space="0" w:color="000000"/>
              <w:bottom w:val="single" w:sz="5" w:space="0" w:color="000000"/>
              <w:right w:val="single" w:sz="5" w:space="0" w:color="000000"/>
            </w:tcBorders>
          </w:tcPr>
          <w:p w14:paraId="5448693A" w14:textId="77777777" w:rsidR="00F91711" w:rsidRPr="00C35766" w:rsidRDefault="00F91711" w:rsidP="00626057">
            <w:pPr>
              <w:pStyle w:val="TableParagraph"/>
              <w:spacing w:line="246" w:lineRule="exact"/>
              <w:ind w:leftChars="-145" w:left="7" w:hangingChars="148" w:hanging="326"/>
              <w:jc w:val="center"/>
              <w:rPr>
                <w:rFonts w:ascii="Times New Roman" w:eastAsia="Times New Roman" w:hAnsi="Times New Roman" w:cs="Times New Roman"/>
              </w:rPr>
            </w:pPr>
            <w:r w:rsidRPr="00C35766">
              <w:rPr>
                <w:rFonts w:ascii="Times New Roman" w:eastAsia="Times New Roman" w:hAnsi="Times New Roman" w:cs="Times New Roman"/>
                <w:lang w:val="it-IT"/>
              </w:rPr>
              <w:t>3 (0,8)</w:t>
            </w:r>
          </w:p>
        </w:tc>
        <w:tc>
          <w:tcPr>
            <w:tcW w:w="2835" w:type="dxa"/>
            <w:tcBorders>
              <w:top w:val="single" w:sz="5" w:space="0" w:color="000000"/>
              <w:left w:val="single" w:sz="5" w:space="0" w:color="000000"/>
              <w:bottom w:val="single" w:sz="5" w:space="0" w:color="000000"/>
              <w:right w:val="single" w:sz="5" w:space="0" w:color="000000"/>
            </w:tcBorders>
          </w:tcPr>
          <w:p w14:paraId="78F9B2FA" w14:textId="77777777" w:rsidR="00F91711" w:rsidRPr="00C35766" w:rsidRDefault="00F91711" w:rsidP="00F91711">
            <w:pPr>
              <w:pStyle w:val="TableParagraph"/>
              <w:spacing w:line="246" w:lineRule="exact"/>
              <w:ind w:left="678"/>
              <w:rPr>
                <w:rFonts w:ascii="Times New Roman" w:eastAsia="Times New Roman" w:hAnsi="Times New Roman" w:cs="Times New Roman"/>
                <w:vertAlign w:val="superscript"/>
              </w:rPr>
            </w:pPr>
            <w:r w:rsidRPr="00C35766">
              <w:rPr>
                <w:rFonts w:ascii="Times New Roman" w:eastAsia="Times New Roman" w:hAnsi="Times New Roman" w:cs="Times New Roman"/>
                <w:spacing w:val="-1"/>
                <w:lang w:val="it-IT"/>
              </w:rPr>
              <w:t>163 (20,0)</w:t>
            </w:r>
            <w:r w:rsidRPr="00C35766">
              <w:rPr>
                <w:rFonts w:ascii="Times New Roman" w:hAnsi="Times New Roman" w:cs="Times New Roman"/>
                <w:spacing w:val="-1"/>
                <w:vertAlign w:val="superscript"/>
                <w:lang w:val="it-IT"/>
              </w:rPr>
              <w:t>b</w:t>
            </w:r>
          </w:p>
        </w:tc>
      </w:tr>
      <w:tr w:rsidR="00F91711" w:rsidRPr="00C35766" w14:paraId="0EBDF315" w14:textId="77777777" w:rsidTr="001E77AC">
        <w:tc>
          <w:tcPr>
            <w:tcW w:w="3827" w:type="dxa"/>
            <w:tcBorders>
              <w:top w:val="single" w:sz="5" w:space="0" w:color="000000"/>
              <w:left w:val="single" w:sz="5" w:space="0" w:color="000000"/>
              <w:bottom w:val="single" w:sz="5" w:space="0" w:color="000000"/>
              <w:right w:val="single" w:sz="5" w:space="0" w:color="000000"/>
            </w:tcBorders>
          </w:tcPr>
          <w:p w14:paraId="1DDCA569" w14:textId="77777777" w:rsidR="00F91711" w:rsidRPr="00C35766" w:rsidRDefault="00F91711" w:rsidP="00F91711">
            <w:pPr>
              <w:pStyle w:val="TableParagraph"/>
              <w:spacing w:line="250"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lastRenderedPageBreak/>
              <w:t>PGA: Guarigione/Marcato miglioramento</w:t>
            </w:r>
          </w:p>
        </w:tc>
        <w:tc>
          <w:tcPr>
            <w:tcW w:w="2694" w:type="dxa"/>
            <w:tcBorders>
              <w:top w:val="single" w:sz="5" w:space="0" w:color="000000"/>
              <w:left w:val="single" w:sz="5" w:space="0" w:color="000000"/>
              <w:bottom w:val="single" w:sz="5" w:space="0" w:color="000000"/>
              <w:right w:val="single" w:sz="5" w:space="0" w:color="000000"/>
            </w:tcBorders>
          </w:tcPr>
          <w:p w14:paraId="34C26B56" w14:textId="77777777" w:rsidR="00F91711" w:rsidRPr="00C35766" w:rsidRDefault="00F91711" w:rsidP="00626057">
            <w:pPr>
              <w:pStyle w:val="TableParagraph"/>
              <w:spacing w:line="246" w:lineRule="exact"/>
              <w:ind w:leftChars="-145" w:left="5" w:hangingChars="148" w:hanging="32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17 (4,3)</w:t>
            </w:r>
          </w:p>
        </w:tc>
        <w:tc>
          <w:tcPr>
            <w:tcW w:w="2835" w:type="dxa"/>
            <w:tcBorders>
              <w:top w:val="single" w:sz="5" w:space="0" w:color="000000"/>
              <w:left w:val="single" w:sz="5" w:space="0" w:color="000000"/>
              <w:bottom w:val="single" w:sz="5" w:space="0" w:color="000000"/>
              <w:right w:val="single" w:sz="5" w:space="0" w:color="000000"/>
            </w:tcBorders>
          </w:tcPr>
          <w:p w14:paraId="219C92F1" w14:textId="77777777" w:rsidR="00F91711" w:rsidRPr="00C35766" w:rsidRDefault="00F91711" w:rsidP="00F91711">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506 (62,2)</w:t>
            </w:r>
            <w:r w:rsidRPr="00C35766">
              <w:rPr>
                <w:rFonts w:ascii="Times New Roman" w:eastAsia="Times New Roman" w:hAnsi="Times New Roman" w:cs="Times New Roman"/>
                <w:spacing w:val="-1"/>
                <w:vertAlign w:val="superscript"/>
                <w:lang w:val="it-IT"/>
              </w:rPr>
              <w:t>b</w:t>
            </w:r>
          </w:p>
        </w:tc>
      </w:tr>
      <w:tr w:rsidR="00F91711" w:rsidRPr="00C35766" w14:paraId="70758BD2" w14:textId="77777777" w:rsidTr="001E77AC">
        <w:tc>
          <w:tcPr>
            <w:tcW w:w="9356" w:type="dxa"/>
            <w:gridSpan w:val="3"/>
            <w:tcBorders>
              <w:top w:val="single" w:sz="5" w:space="0" w:color="000000"/>
              <w:left w:val="single" w:sz="5" w:space="0" w:color="000000"/>
              <w:bottom w:val="single" w:sz="5" w:space="0" w:color="000000"/>
              <w:right w:val="single" w:sz="5" w:space="0" w:color="000000"/>
            </w:tcBorders>
          </w:tcPr>
          <w:p w14:paraId="282323B4" w14:textId="77777777" w:rsidR="00F91711" w:rsidRPr="00C35766" w:rsidRDefault="00F91711" w:rsidP="00F91711">
            <w:pPr>
              <w:pStyle w:val="TableParagraph"/>
              <w:ind w:left="102"/>
              <w:rPr>
                <w:rFonts w:ascii="Times New Roman" w:eastAsia="Times New Roman" w:hAnsi="Times New Roman" w:cs="Times New Roman"/>
                <w:position w:val="8"/>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La percentuale di pazienti che ha ottenuto una risposta PASI 75 è stata calcolata sotto forma di centre-adjusted rate</w:t>
            </w:r>
          </w:p>
          <w:p w14:paraId="671D7745" w14:textId="77777777" w:rsidR="00F91711" w:rsidRPr="00C35766" w:rsidRDefault="00F91711" w:rsidP="00F91711">
            <w:pPr>
              <w:pStyle w:val="TableParagraph"/>
              <w:ind w:left="102"/>
              <w:rPr>
                <w:rFonts w:ascii="Times New Roman" w:hAnsi="Times New Roman" w:cs="Times New Roman"/>
                <w:position w:val="8"/>
              </w:rPr>
            </w:pPr>
            <w:r w:rsidRPr="00C35766">
              <w:rPr>
                <w:rFonts w:ascii="Times New Roman" w:hAnsi="Times New Roman" w:cs="Times New Roman"/>
                <w:position w:val="8"/>
                <w:vertAlign w:val="superscript"/>
              </w:rPr>
              <w:t xml:space="preserve">b </w:t>
            </w:r>
            <w:r w:rsidRPr="00C35766">
              <w:rPr>
                <w:rFonts w:ascii="Times New Roman" w:hAnsi="Times New Roman" w:cs="Times New Roman"/>
                <w:position w:val="8"/>
              </w:rPr>
              <w:t xml:space="preserve">p &lt; 0,001, adalimumab </w:t>
            </w:r>
            <w:r w:rsidRPr="00C35766">
              <w:rPr>
                <w:rFonts w:ascii="Times New Roman" w:eastAsia="Times New Roman" w:hAnsi="Times New Roman" w:cs="Times New Roman"/>
                <w:position w:val="8"/>
              </w:rPr>
              <w:t xml:space="preserve">vs. </w:t>
            </w:r>
            <w:r w:rsidRPr="00C35766">
              <w:rPr>
                <w:rFonts w:ascii="Times New Roman" w:hAnsi="Times New Roman" w:cs="Times New Roman"/>
                <w:position w:val="8"/>
              </w:rPr>
              <w:t>placebo</w:t>
            </w:r>
          </w:p>
        </w:tc>
      </w:tr>
    </w:tbl>
    <w:p w14:paraId="6881FDDC" w14:textId="77777777" w:rsidR="00F91711" w:rsidRPr="006501B3" w:rsidRDefault="00F91711" w:rsidP="00F91711">
      <w:pPr>
        <w:spacing w:line="110" w:lineRule="exact"/>
        <w:rPr>
          <w:rFonts w:ascii="Times New Roman" w:hAnsi="Times New Roman" w:cs="Times New Roman"/>
          <w:sz w:val="11"/>
          <w:szCs w:val="11"/>
        </w:rPr>
      </w:pPr>
    </w:p>
    <w:p w14:paraId="5DF4C373" w14:textId="77777777" w:rsidR="00F91711" w:rsidRPr="006501B3" w:rsidRDefault="00F91711" w:rsidP="00F91711">
      <w:pPr>
        <w:spacing w:before="3" w:line="170" w:lineRule="exact"/>
        <w:rPr>
          <w:rFonts w:ascii="Times New Roman" w:hAnsi="Times New Roman" w:cs="Times New Roman"/>
          <w:sz w:val="17"/>
          <w:szCs w:val="17"/>
        </w:rPr>
      </w:pPr>
    </w:p>
    <w:p w14:paraId="11FB0D83" w14:textId="49CDFD48" w:rsidR="00F91711" w:rsidRPr="00C35766" w:rsidRDefault="00F91711" w:rsidP="00F91711">
      <w:pPr>
        <w:pStyle w:val="a3"/>
        <w:jc w:val="center"/>
        <w:rPr>
          <w:b/>
          <w:lang w:val="it-IT"/>
        </w:rPr>
      </w:pPr>
      <w:r w:rsidRPr="00C35766">
        <w:rPr>
          <w:rFonts w:eastAsia="Times New Roman"/>
          <w:b/>
          <w:bCs/>
          <w:lang w:val="it-IT"/>
        </w:rPr>
        <w:t xml:space="preserve">Tabella </w:t>
      </w:r>
      <w:r w:rsidR="00150B5C">
        <w:rPr>
          <w:rFonts w:eastAsia="Times New Roman"/>
          <w:b/>
          <w:bCs/>
          <w:lang w:val="it-IT"/>
        </w:rPr>
        <w:t>10</w:t>
      </w:r>
    </w:p>
    <w:p w14:paraId="6742224B" w14:textId="77777777" w:rsidR="00F91711" w:rsidRDefault="00F91711" w:rsidP="00F91711">
      <w:pPr>
        <w:pStyle w:val="a3"/>
        <w:jc w:val="center"/>
        <w:rPr>
          <w:rFonts w:eastAsia="Times New Roman"/>
          <w:b/>
          <w:bCs/>
          <w:lang w:val="it-IT"/>
        </w:rPr>
      </w:pPr>
      <w:r w:rsidRPr="00C35766">
        <w:rPr>
          <w:rFonts w:eastAsia="Times New Roman"/>
          <w:b/>
          <w:bCs/>
          <w:lang w:val="it-IT"/>
        </w:rPr>
        <w:t>Studio II sulla psoriasi (CHAMPION) - Risultati relativi all’efficacia alla settimana 16</w:t>
      </w:r>
    </w:p>
    <w:p w14:paraId="25A199D4" w14:textId="77777777" w:rsidR="00A842FF" w:rsidRPr="00C35766" w:rsidRDefault="00A842FF" w:rsidP="00F91711">
      <w:pPr>
        <w:pStyle w:val="a3"/>
        <w:jc w:val="center"/>
        <w:rPr>
          <w:b/>
          <w:lang w:val="it-IT"/>
        </w:rPr>
      </w:pPr>
    </w:p>
    <w:tbl>
      <w:tblPr>
        <w:tblStyle w:val="ac"/>
        <w:tblW w:w="9439" w:type="dxa"/>
        <w:tblInd w:w="111" w:type="dxa"/>
        <w:tblLayout w:type="fixed"/>
        <w:tblLook w:val="04A0" w:firstRow="1" w:lastRow="0" w:firstColumn="1" w:lastColumn="0" w:noHBand="0" w:noVBand="1"/>
      </w:tblPr>
      <w:tblGrid>
        <w:gridCol w:w="2294"/>
        <w:gridCol w:w="2197"/>
        <w:gridCol w:w="2197"/>
        <w:gridCol w:w="2751"/>
      </w:tblGrid>
      <w:tr w:rsidR="00F91711" w:rsidRPr="00C35766" w14:paraId="0E64BF65" w14:textId="77777777" w:rsidTr="00F91711">
        <w:tc>
          <w:tcPr>
            <w:tcW w:w="2294" w:type="dxa"/>
            <w:vAlign w:val="center"/>
          </w:tcPr>
          <w:p w14:paraId="6F2A90ED" w14:textId="77777777" w:rsidR="00F91711" w:rsidRPr="00C35766" w:rsidRDefault="00F91711" w:rsidP="00F91711">
            <w:pPr>
              <w:pStyle w:val="a3"/>
              <w:rPr>
                <w:lang w:val="it-IT"/>
              </w:rPr>
            </w:pPr>
          </w:p>
        </w:tc>
        <w:tc>
          <w:tcPr>
            <w:tcW w:w="2197" w:type="dxa"/>
            <w:vAlign w:val="center"/>
          </w:tcPr>
          <w:p w14:paraId="4F06D3B3" w14:textId="77777777" w:rsidR="00F91711" w:rsidRPr="00C35766" w:rsidRDefault="00F91711" w:rsidP="00F91711">
            <w:pPr>
              <w:pStyle w:val="TableParagraph"/>
              <w:spacing w:before="4"/>
              <w:ind w:left="459" w:right="459"/>
              <w:jc w:val="center"/>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Placebo N=53</w:t>
            </w:r>
          </w:p>
          <w:p w14:paraId="53F460C1" w14:textId="77777777" w:rsidR="00F91711" w:rsidRPr="00C35766" w:rsidRDefault="00F91711" w:rsidP="00F91711">
            <w:pPr>
              <w:pStyle w:val="TableParagraph"/>
              <w:spacing w:before="4"/>
              <w:ind w:left="459" w:right="459"/>
              <w:jc w:val="center"/>
              <w:rPr>
                <w:rFonts w:ascii="Times New Roman" w:hAnsi="Times New Roman" w:cs="Times New Roman"/>
                <w:b/>
              </w:rPr>
            </w:pPr>
            <w:r w:rsidRPr="00C35766">
              <w:rPr>
                <w:rFonts w:ascii="Times New Roman" w:eastAsia="Times New Roman" w:hAnsi="Times New Roman" w:cs="Times New Roman"/>
                <w:b/>
                <w:bCs/>
                <w:lang w:val="it-IT"/>
              </w:rPr>
              <w:t>n (%)</w:t>
            </w:r>
          </w:p>
        </w:tc>
        <w:tc>
          <w:tcPr>
            <w:tcW w:w="2197" w:type="dxa"/>
            <w:vAlign w:val="center"/>
          </w:tcPr>
          <w:p w14:paraId="6130A713" w14:textId="77777777" w:rsidR="00F91711" w:rsidRPr="00C35766" w:rsidRDefault="00F91711" w:rsidP="00F91711">
            <w:pPr>
              <w:pStyle w:val="a3"/>
              <w:jc w:val="center"/>
              <w:rPr>
                <w:b/>
              </w:rPr>
            </w:pPr>
            <w:r w:rsidRPr="00C35766">
              <w:rPr>
                <w:rFonts w:eastAsia="Times New Roman"/>
                <w:b/>
                <w:bCs/>
                <w:lang w:val="it-IT"/>
              </w:rPr>
              <w:t>MTX</w:t>
            </w:r>
          </w:p>
          <w:p w14:paraId="22867160" w14:textId="77777777" w:rsidR="00F91711" w:rsidRPr="00C35766" w:rsidRDefault="00F91711" w:rsidP="00F91711">
            <w:pPr>
              <w:pStyle w:val="a3"/>
              <w:jc w:val="center"/>
              <w:rPr>
                <w:b/>
              </w:rPr>
            </w:pPr>
            <w:r w:rsidRPr="00C35766">
              <w:rPr>
                <w:rFonts w:eastAsia="Times New Roman"/>
                <w:b/>
                <w:bCs/>
                <w:lang w:val="it-IT"/>
              </w:rPr>
              <w:t>N=110</w:t>
            </w:r>
          </w:p>
          <w:p w14:paraId="1AB831D1" w14:textId="77777777" w:rsidR="00F91711" w:rsidRPr="00C35766" w:rsidRDefault="00F91711" w:rsidP="00F91711">
            <w:pPr>
              <w:pStyle w:val="a3"/>
              <w:jc w:val="center"/>
            </w:pPr>
            <w:r w:rsidRPr="00C35766">
              <w:rPr>
                <w:rFonts w:eastAsia="Times New Roman"/>
                <w:b/>
                <w:bCs/>
                <w:lang w:val="it-IT"/>
              </w:rPr>
              <w:t>n (%)</w:t>
            </w:r>
          </w:p>
        </w:tc>
        <w:tc>
          <w:tcPr>
            <w:tcW w:w="2751" w:type="dxa"/>
            <w:vAlign w:val="center"/>
          </w:tcPr>
          <w:p w14:paraId="275BCC69" w14:textId="77777777" w:rsidR="00F91711" w:rsidRPr="00C35766" w:rsidRDefault="00F91711" w:rsidP="00F91711">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Adalimumab 40 mg a settimane alterne</w:t>
            </w:r>
          </w:p>
          <w:p w14:paraId="07BD9571" w14:textId="77777777" w:rsidR="00F91711" w:rsidRPr="00C35766" w:rsidRDefault="00F91711" w:rsidP="00F91711">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N=108</w:t>
            </w:r>
          </w:p>
          <w:p w14:paraId="0F1AB37F" w14:textId="77777777" w:rsidR="00F91711" w:rsidRPr="00C35766" w:rsidRDefault="00F91711" w:rsidP="00F91711">
            <w:pPr>
              <w:pStyle w:val="TableParagraph"/>
              <w:spacing w:before="4"/>
              <w:ind w:left="113" w:right="113"/>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F91711" w:rsidRPr="00C35766" w14:paraId="2A182F61" w14:textId="77777777" w:rsidTr="00F91711">
        <w:tc>
          <w:tcPr>
            <w:tcW w:w="2294" w:type="dxa"/>
          </w:tcPr>
          <w:p w14:paraId="4A0F3845" w14:textId="77777777" w:rsidR="00F91711" w:rsidRPr="00C35766" w:rsidRDefault="00F91711" w:rsidP="00F91711">
            <w:pPr>
              <w:pStyle w:val="a3"/>
              <w:rPr>
                <w:b/>
              </w:rPr>
            </w:pPr>
            <w:r w:rsidRPr="00C35766">
              <w:rPr>
                <w:rFonts w:eastAsia="Symbol"/>
                <w:b/>
                <w:lang w:val="it-IT"/>
              </w:rPr>
              <w:sym w:font="Symbol" w:char="F0B3"/>
            </w:r>
            <w:r w:rsidRPr="00C35766">
              <w:rPr>
                <w:rFonts w:eastAsia="Symbol"/>
                <w:b/>
                <w:lang w:val="it-IT"/>
              </w:rPr>
              <w:sym w:font="Symbol" w:char="F020"/>
            </w:r>
            <w:r w:rsidRPr="00C35766">
              <w:rPr>
                <w:rFonts w:eastAsia="Times New Roman"/>
                <w:b/>
                <w:lang w:val="it-IT"/>
              </w:rPr>
              <w:t>PASI 75</w:t>
            </w:r>
          </w:p>
        </w:tc>
        <w:tc>
          <w:tcPr>
            <w:tcW w:w="2197" w:type="dxa"/>
          </w:tcPr>
          <w:p w14:paraId="44EE79D8" w14:textId="77777777" w:rsidR="00F91711" w:rsidRPr="00C35766" w:rsidRDefault="00F91711" w:rsidP="00F91711">
            <w:pPr>
              <w:pStyle w:val="a3"/>
              <w:jc w:val="center"/>
              <w:rPr>
                <w:b/>
              </w:rPr>
            </w:pPr>
            <w:r w:rsidRPr="00C35766">
              <w:rPr>
                <w:rFonts w:eastAsia="Times New Roman"/>
                <w:lang w:val="it-IT"/>
              </w:rPr>
              <w:t>10 (18,9)</w:t>
            </w:r>
          </w:p>
        </w:tc>
        <w:tc>
          <w:tcPr>
            <w:tcW w:w="2197" w:type="dxa"/>
          </w:tcPr>
          <w:p w14:paraId="0BC537F3" w14:textId="77777777" w:rsidR="00F91711" w:rsidRPr="00C35766" w:rsidRDefault="00F91711" w:rsidP="00F91711">
            <w:pPr>
              <w:pStyle w:val="a3"/>
              <w:jc w:val="center"/>
              <w:rPr>
                <w:b/>
              </w:rPr>
            </w:pPr>
            <w:r w:rsidRPr="00C35766">
              <w:rPr>
                <w:rFonts w:eastAsia="Times New Roman"/>
                <w:lang w:val="it-IT"/>
              </w:rPr>
              <w:t>39 (35,5)</w:t>
            </w:r>
          </w:p>
        </w:tc>
        <w:tc>
          <w:tcPr>
            <w:tcW w:w="2751" w:type="dxa"/>
          </w:tcPr>
          <w:p w14:paraId="28002F02" w14:textId="77777777" w:rsidR="00F91711" w:rsidRPr="00C35766" w:rsidRDefault="00F91711" w:rsidP="00F91711">
            <w:pPr>
              <w:pStyle w:val="a3"/>
              <w:jc w:val="center"/>
              <w:rPr>
                <w:b/>
              </w:rPr>
            </w:pPr>
            <w:r w:rsidRPr="00C35766">
              <w:rPr>
                <w:rFonts w:eastAsia="Times New Roman"/>
                <w:spacing w:val="-1"/>
                <w:lang w:val="it-IT"/>
              </w:rPr>
              <w:t xml:space="preserve">86 (79,6) </w:t>
            </w:r>
            <w:r w:rsidRPr="00C35766">
              <w:rPr>
                <w:rFonts w:eastAsia="Times New Roman"/>
                <w:spacing w:val="-1"/>
                <w:vertAlign w:val="superscript"/>
                <w:lang w:val="it-IT"/>
              </w:rPr>
              <w:t>a, b</w:t>
            </w:r>
          </w:p>
        </w:tc>
      </w:tr>
      <w:tr w:rsidR="00F91711" w:rsidRPr="00C35766" w14:paraId="09937ABB" w14:textId="77777777" w:rsidTr="00F91711">
        <w:tc>
          <w:tcPr>
            <w:tcW w:w="2294" w:type="dxa"/>
          </w:tcPr>
          <w:p w14:paraId="7CDE52EF" w14:textId="77777777" w:rsidR="00F91711" w:rsidRPr="00C35766" w:rsidRDefault="00F91711" w:rsidP="00F91711">
            <w:pPr>
              <w:pStyle w:val="a3"/>
              <w:rPr>
                <w:b/>
              </w:rPr>
            </w:pPr>
            <w:r w:rsidRPr="00C35766">
              <w:rPr>
                <w:rFonts w:eastAsia="Times New Roman"/>
                <w:b/>
                <w:lang w:val="it-IT"/>
              </w:rPr>
              <w:t>PASI 100</w:t>
            </w:r>
          </w:p>
        </w:tc>
        <w:tc>
          <w:tcPr>
            <w:tcW w:w="2197" w:type="dxa"/>
          </w:tcPr>
          <w:p w14:paraId="78208B97" w14:textId="77777777" w:rsidR="00F91711" w:rsidRPr="00C35766" w:rsidRDefault="00F91711" w:rsidP="00F91711">
            <w:pPr>
              <w:pStyle w:val="a3"/>
              <w:jc w:val="center"/>
              <w:rPr>
                <w:b/>
              </w:rPr>
            </w:pPr>
            <w:r w:rsidRPr="00C35766">
              <w:rPr>
                <w:rFonts w:eastAsia="Times New Roman"/>
                <w:lang w:val="it-IT"/>
              </w:rPr>
              <w:t>1 (1,9)</w:t>
            </w:r>
          </w:p>
        </w:tc>
        <w:tc>
          <w:tcPr>
            <w:tcW w:w="2197" w:type="dxa"/>
          </w:tcPr>
          <w:p w14:paraId="139807EF" w14:textId="77777777" w:rsidR="00F91711" w:rsidRPr="00C35766" w:rsidRDefault="00F91711" w:rsidP="00F91711">
            <w:pPr>
              <w:pStyle w:val="a3"/>
              <w:jc w:val="center"/>
              <w:rPr>
                <w:b/>
              </w:rPr>
            </w:pPr>
            <w:r w:rsidRPr="00C35766">
              <w:rPr>
                <w:rFonts w:eastAsia="Times New Roman"/>
                <w:lang w:val="it-IT"/>
              </w:rPr>
              <w:t>8 (7,3)</w:t>
            </w:r>
          </w:p>
        </w:tc>
        <w:tc>
          <w:tcPr>
            <w:tcW w:w="2751" w:type="dxa"/>
          </w:tcPr>
          <w:p w14:paraId="4A751AD7" w14:textId="77777777" w:rsidR="00F91711" w:rsidRPr="00C35766" w:rsidRDefault="00F91711" w:rsidP="00F91711">
            <w:pPr>
              <w:pStyle w:val="a3"/>
              <w:jc w:val="center"/>
              <w:rPr>
                <w:b/>
              </w:rPr>
            </w:pPr>
            <w:r w:rsidRPr="00C35766">
              <w:rPr>
                <w:rFonts w:eastAsia="Times New Roman"/>
                <w:spacing w:val="-1"/>
                <w:lang w:val="it-IT"/>
              </w:rPr>
              <w:t xml:space="preserve">18 (16,7) </w:t>
            </w:r>
            <w:r w:rsidRPr="00C35766">
              <w:rPr>
                <w:rFonts w:eastAsia="Times New Roman"/>
                <w:spacing w:val="-1"/>
                <w:vertAlign w:val="superscript"/>
                <w:lang w:val="it-IT"/>
              </w:rPr>
              <w:t>c, d</w:t>
            </w:r>
          </w:p>
        </w:tc>
      </w:tr>
      <w:tr w:rsidR="00F91711" w:rsidRPr="00C35766" w14:paraId="43BC6234" w14:textId="77777777" w:rsidTr="00F91711">
        <w:tc>
          <w:tcPr>
            <w:tcW w:w="2294" w:type="dxa"/>
          </w:tcPr>
          <w:p w14:paraId="79D81C7D" w14:textId="77777777" w:rsidR="00F91711" w:rsidRPr="00C35766" w:rsidRDefault="00F91711" w:rsidP="00F91711">
            <w:pPr>
              <w:pStyle w:val="TableParagraph"/>
              <w:rPr>
                <w:rFonts w:ascii="Times New Roman" w:hAnsi="Times New Roman" w:cs="Times New Roman"/>
                <w:b/>
              </w:rPr>
            </w:pPr>
            <w:r w:rsidRPr="00C35766">
              <w:rPr>
                <w:rFonts w:ascii="Times New Roman" w:eastAsia="Times New Roman" w:hAnsi="Times New Roman" w:cs="Times New Roman"/>
                <w:b/>
                <w:bCs/>
                <w:lang w:val="it-IT"/>
              </w:rPr>
              <w:t>PGA: Guarigione/Marcato miglioramento</w:t>
            </w:r>
          </w:p>
        </w:tc>
        <w:tc>
          <w:tcPr>
            <w:tcW w:w="2197" w:type="dxa"/>
          </w:tcPr>
          <w:p w14:paraId="72C9EF54" w14:textId="77777777" w:rsidR="00F91711" w:rsidRPr="00C35766" w:rsidRDefault="00F91711" w:rsidP="00F91711">
            <w:pPr>
              <w:pStyle w:val="a3"/>
              <w:jc w:val="center"/>
              <w:rPr>
                <w:b/>
              </w:rPr>
            </w:pPr>
            <w:r w:rsidRPr="00C35766">
              <w:rPr>
                <w:rFonts w:eastAsia="Times New Roman"/>
                <w:lang w:val="it-IT"/>
              </w:rPr>
              <w:t>6 (11,3)</w:t>
            </w:r>
          </w:p>
        </w:tc>
        <w:tc>
          <w:tcPr>
            <w:tcW w:w="2197" w:type="dxa"/>
          </w:tcPr>
          <w:p w14:paraId="47EF5689" w14:textId="77777777" w:rsidR="00F91711" w:rsidRPr="00C35766" w:rsidRDefault="00F91711" w:rsidP="00F91711">
            <w:pPr>
              <w:pStyle w:val="a3"/>
              <w:jc w:val="center"/>
              <w:rPr>
                <w:b/>
              </w:rPr>
            </w:pPr>
            <w:r w:rsidRPr="00C35766">
              <w:rPr>
                <w:rFonts w:eastAsia="Times New Roman"/>
                <w:lang w:val="it-IT"/>
              </w:rPr>
              <w:t>33 (30,0)</w:t>
            </w:r>
          </w:p>
        </w:tc>
        <w:tc>
          <w:tcPr>
            <w:tcW w:w="2751" w:type="dxa"/>
          </w:tcPr>
          <w:p w14:paraId="43D7AAB3" w14:textId="77777777" w:rsidR="00F91711" w:rsidRPr="00C35766" w:rsidRDefault="00F91711" w:rsidP="00F91711">
            <w:pPr>
              <w:pStyle w:val="a3"/>
              <w:jc w:val="center"/>
              <w:rPr>
                <w:b/>
              </w:rPr>
            </w:pPr>
            <w:r w:rsidRPr="00C35766">
              <w:rPr>
                <w:rFonts w:eastAsia="Times New Roman"/>
                <w:spacing w:val="-1"/>
                <w:lang w:val="it-IT"/>
              </w:rPr>
              <w:t xml:space="preserve">79 (73,1) </w:t>
            </w:r>
            <w:r w:rsidRPr="00C35766">
              <w:rPr>
                <w:rFonts w:eastAsia="Times New Roman"/>
                <w:spacing w:val="-1"/>
                <w:vertAlign w:val="superscript"/>
                <w:lang w:val="it-IT"/>
              </w:rPr>
              <w:t>a, b</w:t>
            </w:r>
          </w:p>
        </w:tc>
      </w:tr>
      <w:tr w:rsidR="00F91711" w:rsidRPr="006501B3" w14:paraId="619B757D" w14:textId="77777777" w:rsidTr="00F91711">
        <w:tc>
          <w:tcPr>
            <w:tcW w:w="9439" w:type="dxa"/>
            <w:gridSpan w:val="4"/>
          </w:tcPr>
          <w:p w14:paraId="2D10422E" w14:textId="77777777" w:rsidR="00F91711" w:rsidRPr="00C35766" w:rsidRDefault="00F91711" w:rsidP="00F91711">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 xml:space="preserve">a </w:t>
            </w:r>
            <w:r w:rsidRPr="00C35766">
              <w:rPr>
                <w:rFonts w:ascii="Times New Roman" w:hAnsi="Times New Roman" w:cs="Times New Roman"/>
                <w:position w:val="8"/>
              </w:rPr>
              <w:t>p &lt; 0,001, adalimumab vs placebo</w:t>
            </w:r>
          </w:p>
          <w:p w14:paraId="63C797A8" w14:textId="77777777" w:rsidR="00F91711" w:rsidRPr="00C35766" w:rsidRDefault="00F91711" w:rsidP="00F91711">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b</w:t>
            </w:r>
            <w:r w:rsidRPr="00C35766">
              <w:rPr>
                <w:rFonts w:ascii="Times New Roman" w:hAnsi="Times New Roman" w:cs="Times New Roman"/>
                <w:position w:val="8"/>
              </w:rPr>
              <w:t xml:space="preserve"> p &lt; 0,001 adalimumab vs. metotressato</w:t>
            </w:r>
          </w:p>
          <w:p w14:paraId="7B11E3AA" w14:textId="77777777" w:rsidR="00F91711" w:rsidRPr="00C35766" w:rsidRDefault="00F91711" w:rsidP="00F91711">
            <w:pPr>
              <w:pStyle w:val="TableParagraph"/>
              <w:rPr>
                <w:rFonts w:ascii="Times New Roman" w:eastAsia="Times New Roman" w:hAnsi="Times New Roman" w:cs="Times New Roman"/>
              </w:rPr>
            </w:pPr>
            <w:r w:rsidRPr="00C35766">
              <w:rPr>
                <w:rFonts w:ascii="Times New Roman" w:eastAsia="Times New Roman" w:hAnsi="Times New Roman" w:cs="Times New Roman"/>
                <w:position w:val="8"/>
                <w:vertAlign w:val="superscript"/>
              </w:rPr>
              <w:t>c</w:t>
            </w:r>
            <w:r w:rsidRPr="00C35766">
              <w:rPr>
                <w:rFonts w:ascii="Times New Roman" w:hAnsi="Times New Roman" w:cs="Times New Roman"/>
                <w:position w:val="8"/>
              </w:rPr>
              <w:t xml:space="preserve"> p &lt; 0,01, adalimumab vs. placebo</w:t>
            </w:r>
          </w:p>
          <w:p w14:paraId="7857F694" w14:textId="77777777" w:rsidR="00F91711" w:rsidRPr="00C35766" w:rsidRDefault="00F91711" w:rsidP="00F91711">
            <w:pPr>
              <w:pStyle w:val="a3"/>
              <w:rPr>
                <w:b/>
                <w:lang w:val="it-IT"/>
              </w:rPr>
            </w:pPr>
            <w:r w:rsidRPr="00C35766">
              <w:rPr>
                <w:rFonts w:eastAsia="Times New Roman"/>
                <w:position w:val="8"/>
                <w:vertAlign w:val="superscript"/>
                <w:lang w:val="it-IT"/>
              </w:rPr>
              <w:t xml:space="preserve">d </w:t>
            </w:r>
            <w:r w:rsidRPr="00C35766">
              <w:rPr>
                <w:rFonts w:eastAsia="Times New Roman"/>
                <w:position w:val="8"/>
                <w:lang w:val="it-IT"/>
              </w:rPr>
              <w:t>p &lt; 0,05 adalimumab vs. metotressato</w:t>
            </w:r>
          </w:p>
        </w:tc>
      </w:tr>
    </w:tbl>
    <w:p w14:paraId="23F721A4" w14:textId="77777777" w:rsidR="00F91711" w:rsidRPr="00C35766" w:rsidRDefault="00F91711" w:rsidP="00F91711">
      <w:pPr>
        <w:pStyle w:val="a3"/>
        <w:rPr>
          <w:lang w:val="it-IT"/>
        </w:rPr>
      </w:pPr>
    </w:p>
    <w:p w14:paraId="5AD25343" w14:textId="77777777" w:rsidR="00F91711" w:rsidRPr="00C35766" w:rsidRDefault="00F91711" w:rsidP="00F91711">
      <w:pPr>
        <w:pStyle w:val="a3"/>
        <w:rPr>
          <w:lang w:val="it-IT"/>
        </w:rPr>
      </w:pPr>
      <w:r w:rsidRPr="00C35766">
        <w:rPr>
          <w:rFonts w:eastAsia="Times New Roman"/>
          <w:spacing w:val="-2"/>
          <w:lang w:val="it-IT"/>
        </w:rPr>
        <w:t>Nel corso dello studio I sulla psoriasi, nel 28% dei pazienti randomizzati a placebo alla settimana 33 dopo aver ottenuto una risposta PASI 75 rispetto al 5% di pazienti che ha proseguito la terapia con adalimumab, p &lt; 0,001, si è verificata una “perdita di risposta adeguata” (definita da un punteggio PASI che dopo la settimana 33 e prima o alla scadenza della settimana 52 sia risultato &lt; PASI 50 rispetto al valore basale con un aumento minimo di 6 punti del punteggio PASI relativo alla settimana 33). Tra i pazienti in cui si è verificata la “perdita di risposta adeguata” dopo la ri-randomizzazione per ricevere placebo, e che sono stati successivamente arruolati nello studio d’estensione in aperto, il 38% (25/66) ed il 55% (36/66) sono riusciti ad ottenere una risposta PASI 75 rispettivamente dopo 12 e 24 settimane di ri-trattamento.</w:t>
      </w:r>
    </w:p>
    <w:p w14:paraId="51D12481" w14:textId="77777777" w:rsidR="00F91711" w:rsidRPr="00C35766" w:rsidRDefault="00F91711" w:rsidP="00F91711">
      <w:pPr>
        <w:spacing w:before="11" w:line="240" w:lineRule="exact"/>
        <w:rPr>
          <w:rFonts w:ascii="Times New Roman" w:hAnsi="Times New Roman" w:cs="Times New Roman"/>
          <w:sz w:val="24"/>
          <w:szCs w:val="24"/>
          <w:lang w:val="it-IT"/>
        </w:rPr>
      </w:pPr>
    </w:p>
    <w:p w14:paraId="5F7249AB" w14:textId="77777777" w:rsidR="00F91711" w:rsidRPr="00C35766" w:rsidRDefault="00F91711" w:rsidP="00F91711">
      <w:pPr>
        <w:pStyle w:val="a3"/>
        <w:rPr>
          <w:lang w:val="it-IT"/>
        </w:rPr>
      </w:pPr>
      <w:r w:rsidRPr="00C35766">
        <w:rPr>
          <w:rFonts w:eastAsia="Times New Roman"/>
          <w:lang w:val="it-IT"/>
        </w:rPr>
        <w:t>Durante lo studio I sulla psoriasi, un totale di 233 pazienti tra coloro che avevano ottenuto una risposta PASI 75 alla settimana 16 e alla settimana 33 e che avevano continuato la terapia con adalimumab fino alla settimana 52 hanno continuato la somministrazione di adalimumab nello studio di estensione in aperto. In questi pazienti, le percentuali di risposta PASI 75 e PGA corrispondente a remissione totale della malattia o a persistenza di malattia minima sono state rispettivamente 74,7% e 59,0%, dopo un ulteriore periodo di 108 settimane di terapia somministrata in aperto (per un totale di 160 settimane) In un’analisi effettuata su tutti i pazienti che avevano interrotto lo studio per eventi avversi o per mancanza di efficacia, o che avevano aumentato la posologia e che per tali motivi erano stati considerati come non rispondenti alla terapia, analogamente le percentuali di risposta PASI 75 e PGA corrispondente a remissione totale della malattia o a persistenza di malattia minima, sono state rispettivamente del 69,6% e del 55,7%, dopo un ulteriore periodo di 108 settimane di terapia in aperto (per un totale di 160 settimane).</w:t>
      </w:r>
    </w:p>
    <w:p w14:paraId="3E811909" w14:textId="77777777" w:rsidR="00F91711" w:rsidRPr="00C35766" w:rsidRDefault="00F91711" w:rsidP="00F91711">
      <w:pPr>
        <w:spacing w:before="13" w:line="240" w:lineRule="exact"/>
        <w:rPr>
          <w:rFonts w:ascii="Times New Roman" w:hAnsi="Times New Roman" w:cs="Times New Roman"/>
          <w:sz w:val="24"/>
          <w:szCs w:val="24"/>
          <w:lang w:val="it-IT"/>
        </w:rPr>
      </w:pPr>
    </w:p>
    <w:p w14:paraId="79AA4808" w14:textId="77777777" w:rsidR="00F91711" w:rsidRPr="00C35766" w:rsidRDefault="00F91711" w:rsidP="00F91711">
      <w:pPr>
        <w:pStyle w:val="a3"/>
        <w:rPr>
          <w:lang w:val="es-ES"/>
        </w:rPr>
      </w:pPr>
      <w:r w:rsidRPr="00C35766">
        <w:rPr>
          <w:rFonts w:eastAsia="Times New Roman"/>
          <w:lang w:val="it-IT"/>
        </w:rPr>
        <w:t xml:space="preserve">Un totale di 347 pazienti, caratterizzati da una risposta stabile alla terapia, ha preso parte ad uno studio di estensione in aperto per la valutazione degli effetti della sospensione e della ripresa del trattamento.  Durante il periodo di sospensione della terapia, i sintomi della psoriasi si sono ripresentati in maniera progressiva con un tempo mediano alla recidiva (progredendo fino ad uno stadio PGA “moderato” o peggiore) di circa 5 mesi. Nessuno di questi pazienti ha manifestato fenomeni di rebound durante il periodo di sospensione del trattamento. Complessivamente, il 76,5% dei pazienti (218/285) che erano entrati nella fase di ri-trattamento aveva ottenuto una risposta PGA corrispondente a remissione totale della malattia o a malattia minima dopo sedici settimane di terapia, indipendentemente dal fatto di aver avuto o meno </w:t>
      </w:r>
      <w:r w:rsidRPr="00C35766">
        <w:rPr>
          <w:rFonts w:eastAsia="Times New Roman"/>
          <w:lang w:val="it-IT"/>
        </w:rPr>
        <w:lastRenderedPageBreak/>
        <w:t>riacutizzazione della malattia durante il periodo di sospensione del farmaco (rispettivamente il 69,1%[123/178] e 88,8%[95/107] dei pazienti che avevano avuto o meno una riacutizzazione della malattia durante il periodo di sospensione). Durante la ripresa del trattamento è stato osservato un profilo di sicurezza del tutto simile a quello osservato durante il periodo precedente alla sospensione della terapia.</w:t>
      </w:r>
    </w:p>
    <w:p w14:paraId="149A4BFA" w14:textId="77777777" w:rsidR="00F91711" w:rsidRPr="00C35766" w:rsidRDefault="00F91711" w:rsidP="00F91711">
      <w:pPr>
        <w:pStyle w:val="a3"/>
        <w:rPr>
          <w:lang w:val="es-ES"/>
        </w:rPr>
      </w:pPr>
    </w:p>
    <w:p w14:paraId="7E616D0A" w14:textId="77777777" w:rsidR="00F91711" w:rsidRPr="00C35766" w:rsidRDefault="00F91711" w:rsidP="00F91711">
      <w:pPr>
        <w:pStyle w:val="a3"/>
        <w:rPr>
          <w:lang w:val="pt-BR"/>
        </w:rPr>
      </w:pPr>
      <w:r w:rsidRPr="00C35766">
        <w:rPr>
          <w:rFonts w:eastAsia="Times New Roman"/>
          <w:lang w:val="it-IT"/>
        </w:rPr>
        <w:t>Miglioramenti significativi del DLQI (Dermatology Life Quality Index) sono stati dimostrati alla settimana 16 a partire dal valore basale rispetto al placebo (studi I e II) e all’MTX (studio II). Nel corso dello studio I, anche i miglioramenti relativi ai punteggi complessivi delle componenti fisiche e mentali del SF-36 sono risultati significativi rispetto al placebo.</w:t>
      </w:r>
    </w:p>
    <w:p w14:paraId="7AA113D0" w14:textId="77777777" w:rsidR="00F91711" w:rsidRPr="00C35766" w:rsidRDefault="00F91711" w:rsidP="00F91711">
      <w:pPr>
        <w:spacing w:before="13" w:line="240" w:lineRule="exact"/>
        <w:rPr>
          <w:rFonts w:ascii="Times New Roman" w:hAnsi="Times New Roman" w:cs="Times New Roman"/>
          <w:sz w:val="24"/>
          <w:szCs w:val="24"/>
          <w:lang w:val="pt-BR"/>
        </w:rPr>
      </w:pPr>
    </w:p>
    <w:p w14:paraId="10820415" w14:textId="77777777" w:rsidR="00F91711" w:rsidRPr="00C35766" w:rsidRDefault="00F91711" w:rsidP="00F91711">
      <w:pPr>
        <w:pStyle w:val="a3"/>
        <w:rPr>
          <w:lang w:val="pt-BR"/>
        </w:rPr>
      </w:pPr>
      <w:r w:rsidRPr="00C35766">
        <w:rPr>
          <w:rFonts w:eastAsia="Times New Roman"/>
          <w:lang w:val="it-IT"/>
        </w:rPr>
        <w:t>In uno studio d’estensione in aperto, tra i pazienti che a causa di risposta PASI inferiore al 50% avevano ricevuto incrementi della dose da 40 mg a settimane alterne alla dose di 40 mg ogni settimana, il 26,4% (92/349) e il 37,8% (132/349) ha ottenuto una risposta PASI 75 alla settimana 12 e 24, rispettivamente.</w:t>
      </w:r>
    </w:p>
    <w:p w14:paraId="66E3544C" w14:textId="77777777" w:rsidR="00F91711" w:rsidRPr="00C35766" w:rsidRDefault="00F91711" w:rsidP="00F91711">
      <w:pPr>
        <w:spacing w:before="17" w:line="240" w:lineRule="exact"/>
        <w:rPr>
          <w:rFonts w:ascii="Times New Roman" w:hAnsi="Times New Roman" w:cs="Times New Roman"/>
          <w:sz w:val="24"/>
          <w:szCs w:val="24"/>
          <w:lang w:val="pt-BR"/>
        </w:rPr>
      </w:pPr>
    </w:p>
    <w:p w14:paraId="3A25CA11" w14:textId="77777777" w:rsidR="00F91711" w:rsidRPr="00C35766" w:rsidRDefault="00F91711" w:rsidP="00F91711">
      <w:pPr>
        <w:pStyle w:val="a3"/>
        <w:rPr>
          <w:lang w:val="it-IT"/>
        </w:rPr>
      </w:pPr>
      <w:r w:rsidRPr="00C35766">
        <w:rPr>
          <w:rFonts w:eastAsia="Times New Roman"/>
          <w:lang w:val="it-IT"/>
        </w:rPr>
        <w:t xml:space="preserve">Lo studio di fase III sulla psoriasi (REACH) ha paragonato l’efficacia e la sicurezza di adalimumab </w:t>
      </w:r>
      <w:r w:rsidRPr="00C35766">
        <w:rPr>
          <w:lang w:val="it-IT"/>
        </w:rPr>
        <w:t>rispetto al</w:t>
      </w:r>
      <w:r w:rsidRPr="00C35766">
        <w:rPr>
          <w:rFonts w:eastAsia="Times New Roman"/>
          <w:lang w:val="it-IT"/>
        </w:rPr>
        <w:t xml:space="preserve"> placebo in 72 pazienti affetti da psoriasi cronica a placche da moderata a severa e psoriasi localizzata alla mano e/o al piede. I pazienti hanno ricevuto una dose iniziale di 80 mg di adalimumab seguita dalla dose di 40 mg somministrata a settimane alterne (a iniziare dalla settimana successiva all’assunzione della dose iniziale) o placebo per 16 settimane. Alla settimana 16, una percentuale maggiore in misura statisticamente significativa di pazienti che aveva ricevuto adalimumab, ha ottenuto una risposta PGA corrispondente a remissione totale o pressochè totale della malattia alle mani e/o ai piedi rispetto ai pazienti che avevano ricevuto il placebo (rispettivamente 30,6% vs. 4,3%, [p = 0,014]).</w:t>
      </w:r>
    </w:p>
    <w:p w14:paraId="56C5BB93" w14:textId="77777777" w:rsidR="00F91711" w:rsidRPr="00C35766" w:rsidRDefault="00F91711" w:rsidP="00F91711">
      <w:pPr>
        <w:spacing w:before="13" w:line="240" w:lineRule="exact"/>
        <w:rPr>
          <w:rFonts w:ascii="Times New Roman" w:hAnsi="Times New Roman" w:cs="Times New Roman"/>
          <w:sz w:val="24"/>
          <w:szCs w:val="24"/>
          <w:lang w:val="it-IT"/>
        </w:rPr>
      </w:pPr>
    </w:p>
    <w:p w14:paraId="7AB9E897" w14:textId="3FC4B5B2" w:rsidR="00F91711" w:rsidRPr="00C35766" w:rsidRDefault="00F91711" w:rsidP="00F91711">
      <w:pPr>
        <w:pStyle w:val="a3"/>
        <w:rPr>
          <w:lang w:val="it-IT"/>
        </w:rPr>
      </w:pPr>
      <w:r w:rsidRPr="00C35766">
        <w:rPr>
          <w:rFonts w:eastAsia="Times New Roman"/>
          <w:lang w:val="it-IT"/>
        </w:rPr>
        <w:t xml:space="preserve">Lo studio IV sulla psoriasi ha paragonato l’efficacia e la sicurezza di adalimumab rispetto al placebo in 217 pazienti adulti affetti da psoriasi ungueale da moderata a severa. I pazienti hanno ricevuto una dose iniziale di 80 mg di adalimumab seguita da 40 mg a settimane alterne (a partire da una settimana dopo la dose iniziale) o di placebo per 26 settimane seguita da un trattamento in aperto con adalimumab per altre 26 settimane. Le valutazioni della psoriasi ungueale comprendevano il Modified Nail Psoriasis Severity Index (mNAPSI), il Physician’s Global Assessment of Fingernail Psoriasis (PGA-F) e il Nail Psoriasis Severity Index (NAPSI) (vedere Tabella </w:t>
      </w:r>
      <w:r w:rsidR="00150B5C">
        <w:rPr>
          <w:rFonts w:eastAsia="Times New Roman"/>
          <w:lang w:val="it-IT"/>
        </w:rPr>
        <w:t>11</w:t>
      </w:r>
      <w:r w:rsidRPr="00C35766">
        <w:rPr>
          <w:rFonts w:eastAsia="Times New Roman"/>
          <w:lang w:val="it-IT"/>
        </w:rPr>
        <w:t>). Il trattamento con adalimumab ha dimostrato un beneficio terapeutico nei pazienti affetti da psoriasi ungueale con coinvolgimento cutaneo di grado variabile (BSA ≥ 10% (60% dei pazienti) e BSA&lt; 10% e ≥ 5% (40% dei pazienti)).</w:t>
      </w:r>
    </w:p>
    <w:p w14:paraId="491CE22A" w14:textId="77777777" w:rsidR="00F91711" w:rsidRPr="00C35766" w:rsidRDefault="00F91711" w:rsidP="00146E60">
      <w:pPr>
        <w:pStyle w:val="a3"/>
        <w:rPr>
          <w:rFonts w:eastAsia="Times New Roman"/>
          <w:b/>
          <w:bCs/>
          <w:lang w:val="it-IT"/>
        </w:rPr>
      </w:pPr>
    </w:p>
    <w:p w14:paraId="741D4217" w14:textId="2B987B5E" w:rsidR="00F91711" w:rsidRPr="00C35766" w:rsidRDefault="00F91711" w:rsidP="00F91711">
      <w:pPr>
        <w:pStyle w:val="a3"/>
        <w:jc w:val="center"/>
        <w:rPr>
          <w:b/>
          <w:lang w:val="es-ES"/>
        </w:rPr>
      </w:pPr>
      <w:r w:rsidRPr="00C35766">
        <w:rPr>
          <w:rFonts w:eastAsia="Times New Roman"/>
          <w:b/>
          <w:bCs/>
          <w:lang w:val="it-IT"/>
        </w:rPr>
        <w:t xml:space="preserve">Tabella </w:t>
      </w:r>
      <w:r w:rsidR="00150B5C">
        <w:rPr>
          <w:rFonts w:eastAsia="Times New Roman"/>
          <w:b/>
          <w:bCs/>
          <w:lang w:val="it-IT"/>
        </w:rPr>
        <w:t>11</w:t>
      </w:r>
    </w:p>
    <w:p w14:paraId="217D6E95" w14:textId="77777777" w:rsidR="00F91711" w:rsidRDefault="00F91711" w:rsidP="00F91711">
      <w:pPr>
        <w:pStyle w:val="a3"/>
        <w:jc w:val="center"/>
        <w:rPr>
          <w:rFonts w:eastAsia="Times New Roman"/>
          <w:b/>
          <w:bCs/>
          <w:lang w:val="it-IT"/>
        </w:rPr>
      </w:pPr>
      <w:r w:rsidRPr="00C35766">
        <w:rPr>
          <w:rFonts w:eastAsia="Times New Roman"/>
          <w:b/>
          <w:bCs/>
          <w:lang w:val="it-IT"/>
        </w:rPr>
        <w:t>Risultati di efficacia dello Studio Ps IV alle settimane 16, 26 e 52</w:t>
      </w:r>
    </w:p>
    <w:p w14:paraId="3B7797DE" w14:textId="77777777" w:rsidR="00A842FF" w:rsidRPr="00C35766" w:rsidRDefault="00A842FF" w:rsidP="00F91711">
      <w:pPr>
        <w:pStyle w:val="a3"/>
        <w:jc w:val="center"/>
        <w:rPr>
          <w:b/>
          <w:lang w:val="es-ES"/>
        </w:rPr>
      </w:pPr>
    </w:p>
    <w:tbl>
      <w:tblPr>
        <w:tblStyle w:val="TableNormal1"/>
        <w:tblW w:w="9576" w:type="dxa"/>
        <w:tblInd w:w="110" w:type="dxa"/>
        <w:tblLayout w:type="fixed"/>
        <w:tblLook w:val="01E0" w:firstRow="1" w:lastRow="1" w:firstColumn="1" w:lastColumn="1" w:noHBand="0" w:noVBand="0"/>
      </w:tblPr>
      <w:tblGrid>
        <w:gridCol w:w="2578"/>
        <w:gridCol w:w="1134"/>
        <w:gridCol w:w="1347"/>
        <w:gridCol w:w="989"/>
        <w:gridCol w:w="1349"/>
        <w:gridCol w:w="2179"/>
      </w:tblGrid>
      <w:tr w:rsidR="00F91711" w:rsidRPr="00C35766" w14:paraId="082748C0" w14:textId="77777777" w:rsidTr="00626057">
        <w:tc>
          <w:tcPr>
            <w:tcW w:w="2578" w:type="dxa"/>
            <w:vMerge w:val="restart"/>
            <w:tcBorders>
              <w:top w:val="single" w:sz="5" w:space="0" w:color="000000"/>
              <w:left w:val="single" w:sz="5" w:space="0" w:color="000000"/>
              <w:right w:val="single" w:sz="5" w:space="0" w:color="000000"/>
            </w:tcBorders>
          </w:tcPr>
          <w:p w14:paraId="64081847" w14:textId="77777777" w:rsidR="00F91711" w:rsidRPr="00C35766" w:rsidRDefault="00F91711" w:rsidP="00F91711">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Endpoint</w:t>
            </w:r>
          </w:p>
        </w:tc>
        <w:tc>
          <w:tcPr>
            <w:tcW w:w="2481" w:type="dxa"/>
            <w:gridSpan w:val="2"/>
            <w:tcBorders>
              <w:top w:val="single" w:sz="5" w:space="0" w:color="000000"/>
              <w:left w:val="single" w:sz="5" w:space="0" w:color="000000"/>
              <w:bottom w:val="single" w:sz="5" w:space="0" w:color="000000"/>
              <w:right w:val="single" w:sz="5" w:space="0" w:color="000000"/>
            </w:tcBorders>
          </w:tcPr>
          <w:p w14:paraId="259846F1" w14:textId="77777777" w:rsidR="00F91711" w:rsidRPr="00C35766" w:rsidRDefault="00F91711" w:rsidP="00F91711">
            <w:pPr>
              <w:pStyle w:val="TableParagraph"/>
              <w:spacing w:line="246" w:lineRule="exact"/>
              <w:ind w:right="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16</w:t>
            </w:r>
          </w:p>
          <w:p w14:paraId="5DE65BA6" w14:textId="77777777" w:rsidR="00F91711" w:rsidRPr="00C35766" w:rsidRDefault="00F91711" w:rsidP="00F91711">
            <w:pPr>
              <w:pStyle w:val="TableParagraph"/>
              <w:spacing w:line="252" w:lineRule="exact"/>
              <w:ind w:left="293" w:right="295"/>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2338" w:type="dxa"/>
            <w:gridSpan w:val="2"/>
            <w:tcBorders>
              <w:top w:val="single" w:sz="5" w:space="0" w:color="000000"/>
              <w:left w:val="single" w:sz="5" w:space="0" w:color="000000"/>
              <w:bottom w:val="single" w:sz="5" w:space="0" w:color="000000"/>
              <w:right w:val="single" w:sz="5" w:space="0" w:color="000000"/>
            </w:tcBorders>
          </w:tcPr>
          <w:p w14:paraId="6956CFCF" w14:textId="77777777" w:rsidR="00F91711" w:rsidRPr="00C35766" w:rsidRDefault="00F91711" w:rsidP="00F91711">
            <w:pPr>
              <w:pStyle w:val="TableParagraph"/>
              <w:spacing w:line="246" w:lineRule="exact"/>
              <w:ind w:left="705" w:right="33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26</w:t>
            </w:r>
          </w:p>
          <w:p w14:paraId="426F369A" w14:textId="77777777" w:rsidR="00F91711" w:rsidRPr="00C35766" w:rsidRDefault="00F91711" w:rsidP="00F91711">
            <w:pPr>
              <w:pStyle w:val="TableParagraph"/>
              <w:spacing w:line="252" w:lineRule="exact"/>
              <w:ind w:left="247" w:right="33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2179" w:type="dxa"/>
            <w:tcBorders>
              <w:top w:val="single" w:sz="5" w:space="0" w:color="000000"/>
              <w:left w:val="single" w:sz="5" w:space="0" w:color="000000"/>
              <w:bottom w:val="single" w:sz="5" w:space="0" w:color="000000"/>
              <w:right w:val="single" w:sz="5" w:space="0" w:color="000000"/>
            </w:tcBorders>
          </w:tcPr>
          <w:p w14:paraId="3F8E9C32" w14:textId="77777777" w:rsidR="00F91711" w:rsidRPr="00C35766" w:rsidRDefault="00F91711" w:rsidP="00F91711">
            <w:pPr>
              <w:pStyle w:val="TableParagraph"/>
              <w:spacing w:line="246" w:lineRule="exact"/>
              <w:ind w:left="373" w:right="336"/>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p w14:paraId="5D0AF35E" w14:textId="77777777" w:rsidR="00F91711" w:rsidRPr="00C35766" w:rsidRDefault="00F91711" w:rsidP="00F91711">
            <w:pPr>
              <w:pStyle w:val="TableParagraph"/>
              <w:spacing w:line="252" w:lineRule="exact"/>
              <w:ind w:left="639"/>
              <w:rPr>
                <w:rFonts w:ascii="Times New Roman" w:eastAsia="Times New Roman" w:hAnsi="Times New Roman" w:cs="Times New Roman"/>
              </w:rPr>
            </w:pPr>
            <w:r w:rsidRPr="00C35766">
              <w:rPr>
                <w:rFonts w:ascii="Times New Roman" w:eastAsia="Times New Roman" w:hAnsi="Times New Roman" w:cs="Times New Roman"/>
                <w:spacing w:val="-1"/>
                <w:lang w:val="it-IT"/>
              </w:rPr>
              <w:t>In aperto</w:t>
            </w:r>
          </w:p>
        </w:tc>
      </w:tr>
      <w:tr w:rsidR="00F91711" w:rsidRPr="00494E69" w14:paraId="620CF773" w14:textId="77777777" w:rsidTr="00626057">
        <w:tc>
          <w:tcPr>
            <w:tcW w:w="2578" w:type="dxa"/>
            <w:vMerge/>
            <w:tcBorders>
              <w:left w:val="single" w:sz="5" w:space="0" w:color="000000"/>
              <w:bottom w:val="single" w:sz="5" w:space="0" w:color="000000"/>
              <w:right w:val="single" w:sz="5" w:space="0" w:color="000000"/>
            </w:tcBorders>
          </w:tcPr>
          <w:p w14:paraId="661E9AEE" w14:textId="77777777" w:rsidR="00F91711" w:rsidRPr="00C35766" w:rsidRDefault="00F91711" w:rsidP="00F91711">
            <w:pPr>
              <w:rPr>
                <w:rFonts w:ascii="Times New Roman" w:hAnsi="Times New Roman" w:cs="Times New Roman"/>
              </w:rPr>
            </w:pPr>
          </w:p>
        </w:tc>
        <w:tc>
          <w:tcPr>
            <w:tcW w:w="1134" w:type="dxa"/>
            <w:tcBorders>
              <w:top w:val="single" w:sz="5" w:space="0" w:color="000000"/>
              <w:left w:val="single" w:sz="5" w:space="0" w:color="000000"/>
              <w:bottom w:val="single" w:sz="5" w:space="0" w:color="000000"/>
              <w:right w:val="single" w:sz="5" w:space="0" w:color="000000"/>
            </w:tcBorders>
          </w:tcPr>
          <w:p w14:paraId="3F2A8A9B" w14:textId="77777777" w:rsidR="00F91711" w:rsidRPr="00C35766" w:rsidRDefault="00F91711" w:rsidP="00F91711">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5E143698" w14:textId="77777777" w:rsidR="00F91711" w:rsidRPr="00C35766" w:rsidRDefault="00F91711" w:rsidP="00F91711">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347" w:type="dxa"/>
            <w:tcBorders>
              <w:top w:val="single" w:sz="5" w:space="0" w:color="000000"/>
              <w:left w:val="single" w:sz="5" w:space="0" w:color="000000"/>
              <w:bottom w:val="single" w:sz="5" w:space="0" w:color="000000"/>
              <w:right w:val="single" w:sz="5" w:space="0" w:color="000000"/>
            </w:tcBorders>
          </w:tcPr>
          <w:p w14:paraId="487F60B3" w14:textId="77777777" w:rsidR="00F91711" w:rsidRPr="00C35766" w:rsidRDefault="00F91711" w:rsidP="00F91711">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 40 mg a settimane alterne N=109</w:t>
            </w:r>
          </w:p>
        </w:tc>
        <w:tc>
          <w:tcPr>
            <w:tcW w:w="989" w:type="dxa"/>
            <w:tcBorders>
              <w:top w:val="single" w:sz="5" w:space="0" w:color="000000"/>
              <w:left w:val="single" w:sz="5" w:space="0" w:color="000000"/>
              <w:bottom w:val="single" w:sz="5" w:space="0" w:color="000000"/>
              <w:right w:val="single" w:sz="5" w:space="0" w:color="000000"/>
            </w:tcBorders>
          </w:tcPr>
          <w:p w14:paraId="59AD9A0D" w14:textId="77777777" w:rsidR="00F91711" w:rsidRPr="00C35766" w:rsidRDefault="00F91711" w:rsidP="00F91711">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73FBDB8E" w14:textId="77777777" w:rsidR="00F91711" w:rsidRPr="00C35766" w:rsidRDefault="00F91711" w:rsidP="00F91711">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349" w:type="dxa"/>
            <w:tcBorders>
              <w:top w:val="single" w:sz="5" w:space="0" w:color="000000"/>
              <w:left w:val="single" w:sz="5" w:space="0" w:color="000000"/>
              <w:bottom w:val="single" w:sz="5" w:space="0" w:color="000000"/>
              <w:right w:val="single" w:sz="5" w:space="0" w:color="000000"/>
            </w:tcBorders>
          </w:tcPr>
          <w:p w14:paraId="2022D9F0" w14:textId="77777777" w:rsidR="00F91711" w:rsidRPr="00C35766" w:rsidRDefault="00F91711" w:rsidP="00F91711">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w:t>
            </w:r>
          </w:p>
          <w:p w14:paraId="740F8FB2" w14:textId="77777777" w:rsidR="00F91711" w:rsidRPr="00C35766" w:rsidRDefault="00F91711" w:rsidP="00F91711">
            <w:pPr>
              <w:pStyle w:val="TableParagraph"/>
              <w:spacing w:before="1" w:line="254"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t>40 mg a settimane alterne N=109</w:t>
            </w:r>
          </w:p>
        </w:tc>
        <w:tc>
          <w:tcPr>
            <w:tcW w:w="2179" w:type="dxa"/>
            <w:tcBorders>
              <w:top w:val="single" w:sz="5" w:space="0" w:color="000000"/>
              <w:left w:val="single" w:sz="5" w:space="0" w:color="000000"/>
              <w:bottom w:val="single" w:sz="5" w:space="0" w:color="000000"/>
              <w:right w:val="single" w:sz="5" w:space="0" w:color="000000"/>
            </w:tcBorders>
          </w:tcPr>
          <w:p w14:paraId="140892C2" w14:textId="77777777" w:rsidR="00F91711" w:rsidRPr="00C35766" w:rsidRDefault="00F91711" w:rsidP="00F91711">
            <w:pPr>
              <w:pStyle w:val="TableParagraph"/>
              <w:spacing w:line="246"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w:t>
            </w:r>
          </w:p>
          <w:p w14:paraId="27F2CFF4" w14:textId="77777777" w:rsidR="00F91711" w:rsidRPr="00C35766" w:rsidRDefault="00F91711" w:rsidP="00F91711">
            <w:pPr>
              <w:pStyle w:val="TableParagraph"/>
              <w:spacing w:before="1" w:line="254" w:lineRule="exact"/>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40 mg a settimane alterne </w:t>
            </w:r>
          </w:p>
          <w:p w14:paraId="29209550" w14:textId="77777777" w:rsidR="00F91711" w:rsidRPr="00C35766" w:rsidRDefault="00F91711" w:rsidP="00F91711">
            <w:pPr>
              <w:pStyle w:val="TableParagraph"/>
              <w:spacing w:before="1" w:line="254"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t>N=80</w:t>
            </w:r>
          </w:p>
        </w:tc>
      </w:tr>
      <w:tr w:rsidR="00F91711" w:rsidRPr="00C35766" w14:paraId="03E928B6" w14:textId="77777777" w:rsidTr="00626057">
        <w:tc>
          <w:tcPr>
            <w:tcW w:w="2578" w:type="dxa"/>
            <w:tcBorders>
              <w:top w:val="single" w:sz="5" w:space="0" w:color="000000"/>
              <w:left w:val="single" w:sz="5" w:space="0" w:color="000000"/>
              <w:bottom w:val="single" w:sz="5" w:space="0" w:color="000000"/>
              <w:right w:val="single" w:sz="5" w:space="0" w:color="000000"/>
            </w:tcBorders>
          </w:tcPr>
          <w:p w14:paraId="267DEB5E" w14:textId="77777777" w:rsidR="00F91711" w:rsidRPr="00C35766" w:rsidRDefault="00F91711" w:rsidP="00F91711">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 mNAPSI 75 (%)</w:t>
            </w:r>
          </w:p>
        </w:tc>
        <w:tc>
          <w:tcPr>
            <w:tcW w:w="1134" w:type="dxa"/>
            <w:tcBorders>
              <w:top w:val="single" w:sz="5" w:space="0" w:color="000000"/>
              <w:left w:val="single" w:sz="5" w:space="0" w:color="000000"/>
              <w:bottom w:val="single" w:sz="5" w:space="0" w:color="000000"/>
              <w:right w:val="single" w:sz="5" w:space="0" w:color="000000"/>
            </w:tcBorders>
          </w:tcPr>
          <w:p w14:paraId="47BB40E7" w14:textId="77777777" w:rsidR="00F91711" w:rsidRPr="00C35766" w:rsidRDefault="00F91711" w:rsidP="00F91711">
            <w:pPr>
              <w:pStyle w:val="TableParagraph"/>
              <w:spacing w:line="246" w:lineRule="exact"/>
              <w:ind w:left="373" w:right="380"/>
              <w:jc w:val="center"/>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347" w:type="dxa"/>
            <w:tcBorders>
              <w:top w:val="single" w:sz="5" w:space="0" w:color="000000"/>
              <w:left w:val="single" w:sz="5" w:space="0" w:color="000000"/>
              <w:bottom w:val="single" w:sz="5" w:space="0" w:color="000000"/>
              <w:right w:val="single" w:sz="5" w:space="0" w:color="000000"/>
            </w:tcBorders>
          </w:tcPr>
          <w:p w14:paraId="75B5A9E4" w14:textId="77777777" w:rsidR="00F91711" w:rsidRPr="00C35766" w:rsidRDefault="00F91711" w:rsidP="00F91711">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26,0</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Pr>
          <w:p w14:paraId="55439713" w14:textId="77777777" w:rsidR="00F91711" w:rsidRPr="00C35766" w:rsidRDefault="00F91711" w:rsidP="00F91711">
            <w:pPr>
              <w:pStyle w:val="TableParagraph"/>
              <w:spacing w:line="246" w:lineRule="exact"/>
              <w:ind w:left="327" w:right="334"/>
              <w:jc w:val="center"/>
              <w:rPr>
                <w:rFonts w:ascii="Times New Roman" w:eastAsia="Times New Roman" w:hAnsi="Times New Roman" w:cs="Times New Roman"/>
              </w:rPr>
            </w:pPr>
            <w:r w:rsidRPr="00C35766">
              <w:rPr>
                <w:rFonts w:ascii="Times New Roman" w:eastAsia="Times New Roman" w:hAnsi="Times New Roman" w:cs="Times New Roman"/>
                <w:lang w:val="it-IT"/>
              </w:rPr>
              <w:t>3,4</w:t>
            </w:r>
          </w:p>
        </w:tc>
        <w:tc>
          <w:tcPr>
            <w:tcW w:w="1349" w:type="dxa"/>
            <w:tcBorders>
              <w:top w:val="single" w:sz="5" w:space="0" w:color="000000"/>
              <w:left w:val="single" w:sz="5" w:space="0" w:color="000000"/>
              <w:bottom w:val="single" w:sz="5" w:space="0" w:color="000000"/>
              <w:right w:val="single" w:sz="5" w:space="0" w:color="000000"/>
            </w:tcBorders>
          </w:tcPr>
          <w:p w14:paraId="1D078880" w14:textId="77777777" w:rsidR="00F91711" w:rsidRPr="00C35766" w:rsidRDefault="00F91711" w:rsidP="00F91711">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46,6</w:t>
            </w:r>
            <w:r w:rsidRPr="00C35766">
              <w:rPr>
                <w:rFonts w:ascii="Times New Roman" w:eastAsia="Times New Roman" w:hAnsi="Times New Roman" w:cs="Times New Roman"/>
                <w:vertAlign w:val="superscript"/>
                <w:lang w:val="it-IT"/>
              </w:rPr>
              <w:t>a</w:t>
            </w:r>
          </w:p>
        </w:tc>
        <w:tc>
          <w:tcPr>
            <w:tcW w:w="2179" w:type="dxa"/>
            <w:tcBorders>
              <w:top w:val="single" w:sz="5" w:space="0" w:color="000000"/>
              <w:left w:val="single" w:sz="5" w:space="0" w:color="000000"/>
              <w:bottom w:val="single" w:sz="5" w:space="0" w:color="000000"/>
              <w:right w:val="single" w:sz="5" w:space="0" w:color="000000"/>
            </w:tcBorders>
          </w:tcPr>
          <w:p w14:paraId="450C4CC0" w14:textId="77777777" w:rsidR="00F91711" w:rsidRPr="00C35766" w:rsidRDefault="00F91711" w:rsidP="00F91711">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lang w:val="it-IT"/>
              </w:rPr>
              <w:t>65,0</w:t>
            </w:r>
          </w:p>
        </w:tc>
      </w:tr>
      <w:tr w:rsidR="00F91711" w:rsidRPr="00C35766" w14:paraId="3C87712C" w14:textId="77777777" w:rsidTr="00626057">
        <w:tc>
          <w:tcPr>
            <w:tcW w:w="2578" w:type="dxa"/>
            <w:tcBorders>
              <w:top w:val="single" w:sz="5" w:space="0" w:color="000000"/>
              <w:left w:val="single" w:sz="5" w:space="0" w:color="000000"/>
              <w:bottom w:val="single" w:sz="5" w:space="0" w:color="000000"/>
              <w:right w:val="single" w:sz="5" w:space="0" w:color="000000"/>
            </w:tcBorders>
          </w:tcPr>
          <w:p w14:paraId="22CB821F" w14:textId="77777777" w:rsidR="00F91711" w:rsidRPr="00C35766" w:rsidRDefault="00F91711" w:rsidP="00F91711">
            <w:pPr>
              <w:pStyle w:val="TableParagraph"/>
              <w:spacing w:line="246" w:lineRule="exact"/>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PGA-F guarigione/marcato miglioramento e </w:t>
            </w:r>
            <w:r w:rsidRPr="00C35766">
              <w:rPr>
                <w:rFonts w:ascii="Times New Roman" w:eastAsia="Times New Roman" w:hAnsi="Times New Roman" w:cs="Times New Roman"/>
                <w:spacing w:val="1"/>
                <w:lang w:val="it-IT"/>
              </w:rPr>
              <w:t>miglioramento di grado ≥ 2(%)</w:t>
            </w:r>
          </w:p>
        </w:tc>
        <w:tc>
          <w:tcPr>
            <w:tcW w:w="1134" w:type="dxa"/>
            <w:tcBorders>
              <w:top w:val="single" w:sz="5" w:space="0" w:color="000000"/>
              <w:left w:val="single" w:sz="5" w:space="0" w:color="000000"/>
              <w:bottom w:val="single" w:sz="5" w:space="0" w:color="000000"/>
              <w:right w:val="single" w:sz="5" w:space="0" w:color="000000"/>
            </w:tcBorders>
          </w:tcPr>
          <w:p w14:paraId="744B94FC" w14:textId="77777777" w:rsidR="00F91711" w:rsidRPr="00C35766" w:rsidRDefault="00F91711" w:rsidP="00F91711">
            <w:pPr>
              <w:pStyle w:val="TableParagraph"/>
              <w:spacing w:line="246" w:lineRule="exact"/>
              <w:ind w:left="373" w:right="380"/>
              <w:jc w:val="center"/>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347" w:type="dxa"/>
            <w:tcBorders>
              <w:top w:val="single" w:sz="5" w:space="0" w:color="000000"/>
              <w:left w:val="single" w:sz="5" w:space="0" w:color="000000"/>
              <w:bottom w:val="single" w:sz="5" w:space="0" w:color="000000"/>
              <w:right w:val="single" w:sz="5" w:space="0" w:color="000000"/>
            </w:tcBorders>
          </w:tcPr>
          <w:p w14:paraId="129F6A75" w14:textId="77777777" w:rsidR="00F91711" w:rsidRPr="00C35766" w:rsidRDefault="00F91711" w:rsidP="00F91711">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29,7</w:t>
            </w:r>
            <w:r w:rsidRPr="00C35766">
              <w:rPr>
                <w:rFonts w:ascii="Times New Roman" w:eastAsia="Times New Roman" w:hAnsi="Times New Roman" w:cs="Times New Roman"/>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Pr>
          <w:p w14:paraId="08C3B4FE" w14:textId="77777777" w:rsidR="00F91711" w:rsidRPr="00C35766" w:rsidRDefault="00F91711" w:rsidP="00F91711">
            <w:pPr>
              <w:pStyle w:val="TableParagraph"/>
              <w:spacing w:line="246" w:lineRule="exact"/>
              <w:ind w:left="327" w:right="334"/>
              <w:jc w:val="center"/>
              <w:rPr>
                <w:rFonts w:ascii="Times New Roman" w:eastAsia="Times New Roman" w:hAnsi="Times New Roman" w:cs="Times New Roman"/>
              </w:rPr>
            </w:pPr>
            <w:r w:rsidRPr="00C35766">
              <w:rPr>
                <w:rFonts w:ascii="Times New Roman" w:eastAsia="Times New Roman" w:hAnsi="Times New Roman" w:cs="Times New Roman"/>
                <w:lang w:val="it-IT"/>
              </w:rPr>
              <w:t>6,9</w:t>
            </w:r>
          </w:p>
        </w:tc>
        <w:tc>
          <w:tcPr>
            <w:tcW w:w="1349" w:type="dxa"/>
            <w:tcBorders>
              <w:top w:val="single" w:sz="5" w:space="0" w:color="000000"/>
              <w:left w:val="single" w:sz="5" w:space="0" w:color="000000"/>
              <w:bottom w:val="single" w:sz="5" w:space="0" w:color="000000"/>
              <w:right w:val="single" w:sz="5" w:space="0" w:color="000000"/>
            </w:tcBorders>
          </w:tcPr>
          <w:p w14:paraId="57032760" w14:textId="77777777" w:rsidR="00F91711" w:rsidRPr="00C35766" w:rsidRDefault="00F91711" w:rsidP="00F91711">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48,9</w:t>
            </w:r>
            <w:r w:rsidRPr="00C35766">
              <w:rPr>
                <w:rFonts w:ascii="Times New Roman" w:eastAsia="Times New Roman" w:hAnsi="Times New Roman" w:cs="Times New Roman"/>
                <w:vertAlign w:val="superscript"/>
                <w:lang w:val="it-IT"/>
              </w:rPr>
              <w:t>a</w:t>
            </w:r>
          </w:p>
        </w:tc>
        <w:tc>
          <w:tcPr>
            <w:tcW w:w="2179" w:type="dxa"/>
            <w:tcBorders>
              <w:top w:val="single" w:sz="5" w:space="0" w:color="000000"/>
              <w:left w:val="single" w:sz="5" w:space="0" w:color="000000"/>
              <w:bottom w:val="single" w:sz="5" w:space="0" w:color="000000"/>
              <w:right w:val="single" w:sz="5" w:space="0" w:color="000000"/>
            </w:tcBorders>
          </w:tcPr>
          <w:p w14:paraId="2F0A6312" w14:textId="77777777" w:rsidR="00F91711" w:rsidRPr="00C35766" w:rsidRDefault="00F91711" w:rsidP="00F91711">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61,3</w:t>
            </w:r>
          </w:p>
        </w:tc>
      </w:tr>
      <w:tr w:rsidR="00F91711" w:rsidRPr="00C35766" w14:paraId="1C3A9EEC" w14:textId="77777777" w:rsidTr="00626057">
        <w:tc>
          <w:tcPr>
            <w:tcW w:w="2578" w:type="dxa"/>
            <w:tcBorders>
              <w:top w:val="single" w:sz="5" w:space="0" w:color="000000"/>
              <w:left w:val="single" w:sz="5" w:space="0" w:color="000000"/>
              <w:bottom w:val="single" w:sz="5" w:space="0" w:color="000000"/>
              <w:right w:val="single" w:sz="5" w:space="0" w:color="000000"/>
            </w:tcBorders>
          </w:tcPr>
          <w:p w14:paraId="330D7156" w14:textId="77777777" w:rsidR="00F91711" w:rsidRPr="00C35766" w:rsidRDefault="00F91711" w:rsidP="00F91711">
            <w:pPr>
              <w:pStyle w:val="TableParagraph"/>
              <w:spacing w:line="246" w:lineRule="exact"/>
              <w:ind w:left="102"/>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Variazione percentuale nel punteggio NAPSI totale (%)</w:t>
            </w:r>
          </w:p>
        </w:tc>
        <w:tc>
          <w:tcPr>
            <w:tcW w:w="1134" w:type="dxa"/>
            <w:tcBorders>
              <w:top w:val="single" w:sz="5" w:space="0" w:color="000000"/>
              <w:left w:val="single" w:sz="5" w:space="0" w:color="000000"/>
              <w:bottom w:val="single" w:sz="5" w:space="0" w:color="000000"/>
              <w:right w:val="single" w:sz="5" w:space="0" w:color="000000"/>
            </w:tcBorders>
          </w:tcPr>
          <w:p w14:paraId="25C1CD9B" w14:textId="77777777" w:rsidR="00F91711" w:rsidRPr="00C35766" w:rsidRDefault="00F91711" w:rsidP="00F91711">
            <w:pPr>
              <w:pStyle w:val="TableParagraph"/>
              <w:spacing w:line="246" w:lineRule="exact"/>
              <w:ind w:left="337" w:right="346"/>
              <w:jc w:val="center"/>
              <w:rPr>
                <w:rFonts w:ascii="Times New Roman" w:eastAsia="Times New Roman" w:hAnsi="Times New Roman" w:cs="Times New Roman"/>
              </w:rPr>
            </w:pPr>
            <w:r w:rsidRPr="00C35766">
              <w:rPr>
                <w:rFonts w:ascii="Times New Roman" w:eastAsia="Times New Roman" w:hAnsi="Times New Roman" w:cs="Times New Roman"/>
                <w:spacing w:val="-4"/>
                <w:lang w:val="it-IT"/>
              </w:rPr>
              <w:t>-7,8</w:t>
            </w:r>
          </w:p>
        </w:tc>
        <w:tc>
          <w:tcPr>
            <w:tcW w:w="1347" w:type="dxa"/>
            <w:tcBorders>
              <w:top w:val="single" w:sz="5" w:space="0" w:color="000000"/>
              <w:left w:val="single" w:sz="5" w:space="0" w:color="000000"/>
              <w:bottom w:val="single" w:sz="5" w:space="0" w:color="000000"/>
              <w:right w:val="single" w:sz="5" w:space="0" w:color="000000"/>
            </w:tcBorders>
          </w:tcPr>
          <w:p w14:paraId="16F9733A" w14:textId="77777777" w:rsidR="00F91711" w:rsidRPr="00C35766" w:rsidRDefault="00F91711" w:rsidP="00F91711">
            <w:pPr>
              <w:pStyle w:val="TableParagraph"/>
              <w:spacing w:line="246" w:lineRule="exact"/>
              <w:ind w:left="344"/>
              <w:rPr>
                <w:rFonts w:ascii="Times New Roman" w:eastAsia="Times New Roman" w:hAnsi="Times New Roman" w:cs="Times New Roman"/>
              </w:rPr>
            </w:pPr>
            <w:r w:rsidRPr="00C35766">
              <w:rPr>
                <w:rFonts w:ascii="Times New Roman" w:eastAsia="Times New Roman" w:hAnsi="Times New Roman" w:cs="Times New Roman"/>
                <w:spacing w:val="-4"/>
                <w:lang w:val="it-IT"/>
              </w:rPr>
              <w:t>-44,2</w:t>
            </w:r>
            <w:r w:rsidRPr="00C35766">
              <w:rPr>
                <w:rFonts w:ascii="Times New Roman" w:eastAsia="Times New Roman" w:hAnsi="Times New Roman" w:cs="Times New Roman"/>
                <w:spacing w:val="-4"/>
                <w:vertAlign w:val="superscript"/>
                <w:lang w:val="it-IT"/>
              </w:rPr>
              <w:t>a</w:t>
            </w:r>
          </w:p>
        </w:tc>
        <w:tc>
          <w:tcPr>
            <w:tcW w:w="989" w:type="dxa"/>
            <w:tcBorders>
              <w:top w:val="single" w:sz="5" w:space="0" w:color="000000"/>
              <w:left w:val="single" w:sz="5" w:space="0" w:color="000000"/>
              <w:bottom w:val="single" w:sz="5" w:space="0" w:color="000000"/>
              <w:right w:val="single" w:sz="5" w:space="0" w:color="000000"/>
            </w:tcBorders>
          </w:tcPr>
          <w:p w14:paraId="7AC62938" w14:textId="77777777" w:rsidR="00F91711" w:rsidRPr="00C35766" w:rsidRDefault="00F91711" w:rsidP="00F91711">
            <w:pPr>
              <w:pStyle w:val="TableParagraph"/>
              <w:spacing w:line="246" w:lineRule="exact"/>
              <w:ind w:left="255"/>
              <w:rPr>
                <w:rFonts w:ascii="Times New Roman" w:eastAsia="Times New Roman" w:hAnsi="Times New Roman" w:cs="Times New Roman"/>
              </w:rPr>
            </w:pPr>
            <w:r w:rsidRPr="00C35766">
              <w:rPr>
                <w:rFonts w:ascii="Times New Roman" w:eastAsia="Times New Roman" w:hAnsi="Times New Roman" w:cs="Times New Roman"/>
                <w:spacing w:val="-4"/>
                <w:lang w:val="it-IT"/>
              </w:rPr>
              <w:t>-11,5</w:t>
            </w:r>
          </w:p>
        </w:tc>
        <w:tc>
          <w:tcPr>
            <w:tcW w:w="1349" w:type="dxa"/>
            <w:tcBorders>
              <w:top w:val="single" w:sz="5" w:space="0" w:color="000000"/>
              <w:left w:val="single" w:sz="5" w:space="0" w:color="000000"/>
              <w:bottom w:val="single" w:sz="5" w:space="0" w:color="000000"/>
              <w:right w:val="single" w:sz="5" w:space="0" w:color="000000"/>
            </w:tcBorders>
          </w:tcPr>
          <w:p w14:paraId="1F284F8B" w14:textId="77777777" w:rsidR="00F91711" w:rsidRPr="00C35766" w:rsidRDefault="00F91711" w:rsidP="00F91711">
            <w:pPr>
              <w:pStyle w:val="TableParagraph"/>
              <w:spacing w:line="246" w:lineRule="exact"/>
              <w:ind w:left="363"/>
              <w:rPr>
                <w:rFonts w:ascii="Times New Roman" w:eastAsia="Times New Roman" w:hAnsi="Times New Roman" w:cs="Times New Roman"/>
              </w:rPr>
            </w:pPr>
            <w:r w:rsidRPr="00C35766">
              <w:rPr>
                <w:rFonts w:ascii="Times New Roman" w:eastAsia="Times New Roman" w:hAnsi="Times New Roman" w:cs="Times New Roman"/>
                <w:spacing w:val="-4"/>
                <w:lang w:val="it-IT"/>
              </w:rPr>
              <w:t>-56,2</w:t>
            </w:r>
            <w:r w:rsidRPr="00C35766">
              <w:rPr>
                <w:rFonts w:ascii="Times New Roman" w:eastAsia="Times New Roman" w:hAnsi="Times New Roman" w:cs="Times New Roman"/>
                <w:spacing w:val="-4"/>
                <w:vertAlign w:val="superscript"/>
                <w:lang w:val="it-IT"/>
              </w:rPr>
              <w:t>a</w:t>
            </w:r>
          </w:p>
        </w:tc>
        <w:tc>
          <w:tcPr>
            <w:tcW w:w="2179" w:type="dxa"/>
            <w:tcBorders>
              <w:top w:val="single" w:sz="5" w:space="0" w:color="000000"/>
              <w:left w:val="single" w:sz="5" w:space="0" w:color="000000"/>
              <w:bottom w:val="single" w:sz="5" w:space="0" w:color="000000"/>
              <w:right w:val="single" w:sz="5" w:space="0" w:color="000000"/>
            </w:tcBorders>
          </w:tcPr>
          <w:p w14:paraId="68804742" w14:textId="77777777" w:rsidR="00F91711" w:rsidRPr="00C35766" w:rsidRDefault="00F91711" w:rsidP="00F91711">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-72,2</w:t>
            </w:r>
          </w:p>
        </w:tc>
      </w:tr>
      <w:tr w:rsidR="00F91711" w:rsidRPr="00C35766" w14:paraId="72DF4BB7" w14:textId="77777777" w:rsidTr="00F91711">
        <w:tc>
          <w:tcPr>
            <w:tcW w:w="9576" w:type="dxa"/>
            <w:gridSpan w:val="6"/>
            <w:tcBorders>
              <w:top w:val="single" w:sz="5" w:space="0" w:color="000000"/>
              <w:left w:val="single" w:sz="5" w:space="0" w:color="000000"/>
              <w:bottom w:val="single" w:sz="5" w:space="0" w:color="000000"/>
              <w:right w:val="single" w:sz="5" w:space="0" w:color="000000"/>
            </w:tcBorders>
          </w:tcPr>
          <w:p w14:paraId="0FEF8573" w14:textId="77777777" w:rsidR="00F91711" w:rsidRPr="00C35766" w:rsidRDefault="00F91711" w:rsidP="00F91711">
            <w:pPr>
              <w:pStyle w:val="TableParagraph"/>
              <w:ind w:left="102"/>
              <w:rPr>
                <w:rFonts w:ascii="Times New Roman" w:eastAsia="Times New Roman" w:hAnsi="Times New Roman" w:cs="Times New Roman"/>
              </w:rPr>
            </w:pPr>
            <w:r w:rsidRPr="00C35766">
              <w:rPr>
                <w:rFonts w:ascii="Times New Roman" w:hAnsi="Times New Roman" w:cs="Times New Roman"/>
                <w:position w:val="8"/>
                <w:vertAlign w:val="superscript"/>
              </w:rPr>
              <w:t>a</w:t>
            </w:r>
            <w:r w:rsidRPr="00C35766">
              <w:rPr>
                <w:rFonts w:ascii="Times New Roman" w:hAnsi="Times New Roman" w:cs="Times New Roman"/>
                <w:position w:val="8"/>
              </w:rPr>
              <w:t xml:space="preserve"> p &lt; 0,001, adalimumab </w:t>
            </w:r>
            <w:r w:rsidRPr="00C35766">
              <w:rPr>
                <w:rFonts w:ascii="Times New Roman" w:hAnsi="Times New Roman" w:cs="Times New Roman"/>
                <w:i/>
                <w:position w:val="8"/>
              </w:rPr>
              <w:t xml:space="preserve">vs. </w:t>
            </w:r>
            <w:r w:rsidRPr="00C35766">
              <w:rPr>
                <w:rFonts w:ascii="Times New Roman" w:hAnsi="Times New Roman" w:cs="Times New Roman"/>
                <w:position w:val="8"/>
              </w:rPr>
              <w:t>placebo</w:t>
            </w:r>
          </w:p>
        </w:tc>
      </w:tr>
    </w:tbl>
    <w:p w14:paraId="7B689B7F" w14:textId="77777777" w:rsidR="00F91711" w:rsidRPr="00C35766" w:rsidRDefault="00F91711" w:rsidP="00F91711">
      <w:pPr>
        <w:spacing w:before="5" w:line="170" w:lineRule="exact"/>
        <w:rPr>
          <w:rFonts w:ascii="Times New Roman" w:hAnsi="Times New Roman" w:cs="Times New Roman"/>
          <w:sz w:val="17"/>
          <w:szCs w:val="17"/>
        </w:rPr>
      </w:pPr>
    </w:p>
    <w:p w14:paraId="77224641" w14:textId="77777777" w:rsidR="00F91711" w:rsidRPr="00C35766" w:rsidRDefault="00F91711" w:rsidP="00F91711">
      <w:pPr>
        <w:pStyle w:val="a3"/>
        <w:rPr>
          <w:lang w:val="it-IT"/>
        </w:rPr>
      </w:pPr>
      <w:r w:rsidRPr="00C35766">
        <w:rPr>
          <w:rFonts w:eastAsia="Times New Roman"/>
          <w:lang w:val="it-IT"/>
        </w:rPr>
        <w:lastRenderedPageBreak/>
        <w:t>I pazienti trattati con adalimumab hanno mostrato miglioramenti statisticamente significativi alla settimana 26 rispetto al placebo nel DLQI.</w:t>
      </w:r>
    </w:p>
    <w:p w14:paraId="78EE13D6" w14:textId="77777777" w:rsidR="00F91711" w:rsidRPr="00C35766" w:rsidRDefault="00F91711" w:rsidP="00F91711">
      <w:pPr>
        <w:pStyle w:val="a3"/>
        <w:rPr>
          <w:sz w:val="24"/>
          <w:lang w:val="it-IT"/>
        </w:rPr>
      </w:pPr>
    </w:p>
    <w:p w14:paraId="0D1BC3E9" w14:textId="77777777" w:rsidR="00F91711" w:rsidRPr="00C35766" w:rsidRDefault="00F91711" w:rsidP="00F91711">
      <w:pPr>
        <w:pStyle w:val="a3"/>
        <w:rPr>
          <w:rFonts w:eastAsia="Times New Roman"/>
          <w:lang w:val="it-IT"/>
        </w:rPr>
      </w:pPr>
      <w:r w:rsidRPr="00C35766">
        <w:rPr>
          <w:rFonts w:eastAsia="Times New Roman"/>
          <w:i/>
          <w:iCs/>
          <w:spacing w:val="-1"/>
          <w:lang w:val="it-IT"/>
        </w:rPr>
        <w:t>Idrosadenite suppurativa</w:t>
      </w:r>
    </w:p>
    <w:p w14:paraId="7D37678E" w14:textId="77777777" w:rsidR="00F91711" w:rsidRPr="00C35766" w:rsidRDefault="00F91711" w:rsidP="00F91711">
      <w:pPr>
        <w:pStyle w:val="a3"/>
        <w:rPr>
          <w:sz w:val="24"/>
          <w:szCs w:val="24"/>
          <w:lang w:val="it-IT"/>
        </w:rPr>
      </w:pPr>
    </w:p>
    <w:p w14:paraId="518CAF57" w14:textId="77777777" w:rsidR="00F91711" w:rsidRPr="00C35766" w:rsidRDefault="00F91711" w:rsidP="00F91711">
      <w:pPr>
        <w:pStyle w:val="a3"/>
        <w:rPr>
          <w:lang w:val="it-IT"/>
        </w:rPr>
      </w:pPr>
      <w:r w:rsidRPr="00C35766">
        <w:rPr>
          <w:rFonts w:eastAsia="Times New Roman"/>
          <w:lang w:val="it-IT"/>
        </w:rPr>
        <w:t>La sicurezza e l’efficacia di adalimumab sono state valutate in studi randomizzati, in doppio cieco, controllati con placebo e in uno studio di estensione in aperto, in pazienti adulti affetti da idrosadenite suppurativa (HS) di grado da moderato a severo, che erano intolleranti, presentavano una controindicazione o una risposta inadeguata ad almeno 3 mesi di terapia antibiotica sistemica. I pazienti in HS-I e HS-II avevano uno Stadio Hurley II o III della malattia con almeno 3 ascessi o noduli infiammatori.</w:t>
      </w:r>
    </w:p>
    <w:p w14:paraId="1D2F8715" w14:textId="77777777" w:rsidR="00F91711" w:rsidRPr="00C35766" w:rsidRDefault="00F91711" w:rsidP="00F91711">
      <w:pPr>
        <w:pStyle w:val="a3"/>
        <w:rPr>
          <w:sz w:val="24"/>
          <w:szCs w:val="24"/>
          <w:lang w:val="it-IT"/>
        </w:rPr>
      </w:pPr>
    </w:p>
    <w:p w14:paraId="435DE860" w14:textId="77777777" w:rsidR="00F91711" w:rsidRPr="00C35766" w:rsidRDefault="00F91711" w:rsidP="00F91711">
      <w:pPr>
        <w:pStyle w:val="a3"/>
        <w:rPr>
          <w:lang w:val="pt-BR"/>
        </w:rPr>
      </w:pPr>
      <w:r w:rsidRPr="00C35766">
        <w:rPr>
          <w:rFonts w:eastAsia="Times New Roman"/>
          <w:lang w:val="it-IT"/>
        </w:rPr>
        <w:t>Lo Studio HS-I (PIONEER I) ha valutato 307 pazienti con 2 periodi di trattamento. Nel Periodo A, i pazienti hanno ricevuto placebo o adalimumab ad una dose iniziale di 160 mg alla settimana 0, 80 mg alla settimana 2 e 40 mg ogni settimana a partire dalla settimana 4 fino alla settimana 11. Durante lo studio non era consentito l’uso concomitante di antibiotici. Dopo 12 settimane di trattamento, i pazienti che avevano ricevuto adalimumab nel Periodo A sono stati randomizzati nel Periodo B ad 1 dei 3 gruppi di trattamento (adalimumab 40 mg ogni settimana, adalimumab 40 mg a settimane alterne o placebo dalla settimana 12 alla settimana 35). I pazienti che erano stati randomizzati al placebo nel Periodo A, sono stati assegnati a ricevere adalimumab 40 mg ogni settimana nel Periodo B.</w:t>
      </w:r>
    </w:p>
    <w:p w14:paraId="04A88A1D" w14:textId="77777777" w:rsidR="00F91711" w:rsidRPr="00C35766" w:rsidRDefault="00F91711" w:rsidP="00F91711">
      <w:pPr>
        <w:pStyle w:val="a3"/>
        <w:rPr>
          <w:sz w:val="24"/>
          <w:szCs w:val="24"/>
          <w:lang w:val="pt-BR"/>
        </w:rPr>
      </w:pPr>
    </w:p>
    <w:p w14:paraId="50C728D7" w14:textId="77777777" w:rsidR="00F91711" w:rsidRPr="00C35766" w:rsidRDefault="00F91711" w:rsidP="00F91711">
      <w:pPr>
        <w:pStyle w:val="a3"/>
        <w:rPr>
          <w:lang w:val="pt-BR"/>
        </w:rPr>
      </w:pPr>
      <w:r w:rsidRPr="00C35766">
        <w:rPr>
          <w:rFonts w:eastAsia="Times New Roman"/>
          <w:lang w:val="it-IT"/>
        </w:rPr>
        <w:t>Lo Studio HS-II (PIONEER II) ha valutato 326 pazienti con 2 periodi di trattamento. Nel Periodo A, i pazienti hanno ricevuto placebo o adalimumab ad una dose iniziale di 160 mg alla settimana 0, 80 mg alla settimana 2 e 40 mg ogni settimana a partire dalla settimana 4 fino alla settimana 11. Durante lo studio il 19,3% dei pazienti aveva continuato la terapia antibiotica orale che assumeva al basale. Dopo 12 settimane di trattamento, i pazienti che avevano ricevuto adalimumab nel Periodo A sono stati randomizzati nel Periodo B ad 1 dei 3 gruppi di trattamento (adalimumab 40 mg ogni settimana, adalimumab 40 mg a settimane alterne o placebo dalla settimana 12 alla settimana 35). I pazienti che erano stati randomizzati al placebo nel Periodo A, sono stati assegnati a ricevere placebo nel Periodo B.</w:t>
      </w:r>
    </w:p>
    <w:p w14:paraId="0376A3B0" w14:textId="77777777" w:rsidR="00F91711" w:rsidRPr="00C35766" w:rsidRDefault="00F91711" w:rsidP="00F91711">
      <w:pPr>
        <w:pStyle w:val="a3"/>
        <w:rPr>
          <w:sz w:val="24"/>
          <w:szCs w:val="24"/>
          <w:lang w:val="pt-BR"/>
        </w:rPr>
      </w:pPr>
    </w:p>
    <w:p w14:paraId="797259C5" w14:textId="77777777" w:rsidR="00F91711" w:rsidRPr="00C35766" w:rsidRDefault="00F91711" w:rsidP="00F91711">
      <w:pPr>
        <w:pStyle w:val="a3"/>
        <w:rPr>
          <w:lang w:val="it-IT"/>
        </w:rPr>
      </w:pPr>
      <w:r w:rsidRPr="00C35766">
        <w:rPr>
          <w:rFonts w:eastAsia="Times New Roman"/>
          <w:lang w:val="it-IT"/>
        </w:rPr>
        <w:t>I pazienti che avevano preso parte agli Studi HS-I e HS-II erano idonei a partecipare ad uno studio di estensione in aperto in cui ogni settimana veniva somministrato adalimumab 40 mg. L’esposizione media in tutta la popolazione trattata con adalimumab è stata di 762 giorni. Durante tutti e 3 gli studi, i pazienti hanno usato tutti i giorni una soluzione di lavaggio antisettica topica.</w:t>
      </w:r>
    </w:p>
    <w:p w14:paraId="32EADBAB" w14:textId="77777777" w:rsidR="00F91711" w:rsidRPr="00C35766" w:rsidRDefault="00F91711" w:rsidP="00F91711">
      <w:pPr>
        <w:pStyle w:val="a3"/>
        <w:rPr>
          <w:sz w:val="24"/>
          <w:szCs w:val="24"/>
          <w:lang w:val="it-IT"/>
        </w:rPr>
      </w:pPr>
    </w:p>
    <w:p w14:paraId="76FA07C2" w14:textId="77777777" w:rsidR="00F91711" w:rsidRPr="00C35766" w:rsidRDefault="00F91711" w:rsidP="00F91711">
      <w:pPr>
        <w:pStyle w:val="a3"/>
        <w:rPr>
          <w:rFonts w:eastAsia="Times New Roman"/>
          <w:lang w:val="it-IT"/>
        </w:rPr>
      </w:pPr>
      <w:r w:rsidRPr="00C35766">
        <w:rPr>
          <w:rFonts w:eastAsia="Times New Roman"/>
          <w:i/>
          <w:iCs/>
          <w:spacing w:val="-1"/>
          <w:u w:val="single" w:color="000000"/>
          <w:lang w:val="it-IT"/>
        </w:rPr>
        <w:t>Risposta clinica</w:t>
      </w:r>
    </w:p>
    <w:p w14:paraId="7108991B" w14:textId="77777777" w:rsidR="00F91711" w:rsidRPr="00C35766" w:rsidRDefault="00F91711" w:rsidP="00F91711">
      <w:pPr>
        <w:pStyle w:val="a3"/>
        <w:rPr>
          <w:sz w:val="18"/>
          <w:szCs w:val="18"/>
          <w:lang w:val="it-IT"/>
        </w:rPr>
      </w:pPr>
    </w:p>
    <w:p w14:paraId="71E695EB" w14:textId="77777777" w:rsidR="00F91711" w:rsidRPr="00C35766" w:rsidRDefault="00F91711" w:rsidP="00F91711">
      <w:pPr>
        <w:pStyle w:val="a3"/>
        <w:rPr>
          <w:lang w:val="es-ES"/>
        </w:rPr>
      </w:pPr>
      <w:r w:rsidRPr="00C35766">
        <w:rPr>
          <w:rFonts w:eastAsia="Times New Roman"/>
          <w:lang w:val="it-IT"/>
        </w:rPr>
        <w:t>La riduzione delle lesioni infiammatorie e la prevenzione del peggioramento degli ascessi e delle fistole drenanti sono state valutate utilizzando l’Hidradenitis Suppurativa Clinical Response (HiSCR; una riduzione di almeno il 50% nella conta totale di ascessi e noduli infiammatori senza aumento nella conta degli ascessi né di fistole drenanti rispetto al valore basale). La riduzione del dolore cutaneo riferito all’idrosadenite suppurativa (HS) è stata valutata utilizzando la Scala di Valutazione Numerica (Numeric Rating Scale) nei pazienti che erano entrati nello studio con un punteggio basale iniziale pari a 3 o superiore su una scala di 11 punti.</w:t>
      </w:r>
    </w:p>
    <w:p w14:paraId="361254FA" w14:textId="77777777" w:rsidR="00F91711" w:rsidRPr="00C35766" w:rsidRDefault="00F91711" w:rsidP="00F91711">
      <w:pPr>
        <w:spacing w:before="13" w:line="240" w:lineRule="exact"/>
        <w:rPr>
          <w:rFonts w:ascii="Times New Roman" w:hAnsi="Times New Roman" w:cs="Times New Roman"/>
          <w:sz w:val="24"/>
          <w:szCs w:val="24"/>
          <w:lang w:val="es-ES"/>
        </w:rPr>
      </w:pPr>
    </w:p>
    <w:p w14:paraId="7852D75B" w14:textId="01235974" w:rsidR="00F91711" w:rsidRPr="00C35766" w:rsidRDefault="00F91711" w:rsidP="00F91711">
      <w:pPr>
        <w:pStyle w:val="a3"/>
        <w:rPr>
          <w:lang w:val="it-IT"/>
        </w:rPr>
      </w:pPr>
      <w:r w:rsidRPr="00C35766">
        <w:rPr>
          <w:rFonts w:eastAsia="Times New Roman"/>
          <w:lang w:val="it-IT"/>
        </w:rPr>
        <w:t xml:space="preserve">Alla settimana 12, una percentuale significativamente maggiore di pazienti trattati con adalimumab verso placebo ha raggiunto HiSCR. Alla settimana 12, una percentuale significativamente superiore di pazienti nello Studio HS-II ha mostrato una diminuzione clinicamente rilevante del dolore cutaneo riferito all’Idrosadenite Suppurativa (HS) (vedere Tabella </w:t>
      </w:r>
      <w:r w:rsidR="00150B5C">
        <w:rPr>
          <w:rFonts w:eastAsia="Times New Roman"/>
          <w:lang w:val="it-IT"/>
        </w:rPr>
        <w:t>12</w:t>
      </w:r>
      <w:r w:rsidRPr="00C35766">
        <w:rPr>
          <w:rFonts w:eastAsia="Times New Roman"/>
          <w:lang w:val="it-IT"/>
        </w:rPr>
        <w:t>). I pazienti trattati con adalimumab presentavano un rischio significativamente ridotto di riacutizzazione della malattia durante le 12 settimane iniziali di trattamento.</w:t>
      </w:r>
    </w:p>
    <w:p w14:paraId="6EDC2EC7" w14:textId="77777777" w:rsidR="00F91711" w:rsidRPr="00C35766" w:rsidRDefault="00F91711" w:rsidP="00F91711">
      <w:pPr>
        <w:spacing w:line="200" w:lineRule="exact"/>
        <w:rPr>
          <w:rFonts w:ascii="Times New Roman" w:hAnsi="Times New Roman" w:cs="Times New Roman"/>
          <w:sz w:val="20"/>
          <w:szCs w:val="20"/>
          <w:lang w:val="it-IT"/>
        </w:rPr>
      </w:pPr>
    </w:p>
    <w:p w14:paraId="0E8C1521" w14:textId="77777777" w:rsidR="005A5DEF" w:rsidRDefault="005A5DEF" w:rsidP="00F91711">
      <w:pPr>
        <w:pStyle w:val="a3"/>
        <w:jc w:val="center"/>
        <w:rPr>
          <w:rFonts w:eastAsia="Times New Roman"/>
          <w:b/>
          <w:bCs/>
          <w:lang w:val="it-IT"/>
        </w:rPr>
      </w:pPr>
    </w:p>
    <w:p w14:paraId="13B0BBD1" w14:textId="77777777" w:rsidR="005A5DEF" w:rsidRDefault="005A5DEF" w:rsidP="00F91711">
      <w:pPr>
        <w:pStyle w:val="a3"/>
        <w:jc w:val="center"/>
        <w:rPr>
          <w:rFonts w:eastAsia="Times New Roman"/>
          <w:b/>
          <w:bCs/>
          <w:lang w:val="it-IT"/>
        </w:rPr>
      </w:pPr>
    </w:p>
    <w:p w14:paraId="0FFB71F2" w14:textId="52EAA6F2" w:rsidR="00F91711" w:rsidRPr="00C35766" w:rsidRDefault="00F91711" w:rsidP="00F91711">
      <w:pPr>
        <w:pStyle w:val="a3"/>
        <w:jc w:val="center"/>
        <w:rPr>
          <w:b/>
          <w:lang w:val="it-IT"/>
        </w:rPr>
      </w:pPr>
      <w:r w:rsidRPr="00C35766">
        <w:rPr>
          <w:rFonts w:eastAsia="Times New Roman"/>
          <w:b/>
          <w:bCs/>
          <w:lang w:val="it-IT"/>
        </w:rPr>
        <w:lastRenderedPageBreak/>
        <w:t xml:space="preserve">Tabella </w:t>
      </w:r>
      <w:r w:rsidR="00150B5C">
        <w:rPr>
          <w:rFonts w:eastAsia="Times New Roman"/>
          <w:b/>
          <w:bCs/>
          <w:lang w:val="it-IT"/>
        </w:rPr>
        <w:t>12</w:t>
      </w:r>
    </w:p>
    <w:p w14:paraId="3C4F08E3" w14:textId="77777777" w:rsidR="00F91711" w:rsidRDefault="00F91711" w:rsidP="00F91711">
      <w:pPr>
        <w:pStyle w:val="a3"/>
        <w:jc w:val="center"/>
        <w:rPr>
          <w:rFonts w:eastAsia="Times New Roman"/>
          <w:b/>
          <w:bCs/>
          <w:lang w:val="it-IT"/>
        </w:rPr>
      </w:pPr>
      <w:r w:rsidRPr="00C35766">
        <w:rPr>
          <w:rFonts w:eastAsia="Times New Roman"/>
          <w:b/>
          <w:bCs/>
          <w:lang w:val="it-IT"/>
        </w:rPr>
        <w:t>Risultati di efficacia a 12 settimane, Studi HS I e II</w:t>
      </w:r>
    </w:p>
    <w:p w14:paraId="781D09D6" w14:textId="77777777" w:rsidR="00A842FF" w:rsidRPr="00C35766" w:rsidRDefault="00A842FF" w:rsidP="00F91711">
      <w:pPr>
        <w:pStyle w:val="a3"/>
        <w:jc w:val="center"/>
        <w:rPr>
          <w:b/>
          <w:lang w:val="it-IT"/>
        </w:rPr>
      </w:pPr>
    </w:p>
    <w:p w14:paraId="3F14BA3E" w14:textId="77777777" w:rsidR="00F91711" w:rsidRPr="00C35766" w:rsidRDefault="00F91711" w:rsidP="00F91711">
      <w:pPr>
        <w:spacing w:before="4" w:line="10" w:lineRule="exact"/>
        <w:rPr>
          <w:rFonts w:ascii="Times New Roman" w:hAnsi="Times New Roman" w:cs="Times New Roman"/>
          <w:sz w:val="4"/>
          <w:lang w:val="it-IT"/>
        </w:rPr>
      </w:pPr>
    </w:p>
    <w:tbl>
      <w:tblPr>
        <w:tblStyle w:val="TableNormal1"/>
        <w:tblW w:w="0" w:type="auto"/>
        <w:tblInd w:w="167" w:type="dxa"/>
        <w:tblLayout w:type="fixed"/>
        <w:tblLook w:val="01E0" w:firstRow="1" w:lastRow="1" w:firstColumn="1" w:lastColumn="1" w:noHBand="0" w:noVBand="0"/>
      </w:tblPr>
      <w:tblGrid>
        <w:gridCol w:w="2521"/>
        <w:gridCol w:w="1417"/>
        <w:gridCol w:w="1985"/>
        <w:gridCol w:w="1417"/>
        <w:gridCol w:w="1953"/>
      </w:tblGrid>
      <w:tr w:rsidR="00F91711" w:rsidRPr="00C35766" w14:paraId="11AC23F9" w14:textId="77777777" w:rsidTr="00F91711">
        <w:tc>
          <w:tcPr>
            <w:tcW w:w="2521" w:type="dxa"/>
            <w:vMerge w:val="restart"/>
            <w:tcBorders>
              <w:top w:val="single" w:sz="5" w:space="0" w:color="000000"/>
              <w:left w:val="single" w:sz="5" w:space="0" w:color="000000"/>
              <w:right w:val="single" w:sz="5" w:space="0" w:color="000000"/>
            </w:tcBorders>
          </w:tcPr>
          <w:p w14:paraId="1939A4D5" w14:textId="77777777" w:rsidR="00F91711" w:rsidRPr="00C35766" w:rsidRDefault="00F91711" w:rsidP="00F91711">
            <w:pPr>
              <w:rPr>
                <w:rFonts w:ascii="Times New Roman" w:hAnsi="Times New Roman" w:cs="Times New Roman"/>
                <w:lang w:val="it-IT"/>
              </w:rPr>
            </w:pPr>
          </w:p>
        </w:tc>
        <w:tc>
          <w:tcPr>
            <w:tcW w:w="3402" w:type="dxa"/>
            <w:gridSpan w:val="2"/>
            <w:tcBorders>
              <w:top w:val="single" w:sz="5" w:space="0" w:color="000000"/>
              <w:left w:val="single" w:sz="5" w:space="0" w:color="000000"/>
              <w:bottom w:val="single" w:sz="5" w:space="0" w:color="000000"/>
              <w:right w:val="single" w:sz="5" w:space="0" w:color="000000"/>
            </w:tcBorders>
          </w:tcPr>
          <w:p w14:paraId="53753DB8" w14:textId="77777777" w:rsidR="00F91711" w:rsidRPr="00C35766" w:rsidRDefault="00F91711" w:rsidP="00F91711">
            <w:pPr>
              <w:pStyle w:val="TableParagraph"/>
              <w:spacing w:line="251" w:lineRule="exact"/>
              <w:ind w:left="809" w:right="105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Studio HS I</w:t>
            </w:r>
          </w:p>
        </w:tc>
        <w:tc>
          <w:tcPr>
            <w:tcW w:w="3370" w:type="dxa"/>
            <w:gridSpan w:val="2"/>
            <w:tcBorders>
              <w:top w:val="single" w:sz="5" w:space="0" w:color="000000"/>
              <w:left w:val="single" w:sz="5" w:space="0" w:color="000000"/>
              <w:bottom w:val="single" w:sz="5" w:space="0" w:color="000000"/>
              <w:right w:val="single" w:sz="5" w:space="0" w:color="000000"/>
            </w:tcBorders>
          </w:tcPr>
          <w:p w14:paraId="53CD9A7A" w14:textId="77777777" w:rsidR="00F91711" w:rsidRPr="00C35766" w:rsidRDefault="00F91711" w:rsidP="00F91711">
            <w:pPr>
              <w:pStyle w:val="TableParagraph"/>
              <w:spacing w:line="251" w:lineRule="exact"/>
              <w:ind w:left="1062"/>
              <w:rPr>
                <w:rFonts w:ascii="Times New Roman" w:eastAsia="Times New Roman" w:hAnsi="Times New Roman" w:cs="Times New Roman"/>
              </w:rPr>
            </w:pPr>
            <w:r w:rsidRPr="00C35766">
              <w:rPr>
                <w:rFonts w:ascii="Times New Roman" w:eastAsia="Times New Roman" w:hAnsi="Times New Roman" w:cs="Times New Roman"/>
                <w:b/>
                <w:bCs/>
                <w:spacing w:val="-1"/>
                <w:lang w:val="it-IT"/>
              </w:rPr>
              <w:t>Studio HS II</w:t>
            </w:r>
          </w:p>
        </w:tc>
      </w:tr>
      <w:tr w:rsidR="00F91711" w:rsidRPr="00C35766" w14:paraId="3BB01ABB" w14:textId="77777777" w:rsidTr="00F91711">
        <w:tc>
          <w:tcPr>
            <w:tcW w:w="2521" w:type="dxa"/>
            <w:vMerge/>
            <w:tcBorders>
              <w:left w:val="single" w:sz="5" w:space="0" w:color="000000"/>
              <w:bottom w:val="single" w:sz="5" w:space="0" w:color="000000"/>
              <w:right w:val="single" w:sz="5" w:space="0" w:color="000000"/>
            </w:tcBorders>
          </w:tcPr>
          <w:p w14:paraId="13ECBF48" w14:textId="77777777" w:rsidR="00F91711" w:rsidRPr="00C35766" w:rsidRDefault="00F91711" w:rsidP="00F91711">
            <w:pPr>
              <w:rPr>
                <w:rFonts w:ascii="Times New Roman" w:hAnsi="Times New Roman" w:cs="Times New Roman"/>
              </w:rPr>
            </w:pPr>
          </w:p>
        </w:tc>
        <w:tc>
          <w:tcPr>
            <w:tcW w:w="1417" w:type="dxa"/>
            <w:tcBorders>
              <w:top w:val="single" w:sz="5" w:space="0" w:color="000000"/>
              <w:left w:val="single" w:sz="5" w:space="0" w:color="000000"/>
              <w:bottom w:val="single" w:sz="5" w:space="0" w:color="000000"/>
              <w:right w:val="single" w:sz="5" w:space="0" w:color="000000"/>
            </w:tcBorders>
          </w:tcPr>
          <w:p w14:paraId="7C72ECFE" w14:textId="77777777" w:rsidR="00F91711" w:rsidRPr="00C35766" w:rsidRDefault="00F91711" w:rsidP="00F91711">
            <w:pPr>
              <w:pStyle w:val="TableParagraph"/>
              <w:ind w:left="347"/>
              <w:rPr>
                <w:rFonts w:ascii="Times New Roman" w:eastAsia="Times New Roman" w:hAnsi="Times New Roman" w:cs="Times New Roman"/>
              </w:rPr>
            </w:pPr>
            <w:r w:rsidRPr="00C35766">
              <w:rPr>
                <w:rFonts w:ascii="Times New Roman" w:eastAsia="Times New Roman" w:hAnsi="Times New Roman" w:cs="Times New Roman"/>
                <w:b/>
                <w:bCs/>
                <w:lang w:val="it-IT"/>
              </w:rPr>
              <w:t>Placebo</w:t>
            </w:r>
          </w:p>
        </w:tc>
        <w:tc>
          <w:tcPr>
            <w:tcW w:w="1985" w:type="dxa"/>
            <w:tcBorders>
              <w:top w:val="single" w:sz="5" w:space="0" w:color="000000"/>
              <w:left w:val="single" w:sz="5" w:space="0" w:color="000000"/>
              <w:bottom w:val="single" w:sz="5" w:space="0" w:color="000000"/>
              <w:right w:val="single" w:sz="5" w:space="0" w:color="000000"/>
            </w:tcBorders>
          </w:tcPr>
          <w:p w14:paraId="5FFAC32F" w14:textId="77777777" w:rsidR="00F91711" w:rsidRPr="00C35766" w:rsidRDefault="00F91711" w:rsidP="00F91711">
            <w:pPr>
              <w:pStyle w:val="TableParagraph"/>
              <w:spacing w:before="1" w:line="252" w:lineRule="exact"/>
              <w:ind w:left="77"/>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Adalimumab 40 mg settimanalmente</w:t>
            </w:r>
          </w:p>
        </w:tc>
        <w:tc>
          <w:tcPr>
            <w:tcW w:w="1417" w:type="dxa"/>
            <w:tcBorders>
              <w:top w:val="single" w:sz="5" w:space="0" w:color="000000"/>
              <w:left w:val="single" w:sz="5" w:space="0" w:color="000000"/>
              <w:bottom w:val="single" w:sz="5" w:space="0" w:color="000000"/>
              <w:right w:val="single" w:sz="5" w:space="0" w:color="000000"/>
            </w:tcBorders>
          </w:tcPr>
          <w:p w14:paraId="321EC61B" w14:textId="77777777" w:rsidR="00F91711" w:rsidRPr="00C35766" w:rsidRDefault="00F91711" w:rsidP="00F91711">
            <w:pPr>
              <w:pStyle w:val="TableParagraph"/>
              <w:ind w:left="327"/>
              <w:rPr>
                <w:rFonts w:ascii="Times New Roman" w:eastAsia="Times New Roman" w:hAnsi="Times New Roman" w:cs="Times New Roman"/>
              </w:rPr>
            </w:pPr>
            <w:r w:rsidRPr="00C35766">
              <w:rPr>
                <w:rFonts w:ascii="Times New Roman" w:eastAsia="Times New Roman" w:hAnsi="Times New Roman" w:cs="Times New Roman"/>
                <w:b/>
                <w:bCs/>
                <w:spacing w:val="-1"/>
                <w:lang w:val="it-IT"/>
              </w:rPr>
              <w:t>Placebo</w:t>
            </w:r>
          </w:p>
        </w:tc>
        <w:tc>
          <w:tcPr>
            <w:tcW w:w="1953" w:type="dxa"/>
            <w:tcBorders>
              <w:top w:val="single" w:sz="5" w:space="0" w:color="000000"/>
              <w:left w:val="single" w:sz="5" w:space="0" w:color="000000"/>
              <w:bottom w:val="single" w:sz="5" w:space="0" w:color="000000"/>
              <w:right w:val="single" w:sz="5" w:space="0" w:color="000000"/>
            </w:tcBorders>
          </w:tcPr>
          <w:p w14:paraId="61A2C017" w14:textId="77777777" w:rsidR="00F91711" w:rsidRPr="00C35766" w:rsidRDefault="00F91711" w:rsidP="00F91711">
            <w:pPr>
              <w:pStyle w:val="TableParagraph"/>
              <w:spacing w:before="1" w:line="252" w:lineRule="exact"/>
              <w:ind w:left="45"/>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Adalimumab 40 mg settimanalmente</w:t>
            </w:r>
          </w:p>
        </w:tc>
      </w:tr>
      <w:tr w:rsidR="00F91711" w:rsidRPr="00C35766" w14:paraId="5B9F6565" w14:textId="77777777" w:rsidTr="00F91711">
        <w:tc>
          <w:tcPr>
            <w:tcW w:w="2521" w:type="dxa"/>
            <w:tcBorders>
              <w:top w:val="single" w:sz="5" w:space="0" w:color="000000"/>
              <w:left w:val="single" w:sz="5" w:space="0" w:color="000000"/>
              <w:bottom w:val="single" w:sz="5" w:space="0" w:color="000000"/>
              <w:right w:val="single" w:sz="5" w:space="0" w:color="000000"/>
            </w:tcBorders>
          </w:tcPr>
          <w:p w14:paraId="6DFE52BF" w14:textId="77777777" w:rsidR="00F91711" w:rsidRPr="00C35766" w:rsidRDefault="00F91711" w:rsidP="00F91711">
            <w:pPr>
              <w:pStyle w:val="TableParagraph"/>
              <w:spacing w:line="246" w:lineRule="exact"/>
              <w:ind w:left="109"/>
              <w:rPr>
                <w:rFonts w:ascii="Times New Roman" w:hAnsi="Times New Roman" w:cs="Times New Roman"/>
                <w:lang w:val="it-IT"/>
              </w:rPr>
            </w:pPr>
            <w:r w:rsidRPr="00C35766">
              <w:rPr>
                <w:rFonts w:ascii="Times New Roman" w:eastAsia="Times New Roman" w:hAnsi="Times New Roman" w:cs="Times New Roman"/>
                <w:spacing w:val="-1"/>
                <w:lang w:val="it-IT"/>
              </w:rPr>
              <w:t>Idrosadenite Suppurativa</w:t>
            </w:r>
          </w:p>
          <w:p w14:paraId="50B948EB" w14:textId="77777777" w:rsidR="00F91711" w:rsidRPr="00C35766" w:rsidRDefault="00F91711" w:rsidP="00F91711">
            <w:pPr>
              <w:pStyle w:val="TableParagraph"/>
              <w:spacing w:line="252" w:lineRule="exact"/>
              <w:ind w:left="109"/>
              <w:rPr>
                <w:rFonts w:ascii="Times New Roman" w:hAnsi="Times New Roman" w:cs="Times New Roman"/>
                <w:lang w:val="it-IT"/>
              </w:rPr>
            </w:pPr>
            <w:r w:rsidRPr="00C35766">
              <w:rPr>
                <w:rFonts w:ascii="Times New Roman" w:eastAsia="Times New Roman" w:hAnsi="Times New Roman" w:cs="Times New Roman"/>
                <w:spacing w:val="-1"/>
                <w:lang w:val="it-IT"/>
              </w:rPr>
              <w:t>Risposta clinica (HiSCR)</w:t>
            </w:r>
            <w:r w:rsidRPr="00C35766">
              <w:rPr>
                <w:rFonts w:ascii="Times New Roman" w:eastAsia="Times New Roman" w:hAnsi="Times New Roman" w:cs="Times New Roman"/>
                <w:spacing w:val="-1"/>
                <w:vertAlign w:val="superscript"/>
                <w:lang w:val="it-IT"/>
              </w:rPr>
              <w:t>a</w:t>
            </w:r>
          </w:p>
        </w:tc>
        <w:tc>
          <w:tcPr>
            <w:tcW w:w="1417" w:type="dxa"/>
            <w:tcBorders>
              <w:top w:val="single" w:sz="5" w:space="0" w:color="000000"/>
              <w:left w:val="single" w:sz="5" w:space="0" w:color="000000"/>
              <w:bottom w:val="single" w:sz="5" w:space="0" w:color="000000"/>
              <w:right w:val="single" w:sz="5" w:space="0" w:color="000000"/>
            </w:tcBorders>
          </w:tcPr>
          <w:p w14:paraId="6F2F4FFC" w14:textId="77777777" w:rsidR="00F91711" w:rsidRPr="00C35766" w:rsidRDefault="00F91711" w:rsidP="00F91711">
            <w:pPr>
              <w:pStyle w:val="TableParagraph"/>
              <w:spacing w:line="246" w:lineRule="exact"/>
              <w:ind w:left="336" w:right="336"/>
              <w:jc w:val="center"/>
              <w:rPr>
                <w:rFonts w:ascii="Times New Roman" w:eastAsia="Times New Roman" w:hAnsi="Times New Roman" w:cs="Times New Roman"/>
              </w:rPr>
            </w:pPr>
            <w:r w:rsidRPr="00C35766">
              <w:rPr>
                <w:rFonts w:ascii="Times New Roman" w:eastAsia="Times New Roman" w:hAnsi="Times New Roman" w:cs="Times New Roman"/>
                <w:lang w:val="it-IT"/>
              </w:rPr>
              <w:t>N = 154</w:t>
            </w:r>
          </w:p>
          <w:p w14:paraId="051C76FA" w14:textId="77777777" w:rsidR="00F91711" w:rsidRPr="00C35766" w:rsidRDefault="00F91711" w:rsidP="00F91711">
            <w:pPr>
              <w:pStyle w:val="TableParagraph"/>
              <w:spacing w:line="252" w:lineRule="exact"/>
              <w:ind w:left="205" w:right="20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40 (26,0%)</w:t>
            </w:r>
          </w:p>
        </w:tc>
        <w:tc>
          <w:tcPr>
            <w:tcW w:w="1985" w:type="dxa"/>
            <w:tcBorders>
              <w:top w:val="single" w:sz="5" w:space="0" w:color="000000"/>
              <w:left w:val="single" w:sz="5" w:space="0" w:color="000000"/>
              <w:bottom w:val="single" w:sz="5" w:space="0" w:color="000000"/>
              <w:right w:val="single" w:sz="5" w:space="0" w:color="000000"/>
            </w:tcBorders>
          </w:tcPr>
          <w:p w14:paraId="300D152F" w14:textId="77777777" w:rsidR="00F91711" w:rsidRPr="00C35766" w:rsidRDefault="00F91711" w:rsidP="00F91711">
            <w:pPr>
              <w:pStyle w:val="TableParagraph"/>
              <w:spacing w:line="246" w:lineRule="exact"/>
              <w:ind w:left="489" w:right="489"/>
              <w:jc w:val="center"/>
              <w:rPr>
                <w:rFonts w:ascii="Times New Roman" w:eastAsia="Times New Roman" w:hAnsi="Times New Roman" w:cs="Times New Roman"/>
              </w:rPr>
            </w:pPr>
            <w:r w:rsidRPr="00C35766">
              <w:rPr>
                <w:rFonts w:ascii="Times New Roman" w:eastAsia="Times New Roman" w:hAnsi="Times New Roman" w:cs="Times New Roman"/>
                <w:lang w:val="it-IT"/>
              </w:rPr>
              <w:t>N = 153</w:t>
            </w:r>
          </w:p>
          <w:p w14:paraId="00F2870B" w14:textId="77777777" w:rsidR="00F91711" w:rsidRPr="00C35766" w:rsidRDefault="00F91711" w:rsidP="00F91711">
            <w:pPr>
              <w:pStyle w:val="TableParagraph"/>
              <w:spacing w:line="252" w:lineRule="exact"/>
              <w:ind w:left="294" w:right="29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64 (41,8%)</w:t>
            </w:r>
            <w:r w:rsidRPr="00C35766">
              <w:rPr>
                <w:rFonts w:ascii="Times New Roman" w:eastAsia="Times New Roman" w:hAnsi="Times New Roman" w:cs="Times New Roman"/>
                <w:spacing w:val="-1"/>
                <w:vertAlign w:val="superscript"/>
                <w:lang w:val="it-IT"/>
              </w:rPr>
              <w:t>*</w:t>
            </w:r>
          </w:p>
        </w:tc>
        <w:tc>
          <w:tcPr>
            <w:tcW w:w="1417" w:type="dxa"/>
            <w:tcBorders>
              <w:top w:val="single" w:sz="5" w:space="0" w:color="000000"/>
              <w:left w:val="single" w:sz="5" w:space="0" w:color="000000"/>
              <w:bottom w:val="single" w:sz="5" w:space="0" w:color="000000"/>
              <w:right w:val="single" w:sz="5" w:space="0" w:color="000000"/>
            </w:tcBorders>
          </w:tcPr>
          <w:p w14:paraId="733351BD" w14:textId="77777777" w:rsidR="00F91711" w:rsidRPr="00C35766" w:rsidRDefault="00F91711" w:rsidP="00F91711">
            <w:pPr>
              <w:pStyle w:val="TableParagraph"/>
              <w:spacing w:line="246" w:lineRule="exact"/>
              <w:ind w:left="373" w:right="37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N=163</w:t>
            </w:r>
          </w:p>
          <w:p w14:paraId="12D3A7F7" w14:textId="77777777" w:rsidR="00F91711" w:rsidRPr="00C35766" w:rsidRDefault="00F91711" w:rsidP="00F91711">
            <w:pPr>
              <w:pStyle w:val="TableParagraph"/>
              <w:spacing w:line="252" w:lineRule="exact"/>
              <w:ind w:left="185" w:right="18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45 (27,6%)</w:t>
            </w:r>
          </w:p>
        </w:tc>
        <w:tc>
          <w:tcPr>
            <w:tcW w:w="1953" w:type="dxa"/>
            <w:tcBorders>
              <w:top w:val="single" w:sz="5" w:space="0" w:color="000000"/>
              <w:left w:val="single" w:sz="5" w:space="0" w:color="000000"/>
              <w:bottom w:val="single" w:sz="5" w:space="0" w:color="000000"/>
              <w:right w:val="single" w:sz="5" w:space="0" w:color="000000"/>
            </w:tcBorders>
          </w:tcPr>
          <w:p w14:paraId="5CDF67C0" w14:textId="77777777" w:rsidR="00F91711" w:rsidRPr="00C35766" w:rsidRDefault="00F91711" w:rsidP="00F91711">
            <w:pPr>
              <w:pStyle w:val="TableParagraph"/>
              <w:spacing w:line="246" w:lineRule="exact"/>
              <w:ind w:left="599" w:right="59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N=163</w:t>
            </w:r>
          </w:p>
          <w:p w14:paraId="019C135C" w14:textId="77777777" w:rsidR="00F91711" w:rsidRPr="00C35766" w:rsidRDefault="00F91711" w:rsidP="00F91711">
            <w:pPr>
              <w:pStyle w:val="TableParagraph"/>
              <w:spacing w:line="252" w:lineRule="exact"/>
              <w:ind w:left="281" w:right="282"/>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96 (58,9%) </w:t>
            </w:r>
            <w:r w:rsidRPr="00C35766">
              <w:rPr>
                <w:rFonts w:ascii="Times New Roman" w:eastAsia="Times New Roman" w:hAnsi="Times New Roman" w:cs="Times New Roman"/>
                <w:spacing w:val="-1"/>
                <w:vertAlign w:val="superscript"/>
                <w:lang w:val="it-IT"/>
              </w:rPr>
              <w:t>***</w:t>
            </w:r>
          </w:p>
        </w:tc>
      </w:tr>
      <w:tr w:rsidR="00F91711" w:rsidRPr="00C35766" w14:paraId="1D92989B" w14:textId="77777777" w:rsidTr="00F91711">
        <w:tc>
          <w:tcPr>
            <w:tcW w:w="2521" w:type="dxa"/>
            <w:tcBorders>
              <w:top w:val="single" w:sz="5" w:space="0" w:color="000000"/>
              <w:left w:val="single" w:sz="5" w:space="0" w:color="000000"/>
              <w:bottom w:val="single" w:sz="5" w:space="0" w:color="000000"/>
              <w:right w:val="single" w:sz="5" w:space="0" w:color="000000"/>
            </w:tcBorders>
          </w:tcPr>
          <w:p w14:paraId="0D01BDA5" w14:textId="77777777" w:rsidR="00F91711" w:rsidRPr="00C35766" w:rsidRDefault="00F91711" w:rsidP="00F91711">
            <w:pPr>
              <w:pStyle w:val="TableParagraph"/>
              <w:spacing w:line="246" w:lineRule="exact"/>
              <w:ind w:left="109"/>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 30% riduzione di dolore </w:t>
            </w:r>
            <w:r w:rsidRPr="00C35766">
              <w:rPr>
                <w:rFonts w:ascii="Times New Roman" w:eastAsia="Times New Roman" w:hAnsi="Times New Roman" w:cs="Times New Roman"/>
                <w:lang w:val="it-IT"/>
              </w:rPr>
              <w:t>cutaneo</w:t>
            </w:r>
            <w:r w:rsidRPr="00C35766">
              <w:rPr>
                <w:rFonts w:ascii="Times New Roman" w:eastAsia="Times New Roman" w:hAnsi="Times New Roman" w:cs="Times New Roman"/>
                <w:vertAlign w:val="superscript"/>
                <w:lang w:val="it-IT"/>
              </w:rPr>
              <w:t>b</w:t>
            </w:r>
          </w:p>
        </w:tc>
        <w:tc>
          <w:tcPr>
            <w:tcW w:w="1417" w:type="dxa"/>
            <w:tcBorders>
              <w:top w:val="single" w:sz="5" w:space="0" w:color="000000"/>
              <w:left w:val="single" w:sz="5" w:space="0" w:color="000000"/>
              <w:bottom w:val="single" w:sz="5" w:space="0" w:color="000000"/>
              <w:right w:val="single" w:sz="5" w:space="0" w:color="000000"/>
            </w:tcBorders>
          </w:tcPr>
          <w:p w14:paraId="16D51BBD" w14:textId="77777777" w:rsidR="00F91711" w:rsidRPr="00C35766" w:rsidRDefault="00F91711" w:rsidP="00F91711">
            <w:pPr>
              <w:pStyle w:val="TableParagraph"/>
              <w:spacing w:line="246" w:lineRule="exact"/>
              <w:ind w:left="336" w:right="336"/>
              <w:jc w:val="center"/>
              <w:rPr>
                <w:rFonts w:ascii="Times New Roman" w:eastAsia="Times New Roman" w:hAnsi="Times New Roman" w:cs="Times New Roman"/>
              </w:rPr>
            </w:pPr>
            <w:r w:rsidRPr="00C35766">
              <w:rPr>
                <w:rFonts w:ascii="Times New Roman" w:eastAsia="Times New Roman" w:hAnsi="Times New Roman" w:cs="Times New Roman"/>
                <w:lang w:val="it-IT"/>
              </w:rPr>
              <w:t>N = 109</w:t>
            </w:r>
          </w:p>
          <w:p w14:paraId="0895EF5D" w14:textId="77777777" w:rsidR="00F91711" w:rsidRPr="00C35766" w:rsidRDefault="00F91711" w:rsidP="00F91711">
            <w:pPr>
              <w:pStyle w:val="TableParagraph"/>
              <w:spacing w:before="1"/>
              <w:ind w:left="205" w:right="20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27 (24,8%)</w:t>
            </w:r>
          </w:p>
        </w:tc>
        <w:tc>
          <w:tcPr>
            <w:tcW w:w="1985" w:type="dxa"/>
            <w:tcBorders>
              <w:top w:val="single" w:sz="5" w:space="0" w:color="000000"/>
              <w:left w:val="single" w:sz="5" w:space="0" w:color="000000"/>
              <w:bottom w:val="single" w:sz="5" w:space="0" w:color="000000"/>
              <w:right w:val="single" w:sz="5" w:space="0" w:color="000000"/>
            </w:tcBorders>
          </w:tcPr>
          <w:p w14:paraId="7B0C841F" w14:textId="77777777" w:rsidR="00F91711" w:rsidRPr="00C35766" w:rsidRDefault="00F91711" w:rsidP="00F91711">
            <w:pPr>
              <w:pStyle w:val="TableParagraph"/>
              <w:spacing w:line="246" w:lineRule="exact"/>
              <w:ind w:left="489" w:right="489"/>
              <w:jc w:val="center"/>
              <w:rPr>
                <w:rFonts w:ascii="Times New Roman" w:eastAsia="Times New Roman" w:hAnsi="Times New Roman" w:cs="Times New Roman"/>
              </w:rPr>
            </w:pPr>
            <w:r w:rsidRPr="00C35766">
              <w:rPr>
                <w:rFonts w:ascii="Times New Roman" w:eastAsia="Times New Roman" w:hAnsi="Times New Roman" w:cs="Times New Roman"/>
                <w:lang w:val="it-IT"/>
              </w:rPr>
              <w:t>N = 122</w:t>
            </w:r>
          </w:p>
          <w:p w14:paraId="2A358217" w14:textId="77777777" w:rsidR="00F91711" w:rsidRPr="00C35766" w:rsidRDefault="00F91711" w:rsidP="00F91711">
            <w:pPr>
              <w:pStyle w:val="TableParagraph"/>
              <w:spacing w:before="1"/>
              <w:ind w:left="358" w:right="3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34 (27,9%)</w:t>
            </w:r>
          </w:p>
        </w:tc>
        <w:tc>
          <w:tcPr>
            <w:tcW w:w="1417" w:type="dxa"/>
            <w:tcBorders>
              <w:top w:val="single" w:sz="5" w:space="0" w:color="000000"/>
              <w:left w:val="single" w:sz="5" w:space="0" w:color="000000"/>
              <w:bottom w:val="single" w:sz="5" w:space="0" w:color="000000"/>
              <w:right w:val="single" w:sz="5" w:space="0" w:color="000000"/>
            </w:tcBorders>
          </w:tcPr>
          <w:p w14:paraId="61CC6453" w14:textId="77777777" w:rsidR="00F91711" w:rsidRPr="00C35766" w:rsidRDefault="00F91711" w:rsidP="00F91711">
            <w:pPr>
              <w:pStyle w:val="TableParagraph"/>
              <w:spacing w:line="246" w:lineRule="exact"/>
              <w:ind w:left="373" w:right="37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N=111</w:t>
            </w:r>
          </w:p>
          <w:p w14:paraId="7931B84A" w14:textId="77777777" w:rsidR="00F91711" w:rsidRPr="00C35766" w:rsidRDefault="00F91711" w:rsidP="00F91711">
            <w:pPr>
              <w:pStyle w:val="TableParagraph"/>
              <w:spacing w:before="1"/>
              <w:ind w:left="185" w:right="18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23 (20,7%)</w:t>
            </w:r>
          </w:p>
        </w:tc>
        <w:tc>
          <w:tcPr>
            <w:tcW w:w="1953" w:type="dxa"/>
            <w:tcBorders>
              <w:top w:val="single" w:sz="5" w:space="0" w:color="000000"/>
              <w:left w:val="single" w:sz="5" w:space="0" w:color="000000"/>
              <w:bottom w:val="single" w:sz="5" w:space="0" w:color="000000"/>
              <w:right w:val="single" w:sz="5" w:space="0" w:color="000000"/>
            </w:tcBorders>
          </w:tcPr>
          <w:p w14:paraId="0377DD8E" w14:textId="77777777" w:rsidR="00F91711" w:rsidRPr="00C35766" w:rsidRDefault="00F91711" w:rsidP="00F91711">
            <w:pPr>
              <w:pStyle w:val="TableParagraph"/>
              <w:spacing w:line="246" w:lineRule="exact"/>
              <w:ind w:left="599" w:right="59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N=105</w:t>
            </w:r>
          </w:p>
          <w:p w14:paraId="287B4F01" w14:textId="77777777" w:rsidR="00F91711" w:rsidRPr="00C35766" w:rsidRDefault="00F91711" w:rsidP="00F91711">
            <w:pPr>
              <w:pStyle w:val="TableParagraph"/>
              <w:spacing w:line="254" w:lineRule="exact"/>
              <w:ind w:left="281" w:right="282"/>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48 (45,7%) </w:t>
            </w:r>
            <w:r w:rsidRPr="00C35766">
              <w:rPr>
                <w:rFonts w:ascii="Times New Roman" w:eastAsia="Times New Roman" w:hAnsi="Times New Roman" w:cs="Times New Roman"/>
                <w:spacing w:val="-1"/>
                <w:vertAlign w:val="superscript"/>
                <w:lang w:val="it-IT"/>
              </w:rPr>
              <w:t>***</w:t>
            </w:r>
          </w:p>
        </w:tc>
      </w:tr>
      <w:tr w:rsidR="00F91711" w:rsidRPr="00494E69" w14:paraId="7AA7E027" w14:textId="77777777" w:rsidTr="00F91711">
        <w:tc>
          <w:tcPr>
            <w:tcW w:w="9293" w:type="dxa"/>
            <w:gridSpan w:val="5"/>
            <w:tcBorders>
              <w:top w:val="single" w:sz="5" w:space="0" w:color="000000"/>
              <w:left w:val="single" w:sz="5" w:space="0" w:color="000000"/>
              <w:bottom w:val="single" w:sz="5" w:space="0" w:color="000000"/>
              <w:right w:val="single" w:sz="5" w:space="0" w:color="000000"/>
            </w:tcBorders>
          </w:tcPr>
          <w:p w14:paraId="1BF5317A" w14:textId="77777777" w:rsidR="00F91711" w:rsidRPr="004F0B2E" w:rsidRDefault="00F91711" w:rsidP="00F91711">
            <w:pPr>
              <w:pStyle w:val="TableParagraph"/>
              <w:spacing w:line="246" w:lineRule="exact"/>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i/>
                <w:iCs/>
                <w:lang w:val="it-IT"/>
              </w:rPr>
              <w:t xml:space="preserve">P </w:t>
            </w:r>
            <w:r w:rsidRPr="00C35766">
              <w:rPr>
                <w:rFonts w:ascii="Times New Roman" w:eastAsia="Times New Roman" w:hAnsi="Times New Roman" w:cs="Times New Roman"/>
                <w:lang w:val="it-IT"/>
              </w:rPr>
              <w:t>&lt; 0,05, ***</w:t>
            </w:r>
            <w:r w:rsidRPr="00C35766">
              <w:rPr>
                <w:rFonts w:ascii="Times New Roman" w:eastAsia="Times New Roman" w:hAnsi="Times New Roman" w:cs="Times New Roman"/>
                <w:i/>
                <w:iCs/>
                <w:lang w:val="it-IT"/>
              </w:rPr>
              <w:t xml:space="preserve">P </w:t>
            </w:r>
            <w:r w:rsidRPr="00C35766">
              <w:rPr>
                <w:rFonts w:ascii="Times New Roman" w:eastAsia="Times New Roman" w:hAnsi="Times New Roman" w:cs="Times New Roman"/>
                <w:lang w:val="it-IT"/>
              </w:rPr>
              <w:t>&lt; 0,001, adalimumab vs. placebo</w:t>
            </w:r>
          </w:p>
          <w:p w14:paraId="2877CD85" w14:textId="77777777" w:rsidR="00F91711" w:rsidRPr="00C35766" w:rsidRDefault="00F91711" w:rsidP="00F91711">
            <w:pPr>
              <w:tabs>
                <w:tab w:val="left" w:pos="469"/>
              </w:tabs>
              <w:spacing w:before="32"/>
              <w:rPr>
                <w:rFonts w:ascii="Times New Roman" w:eastAsia="Times New Roman" w:hAnsi="Times New Roman" w:cs="Times New Roman"/>
                <w:lang w:val="pt-BR"/>
              </w:rPr>
            </w:pP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 xml:space="preserve"> Tra tutti i pazienti randomizzati.</w:t>
            </w:r>
          </w:p>
          <w:p w14:paraId="171423A3" w14:textId="77777777" w:rsidR="00F91711" w:rsidRPr="00C35766" w:rsidRDefault="00F91711" w:rsidP="00F91711">
            <w:pPr>
              <w:tabs>
                <w:tab w:val="left" w:pos="469"/>
              </w:tabs>
              <w:spacing w:before="41" w:line="240" w:lineRule="exact"/>
              <w:ind w:left="115" w:right="598" w:hangingChars="52" w:hanging="115"/>
              <w:rPr>
                <w:rFonts w:ascii="Times New Roman" w:eastAsia="Times New Roman" w:hAnsi="Times New Roman" w:cs="Times New Roman"/>
                <w:lang w:val="pt-BR"/>
              </w:rPr>
            </w:pP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 xml:space="preserve"> Tra i pazienti con una valutazione di dolore cutaneo legato all’Idrosadenite Suppurativa (HS) ≥ 3, in base alla Scala di Valutazione Numerica 0 – 10; 0 = nessun dolore cutaneo, 10 = dolore cutaneo più forte che si possa immaginare.</w:t>
            </w:r>
          </w:p>
        </w:tc>
      </w:tr>
    </w:tbl>
    <w:p w14:paraId="154F445D" w14:textId="77777777" w:rsidR="00F91711" w:rsidRPr="00C35766" w:rsidRDefault="00F91711" w:rsidP="00F91711">
      <w:pPr>
        <w:spacing w:before="5" w:line="170" w:lineRule="exact"/>
        <w:rPr>
          <w:rFonts w:ascii="Times New Roman" w:hAnsi="Times New Roman" w:cs="Times New Roman"/>
          <w:sz w:val="17"/>
          <w:szCs w:val="17"/>
          <w:lang w:val="pt-BR"/>
        </w:rPr>
      </w:pPr>
    </w:p>
    <w:p w14:paraId="1CFE5192" w14:textId="77777777" w:rsidR="00F91711" w:rsidRPr="00C35766" w:rsidRDefault="00F91711" w:rsidP="00F91711">
      <w:pPr>
        <w:pStyle w:val="a3"/>
        <w:rPr>
          <w:lang w:val="it-IT"/>
        </w:rPr>
      </w:pPr>
      <w:r w:rsidRPr="00C35766">
        <w:rPr>
          <w:rFonts w:eastAsia="Times New Roman"/>
          <w:lang w:val="it-IT"/>
        </w:rPr>
        <w:t>Il trattamento con adalimumab 40 mg ogni settimana ha ridotto in maniera significativa il rischio di peggioramento di ascessi e fistole drenanti. Nelle prime 12 settimane degli Studi HS-I e HS-II, nel gruppo con placebo circa il doppio della percentuale dei pazienti ha avuto un peggioramento degli ascessi (23,0% vs 11,4%, rispettivamente) e delle fistole drenanti (30,0% vs 13,9%, rispettivamente) rispetto ai pazienti nel gruppo con adalimumab.</w:t>
      </w:r>
    </w:p>
    <w:p w14:paraId="638C00D7" w14:textId="77777777" w:rsidR="00F91711" w:rsidRPr="00C35766" w:rsidRDefault="00F91711" w:rsidP="00F91711">
      <w:pPr>
        <w:spacing w:before="14" w:line="240" w:lineRule="exact"/>
        <w:rPr>
          <w:rFonts w:ascii="Times New Roman" w:hAnsi="Times New Roman" w:cs="Times New Roman"/>
          <w:sz w:val="24"/>
          <w:szCs w:val="24"/>
          <w:lang w:val="it-IT"/>
        </w:rPr>
      </w:pPr>
    </w:p>
    <w:p w14:paraId="0D0917CB" w14:textId="77777777" w:rsidR="00F91711" w:rsidRPr="00C35766" w:rsidRDefault="00F91711" w:rsidP="00F91711">
      <w:pPr>
        <w:pStyle w:val="a3"/>
        <w:rPr>
          <w:lang w:val="it-IT"/>
        </w:rPr>
      </w:pPr>
      <w:r w:rsidRPr="00C35766">
        <w:rPr>
          <w:rFonts w:eastAsia="Times New Roman"/>
          <w:lang w:val="it-IT"/>
        </w:rPr>
        <w:t>Miglioramenti maggiori della qualità della vita, definita come stato di salute generale correlato alla patologia cutanea e misurato attraverso il Dermatology Life Quality Index (DLQI; Studi HS-I e HS-II), sono stati dimostrati alla settimana 12 a partire dal valore basale rispetto al placebo, la soddisfazione globale dei pazienti in trattamento con il medicinale, misurata con il questionario Treatment Satisfaction Questionnaire - medication (TSQM; Studi HS-I e HS-II), e la salute fisica misurata attraverso il Physical Component Summary Score del SF-36 (Studio HS-I).</w:t>
      </w:r>
    </w:p>
    <w:p w14:paraId="30E27880" w14:textId="77777777" w:rsidR="00F91711" w:rsidRPr="00C35766" w:rsidRDefault="00F91711" w:rsidP="00F91711">
      <w:pPr>
        <w:spacing w:before="13" w:line="240" w:lineRule="exact"/>
        <w:rPr>
          <w:rFonts w:ascii="Times New Roman" w:hAnsi="Times New Roman" w:cs="Times New Roman"/>
          <w:sz w:val="24"/>
          <w:szCs w:val="24"/>
          <w:lang w:val="it-IT"/>
        </w:rPr>
      </w:pPr>
    </w:p>
    <w:p w14:paraId="7B35915A" w14:textId="7A7AD5DB" w:rsidR="00F91711" w:rsidRPr="00C35766" w:rsidRDefault="00F91711" w:rsidP="00F91711">
      <w:pPr>
        <w:pStyle w:val="a3"/>
        <w:rPr>
          <w:lang w:val="it-IT"/>
        </w:rPr>
      </w:pPr>
      <w:r w:rsidRPr="00C35766">
        <w:rPr>
          <w:rFonts w:eastAsia="Times New Roman"/>
          <w:lang w:val="it-IT"/>
        </w:rPr>
        <w:t xml:space="preserve">Nei pazienti che alla settimana 12 avevano una risposta almeno parziale ad adalimumab 40 mg somministrato ogni settimana, la percentuale di HiSCR alla settimana 36 era superiore nei pazienti che avevano continuato adalimumab ogni settimana rispetto ai pazienti in cui la frequenza di somministrazione era stata ridotta a settimane alterne, o nei quali era stato sospeso il trattamento (vedere Tabella </w:t>
      </w:r>
      <w:r w:rsidR="00150B5C">
        <w:rPr>
          <w:rFonts w:eastAsia="Times New Roman"/>
          <w:lang w:val="it-IT"/>
        </w:rPr>
        <w:t>13</w:t>
      </w:r>
      <w:r w:rsidRPr="00C35766">
        <w:rPr>
          <w:rFonts w:eastAsia="Times New Roman"/>
          <w:lang w:val="it-IT"/>
        </w:rPr>
        <w:t>).</w:t>
      </w:r>
    </w:p>
    <w:p w14:paraId="51161524" w14:textId="77777777" w:rsidR="00F91711" w:rsidRPr="00C35766" w:rsidRDefault="00F91711" w:rsidP="00F91711">
      <w:pPr>
        <w:spacing w:before="2" w:line="260" w:lineRule="exact"/>
        <w:rPr>
          <w:rFonts w:ascii="Times New Roman" w:hAnsi="Times New Roman" w:cs="Times New Roman"/>
          <w:sz w:val="26"/>
          <w:szCs w:val="26"/>
          <w:lang w:val="it-IT"/>
        </w:rPr>
      </w:pPr>
    </w:p>
    <w:p w14:paraId="5735F233" w14:textId="0A8A6B8E" w:rsidR="00F91711" w:rsidRPr="00C35766" w:rsidRDefault="00F91711" w:rsidP="00F91711">
      <w:pPr>
        <w:pStyle w:val="a3"/>
        <w:jc w:val="center"/>
        <w:rPr>
          <w:b/>
          <w:lang w:val="it-IT"/>
        </w:rPr>
      </w:pPr>
      <w:r w:rsidRPr="00C35766">
        <w:rPr>
          <w:rFonts w:eastAsia="Times New Roman"/>
          <w:b/>
          <w:bCs/>
          <w:lang w:val="it-IT"/>
        </w:rPr>
        <w:t xml:space="preserve">Tabella </w:t>
      </w:r>
      <w:r w:rsidR="00150B5C">
        <w:rPr>
          <w:rFonts w:eastAsia="Times New Roman"/>
          <w:b/>
          <w:bCs/>
          <w:lang w:val="it-IT"/>
        </w:rPr>
        <w:t>13</w:t>
      </w:r>
    </w:p>
    <w:p w14:paraId="4B996C7D" w14:textId="77777777" w:rsidR="00F91711" w:rsidRDefault="00F91711" w:rsidP="00F91711">
      <w:pPr>
        <w:pStyle w:val="a3"/>
        <w:jc w:val="center"/>
        <w:rPr>
          <w:rFonts w:eastAsia="Times New Roman"/>
          <w:b/>
          <w:bCs/>
          <w:lang w:val="it-IT"/>
        </w:rPr>
      </w:pPr>
      <w:r w:rsidRPr="00C35766">
        <w:rPr>
          <w:rFonts w:eastAsia="Times New Roman"/>
          <w:b/>
          <w:bCs/>
          <w:lang w:val="it-IT"/>
        </w:rPr>
        <w:t>Percentuale di pazienti</w:t>
      </w:r>
      <w:r w:rsidRPr="00C35766">
        <w:rPr>
          <w:rFonts w:eastAsia="Times New Roman"/>
          <w:b/>
          <w:bCs/>
          <w:vertAlign w:val="superscript"/>
          <w:lang w:val="it-IT"/>
        </w:rPr>
        <w:t>a</w:t>
      </w:r>
      <w:r w:rsidRPr="00C35766">
        <w:rPr>
          <w:rFonts w:eastAsia="Times New Roman"/>
          <w:b/>
          <w:bCs/>
          <w:lang w:val="it-IT"/>
        </w:rPr>
        <w:t xml:space="preserve"> che hanno ottenuto HiSCR</w:t>
      </w:r>
      <w:r w:rsidRPr="00C35766">
        <w:rPr>
          <w:rFonts w:eastAsia="Times New Roman"/>
          <w:b/>
          <w:bCs/>
          <w:vertAlign w:val="superscript"/>
          <w:lang w:val="it-IT"/>
        </w:rPr>
        <w:t xml:space="preserve">b </w:t>
      </w:r>
      <w:r w:rsidRPr="00C35766">
        <w:rPr>
          <w:rFonts w:eastAsia="Times New Roman"/>
          <w:b/>
          <w:bCs/>
          <w:lang w:val="it-IT"/>
        </w:rPr>
        <w:t>alle settimane 24 e 36 dopo il riassegnamento del trattamento alla settimana 12 da adalimumab ogni settimana</w:t>
      </w:r>
    </w:p>
    <w:p w14:paraId="16554495" w14:textId="77777777" w:rsidR="00A842FF" w:rsidRPr="00C35766" w:rsidRDefault="00A842FF" w:rsidP="00F91711">
      <w:pPr>
        <w:pStyle w:val="a3"/>
        <w:jc w:val="center"/>
        <w:rPr>
          <w:b/>
          <w:bCs/>
          <w:lang w:val="it-IT"/>
        </w:rPr>
      </w:pPr>
    </w:p>
    <w:tbl>
      <w:tblPr>
        <w:tblStyle w:val="TableNormal1"/>
        <w:tblW w:w="9498" w:type="dxa"/>
        <w:tblInd w:w="-6" w:type="dxa"/>
        <w:tblLayout w:type="fixed"/>
        <w:tblLook w:val="01E0" w:firstRow="1" w:lastRow="1" w:firstColumn="1" w:lastColumn="1" w:noHBand="0" w:noVBand="0"/>
      </w:tblPr>
      <w:tblGrid>
        <w:gridCol w:w="2631"/>
        <w:gridCol w:w="2189"/>
        <w:gridCol w:w="2268"/>
        <w:gridCol w:w="2410"/>
      </w:tblGrid>
      <w:tr w:rsidR="00F91711" w:rsidRPr="00C35766" w14:paraId="44E5E1EC" w14:textId="77777777" w:rsidTr="0040092E">
        <w:tc>
          <w:tcPr>
            <w:tcW w:w="2631" w:type="dxa"/>
            <w:tcBorders>
              <w:top w:val="single" w:sz="5" w:space="0" w:color="000000"/>
              <w:left w:val="single" w:sz="5" w:space="0" w:color="000000"/>
              <w:bottom w:val="single" w:sz="5" w:space="0" w:color="000000"/>
              <w:right w:val="single" w:sz="5" w:space="0" w:color="000000"/>
            </w:tcBorders>
          </w:tcPr>
          <w:p w14:paraId="57E3C8B5" w14:textId="77777777" w:rsidR="00F91711" w:rsidRPr="00C35766" w:rsidRDefault="00F91711" w:rsidP="00F91711">
            <w:pPr>
              <w:rPr>
                <w:rFonts w:ascii="Times New Roman" w:hAnsi="Times New Roman" w:cs="Times New Roman"/>
                <w:lang w:val="it-IT"/>
              </w:rPr>
            </w:pPr>
          </w:p>
        </w:tc>
        <w:tc>
          <w:tcPr>
            <w:tcW w:w="2189" w:type="dxa"/>
            <w:tcBorders>
              <w:top w:val="single" w:sz="5" w:space="0" w:color="000000"/>
              <w:left w:val="single" w:sz="5" w:space="0" w:color="000000"/>
              <w:bottom w:val="single" w:sz="5" w:space="0" w:color="000000"/>
              <w:right w:val="single" w:sz="5" w:space="0" w:color="000000"/>
            </w:tcBorders>
          </w:tcPr>
          <w:p w14:paraId="5897A4AA" w14:textId="77777777" w:rsidR="00F91711" w:rsidRPr="00C35766" w:rsidRDefault="00F91711" w:rsidP="00F91711">
            <w:pPr>
              <w:pStyle w:val="TableParagraph"/>
              <w:spacing w:before="37" w:line="240" w:lineRule="exact"/>
              <w:ind w:left="204" w:right="407" w:hanging="2"/>
              <w:jc w:val="center"/>
              <w:rPr>
                <w:rFonts w:ascii="Times New Roman" w:eastAsia="Times New Roman" w:hAnsi="Times New Roman" w:cs="Times New Roman"/>
                <w:lang w:val="pt-BR"/>
              </w:rPr>
            </w:pPr>
            <w:r w:rsidRPr="00C35766">
              <w:rPr>
                <w:rFonts w:ascii="Times New Roman" w:eastAsia="Times New Roman" w:hAnsi="Times New Roman" w:cs="Times New Roman"/>
                <w:b/>
                <w:bCs/>
                <w:lang w:val="it-IT"/>
              </w:rPr>
              <w:t>Placebo (ritiro dal trattamento) N = 7</w:t>
            </w:r>
            <w:r w:rsidRPr="00C35766">
              <w:rPr>
                <w:rFonts w:ascii="Times New Roman" w:eastAsia="Times New Roman" w:hAnsi="Times New Roman" w:cs="Times New Roman"/>
                <w:lang w:val="it-IT"/>
              </w:rPr>
              <w:t>3</w:t>
            </w:r>
          </w:p>
        </w:tc>
        <w:tc>
          <w:tcPr>
            <w:tcW w:w="2268" w:type="dxa"/>
            <w:tcBorders>
              <w:top w:val="single" w:sz="5" w:space="0" w:color="000000"/>
              <w:left w:val="single" w:sz="5" w:space="0" w:color="000000"/>
              <w:bottom w:val="single" w:sz="5" w:space="0" w:color="000000"/>
              <w:right w:val="single" w:sz="5" w:space="0" w:color="000000"/>
            </w:tcBorders>
          </w:tcPr>
          <w:p w14:paraId="4C94F096" w14:textId="77777777" w:rsidR="00F91711" w:rsidRPr="00C35766" w:rsidRDefault="00F91711" w:rsidP="00F91711">
            <w:pPr>
              <w:pStyle w:val="TableParagraph"/>
              <w:spacing w:line="240" w:lineRule="exact"/>
              <w:ind w:left="183" w:right="180" w:hanging="4"/>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 xml:space="preserve">Adalimumab 40 mg a settimane alterne </w:t>
            </w:r>
            <w:r w:rsidRPr="00C35766">
              <w:rPr>
                <w:rFonts w:ascii="Times New Roman" w:eastAsia="Times New Roman" w:hAnsi="Times New Roman" w:cs="Times New Roman"/>
                <w:b/>
                <w:bCs/>
                <w:spacing w:val="-1"/>
                <w:lang w:val="it-IT"/>
              </w:rPr>
              <w:br/>
              <w:t>N = 70</w:t>
            </w:r>
          </w:p>
        </w:tc>
        <w:tc>
          <w:tcPr>
            <w:tcW w:w="2410" w:type="dxa"/>
            <w:tcBorders>
              <w:top w:val="single" w:sz="5" w:space="0" w:color="000000"/>
              <w:left w:val="single" w:sz="5" w:space="0" w:color="000000"/>
              <w:bottom w:val="single" w:sz="5" w:space="0" w:color="000000"/>
              <w:right w:val="single" w:sz="5" w:space="0" w:color="000000"/>
            </w:tcBorders>
          </w:tcPr>
          <w:p w14:paraId="08DE9ABD" w14:textId="77777777" w:rsidR="00F91711" w:rsidRPr="00C35766" w:rsidRDefault="00F91711" w:rsidP="00F91711">
            <w:pPr>
              <w:pStyle w:val="TableParagraph"/>
              <w:spacing w:line="240" w:lineRule="exact"/>
              <w:ind w:left="72" w:right="8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Adalimumab 40 mg settimanalmente</w:t>
            </w:r>
          </w:p>
          <w:p w14:paraId="5EE2FBE1" w14:textId="77777777" w:rsidR="00F91711" w:rsidRPr="00C35766" w:rsidRDefault="00F91711" w:rsidP="00F91711">
            <w:pPr>
              <w:pStyle w:val="TableParagraph"/>
              <w:spacing w:line="240" w:lineRule="exact"/>
              <w:ind w:left="595" w:right="598"/>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 70</w:t>
            </w:r>
          </w:p>
        </w:tc>
      </w:tr>
      <w:tr w:rsidR="00F91711" w:rsidRPr="00C35766" w14:paraId="31D63B63" w14:textId="77777777" w:rsidTr="0040092E">
        <w:tc>
          <w:tcPr>
            <w:tcW w:w="2631" w:type="dxa"/>
            <w:tcBorders>
              <w:top w:val="single" w:sz="5" w:space="0" w:color="000000"/>
              <w:left w:val="single" w:sz="5" w:space="0" w:color="000000"/>
              <w:bottom w:val="single" w:sz="5" w:space="0" w:color="000000"/>
              <w:right w:val="single" w:sz="5" w:space="0" w:color="000000"/>
            </w:tcBorders>
          </w:tcPr>
          <w:p w14:paraId="4218E5E3"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24</w:t>
            </w:r>
          </w:p>
        </w:tc>
        <w:tc>
          <w:tcPr>
            <w:tcW w:w="2189" w:type="dxa"/>
            <w:tcBorders>
              <w:top w:val="single" w:sz="5" w:space="0" w:color="000000"/>
              <w:left w:val="single" w:sz="5" w:space="0" w:color="000000"/>
              <w:bottom w:val="single" w:sz="5" w:space="0" w:color="000000"/>
              <w:right w:val="single" w:sz="5" w:space="0" w:color="000000"/>
            </w:tcBorders>
          </w:tcPr>
          <w:p w14:paraId="5038166C" w14:textId="77777777" w:rsidR="00F91711" w:rsidRPr="00C35766" w:rsidRDefault="00F91711" w:rsidP="00F91711">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24 (32,9%)</w:t>
            </w:r>
          </w:p>
        </w:tc>
        <w:tc>
          <w:tcPr>
            <w:tcW w:w="2268" w:type="dxa"/>
            <w:tcBorders>
              <w:top w:val="single" w:sz="5" w:space="0" w:color="000000"/>
              <w:left w:val="single" w:sz="5" w:space="0" w:color="000000"/>
              <w:bottom w:val="single" w:sz="5" w:space="0" w:color="000000"/>
              <w:right w:val="single" w:sz="5" w:space="0" w:color="000000"/>
            </w:tcBorders>
          </w:tcPr>
          <w:p w14:paraId="12C108BA" w14:textId="77777777" w:rsidR="00F91711" w:rsidRPr="00C35766" w:rsidRDefault="00F91711" w:rsidP="00F91711">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36 (51,4%)</w:t>
            </w:r>
          </w:p>
        </w:tc>
        <w:tc>
          <w:tcPr>
            <w:tcW w:w="2410" w:type="dxa"/>
            <w:tcBorders>
              <w:top w:val="single" w:sz="5" w:space="0" w:color="000000"/>
              <w:left w:val="single" w:sz="5" w:space="0" w:color="000000"/>
              <w:bottom w:val="single" w:sz="5" w:space="0" w:color="000000"/>
              <w:right w:val="single" w:sz="5" w:space="0" w:color="000000"/>
            </w:tcBorders>
          </w:tcPr>
          <w:p w14:paraId="127872BB" w14:textId="77777777" w:rsidR="00F91711" w:rsidRPr="00C35766" w:rsidRDefault="00F91711" w:rsidP="00F91711">
            <w:pPr>
              <w:pStyle w:val="TableParagraph"/>
              <w:spacing w:before="24"/>
              <w:ind w:left="426"/>
              <w:rPr>
                <w:rFonts w:ascii="Times New Roman" w:eastAsia="Times New Roman" w:hAnsi="Times New Roman" w:cs="Times New Roman"/>
              </w:rPr>
            </w:pPr>
            <w:r w:rsidRPr="00C35766">
              <w:rPr>
                <w:rFonts w:ascii="Times New Roman" w:eastAsia="Times New Roman" w:hAnsi="Times New Roman" w:cs="Times New Roman"/>
                <w:spacing w:val="-1"/>
                <w:lang w:val="it-IT"/>
              </w:rPr>
              <w:t>40 (57,1%)</w:t>
            </w:r>
          </w:p>
        </w:tc>
      </w:tr>
      <w:tr w:rsidR="00F91711" w:rsidRPr="00C35766" w14:paraId="003FF393" w14:textId="77777777" w:rsidTr="0040092E">
        <w:tc>
          <w:tcPr>
            <w:tcW w:w="2631" w:type="dxa"/>
            <w:tcBorders>
              <w:top w:val="single" w:sz="5" w:space="0" w:color="000000"/>
              <w:left w:val="single" w:sz="5" w:space="0" w:color="000000"/>
              <w:bottom w:val="single" w:sz="5" w:space="0" w:color="000000"/>
              <w:right w:val="single" w:sz="5" w:space="0" w:color="000000"/>
            </w:tcBorders>
          </w:tcPr>
          <w:p w14:paraId="02B11B70"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lang w:val="it-IT"/>
              </w:rPr>
              <w:t>Settimana 36</w:t>
            </w:r>
          </w:p>
        </w:tc>
        <w:tc>
          <w:tcPr>
            <w:tcW w:w="2189" w:type="dxa"/>
            <w:tcBorders>
              <w:top w:val="single" w:sz="5" w:space="0" w:color="000000"/>
              <w:left w:val="single" w:sz="5" w:space="0" w:color="000000"/>
              <w:bottom w:val="single" w:sz="5" w:space="0" w:color="000000"/>
              <w:right w:val="single" w:sz="5" w:space="0" w:color="000000"/>
            </w:tcBorders>
          </w:tcPr>
          <w:p w14:paraId="5F763C53" w14:textId="77777777" w:rsidR="00F91711" w:rsidRPr="00C35766" w:rsidRDefault="00F91711" w:rsidP="00F91711">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22 (30,1%)</w:t>
            </w:r>
          </w:p>
        </w:tc>
        <w:tc>
          <w:tcPr>
            <w:tcW w:w="2268" w:type="dxa"/>
            <w:tcBorders>
              <w:top w:val="single" w:sz="5" w:space="0" w:color="000000"/>
              <w:left w:val="single" w:sz="5" w:space="0" w:color="000000"/>
              <w:bottom w:val="single" w:sz="5" w:space="0" w:color="000000"/>
              <w:right w:val="single" w:sz="5" w:space="0" w:color="000000"/>
            </w:tcBorders>
          </w:tcPr>
          <w:p w14:paraId="55F5358A" w14:textId="77777777" w:rsidR="00F91711" w:rsidRPr="00C35766" w:rsidRDefault="00F91711" w:rsidP="00F91711">
            <w:pPr>
              <w:pStyle w:val="TableParagraph"/>
              <w:spacing w:before="24"/>
              <w:ind w:left="488"/>
              <w:rPr>
                <w:rFonts w:ascii="Times New Roman" w:eastAsia="Times New Roman" w:hAnsi="Times New Roman" w:cs="Times New Roman"/>
              </w:rPr>
            </w:pPr>
            <w:r w:rsidRPr="00C35766">
              <w:rPr>
                <w:rFonts w:ascii="Times New Roman" w:eastAsia="Times New Roman" w:hAnsi="Times New Roman" w:cs="Times New Roman"/>
                <w:spacing w:val="-1"/>
                <w:lang w:val="it-IT"/>
              </w:rPr>
              <w:t>28 (40,0%)</w:t>
            </w:r>
          </w:p>
        </w:tc>
        <w:tc>
          <w:tcPr>
            <w:tcW w:w="2410" w:type="dxa"/>
            <w:tcBorders>
              <w:top w:val="single" w:sz="5" w:space="0" w:color="000000"/>
              <w:left w:val="single" w:sz="5" w:space="0" w:color="000000"/>
              <w:bottom w:val="single" w:sz="5" w:space="0" w:color="000000"/>
              <w:right w:val="single" w:sz="5" w:space="0" w:color="000000"/>
            </w:tcBorders>
          </w:tcPr>
          <w:p w14:paraId="3B13C381" w14:textId="77777777" w:rsidR="00F91711" w:rsidRPr="00C35766" w:rsidRDefault="00F91711" w:rsidP="00F91711">
            <w:pPr>
              <w:pStyle w:val="TableParagraph"/>
              <w:spacing w:before="24"/>
              <w:ind w:left="426"/>
              <w:rPr>
                <w:rFonts w:ascii="Times New Roman" w:eastAsia="Times New Roman" w:hAnsi="Times New Roman" w:cs="Times New Roman"/>
              </w:rPr>
            </w:pPr>
            <w:r w:rsidRPr="00C35766">
              <w:rPr>
                <w:rFonts w:ascii="Times New Roman" w:eastAsia="Times New Roman" w:hAnsi="Times New Roman" w:cs="Times New Roman"/>
                <w:spacing w:val="-1"/>
                <w:lang w:val="it-IT"/>
              </w:rPr>
              <w:t>39 (55,7%)</w:t>
            </w:r>
          </w:p>
        </w:tc>
      </w:tr>
      <w:tr w:rsidR="00F91711" w:rsidRPr="006501B3" w14:paraId="611A356E" w14:textId="77777777" w:rsidTr="0040092E">
        <w:tc>
          <w:tcPr>
            <w:tcW w:w="9498" w:type="dxa"/>
            <w:gridSpan w:val="4"/>
            <w:tcBorders>
              <w:top w:val="single" w:sz="5" w:space="0" w:color="000000"/>
              <w:left w:val="single" w:sz="5" w:space="0" w:color="000000"/>
              <w:bottom w:val="single" w:sz="5" w:space="0" w:color="000000"/>
              <w:right w:val="single" w:sz="5" w:space="0" w:color="000000"/>
            </w:tcBorders>
          </w:tcPr>
          <w:p w14:paraId="306FFB5C" w14:textId="77777777" w:rsidR="00F91711" w:rsidRPr="00C35766" w:rsidRDefault="00F91711" w:rsidP="00146E60">
            <w:pPr>
              <w:pStyle w:val="a4"/>
              <w:numPr>
                <w:ilvl w:val="0"/>
                <w:numId w:val="84"/>
              </w:numPr>
              <w:tabs>
                <w:tab w:val="left" w:pos="344"/>
              </w:tabs>
              <w:spacing w:before="39" w:line="240" w:lineRule="exact"/>
              <w:ind w:left="344" w:right="494"/>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Pazienti con almeno una risposta parziale ad adalimumab 40 mg ogni settimana dopo 12 settimane di trattamento.</w:t>
            </w:r>
          </w:p>
          <w:p w14:paraId="530AD1A9" w14:textId="77777777" w:rsidR="00F91711" w:rsidRPr="00C35766" w:rsidRDefault="00F91711" w:rsidP="00146E60">
            <w:pPr>
              <w:pStyle w:val="a4"/>
              <w:numPr>
                <w:ilvl w:val="0"/>
                <w:numId w:val="84"/>
              </w:numPr>
              <w:tabs>
                <w:tab w:val="left" w:pos="344"/>
              </w:tabs>
              <w:spacing w:before="41" w:line="240" w:lineRule="exact"/>
              <w:ind w:left="344" w:right="814"/>
              <w:jc w:val="both"/>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Pazienti che rispettavano i criteri specificati nel protocollo per la perdita di risposta o per la mancanza di miglioramento ai quali è stato richiesto di interrompere gli studi ed erano stati considerati come non-responder.</w:t>
            </w:r>
          </w:p>
        </w:tc>
      </w:tr>
    </w:tbl>
    <w:p w14:paraId="4580B286" w14:textId="77777777" w:rsidR="00F91711" w:rsidRPr="00C35766" w:rsidRDefault="00F91711" w:rsidP="00F91711">
      <w:pPr>
        <w:pStyle w:val="a3"/>
        <w:rPr>
          <w:spacing w:val="1"/>
          <w:lang w:val="es-ES"/>
        </w:rPr>
      </w:pPr>
    </w:p>
    <w:p w14:paraId="754D984A" w14:textId="77777777" w:rsidR="00F91711" w:rsidRPr="00C35766" w:rsidRDefault="00F91711" w:rsidP="00F91711">
      <w:pPr>
        <w:pStyle w:val="a3"/>
        <w:rPr>
          <w:lang w:val="it-IT"/>
        </w:rPr>
      </w:pPr>
      <w:r w:rsidRPr="00C35766">
        <w:rPr>
          <w:rFonts w:eastAsia="Times New Roman"/>
          <w:spacing w:val="1"/>
          <w:lang w:val="it-IT"/>
        </w:rPr>
        <w:t>Tra i pazienti con almeno una risposta parziale alla settimana 12 e che hanno ricevuto una terapia settimanale senza interruzione con adalimumab, la percentuale di HiSCR alla settimana 48 era del 68,3% ed alla settimana 96 era del 65,1%. Nel trattamento a lungo termine con adalimumab 40 mg a settimana per 96 settimane non sono emerse nuove problematiche di sicurezza</w:t>
      </w:r>
    </w:p>
    <w:p w14:paraId="3CD85860" w14:textId="77777777" w:rsidR="00F91711" w:rsidRPr="00C35766" w:rsidRDefault="00F91711" w:rsidP="00F91711">
      <w:pPr>
        <w:pStyle w:val="a3"/>
        <w:rPr>
          <w:sz w:val="24"/>
          <w:szCs w:val="24"/>
          <w:lang w:val="it-IT"/>
        </w:rPr>
      </w:pPr>
    </w:p>
    <w:p w14:paraId="52C340B4" w14:textId="77777777" w:rsidR="00F91711" w:rsidRPr="00C35766" w:rsidRDefault="00F91711" w:rsidP="00F91711">
      <w:pPr>
        <w:pStyle w:val="a3"/>
        <w:rPr>
          <w:lang w:val="it-IT"/>
        </w:rPr>
      </w:pPr>
      <w:r w:rsidRPr="00C35766">
        <w:rPr>
          <w:rFonts w:eastAsia="Times New Roman"/>
          <w:spacing w:val="1"/>
          <w:lang w:val="it-IT"/>
        </w:rPr>
        <w:t>Tra i pazienti negli Studi HS-I e HS-II che avevano interrotto il trattamento con adalimumab alla settimana 12, la percentuale di HiSCR 12 settimane dopo la ripresa di adalimumab 40 mg ogni settimana, è ritornata a livelli simili a quelli osservati prima della sospensione (56,0%).</w:t>
      </w:r>
    </w:p>
    <w:p w14:paraId="27960D76" w14:textId="77777777" w:rsidR="00F91711" w:rsidRPr="00C35766" w:rsidRDefault="00F91711" w:rsidP="00F91711">
      <w:pPr>
        <w:pStyle w:val="a3"/>
        <w:rPr>
          <w:sz w:val="24"/>
          <w:szCs w:val="24"/>
          <w:lang w:val="it-IT"/>
        </w:rPr>
      </w:pPr>
    </w:p>
    <w:p w14:paraId="0BB35B9F" w14:textId="77777777" w:rsidR="00F91711" w:rsidRPr="00C35766" w:rsidRDefault="00F91711" w:rsidP="00F91711">
      <w:pPr>
        <w:pStyle w:val="a3"/>
        <w:rPr>
          <w:rFonts w:eastAsia="Times New Roman"/>
          <w:lang w:val="it-IT"/>
        </w:rPr>
      </w:pPr>
      <w:r w:rsidRPr="00C35766">
        <w:rPr>
          <w:rFonts w:eastAsia="Times New Roman"/>
          <w:i/>
          <w:iCs/>
          <w:spacing w:val="-1"/>
          <w:lang w:val="it-IT"/>
        </w:rPr>
        <w:t>Malattia di Crohn</w:t>
      </w:r>
    </w:p>
    <w:p w14:paraId="7ACE9423" w14:textId="77777777" w:rsidR="00F91711" w:rsidRPr="00C35766" w:rsidRDefault="00F91711" w:rsidP="00F91711">
      <w:pPr>
        <w:pStyle w:val="a3"/>
        <w:rPr>
          <w:sz w:val="24"/>
          <w:szCs w:val="24"/>
          <w:lang w:val="it-IT"/>
        </w:rPr>
      </w:pPr>
    </w:p>
    <w:p w14:paraId="6215F774" w14:textId="77777777" w:rsidR="00F91711" w:rsidRPr="00C35766" w:rsidRDefault="00F91711" w:rsidP="00F91711">
      <w:pPr>
        <w:pStyle w:val="a3"/>
        <w:rPr>
          <w:lang w:val="it-IT"/>
        </w:rPr>
      </w:pPr>
      <w:r w:rsidRPr="00C35766">
        <w:rPr>
          <w:rFonts w:eastAsia="Times New Roman"/>
          <w:lang w:val="it-IT"/>
        </w:rPr>
        <w:t xml:space="preserve">La sicurezza e l’efficacia di adalimumab sono state valutate in oltre 1.500 pazienti affetti da malattia di Crohn, da moderatamente a severamente attiva (Crohn’s Disease Activity Index = indice di attività della malattia di Crohn (CDAI)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220 e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450) in studi randomizzati, in doppio cieco, controllati con placebo. È stata consentita la somministrazione concomitante di dosi costanti di aminosalicilati, di corticosteroidi, e/o di agenti immunomodulatori e l’80% dei pazienti ha continuato ad assumere almeno uno di questi farmaci.</w:t>
      </w:r>
    </w:p>
    <w:p w14:paraId="7FC2F6FA" w14:textId="77777777" w:rsidR="00F91711" w:rsidRPr="00C35766" w:rsidRDefault="00F91711" w:rsidP="00F91711">
      <w:pPr>
        <w:pStyle w:val="a3"/>
        <w:rPr>
          <w:sz w:val="24"/>
          <w:szCs w:val="24"/>
          <w:lang w:val="it-IT"/>
        </w:rPr>
      </w:pPr>
    </w:p>
    <w:p w14:paraId="7589CCDA" w14:textId="77777777" w:rsidR="00F91711" w:rsidRPr="00C35766" w:rsidRDefault="00F91711" w:rsidP="00F91711">
      <w:pPr>
        <w:pStyle w:val="a3"/>
        <w:rPr>
          <w:lang w:val="it-IT"/>
        </w:rPr>
      </w:pPr>
      <w:r w:rsidRPr="00C35766">
        <w:rPr>
          <w:rFonts w:eastAsia="Times New Roman"/>
          <w:lang w:val="it-IT"/>
        </w:rPr>
        <w:t>L’induzione della remissione clinica (definita come CDAI &lt; 150) è stata valutata in due studi, studio CD I (CLASSIC I) e studio CD II (GAIN). Nello studio CD I, 299 pazienti mai trattati con anti-TNF sono stati randomizzati ad uno dei quattro gruppi di trattamento; il gruppo trattato con placebo alla settimana 0 e 2, il gruppo trattato con 160 mg di adalimumab alla settimana 0 e con 80 mg alla settimana 2, il gruppo trattato con 80 mg alla settimana 0 e 40 mg alla settimana 2, e il gruppo trattato con 40 mg alla settimana 0 e 20 mg alla settimana 2. Nello studio CD II, 325 pazienti che avevano perso la risposta o si sono rivelati intolleranti ad infliximab sono stati randomizzati per ricevere160 mg di adalimumab alla settimana 0 ed 80 mg di adalimumab alla settimana 2 oppure placebo alla settimana 0 ed alla settimana 2. I non-responder primari sono stati esclusi dagli studi e, di conseguenza, questi pazienti non sono stati sottoposti ad ulteriori valutazioni.</w:t>
      </w:r>
    </w:p>
    <w:p w14:paraId="4284C719" w14:textId="77777777" w:rsidR="00F91711" w:rsidRPr="00C35766" w:rsidRDefault="00F91711" w:rsidP="00F91711">
      <w:pPr>
        <w:pStyle w:val="a3"/>
        <w:rPr>
          <w:sz w:val="24"/>
          <w:szCs w:val="24"/>
          <w:lang w:val="it-IT"/>
        </w:rPr>
      </w:pPr>
    </w:p>
    <w:p w14:paraId="7AD6E651" w14:textId="77777777" w:rsidR="00F91711" w:rsidRPr="00C35766" w:rsidRDefault="00F91711" w:rsidP="00F91711">
      <w:pPr>
        <w:pStyle w:val="a3"/>
        <w:rPr>
          <w:lang w:val="es-ES"/>
        </w:rPr>
      </w:pPr>
      <w:r w:rsidRPr="00C35766">
        <w:rPr>
          <w:rFonts w:eastAsia="Times New Roman"/>
          <w:lang w:val="it-IT"/>
        </w:rPr>
        <w:t>Il mantenimento della remissione clinica è stato valutato nello studio CD III (CHARM). Nello studio CD III, 854 pazienti hanno ricevuto in aperto 80 mg di adalimumab alla settimana 0 e 40 mg alla settimana 2. Alla settimana 4, i pazienti sono stati randomizzati per ricevere 40 mg a settimane alterne, 40 mg ogni settimana, oppure il placebo; la durata totale dello studio è stata pari a 56 settimane. I pazienti che hanno manifestato una risposta clinica (diminuzione dell’indice CDAI ≥ 70) alla settimana 4 sono stati stratificati ed analizzati separatamente da coloro che non hanno manifestato una risposta clinica alla settimana 4. È stata consentita una riduzione graduale della dose di corticosteroidi dopo la settimana 8.</w:t>
      </w:r>
    </w:p>
    <w:p w14:paraId="214EA245" w14:textId="77777777" w:rsidR="00F91711" w:rsidRPr="00C35766" w:rsidRDefault="00F91711" w:rsidP="00F91711">
      <w:pPr>
        <w:spacing w:before="11" w:line="240" w:lineRule="exact"/>
        <w:rPr>
          <w:rFonts w:ascii="Times New Roman" w:hAnsi="Times New Roman" w:cs="Times New Roman"/>
          <w:sz w:val="24"/>
          <w:szCs w:val="24"/>
          <w:lang w:val="es-ES"/>
        </w:rPr>
      </w:pPr>
    </w:p>
    <w:p w14:paraId="60B3F9D2" w14:textId="459281A7" w:rsidR="00F91711" w:rsidRPr="00C35766" w:rsidRDefault="00F91711" w:rsidP="00F91711">
      <w:pPr>
        <w:pStyle w:val="a3"/>
        <w:rPr>
          <w:lang w:val="es-ES"/>
        </w:rPr>
      </w:pPr>
      <w:r w:rsidRPr="00C35766">
        <w:rPr>
          <w:rFonts w:eastAsia="Times New Roman"/>
          <w:lang w:val="it-IT"/>
        </w:rPr>
        <w:t xml:space="preserve">Le percentuali relative all’induzione della remissione e della risposta clinica dello studio CD I e dello studio CD II sono riportate nella Tabella </w:t>
      </w:r>
      <w:r w:rsidR="0067580C">
        <w:rPr>
          <w:rFonts w:eastAsia="Times New Roman"/>
          <w:lang w:val="it-IT"/>
        </w:rPr>
        <w:t>14</w:t>
      </w:r>
      <w:r w:rsidRPr="00C35766">
        <w:rPr>
          <w:rFonts w:eastAsia="Times New Roman"/>
          <w:lang w:val="it-IT"/>
        </w:rPr>
        <w:t>.</w:t>
      </w:r>
    </w:p>
    <w:p w14:paraId="5197D2DC" w14:textId="77777777" w:rsidR="00626057" w:rsidRPr="00C35766" w:rsidRDefault="00626057" w:rsidP="00F91711">
      <w:pPr>
        <w:pStyle w:val="a3"/>
        <w:jc w:val="center"/>
        <w:rPr>
          <w:b/>
          <w:lang w:val="es-ES"/>
        </w:rPr>
      </w:pPr>
    </w:p>
    <w:p w14:paraId="23A015F6" w14:textId="209A8810" w:rsidR="00F91711" w:rsidRPr="00C35766" w:rsidRDefault="00F91711" w:rsidP="00F91711">
      <w:pPr>
        <w:pStyle w:val="a3"/>
        <w:jc w:val="center"/>
        <w:rPr>
          <w:b/>
          <w:lang w:val="it-IT"/>
        </w:rPr>
      </w:pPr>
      <w:r w:rsidRPr="00C35766">
        <w:rPr>
          <w:rFonts w:eastAsia="Times New Roman"/>
          <w:b/>
          <w:bCs/>
          <w:lang w:val="it-IT"/>
        </w:rPr>
        <w:t xml:space="preserve">Tabella </w:t>
      </w:r>
      <w:r w:rsidR="0067580C">
        <w:rPr>
          <w:rFonts w:eastAsia="Times New Roman"/>
          <w:b/>
          <w:bCs/>
          <w:lang w:val="it-IT"/>
        </w:rPr>
        <w:t>14</w:t>
      </w:r>
    </w:p>
    <w:p w14:paraId="4F7743FA" w14:textId="77777777" w:rsidR="00F91711" w:rsidRDefault="00F91711" w:rsidP="00F91711">
      <w:pPr>
        <w:pStyle w:val="a3"/>
        <w:jc w:val="center"/>
        <w:rPr>
          <w:rFonts w:eastAsia="Times New Roman"/>
          <w:b/>
          <w:bCs/>
          <w:lang w:val="it-IT"/>
        </w:rPr>
      </w:pPr>
      <w:r w:rsidRPr="00C35766">
        <w:rPr>
          <w:rFonts w:eastAsia="Times New Roman"/>
          <w:b/>
          <w:bCs/>
          <w:lang w:val="it-IT"/>
        </w:rPr>
        <w:t>Induzione della remissione e della risposta clinica (percentuale di pazienti)</w:t>
      </w:r>
    </w:p>
    <w:p w14:paraId="3EE819B7" w14:textId="77777777" w:rsidR="00A842FF" w:rsidRPr="00C35766" w:rsidRDefault="00A842FF" w:rsidP="00F91711">
      <w:pPr>
        <w:pStyle w:val="a3"/>
        <w:jc w:val="center"/>
        <w:rPr>
          <w:b/>
          <w:lang w:val="it-IT"/>
        </w:rPr>
      </w:pPr>
    </w:p>
    <w:p w14:paraId="2D779DD8" w14:textId="77777777" w:rsidR="00F91711" w:rsidRPr="00C35766" w:rsidRDefault="00F91711" w:rsidP="00F91711">
      <w:pPr>
        <w:spacing w:before="3" w:line="10" w:lineRule="exact"/>
        <w:rPr>
          <w:rFonts w:ascii="Times New Roman" w:hAnsi="Times New Roman" w:cs="Times New Roman"/>
          <w:sz w:val="4"/>
          <w:lang w:val="it-IT"/>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F91711" w:rsidRPr="003557F0" w14:paraId="20CAF956" w14:textId="77777777" w:rsidTr="00F91711">
        <w:tc>
          <w:tcPr>
            <w:tcW w:w="2311" w:type="dxa"/>
            <w:tcBorders>
              <w:top w:val="single" w:sz="5" w:space="0" w:color="000000"/>
              <w:left w:val="single" w:sz="5" w:space="0" w:color="000000"/>
              <w:bottom w:val="single" w:sz="5" w:space="0" w:color="000000"/>
              <w:right w:val="single" w:sz="5" w:space="0" w:color="000000"/>
            </w:tcBorders>
          </w:tcPr>
          <w:p w14:paraId="60EF4102" w14:textId="77777777" w:rsidR="00F91711" w:rsidRPr="00C35766" w:rsidRDefault="00F91711" w:rsidP="00F91711">
            <w:pPr>
              <w:rPr>
                <w:rFonts w:ascii="Times New Roman" w:hAnsi="Times New Roman" w:cs="Times New Roman"/>
                <w:lang w:val="it-IT"/>
              </w:rPr>
            </w:pPr>
          </w:p>
        </w:tc>
        <w:tc>
          <w:tcPr>
            <w:tcW w:w="3779" w:type="dxa"/>
            <w:gridSpan w:val="3"/>
            <w:tcBorders>
              <w:top w:val="single" w:sz="5" w:space="0" w:color="000000"/>
              <w:left w:val="single" w:sz="5" w:space="0" w:color="000000"/>
              <w:bottom w:val="single" w:sz="5" w:space="0" w:color="000000"/>
              <w:right w:val="single" w:sz="5" w:space="0" w:color="000000"/>
            </w:tcBorders>
          </w:tcPr>
          <w:p w14:paraId="559DC5E3" w14:textId="77777777" w:rsidR="00F91711" w:rsidRPr="00C35766" w:rsidRDefault="00F91711" w:rsidP="00F91711">
            <w:pPr>
              <w:pStyle w:val="TableParagraph"/>
              <w:spacing w:before="39" w:line="240" w:lineRule="exact"/>
              <w:ind w:left="102" w:right="15"/>
              <w:rPr>
                <w:rFonts w:ascii="Times New Roman" w:hAnsi="Times New Roman" w:cs="Times New Roman"/>
                <w:lang w:val="it-IT"/>
              </w:rPr>
            </w:pPr>
            <w:r w:rsidRPr="00C35766">
              <w:rPr>
                <w:rFonts w:ascii="Times New Roman" w:eastAsia="Times New Roman" w:hAnsi="Times New Roman" w:cs="Times New Roman"/>
                <w:b/>
                <w:bCs/>
                <w:spacing w:val="-1"/>
                <w:lang w:val="it-IT"/>
              </w:rPr>
              <w:t>Studio CD I: pazienti mai trattati con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20BD7F57" w14:textId="77777777" w:rsidR="00F91711" w:rsidRPr="00C35766" w:rsidRDefault="00F91711" w:rsidP="00F91711">
            <w:pPr>
              <w:pStyle w:val="TableParagraph"/>
              <w:spacing w:before="39" w:line="240" w:lineRule="exact"/>
              <w:ind w:left="102"/>
              <w:rPr>
                <w:rFonts w:ascii="Times New Roman" w:hAnsi="Times New Roman" w:cs="Times New Roman"/>
                <w:lang w:val="it-IT"/>
              </w:rPr>
            </w:pPr>
            <w:r w:rsidRPr="00C35766">
              <w:rPr>
                <w:rFonts w:ascii="Times New Roman" w:eastAsia="Times New Roman" w:hAnsi="Times New Roman" w:cs="Times New Roman"/>
                <w:b/>
                <w:bCs/>
                <w:spacing w:val="-1"/>
                <w:lang w:val="it-IT"/>
              </w:rPr>
              <w:t>Studio CD II: Pazienti precedentemente trattati con Infliximab</w:t>
            </w:r>
          </w:p>
        </w:tc>
      </w:tr>
      <w:tr w:rsidR="00F91711" w:rsidRPr="00C35766" w14:paraId="09B3C14F" w14:textId="77777777" w:rsidTr="00F91711">
        <w:tc>
          <w:tcPr>
            <w:tcW w:w="2311" w:type="dxa"/>
            <w:tcBorders>
              <w:top w:val="single" w:sz="5" w:space="0" w:color="000000"/>
              <w:left w:val="single" w:sz="5" w:space="0" w:color="000000"/>
              <w:bottom w:val="single" w:sz="5" w:space="0" w:color="000000"/>
              <w:right w:val="single" w:sz="5" w:space="0" w:color="000000"/>
            </w:tcBorders>
          </w:tcPr>
          <w:p w14:paraId="25CC0BB8" w14:textId="77777777" w:rsidR="00F91711" w:rsidRPr="00C35766" w:rsidRDefault="00F91711" w:rsidP="00F91711">
            <w:pPr>
              <w:rPr>
                <w:rFonts w:ascii="Times New Roman" w:hAnsi="Times New Roman" w:cs="Times New Roman"/>
                <w:lang w:val="it-IT"/>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1FEA6385" w14:textId="77777777" w:rsidR="00F91711" w:rsidRPr="00C35766" w:rsidRDefault="00F91711" w:rsidP="00F91711">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7DF89857" w14:textId="77777777" w:rsidR="00F91711" w:rsidRPr="00C35766" w:rsidRDefault="00F91711" w:rsidP="00F91711">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44F93632" w14:textId="77777777" w:rsidR="00F91711" w:rsidRPr="00C35766" w:rsidRDefault="00F91711" w:rsidP="00F91711">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 xml:space="preserve">Adalimumab 80/40 mg </w:t>
            </w:r>
            <w:r w:rsidRPr="00C35766">
              <w:rPr>
                <w:rFonts w:ascii="Times New Roman" w:eastAsia="Times New Roman" w:hAnsi="Times New Roman" w:cs="Times New Roman"/>
                <w:b/>
                <w:bCs/>
                <w:lang w:val="it-IT"/>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27A0E7EB" w14:textId="77777777" w:rsidR="00F91711" w:rsidRPr="00C35766" w:rsidRDefault="00F91711" w:rsidP="00F91711">
            <w:pPr>
              <w:pStyle w:val="TableParagraph"/>
              <w:spacing w:before="24" w:line="24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62EDEE59" w14:textId="77777777" w:rsidR="00F91711" w:rsidRPr="00C35766" w:rsidRDefault="00F91711" w:rsidP="00F91711">
            <w:pPr>
              <w:pStyle w:val="TableParagraph"/>
              <w:spacing w:before="24" w:line="24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5CDDAD36" w14:textId="77777777" w:rsidR="00F91711" w:rsidRPr="00C35766" w:rsidRDefault="00F91711" w:rsidP="00F91711">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3F4AEB80" w14:textId="77777777" w:rsidR="00F91711" w:rsidRPr="00C35766" w:rsidRDefault="00F91711" w:rsidP="00F91711">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38396325" w14:textId="77777777" w:rsidR="00F91711" w:rsidRPr="00C35766" w:rsidRDefault="00F91711" w:rsidP="00F91711">
            <w:pPr>
              <w:pStyle w:val="TableParagraph"/>
              <w:spacing w:before="24" w:line="266" w:lineRule="auto"/>
              <w:ind w:hanging="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0C9D4D86" w14:textId="77777777" w:rsidR="00F91711" w:rsidRPr="00C35766" w:rsidRDefault="00F91711" w:rsidP="00F91711">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N=159</w:t>
            </w:r>
          </w:p>
        </w:tc>
      </w:tr>
      <w:tr w:rsidR="00F91711" w:rsidRPr="00C35766" w14:paraId="370257F1" w14:textId="77777777" w:rsidTr="00F91711">
        <w:tc>
          <w:tcPr>
            <w:tcW w:w="2311" w:type="dxa"/>
            <w:tcBorders>
              <w:top w:val="single" w:sz="5" w:space="0" w:color="000000"/>
              <w:left w:val="single" w:sz="5" w:space="0" w:color="000000"/>
              <w:bottom w:val="single" w:sz="5" w:space="0" w:color="000000"/>
              <w:right w:val="single" w:sz="5" w:space="0" w:color="000000"/>
            </w:tcBorders>
          </w:tcPr>
          <w:p w14:paraId="500BACF2"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lang w:val="it-IT"/>
              </w:rPr>
              <w:t>Settimana 4</w:t>
            </w:r>
          </w:p>
        </w:tc>
        <w:tc>
          <w:tcPr>
            <w:tcW w:w="1085" w:type="dxa"/>
            <w:tcBorders>
              <w:top w:val="single" w:sz="5" w:space="0" w:color="000000"/>
              <w:left w:val="single" w:sz="5" w:space="0" w:color="000000"/>
              <w:bottom w:val="single" w:sz="5" w:space="0" w:color="000000"/>
              <w:right w:val="single" w:sz="5" w:space="0" w:color="000000"/>
            </w:tcBorders>
          </w:tcPr>
          <w:p w14:paraId="6AF6910F" w14:textId="77777777" w:rsidR="00F91711" w:rsidRPr="00C35766" w:rsidRDefault="00F91711" w:rsidP="00F91711">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1027E1CA" w14:textId="77777777" w:rsidR="00F91711" w:rsidRPr="00C35766" w:rsidRDefault="00F91711" w:rsidP="00F91711">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650DC73D" w14:textId="77777777" w:rsidR="00F91711" w:rsidRPr="00C35766" w:rsidRDefault="00F91711" w:rsidP="00F91711">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5CA16C97" w14:textId="77777777" w:rsidR="00F91711" w:rsidRPr="00C35766" w:rsidRDefault="00F91711" w:rsidP="00F91711">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37CFB93E" w14:textId="77777777" w:rsidR="00F91711" w:rsidRPr="00C35766" w:rsidRDefault="00F91711" w:rsidP="00F91711">
            <w:pPr>
              <w:rPr>
                <w:rFonts w:ascii="Times New Roman" w:hAnsi="Times New Roman" w:cs="Times New Roman"/>
              </w:rPr>
            </w:pPr>
          </w:p>
        </w:tc>
      </w:tr>
      <w:tr w:rsidR="00F91711" w:rsidRPr="00C35766" w14:paraId="254D0E3C" w14:textId="77777777" w:rsidTr="00F91711">
        <w:tc>
          <w:tcPr>
            <w:tcW w:w="2311" w:type="dxa"/>
            <w:tcBorders>
              <w:top w:val="single" w:sz="5" w:space="0" w:color="000000"/>
              <w:left w:val="single" w:sz="5" w:space="0" w:color="000000"/>
              <w:bottom w:val="single" w:sz="5" w:space="0" w:color="000000"/>
              <w:right w:val="single" w:sz="5" w:space="0" w:color="000000"/>
            </w:tcBorders>
          </w:tcPr>
          <w:p w14:paraId="6FF478E9"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085" w:type="dxa"/>
            <w:tcBorders>
              <w:top w:val="single" w:sz="5" w:space="0" w:color="000000"/>
              <w:left w:val="single" w:sz="5" w:space="0" w:color="000000"/>
              <w:bottom w:val="single" w:sz="5" w:space="0" w:color="000000"/>
              <w:right w:val="single" w:sz="5" w:space="0" w:color="000000"/>
            </w:tcBorders>
          </w:tcPr>
          <w:p w14:paraId="10CF83F9" w14:textId="77777777" w:rsidR="00F91711" w:rsidRPr="00C35766" w:rsidRDefault="00F91711" w:rsidP="00F91711">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356" w:type="dxa"/>
            <w:tcBorders>
              <w:top w:val="single" w:sz="5" w:space="0" w:color="000000"/>
              <w:left w:val="single" w:sz="5" w:space="0" w:color="000000"/>
              <w:bottom w:val="single" w:sz="5" w:space="0" w:color="000000"/>
              <w:right w:val="single" w:sz="5" w:space="0" w:color="000000"/>
            </w:tcBorders>
          </w:tcPr>
          <w:p w14:paraId="0406AEB8" w14:textId="77777777" w:rsidR="00F91711" w:rsidRPr="00C35766" w:rsidRDefault="00F91711" w:rsidP="00F91711">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38" w:type="dxa"/>
            <w:tcBorders>
              <w:top w:val="single" w:sz="5" w:space="0" w:color="000000"/>
              <w:left w:val="single" w:sz="5" w:space="0" w:color="000000"/>
              <w:bottom w:val="single" w:sz="5" w:space="0" w:color="000000"/>
              <w:right w:val="single" w:sz="5" w:space="0" w:color="000000"/>
            </w:tcBorders>
          </w:tcPr>
          <w:p w14:paraId="0F69725B" w14:textId="77777777" w:rsidR="00F91711" w:rsidRPr="00C35766" w:rsidRDefault="00F91711" w:rsidP="00F91711">
            <w:pPr>
              <w:pStyle w:val="TableParagraph"/>
              <w:spacing w:before="18"/>
              <w:ind w:left="344"/>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36%</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5B54D8A9" w14:textId="77777777" w:rsidR="00F91711" w:rsidRPr="00C35766" w:rsidRDefault="00F91711" w:rsidP="00F91711">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7%</w:t>
            </w:r>
          </w:p>
        </w:tc>
        <w:tc>
          <w:tcPr>
            <w:tcW w:w="1843" w:type="dxa"/>
            <w:tcBorders>
              <w:top w:val="single" w:sz="5" w:space="0" w:color="000000"/>
              <w:left w:val="single" w:sz="5" w:space="0" w:color="000000"/>
              <w:bottom w:val="single" w:sz="5" w:space="0" w:color="000000"/>
              <w:right w:val="single" w:sz="5" w:space="0" w:color="000000"/>
            </w:tcBorders>
          </w:tcPr>
          <w:p w14:paraId="6108AFCC" w14:textId="77777777" w:rsidR="00F91711" w:rsidRPr="00C35766" w:rsidRDefault="00F91711" w:rsidP="00F91711">
            <w:pPr>
              <w:pStyle w:val="TableParagraph"/>
              <w:spacing w:before="18"/>
              <w:ind w:left="644" w:right="644"/>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21%</w:t>
            </w:r>
            <w:r w:rsidRPr="00C35766">
              <w:rPr>
                <w:rFonts w:ascii="Times New Roman" w:hAnsi="Times New Roman" w:cs="Times New Roman"/>
                <w:vertAlign w:val="superscript"/>
                <w:lang w:val="it-IT"/>
              </w:rPr>
              <w:t>*</w:t>
            </w:r>
          </w:p>
        </w:tc>
      </w:tr>
      <w:tr w:rsidR="00F91711" w:rsidRPr="00C35766" w14:paraId="60F1A064" w14:textId="77777777" w:rsidTr="00F91711">
        <w:tc>
          <w:tcPr>
            <w:tcW w:w="2311" w:type="dxa"/>
            <w:tcBorders>
              <w:top w:val="single" w:sz="5" w:space="0" w:color="000000"/>
              <w:left w:val="single" w:sz="5" w:space="0" w:color="000000"/>
              <w:bottom w:val="single" w:sz="5" w:space="0" w:color="000000"/>
              <w:right w:val="single" w:sz="5" w:space="0" w:color="000000"/>
            </w:tcBorders>
          </w:tcPr>
          <w:p w14:paraId="1827E792" w14:textId="77777777" w:rsidR="00F91711" w:rsidRPr="00C35766" w:rsidRDefault="00F91711" w:rsidP="00F91711">
            <w:pPr>
              <w:pStyle w:val="TableParagraph"/>
              <w:spacing w:before="40" w:line="240"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(CR- 100)</w:t>
            </w:r>
          </w:p>
        </w:tc>
        <w:tc>
          <w:tcPr>
            <w:tcW w:w="1085" w:type="dxa"/>
            <w:tcBorders>
              <w:top w:val="single" w:sz="5" w:space="0" w:color="000000"/>
              <w:left w:val="single" w:sz="5" w:space="0" w:color="000000"/>
              <w:bottom w:val="single" w:sz="5" w:space="0" w:color="000000"/>
              <w:right w:val="single" w:sz="5" w:space="0" w:color="000000"/>
            </w:tcBorders>
          </w:tcPr>
          <w:p w14:paraId="4DEB825D" w14:textId="77777777" w:rsidR="00F91711" w:rsidRPr="00C35766" w:rsidRDefault="00F91711" w:rsidP="00F91711">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56" w:type="dxa"/>
            <w:tcBorders>
              <w:top w:val="single" w:sz="5" w:space="0" w:color="000000"/>
              <w:left w:val="single" w:sz="5" w:space="0" w:color="000000"/>
              <w:bottom w:val="single" w:sz="5" w:space="0" w:color="000000"/>
              <w:right w:val="single" w:sz="5" w:space="0" w:color="000000"/>
            </w:tcBorders>
          </w:tcPr>
          <w:p w14:paraId="5EF4F7B6" w14:textId="77777777" w:rsidR="00F91711" w:rsidRPr="00C35766" w:rsidRDefault="00F91711" w:rsidP="00F91711">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37%</w:t>
            </w:r>
          </w:p>
        </w:tc>
        <w:tc>
          <w:tcPr>
            <w:tcW w:w="1338" w:type="dxa"/>
            <w:tcBorders>
              <w:top w:val="single" w:sz="5" w:space="0" w:color="000000"/>
              <w:left w:val="single" w:sz="5" w:space="0" w:color="000000"/>
              <w:bottom w:val="single" w:sz="5" w:space="0" w:color="000000"/>
              <w:right w:val="single" w:sz="5" w:space="0" w:color="000000"/>
            </w:tcBorders>
          </w:tcPr>
          <w:p w14:paraId="76CFD75B" w14:textId="77777777" w:rsidR="00F91711" w:rsidRPr="00C35766" w:rsidRDefault="00F91711" w:rsidP="00F91711">
            <w:pPr>
              <w:pStyle w:val="TableParagraph"/>
              <w:spacing w:before="18"/>
              <w:ind w:left="311"/>
              <w:rPr>
                <w:rFonts w:ascii="Times New Roman" w:eastAsia="Times New Roman" w:hAnsi="Times New Roman" w:cs="Times New Roman"/>
                <w:sz w:val="14"/>
                <w:szCs w:val="14"/>
              </w:rPr>
            </w:pPr>
            <w:r w:rsidRPr="00C35766">
              <w:rPr>
                <w:rFonts w:ascii="Times New Roman" w:eastAsia="Times New Roman" w:hAnsi="Times New Roman" w:cs="Times New Roman"/>
                <w:lang w:val="it-IT"/>
              </w:rPr>
              <w:t>49%</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1E85C0E3" w14:textId="77777777" w:rsidR="00F91711" w:rsidRPr="00C35766" w:rsidRDefault="00F91711" w:rsidP="00F91711">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1843" w:type="dxa"/>
            <w:tcBorders>
              <w:top w:val="single" w:sz="5" w:space="0" w:color="000000"/>
              <w:left w:val="single" w:sz="5" w:space="0" w:color="000000"/>
              <w:bottom w:val="single" w:sz="5" w:space="0" w:color="000000"/>
              <w:right w:val="single" w:sz="5" w:space="0" w:color="000000"/>
            </w:tcBorders>
          </w:tcPr>
          <w:p w14:paraId="0C457DA3" w14:textId="77777777" w:rsidR="00F91711" w:rsidRPr="00C35766" w:rsidRDefault="00F91711" w:rsidP="00F91711">
            <w:pPr>
              <w:pStyle w:val="TableParagraph"/>
              <w:spacing w:before="18"/>
              <w:ind w:left="609" w:right="616"/>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38%</w:t>
            </w:r>
            <w:r w:rsidRPr="00C35766">
              <w:rPr>
                <w:rFonts w:ascii="Times New Roman" w:hAnsi="Times New Roman" w:cs="Times New Roman"/>
                <w:vertAlign w:val="superscript"/>
                <w:lang w:val="it-IT"/>
              </w:rPr>
              <w:t>**</w:t>
            </w:r>
          </w:p>
        </w:tc>
      </w:tr>
    </w:tbl>
    <w:p w14:paraId="30A315CA" w14:textId="77777777" w:rsidR="00F91711" w:rsidRPr="00C35766" w:rsidRDefault="00F91711" w:rsidP="00F91711">
      <w:pPr>
        <w:pStyle w:val="a3"/>
        <w:rPr>
          <w:lang w:val="it-IT"/>
        </w:rPr>
      </w:pPr>
      <w:r w:rsidRPr="00C35766">
        <w:rPr>
          <w:rFonts w:eastAsia="Times New Roman"/>
          <w:lang w:val="it-IT"/>
        </w:rPr>
        <w:t xml:space="preserve">Tutti i valori p rappresentano i confronti a coppie delle percentuali di adalimumab </w:t>
      </w:r>
      <w:r w:rsidRPr="00C35766">
        <w:rPr>
          <w:lang w:val="it-IT"/>
        </w:rPr>
        <w:t>rispetto a</w:t>
      </w:r>
      <w:r w:rsidRPr="00C35766">
        <w:rPr>
          <w:rFonts w:eastAsia="Times New Roman"/>
          <w:lang w:val="it-IT"/>
        </w:rPr>
        <w:t xml:space="preserve"> placebo</w:t>
      </w:r>
    </w:p>
    <w:p w14:paraId="7B87AAB7" w14:textId="77777777" w:rsidR="00F91711" w:rsidRPr="00C35766" w:rsidRDefault="00F91711" w:rsidP="00F91711">
      <w:pPr>
        <w:pStyle w:val="a3"/>
        <w:rPr>
          <w:lang w:val="it-IT"/>
        </w:rPr>
      </w:pPr>
      <w:r w:rsidRPr="00C35766">
        <w:rPr>
          <w:rFonts w:eastAsia="Times New Roman"/>
          <w:position w:val="8"/>
          <w:sz w:val="14"/>
          <w:szCs w:val="14"/>
          <w:lang w:val="it-IT"/>
        </w:rPr>
        <w:t>*</w:t>
      </w:r>
      <w:r w:rsidRPr="00C35766">
        <w:rPr>
          <w:rFonts w:eastAsia="Times New Roman"/>
          <w:position w:val="8"/>
          <w:lang w:val="it-IT"/>
        </w:rPr>
        <w:t>p &lt; 0,001</w:t>
      </w:r>
    </w:p>
    <w:p w14:paraId="1EAD217F" w14:textId="77777777" w:rsidR="00F91711" w:rsidRPr="00C35766" w:rsidRDefault="00F91711" w:rsidP="00F91711">
      <w:pPr>
        <w:tabs>
          <w:tab w:val="left" w:pos="506"/>
        </w:tabs>
        <w:spacing w:before="22"/>
        <w:rPr>
          <w:rFonts w:ascii="Times New Roman" w:hAnsi="Times New Roman" w:cs="Times New Roman"/>
          <w:lang w:val="it-IT"/>
        </w:rPr>
      </w:pPr>
      <w:r w:rsidRPr="00C35766">
        <w:rPr>
          <w:rFonts w:ascii="Times New Roman" w:eastAsia="Times New Roman" w:hAnsi="Times New Roman" w:cs="Times New Roman"/>
          <w:position w:val="8"/>
          <w:sz w:val="14"/>
          <w:szCs w:val="14"/>
          <w:lang w:val="it-IT"/>
        </w:rPr>
        <w:t>**</w:t>
      </w:r>
      <w:r w:rsidRPr="00C35766">
        <w:rPr>
          <w:rFonts w:ascii="Times New Roman" w:eastAsia="Times New Roman" w:hAnsi="Times New Roman" w:cs="Times New Roman"/>
          <w:position w:val="8"/>
          <w:lang w:val="it-IT"/>
        </w:rPr>
        <w:t>p &lt; 0,01</w:t>
      </w:r>
    </w:p>
    <w:p w14:paraId="72EAD814" w14:textId="77777777" w:rsidR="00F91711" w:rsidRPr="00C35766" w:rsidRDefault="00F91711" w:rsidP="00F91711">
      <w:pPr>
        <w:spacing w:before="15" w:line="200" w:lineRule="exact"/>
        <w:rPr>
          <w:rFonts w:ascii="Times New Roman" w:hAnsi="Times New Roman" w:cs="Times New Roman"/>
          <w:sz w:val="20"/>
          <w:lang w:val="it-IT"/>
        </w:rPr>
      </w:pPr>
    </w:p>
    <w:p w14:paraId="36707A64" w14:textId="77777777" w:rsidR="00F91711" w:rsidRPr="00C35766" w:rsidRDefault="00F91711" w:rsidP="00F91711">
      <w:pPr>
        <w:pStyle w:val="a3"/>
        <w:rPr>
          <w:lang w:val="it-IT"/>
        </w:rPr>
      </w:pPr>
      <w:r w:rsidRPr="00C35766">
        <w:rPr>
          <w:rFonts w:eastAsia="Times New Roman"/>
          <w:lang w:val="it-IT"/>
        </w:rPr>
        <w:lastRenderedPageBreak/>
        <w:t>Percentuali di remissione simili sono state osservate nel gruppo trattato con la dose di induzione pari a 160/80 mg ed a 80/40 mg entro la settimana 8 e gli eventi avversi si sono manifestati più frequentemente nel gruppo trattato con il dosaggio pari a 160/80 mg.</w:t>
      </w:r>
    </w:p>
    <w:p w14:paraId="14142360" w14:textId="77777777" w:rsidR="00F91711" w:rsidRPr="00C35766" w:rsidRDefault="00F91711" w:rsidP="00F91711">
      <w:pPr>
        <w:spacing w:before="11" w:line="240" w:lineRule="exact"/>
        <w:rPr>
          <w:rFonts w:ascii="Times New Roman" w:hAnsi="Times New Roman" w:cs="Times New Roman"/>
          <w:sz w:val="24"/>
          <w:lang w:val="it-IT"/>
        </w:rPr>
      </w:pPr>
    </w:p>
    <w:p w14:paraId="639DD391" w14:textId="57DE04D6" w:rsidR="00F91711" w:rsidRPr="00C35766" w:rsidRDefault="00F91711" w:rsidP="00F91711">
      <w:pPr>
        <w:pStyle w:val="a3"/>
        <w:rPr>
          <w:lang w:val="it-IT"/>
        </w:rPr>
      </w:pPr>
      <w:r w:rsidRPr="00C35766">
        <w:rPr>
          <w:rFonts w:eastAsia="Times New Roman"/>
          <w:lang w:val="it-IT"/>
        </w:rPr>
        <w:t xml:space="preserve">Nello studio CD III, alla settimana 4, il 58% (499/854) dei pazienti ha manifestato una risposta clinica ed è stato valutato nell’analisi primaria. Tra i pazienti che hanno manifestato una risposta clinica alla settimana 4, il 48% era stato esposto precedentemente a terapia con altri farmaci antagonisti del TNF. Le percentuali relative al mantenimento della remissione e della risposta clinica sono riportate nella Tabella </w:t>
      </w:r>
      <w:r w:rsidR="0067580C">
        <w:rPr>
          <w:rFonts w:eastAsia="Times New Roman"/>
          <w:lang w:val="it-IT"/>
        </w:rPr>
        <w:t>15</w:t>
      </w:r>
      <w:r w:rsidRPr="00C35766">
        <w:rPr>
          <w:rFonts w:eastAsia="Times New Roman"/>
          <w:lang w:val="it-IT"/>
        </w:rPr>
        <w:t>. I risultati relativi alla remissione clinica sono rimasti relativamente costanti a prescindere dall’esposizione precedente a farmaci anti-TNF.</w:t>
      </w:r>
    </w:p>
    <w:p w14:paraId="38CA5CA2" w14:textId="77777777" w:rsidR="00F91711" w:rsidRPr="00C35766" w:rsidRDefault="00F91711" w:rsidP="00F91711">
      <w:pPr>
        <w:spacing w:before="13" w:line="240" w:lineRule="exact"/>
        <w:rPr>
          <w:rFonts w:ascii="Times New Roman" w:hAnsi="Times New Roman" w:cs="Times New Roman"/>
          <w:sz w:val="24"/>
          <w:szCs w:val="24"/>
          <w:lang w:val="it-IT"/>
        </w:rPr>
      </w:pPr>
    </w:p>
    <w:p w14:paraId="46508F76" w14:textId="77777777" w:rsidR="00F91711" w:rsidRPr="00C35766" w:rsidRDefault="00F91711" w:rsidP="00F91711">
      <w:pPr>
        <w:pStyle w:val="a3"/>
        <w:rPr>
          <w:lang w:val="it-IT"/>
        </w:rPr>
      </w:pPr>
      <w:r w:rsidRPr="00C35766">
        <w:rPr>
          <w:rFonts w:eastAsia="Times New Roman"/>
          <w:lang w:val="it-IT"/>
        </w:rPr>
        <w:t>Alla settimana 56 il ricovero ospedaliero correlato alla malattia e gli interventi chirurgici erano ridotti in modo statisticamente significativo con adalimumab rispetto al placebo.</w:t>
      </w:r>
    </w:p>
    <w:p w14:paraId="1B9C8F31" w14:textId="7170BAAE" w:rsidR="00F91711" w:rsidRPr="00C35766" w:rsidRDefault="00F91711" w:rsidP="00F91711">
      <w:pPr>
        <w:pStyle w:val="a3"/>
        <w:jc w:val="center"/>
        <w:rPr>
          <w:rFonts w:eastAsia="Times New Roman"/>
          <w:b/>
          <w:bCs/>
          <w:lang w:val="it-IT"/>
        </w:rPr>
      </w:pPr>
    </w:p>
    <w:p w14:paraId="602DFECD" w14:textId="0684D559" w:rsidR="00F91711" w:rsidRPr="00C35766" w:rsidRDefault="00F91711" w:rsidP="00F91711">
      <w:pPr>
        <w:pStyle w:val="a3"/>
        <w:jc w:val="center"/>
        <w:rPr>
          <w:b/>
          <w:lang w:val="it-IT"/>
        </w:rPr>
      </w:pPr>
      <w:r w:rsidRPr="00C35766">
        <w:rPr>
          <w:rFonts w:eastAsia="Times New Roman"/>
          <w:b/>
          <w:bCs/>
          <w:lang w:val="it-IT"/>
        </w:rPr>
        <w:t xml:space="preserve">Tabella </w:t>
      </w:r>
      <w:r w:rsidR="0067580C">
        <w:rPr>
          <w:rFonts w:eastAsia="Times New Roman"/>
          <w:b/>
          <w:bCs/>
          <w:lang w:val="it-IT"/>
        </w:rPr>
        <w:t>15</w:t>
      </w:r>
    </w:p>
    <w:p w14:paraId="5F94DA8F" w14:textId="77777777" w:rsidR="00F91711" w:rsidRPr="00C35766" w:rsidRDefault="00F91711" w:rsidP="00F91711">
      <w:pPr>
        <w:pStyle w:val="a3"/>
        <w:jc w:val="center"/>
        <w:rPr>
          <w:b/>
          <w:lang w:val="it-IT"/>
        </w:rPr>
      </w:pPr>
      <w:r w:rsidRPr="00C35766">
        <w:rPr>
          <w:rFonts w:eastAsia="Times New Roman"/>
          <w:b/>
          <w:bCs/>
          <w:lang w:val="it-IT"/>
        </w:rPr>
        <w:t>Mantenimento della remissione e della risposta clinica (percentuale di pazienti)</w:t>
      </w:r>
    </w:p>
    <w:p w14:paraId="6C9182DA" w14:textId="77777777" w:rsidR="00F91711" w:rsidRPr="00C35766" w:rsidRDefault="00F91711" w:rsidP="00F91711">
      <w:pPr>
        <w:spacing w:before="6" w:line="10" w:lineRule="exact"/>
        <w:rPr>
          <w:rFonts w:ascii="Times New Roman" w:hAnsi="Times New Roman" w:cs="Times New Roman"/>
          <w:sz w:val="4"/>
          <w:lang w:val="it-IT"/>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F91711" w:rsidRPr="00494E69" w14:paraId="0267FCE6"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2555DC68" w14:textId="77777777" w:rsidR="00F91711" w:rsidRPr="00C35766" w:rsidRDefault="00F91711" w:rsidP="00F91711">
            <w:pPr>
              <w:jc w:val="center"/>
              <w:rPr>
                <w:rFonts w:ascii="Times New Roman" w:hAnsi="Times New Roman" w:cs="Times New Roman"/>
                <w:lang w:val="it-IT"/>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69F55B5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lang w:val="it-IT"/>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04BD34F4" w14:textId="77777777" w:rsidR="00F91711" w:rsidRPr="00C35766" w:rsidRDefault="00F91711" w:rsidP="00F91711">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a settimane alterne</w:t>
            </w:r>
          </w:p>
        </w:tc>
        <w:tc>
          <w:tcPr>
            <w:tcW w:w="2150" w:type="dxa"/>
            <w:tcBorders>
              <w:top w:val="single" w:sz="5" w:space="0" w:color="000000"/>
              <w:left w:val="single" w:sz="5" w:space="0" w:color="000000"/>
              <w:bottom w:val="single" w:sz="5" w:space="0" w:color="000000"/>
              <w:right w:val="single" w:sz="5" w:space="0" w:color="000000"/>
            </w:tcBorders>
            <w:vAlign w:val="center"/>
          </w:tcPr>
          <w:p w14:paraId="69A53826" w14:textId="77777777" w:rsidR="00F91711" w:rsidRPr="00C35766" w:rsidRDefault="00F91711" w:rsidP="00F91711">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ogni settimana</w:t>
            </w:r>
          </w:p>
        </w:tc>
      </w:tr>
      <w:tr w:rsidR="00F91711" w:rsidRPr="00C35766" w14:paraId="0EEBF0AA"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6A5DB707"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28437F95"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0824129"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600A870D"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F91711" w:rsidRPr="00C35766" w14:paraId="31B1D2FA"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0C7C75AA"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1DBAAE50"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1DBDE558"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19140FE0"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47%*</w:t>
            </w:r>
          </w:p>
        </w:tc>
      </w:tr>
      <w:tr w:rsidR="00F91711" w:rsidRPr="00C35766" w14:paraId="12B39DB3"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0DF7890E"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6C519575"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10DF8C43"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6B14A966"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r>
      <w:tr w:rsidR="00F91711" w:rsidRPr="00C35766" w14:paraId="6182AC85"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0FB5A862" w14:textId="77777777" w:rsidR="00F91711" w:rsidRPr="00C35766" w:rsidRDefault="00F91711" w:rsidP="00F91711">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t>Pazienti in remissione senza trattamento steroideo per ≥ 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47096E99"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4FE4C9DC"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1720D47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15% (11/74)**</w:t>
            </w:r>
          </w:p>
        </w:tc>
      </w:tr>
      <w:tr w:rsidR="00F91711" w:rsidRPr="00C35766" w14:paraId="1A989665"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6D21505E"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32150F20"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CF20488"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1BA4C14E"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F91711" w:rsidRPr="00C35766" w14:paraId="39D5A483"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6ACE57FC"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091260B3"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21147A23"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299E52A7"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r>
      <w:tr w:rsidR="00F91711" w:rsidRPr="00C35766" w14:paraId="17C95EEB"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5415193E" w14:textId="77777777" w:rsidR="00F91711" w:rsidRPr="00C35766" w:rsidRDefault="00F91711" w:rsidP="00F91711">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48764FB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7DDC0FEA"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7E5B834F"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48%*</w:t>
            </w:r>
          </w:p>
        </w:tc>
      </w:tr>
      <w:tr w:rsidR="00F91711" w:rsidRPr="00C35766" w14:paraId="204AE9F1" w14:textId="77777777" w:rsidTr="00F91711">
        <w:tc>
          <w:tcPr>
            <w:tcW w:w="3467" w:type="dxa"/>
            <w:tcBorders>
              <w:top w:val="single" w:sz="5" w:space="0" w:color="000000"/>
              <w:left w:val="single" w:sz="5" w:space="0" w:color="000000"/>
              <w:bottom w:val="single" w:sz="5" w:space="0" w:color="000000"/>
              <w:right w:val="single" w:sz="5" w:space="0" w:color="000000"/>
            </w:tcBorders>
            <w:vAlign w:val="center"/>
          </w:tcPr>
          <w:p w14:paraId="234B2288" w14:textId="77777777" w:rsidR="00F91711" w:rsidRPr="00C35766" w:rsidRDefault="00F91711" w:rsidP="00F91711">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t>Pazienti in remissione senza trattamento steroideo per ≥ 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147887FC"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6F059A72"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50307B1" w14:textId="77777777" w:rsidR="00F91711" w:rsidRPr="00C35766" w:rsidRDefault="00F91711" w:rsidP="00F91711">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20% (15/74)**</w:t>
            </w:r>
          </w:p>
        </w:tc>
      </w:tr>
    </w:tbl>
    <w:p w14:paraId="74FD97D1" w14:textId="77777777" w:rsidR="00F91711" w:rsidRPr="00C35766" w:rsidRDefault="00F91711" w:rsidP="00F91711">
      <w:pPr>
        <w:pStyle w:val="a3"/>
        <w:rPr>
          <w:lang w:val="it-IT"/>
        </w:rPr>
      </w:pPr>
      <w:r w:rsidRPr="00C35766">
        <w:rPr>
          <w:rFonts w:eastAsia="Times New Roman"/>
          <w:lang w:val="it-IT"/>
        </w:rPr>
        <w:t xml:space="preserve">*p &lt; 0,001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3FB621E4" w14:textId="77777777" w:rsidR="00F91711" w:rsidRPr="00C35766" w:rsidRDefault="00F91711" w:rsidP="00F91711">
      <w:pPr>
        <w:pStyle w:val="a3"/>
        <w:rPr>
          <w:lang w:val="it-IT"/>
        </w:rPr>
      </w:pPr>
      <w:r w:rsidRPr="00C35766">
        <w:rPr>
          <w:rFonts w:eastAsia="Times New Roman"/>
          <w:lang w:val="it-IT"/>
        </w:rPr>
        <w:t xml:space="preserve">** p &lt; 0,02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493EF022" w14:textId="77777777" w:rsidR="00F91711" w:rsidRPr="00C35766" w:rsidRDefault="00F91711" w:rsidP="00F91711">
      <w:pPr>
        <w:pStyle w:val="a3"/>
        <w:rPr>
          <w:lang w:val="es-ES"/>
        </w:rPr>
      </w:pPr>
      <w:r w:rsidRPr="00C35766">
        <w:rPr>
          <w:rFonts w:eastAsia="Times New Roman"/>
          <w:position w:val="8"/>
          <w:vertAlign w:val="superscript"/>
          <w:lang w:val="it-IT"/>
        </w:rPr>
        <w:t>a</w:t>
      </w:r>
      <w:r w:rsidRPr="00C35766">
        <w:rPr>
          <w:rFonts w:eastAsia="Times New Roman"/>
          <w:position w:val="8"/>
          <w:lang w:val="it-IT"/>
        </w:rPr>
        <w:t xml:space="preserve"> di coloro che sono stati trattati con corticosteroidi al basale</w:t>
      </w:r>
    </w:p>
    <w:p w14:paraId="0E8F2D0F" w14:textId="77777777" w:rsidR="00F91711" w:rsidRPr="00C35766" w:rsidRDefault="00F91711" w:rsidP="00F91711">
      <w:pPr>
        <w:pStyle w:val="a3"/>
        <w:rPr>
          <w:lang w:val="es-ES"/>
        </w:rPr>
      </w:pPr>
    </w:p>
    <w:p w14:paraId="25C050B9" w14:textId="77777777" w:rsidR="00F91711" w:rsidRPr="00C35766" w:rsidRDefault="00F91711" w:rsidP="00F91711">
      <w:pPr>
        <w:pStyle w:val="a3"/>
        <w:rPr>
          <w:lang w:val="it-IT"/>
        </w:rPr>
      </w:pPr>
      <w:r w:rsidRPr="00C35766">
        <w:rPr>
          <w:rFonts w:eastAsia="Times New Roman"/>
          <w:spacing w:val="1"/>
          <w:lang w:val="it-IT"/>
        </w:rPr>
        <w:t>Tra i pazienti che non hanno evidenziato una risposta alla settimana 4, il 43% dei pazienti trattati con terapia di mantenimento a base di adalimumab ha manifestato una risposta entro la settimana 12 rispetto al 30% dei pazienti trattati con placebo. Tali risultati suggeriscono che alcuni pazienti che non hanno manifestato una risposta alla settimana 4 traggono giovamento dalla terapia di mantenimento continuata fino alla settimana 12. La terapia proseguita oltre le 12 settimane non ha portato ad un numero significativamente più elevato di risposte (vedere paragrafo 4.2).</w:t>
      </w:r>
    </w:p>
    <w:p w14:paraId="5DE58C7E" w14:textId="77777777" w:rsidR="00F91711" w:rsidRPr="00C35766" w:rsidRDefault="00F91711" w:rsidP="00F91711">
      <w:pPr>
        <w:pStyle w:val="a3"/>
        <w:rPr>
          <w:lang w:val="it-IT"/>
        </w:rPr>
      </w:pPr>
    </w:p>
    <w:p w14:paraId="4A4B9BF5" w14:textId="77777777" w:rsidR="00F91711" w:rsidRPr="00C35766" w:rsidRDefault="00F91711" w:rsidP="00F91711">
      <w:pPr>
        <w:pStyle w:val="a3"/>
        <w:rPr>
          <w:lang w:val="it-IT"/>
        </w:rPr>
      </w:pPr>
      <w:r w:rsidRPr="00C35766">
        <w:rPr>
          <w:rFonts w:eastAsia="Times New Roman"/>
          <w:lang w:val="it-IT"/>
        </w:rPr>
        <w:t>117/276 pazienti dallo studio CD I e 272/777 pazienti provenienti dagli studi CD II e III sono stati seguiti per almeno 3 anni di terapia con adalimumab in aperto. Rispettivamente 88 e 189 pazienti hanno continuato a mantenere la remissione clinica. La risposta clinica (CR-100) è stata mantenuta rispettivamente in 102 e 233 pazienti.</w:t>
      </w:r>
    </w:p>
    <w:p w14:paraId="51AAEC35" w14:textId="77777777" w:rsidR="00F91711" w:rsidRPr="00C35766" w:rsidRDefault="00F91711" w:rsidP="00F91711">
      <w:pPr>
        <w:pStyle w:val="a3"/>
        <w:rPr>
          <w:lang w:val="it-IT"/>
        </w:rPr>
      </w:pPr>
    </w:p>
    <w:p w14:paraId="25347DCE" w14:textId="77777777" w:rsidR="00F91711" w:rsidRPr="00C35766" w:rsidRDefault="00F91711" w:rsidP="00F91711">
      <w:pPr>
        <w:pStyle w:val="a3"/>
        <w:rPr>
          <w:rFonts w:eastAsia="Times New Roman"/>
          <w:lang w:val="it-IT"/>
        </w:rPr>
      </w:pPr>
      <w:r w:rsidRPr="00C35766">
        <w:rPr>
          <w:rFonts w:eastAsia="Times New Roman"/>
          <w:i/>
          <w:iCs/>
          <w:spacing w:val="-1"/>
          <w:u w:val="single" w:color="000000"/>
          <w:lang w:val="it-IT"/>
        </w:rPr>
        <w:t>Qualità della vita</w:t>
      </w:r>
    </w:p>
    <w:p w14:paraId="69CB056D" w14:textId="77777777" w:rsidR="00F91711" w:rsidRPr="00C35766" w:rsidRDefault="00F91711" w:rsidP="00F91711">
      <w:pPr>
        <w:pStyle w:val="a3"/>
        <w:rPr>
          <w:sz w:val="18"/>
          <w:szCs w:val="18"/>
          <w:lang w:val="it-IT"/>
        </w:rPr>
      </w:pPr>
    </w:p>
    <w:p w14:paraId="2C9C0C47" w14:textId="77777777" w:rsidR="00F91711" w:rsidRPr="00C35766" w:rsidRDefault="00F91711" w:rsidP="00F91711">
      <w:pPr>
        <w:pStyle w:val="a3"/>
        <w:rPr>
          <w:lang w:val="it-IT"/>
        </w:rPr>
      </w:pPr>
      <w:r w:rsidRPr="00C35766">
        <w:rPr>
          <w:rFonts w:eastAsia="Times New Roman"/>
          <w:lang w:val="it-IT"/>
        </w:rPr>
        <w:t>Negli studi CD I e CD II, alla settimana 4 era raggiunto un miglioramento statisticamente significativo del punteggio totale del questionario IBDQ (inflammatory bowel disease questionnaire) nei pazienti randomizzati ad adalimumab 80/40 mg e 160/80 mg rispetto al placebo ed era visto alle settimane 26 e 56 nello studio CD III come pure tra i gruppi trattati con adalimumab rispetto al gruppo trattato con placebo.</w:t>
      </w:r>
    </w:p>
    <w:p w14:paraId="798FC5EC" w14:textId="77777777" w:rsidR="00F91711" w:rsidRPr="00C35766" w:rsidRDefault="00F91711" w:rsidP="00F91711">
      <w:pPr>
        <w:spacing w:before="13" w:line="240" w:lineRule="exact"/>
        <w:rPr>
          <w:rFonts w:ascii="Times New Roman" w:hAnsi="Times New Roman" w:cs="Times New Roman"/>
          <w:sz w:val="24"/>
          <w:szCs w:val="24"/>
          <w:lang w:val="it-IT"/>
        </w:rPr>
      </w:pPr>
    </w:p>
    <w:p w14:paraId="3AFA3DE6" w14:textId="77777777" w:rsidR="00F91711" w:rsidRPr="00C35766" w:rsidRDefault="00F91711" w:rsidP="00F91711">
      <w:pPr>
        <w:pStyle w:val="a3"/>
        <w:rPr>
          <w:rFonts w:eastAsia="Times New Roman"/>
          <w:lang w:val="it-IT"/>
        </w:rPr>
      </w:pPr>
      <w:r w:rsidRPr="00C35766">
        <w:rPr>
          <w:rFonts w:eastAsia="Times New Roman"/>
          <w:i/>
          <w:iCs/>
          <w:spacing w:val="-1"/>
          <w:lang w:val="it-IT"/>
        </w:rPr>
        <w:t>Colite ulcerosa</w:t>
      </w:r>
    </w:p>
    <w:p w14:paraId="2D25864F" w14:textId="77777777" w:rsidR="00F91711" w:rsidRPr="00C35766" w:rsidRDefault="00F91711" w:rsidP="00F91711">
      <w:pPr>
        <w:pStyle w:val="a3"/>
        <w:rPr>
          <w:lang w:val="it-IT"/>
        </w:rPr>
      </w:pPr>
    </w:p>
    <w:p w14:paraId="139E51CE" w14:textId="77777777" w:rsidR="00F91711" w:rsidRPr="00C35766" w:rsidRDefault="00F91711" w:rsidP="00F91711">
      <w:pPr>
        <w:pStyle w:val="a3"/>
        <w:rPr>
          <w:lang w:val="it-IT"/>
        </w:rPr>
      </w:pPr>
      <w:r w:rsidRPr="00C35766">
        <w:rPr>
          <w:rFonts w:eastAsia="Times New Roman"/>
          <w:lang w:val="it-IT"/>
        </w:rPr>
        <w:t>La sicurezza e l’efficacia di dosi multiple di adalimumab sono state valutate in pazienti adulti affetti da colite ulcerosa attiva di grado da moderato a severo (punteggio Mayo da 6 a 12 con un sottopunteggio endoscopico da 2 a 3) in studi randomizzati, in doppio cieco, controllati con placebo.</w:t>
      </w:r>
    </w:p>
    <w:p w14:paraId="3BB4FBCA" w14:textId="77777777" w:rsidR="00F91711" w:rsidRPr="00C35766" w:rsidRDefault="00F91711" w:rsidP="00F91711">
      <w:pPr>
        <w:pStyle w:val="a3"/>
        <w:rPr>
          <w:lang w:val="it-IT"/>
        </w:rPr>
      </w:pPr>
    </w:p>
    <w:p w14:paraId="292C57D0" w14:textId="77777777" w:rsidR="00F91711" w:rsidRPr="00C35766" w:rsidRDefault="00F91711" w:rsidP="00F91711">
      <w:pPr>
        <w:pStyle w:val="a3"/>
        <w:rPr>
          <w:lang w:val="es-ES"/>
        </w:rPr>
      </w:pPr>
      <w:r w:rsidRPr="00C35766">
        <w:rPr>
          <w:rFonts w:eastAsia="Times New Roman"/>
          <w:lang w:val="it-IT"/>
        </w:rPr>
        <w:t>Nello studio UC-I, 390 pazienti non precedentemente trattati con antagonisti del TNF sono stati randomizzati in modo da assumere placebo alla settimana 0 e 2, 160 mg di adalimumab alla settimana 0 seguiti da 80 mg alla settimana 2 oppure 80 mg di adalimumab alla settimana 0 seguiti da 40 mg alla settimana 2. Dopo la settimana 2, i pazienti arruolati in entrambi i bracci con adalimumab hanno assunto 40 mg a settimane alterne. La remissione clinica (definita come punteggio di Mayo ≤ 2 con nessun sotto punteggio &gt; 1) è stata valutata alla settimana 8.</w:t>
      </w:r>
    </w:p>
    <w:p w14:paraId="2531A1D4" w14:textId="77777777" w:rsidR="00F91711" w:rsidRPr="00C35766" w:rsidRDefault="00F91711" w:rsidP="00F91711">
      <w:pPr>
        <w:pStyle w:val="a3"/>
        <w:rPr>
          <w:lang w:val="es-ES"/>
        </w:rPr>
      </w:pPr>
    </w:p>
    <w:p w14:paraId="7C19FEA1" w14:textId="77777777" w:rsidR="00F91711" w:rsidRPr="00C35766" w:rsidRDefault="00F91711" w:rsidP="00F91711">
      <w:pPr>
        <w:pStyle w:val="a3"/>
        <w:rPr>
          <w:lang w:val="it-IT"/>
        </w:rPr>
      </w:pPr>
      <w:r w:rsidRPr="00C35766">
        <w:rPr>
          <w:rFonts w:eastAsia="Times New Roman"/>
          <w:lang w:val="it-IT"/>
        </w:rPr>
        <w:t>Nello studio UC-II, 248 pazienti hanno ricevuto 160 mg di adalimumab alla settimana 0, 80 mg alla settimana 2 e successivamente 40 mg a settimane alterne, e 246 pazienti hanno ricevuto placebo. L’induzione della remissione è stata valutata alla settimana 8 mentre il mantenimento della remissione alla settimana 52.</w:t>
      </w:r>
    </w:p>
    <w:p w14:paraId="0C4A64AC" w14:textId="77777777" w:rsidR="00F91711" w:rsidRPr="00C35766" w:rsidRDefault="00F91711" w:rsidP="00F91711">
      <w:pPr>
        <w:pStyle w:val="a3"/>
        <w:rPr>
          <w:lang w:val="it-IT"/>
        </w:rPr>
      </w:pPr>
    </w:p>
    <w:p w14:paraId="1D04C978" w14:textId="77777777" w:rsidR="00F91711" w:rsidRPr="00C35766" w:rsidRDefault="00F91711" w:rsidP="00F91711">
      <w:pPr>
        <w:pStyle w:val="a3"/>
        <w:rPr>
          <w:lang w:val="it-IT"/>
        </w:rPr>
      </w:pPr>
      <w:r w:rsidRPr="00C35766">
        <w:rPr>
          <w:rFonts w:eastAsia="Times New Roman"/>
          <w:lang w:val="it-IT"/>
        </w:rPr>
        <w:t>Nello studio UC-I (rispettivamente 18% vs 9%, p=0,031) e nello studio UC-II (rispettivamente 17% vs 9%, p=0,019) i pazienti indotti con 160/80 mg di adalimumab hanno raggiunto la remissione clinica rispetto al placebo alla settimana 8 in percentuali superiori in modo statisticamente significativo. Nello studio UC-II, tra i pazienti trattati con adalimumab in remissione alla settimana 8, 21/41 (51%) erano in remissione alla settimana 52.</w:t>
      </w:r>
    </w:p>
    <w:p w14:paraId="5BB1AFCC" w14:textId="77777777" w:rsidR="00F91711" w:rsidRPr="00C35766" w:rsidRDefault="00F91711" w:rsidP="00F91711">
      <w:pPr>
        <w:spacing w:before="13" w:line="240" w:lineRule="exact"/>
        <w:rPr>
          <w:rFonts w:ascii="Times New Roman" w:hAnsi="Times New Roman" w:cs="Times New Roman"/>
          <w:sz w:val="24"/>
          <w:szCs w:val="24"/>
          <w:lang w:val="it-IT"/>
        </w:rPr>
      </w:pPr>
    </w:p>
    <w:p w14:paraId="4AB20F95" w14:textId="75C80A9F" w:rsidR="00F91711" w:rsidRPr="00C35766" w:rsidRDefault="00F91711" w:rsidP="00F91711">
      <w:pPr>
        <w:pStyle w:val="a3"/>
        <w:rPr>
          <w:lang w:val="it-IT"/>
        </w:rPr>
      </w:pPr>
      <w:r w:rsidRPr="00C35766">
        <w:rPr>
          <w:rFonts w:eastAsia="Times New Roman"/>
          <w:lang w:val="it-IT"/>
        </w:rPr>
        <w:t xml:space="preserve">I risultati per la popolazione totale dello studio UC-II sono mostrati nella Tabella </w:t>
      </w:r>
      <w:r w:rsidR="0067580C">
        <w:rPr>
          <w:rFonts w:eastAsia="Times New Roman"/>
          <w:lang w:val="it-IT"/>
        </w:rPr>
        <w:t>16</w:t>
      </w:r>
      <w:r w:rsidRPr="00C35766">
        <w:rPr>
          <w:rFonts w:eastAsia="Times New Roman"/>
          <w:lang w:val="it-IT"/>
        </w:rPr>
        <w:t>.</w:t>
      </w:r>
    </w:p>
    <w:p w14:paraId="2C0CA53E" w14:textId="77777777" w:rsidR="00F91711" w:rsidRPr="00C35766" w:rsidRDefault="00F91711" w:rsidP="00F91711">
      <w:pPr>
        <w:rPr>
          <w:rFonts w:ascii="Times New Roman" w:hAnsi="Times New Roman" w:cs="Times New Roman"/>
          <w:lang w:val="it-IT"/>
        </w:rPr>
      </w:pPr>
    </w:p>
    <w:p w14:paraId="7C2BF464" w14:textId="164C706C" w:rsidR="00F91711" w:rsidRPr="00C35766" w:rsidRDefault="00F91711" w:rsidP="00F91711">
      <w:pPr>
        <w:pStyle w:val="a3"/>
        <w:jc w:val="center"/>
        <w:rPr>
          <w:b/>
          <w:lang w:val="it-IT"/>
        </w:rPr>
      </w:pPr>
      <w:r w:rsidRPr="00C35766">
        <w:rPr>
          <w:rFonts w:eastAsia="Times New Roman"/>
          <w:b/>
          <w:bCs/>
          <w:lang w:val="it-IT"/>
        </w:rPr>
        <w:t xml:space="preserve">Tabella </w:t>
      </w:r>
      <w:r w:rsidR="0067580C">
        <w:rPr>
          <w:rFonts w:eastAsia="Times New Roman"/>
          <w:b/>
          <w:bCs/>
          <w:lang w:val="it-IT"/>
        </w:rPr>
        <w:t>16</w:t>
      </w:r>
    </w:p>
    <w:p w14:paraId="3D4B9B5C" w14:textId="77777777" w:rsidR="00F91711" w:rsidRPr="00C35766" w:rsidRDefault="00F91711" w:rsidP="00F91711">
      <w:pPr>
        <w:pStyle w:val="a3"/>
        <w:jc w:val="center"/>
        <w:rPr>
          <w:b/>
          <w:lang w:val="it-IT"/>
        </w:rPr>
      </w:pPr>
      <w:r w:rsidRPr="00C35766">
        <w:rPr>
          <w:rFonts w:eastAsia="Times New Roman"/>
          <w:b/>
          <w:bCs/>
          <w:lang w:val="it-IT"/>
        </w:rPr>
        <w:t>Risposta, remissione e guarigione della mucosa nello Studio UC-II</w:t>
      </w:r>
    </w:p>
    <w:p w14:paraId="003D34F2" w14:textId="6D6D3A18" w:rsidR="00F91711" w:rsidRPr="00C35766" w:rsidRDefault="00F91711" w:rsidP="00F91711">
      <w:pPr>
        <w:pStyle w:val="a3"/>
        <w:jc w:val="center"/>
        <w:rPr>
          <w:b/>
        </w:rPr>
      </w:pPr>
      <w:r w:rsidRPr="00C35766">
        <w:rPr>
          <w:rFonts w:eastAsia="Times New Roman"/>
          <w:b/>
          <w:bCs/>
          <w:lang w:val="it-IT"/>
        </w:rPr>
        <w:t>(percentuale di pazienti)</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3158"/>
        <w:gridCol w:w="3221"/>
      </w:tblGrid>
      <w:tr w:rsidR="00F91711" w:rsidRPr="00494E69" w14:paraId="47A8D7ED" w14:textId="77777777" w:rsidTr="00F91711">
        <w:trPr>
          <w:trHeight w:val="619"/>
          <w:jc w:val="center"/>
        </w:trPr>
        <w:tc>
          <w:tcPr>
            <w:tcW w:w="2875" w:type="dxa"/>
            <w:tcBorders>
              <w:top w:val="single" w:sz="4" w:space="0" w:color="auto"/>
              <w:bottom w:val="single" w:sz="4" w:space="0" w:color="auto"/>
            </w:tcBorders>
            <w:vAlign w:val="center"/>
          </w:tcPr>
          <w:p w14:paraId="4724D40C" w14:textId="77777777" w:rsidR="00F91711" w:rsidRPr="00C35766" w:rsidRDefault="00F91711" w:rsidP="00F91711">
            <w:pPr>
              <w:pStyle w:val="a3"/>
              <w:jc w:val="center"/>
              <w:rPr>
                <w:b/>
              </w:rPr>
            </w:pPr>
          </w:p>
        </w:tc>
        <w:tc>
          <w:tcPr>
            <w:tcW w:w="3158" w:type="dxa"/>
            <w:tcBorders>
              <w:top w:val="single" w:sz="4" w:space="0" w:color="auto"/>
              <w:bottom w:val="single" w:sz="4" w:space="0" w:color="auto"/>
            </w:tcBorders>
            <w:vAlign w:val="center"/>
          </w:tcPr>
          <w:p w14:paraId="6AE7A9AC" w14:textId="77777777" w:rsidR="00F91711" w:rsidRPr="00C35766" w:rsidRDefault="00F91711" w:rsidP="00F91711">
            <w:pPr>
              <w:pStyle w:val="a3"/>
              <w:jc w:val="center"/>
              <w:rPr>
                <w:b/>
              </w:rPr>
            </w:pPr>
            <w:r w:rsidRPr="00C35766">
              <w:rPr>
                <w:rFonts w:eastAsia="Times New Roman"/>
                <w:b/>
                <w:bCs/>
                <w:lang w:val="it-IT"/>
              </w:rPr>
              <w:t>Placebo</w:t>
            </w:r>
          </w:p>
        </w:tc>
        <w:tc>
          <w:tcPr>
            <w:tcW w:w="3220" w:type="dxa"/>
            <w:tcBorders>
              <w:top w:val="single" w:sz="4" w:space="0" w:color="auto"/>
              <w:bottom w:val="single" w:sz="4" w:space="0" w:color="auto"/>
            </w:tcBorders>
            <w:vAlign w:val="center"/>
          </w:tcPr>
          <w:p w14:paraId="5465277D" w14:textId="77777777" w:rsidR="00F91711" w:rsidRPr="00C35766" w:rsidRDefault="00F91711" w:rsidP="00F91711">
            <w:pPr>
              <w:pStyle w:val="a3"/>
              <w:jc w:val="center"/>
              <w:rPr>
                <w:b/>
                <w:lang w:val="it-IT"/>
              </w:rPr>
            </w:pPr>
            <w:r w:rsidRPr="00C35766">
              <w:rPr>
                <w:rFonts w:eastAsia="Times New Roman"/>
                <w:b/>
                <w:bCs/>
                <w:spacing w:val="-1"/>
                <w:lang w:val="it-IT"/>
              </w:rPr>
              <w:t>Adalimumab 40 mg a settimane alterne</w:t>
            </w:r>
          </w:p>
        </w:tc>
      </w:tr>
      <w:tr w:rsidR="00F91711" w:rsidRPr="00C35766" w14:paraId="5CFCDB8D" w14:textId="77777777" w:rsidTr="00F91711">
        <w:trPr>
          <w:trHeight w:val="309"/>
          <w:jc w:val="center"/>
        </w:trPr>
        <w:tc>
          <w:tcPr>
            <w:tcW w:w="2875" w:type="dxa"/>
            <w:tcBorders>
              <w:top w:val="single" w:sz="4" w:space="0" w:color="auto"/>
              <w:bottom w:val="single" w:sz="4" w:space="0" w:color="auto"/>
            </w:tcBorders>
            <w:vAlign w:val="center"/>
          </w:tcPr>
          <w:p w14:paraId="3370800E" w14:textId="77777777" w:rsidR="00F91711" w:rsidRPr="00C35766" w:rsidRDefault="00F91711" w:rsidP="00F91711">
            <w:pPr>
              <w:pStyle w:val="a3"/>
              <w:jc w:val="both"/>
              <w:rPr>
                <w:b/>
              </w:rPr>
            </w:pPr>
            <w:r w:rsidRPr="00C35766">
              <w:rPr>
                <w:rFonts w:eastAsia="Times New Roman"/>
                <w:lang w:val="it-IT"/>
              </w:rPr>
              <w:t>Settimana 52</w:t>
            </w:r>
          </w:p>
        </w:tc>
        <w:tc>
          <w:tcPr>
            <w:tcW w:w="3158" w:type="dxa"/>
            <w:tcBorders>
              <w:top w:val="single" w:sz="4" w:space="0" w:color="auto"/>
              <w:bottom w:val="single" w:sz="4" w:space="0" w:color="auto"/>
            </w:tcBorders>
            <w:vAlign w:val="center"/>
          </w:tcPr>
          <w:p w14:paraId="7DED7492" w14:textId="77777777" w:rsidR="00F91711" w:rsidRPr="00C35766" w:rsidRDefault="00F91711" w:rsidP="00F91711">
            <w:pPr>
              <w:pStyle w:val="a3"/>
              <w:jc w:val="center"/>
              <w:rPr>
                <w:b/>
              </w:rPr>
            </w:pPr>
            <w:r w:rsidRPr="00C35766">
              <w:rPr>
                <w:rFonts w:eastAsia="Times New Roman"/>
                <w:b/>
                <w:bCs/>
                <w:spacing w:val="-1"/>
                <w:lang w:val="it-IT"/>
              </w:rPr>
              <w:t>N=246</w:t>
            </w:r>
          </w:p>
        </w:tc>
        <w:tc>
          <w:tcPr>
            <w:tcW w:w="3220" w:type="dxa"/>
            <w:tcBorders>
              <w:top w:val="single" w:sz="4" w:space="0" w:color="auto"/>
              <w:bottom w:val="single" w:sz="4" w:space="0" w:color="auto"/>
            </w:tcBorders>
            <w:vAlign w:val="center"/>
          </w:tcPr>
          <w:p w14:paraId="199DFCED" w14:textId="77777777" w:rsidR="00F91711" w:rsidRPr="00C35766" w:rsidRDefault="00F91711" w:rsidP="00F91711">
            <w:pPr>
              <w:pStyle w:val="a3"/>
              <w:jc w:val="center"/>
              <w:rPr>
                <w:b/>
              </w:rPr>
            </w:pPr>
            <w:r w:rsidRPr="00C35766">
              <w:rPr>
                <w:rFonts w:eastAsia="Times New Roman"/>
                <w:b/>
                <w:bCs/>
                <w:spacing w:val="-1"/>
                <w:lang w:val="it-IT"/>
              </w:rPr>
              <w:t>N=248</w:t>
            </w:r>
          </w:p>
        </w:tc>
      </w:tr>
      <w:tr w:rsidR="00F91711" w:rsidRPr="00C35766" w14:paraId="0A5034AA" w14:textId="77777777" w:rsidTr="00F91711">
        <w:trPr>
          <w:trHeight w:val="309"/>
          <w:jc w:val="center"/>
        </w:trPr>
        <w:tc>
          <w:tcPr>
            <w:tcW w:w="2875" w:type="dxa"/>
            <w:tcBorders>
              <w:top w:val="single" w:sz="4" w:space="0" w:color="auto"/>
            </w:tcBorders>
            <w:vAlign w:val="center"/>
          </w:tcPr>
          <w:p w14:paraId="6B7F86B0" w14:textId="77777777" w:rsidR="00F91711" w:rsidRPr="00C35766" w:rsidRDefault="00F91711" w:rsidP="00F91711">
            <w:pPr>
              <w:pStyle w:val="a3"/>
              <w:jc w:val="both"/>
            </w:pPr>
            <w:r w:rsidRPr="00C35766">
              <w:rPr>
                <w:rFonts w:eastAsia="Times New Roman"/>
                <w:lang w:val="it-IT"/>
              </w:rPr>
              <w:t>Risposta clinica</w:t>
            </w:r>
          </w:p>
        </w:tc>
        <w:tc>
          <w:tcPr>
            <w:tcW w:w="3158" w:type="dxa"/>
            <w:tcBorders>
              <w:top w:val="single" w:sz="4" w:space="0" w:color="auto"/>
            </w:tcBorders>
            <w:vAlign w:val="center"/>
          </w:tcPr>
          <w:p w14:paraId="165EFF4F" w14:textId="77777777" w:rsidR="00F91711" w:rsidRPr="00C35766" w:rsidRDefault="00F91711" w:rsidP="00F91711">
            <w:pPr>
              <w:pStyle w:val="a3"/>
              <w:jc w:val="center"/>
            </w:pPr>
            <w:r w:rsidRPr="00C35766">
              <w:rPr>
                <w:rFonts w:eastAsia="Times New Roman"/>
                <w:lang w:val="it-IT"/>
              </w:rPr>
              <w:t>18 %</w:t>
            </w:r>
          </w:p>
        </w:tc>
        <w:tc>
          <w:tcPr>
            <w:tcW w:w="3220" w:type="dxa"/>
            <w:tcBorders>
              <w:top w:val="single" w:sz="4" w:space="0" w:color="auto"/>
            </w:tcBorders>
            <w:vAlign w:val="center"/>
          </w:tcPr>
          <w:p w14:paraId="5575266E" w14:textId="77777777" w:rsidR="00F91711" w:rsidRPr="00C35766" w:rsidRDefault="00F91711" w:rsidP="00F91711">
            <w:pPr>
              <w:pStyle w:val="a3"/>
              <w:jc w:val="center"/>
            </w:pPr>
            <w:r w:rsidRPr="00C35766">
              <w:rPr>
                <w:rFonts w:eastAsia="Times New Roman"/>
                <w:lang w:val="it-IT"/>
              </w:rPr>
              <w:t>30 %</w:t>
            </w:r>
            <w:r w:rsidRPr="00C35766">
              <w:rPr>
                <w:rFonts w:eastAsia="Times New Roman"/>
                <w:sz w:val="20"/>
                <w:szCs w:val="20"/>
                <w:lang w:val="it-IT"/>
              </w:rPr>
              <w:t>*</w:t>
            </w:r>
          </w:p>
        </w:tc>
      </w:tr>
      <w:tr w:rsidR="00F91711" w:rsidRPr="00C35766" w14:paraId="35A64E16" w14:textId="77777777" w:rsidTr="00F91711">
        <w:trPr>
          <w:trHeight w:val="309"/>
          <w:jc w:val="center"/>
        </w:trPr>
        <w:tc>
          <w:tcPr>
            <w:tcW w:w="2875" w:type="dxa"/>
            <w:vAlign w:val="center"/>
          </w:tcPr>
          <w:p w14:paraId="4201040C" w14:textId="77777777" w:rsidR="00F91711" w:rsidRPr="00C35766" w:rsidRDefault="00F91711" w:rsidP="00F91711">
            <w:pPr>
              <w:pStyle w:val="a3"/>
              <w:jc w:val="both"/>
            </w:pPr>
            <w:r w:rsidRPr="00C35766">
              <w:rPr>
                <w:rFonts w:eastAsia="Times New Roman"/>
                <w:lang w:val="it-IT"/>
              </w:rPr>
              <w:t>Remissione clinica</w:t>
            </w:r>
          </w:p>
        </w:tc>
        <w:tc>
          <w:tcPr>
            <w:tcW w:w="3158" w:type="dxa"/>
            <w:vAlign w:val="center"/>
          </w:tcPr>
          <w:p w14:paraId="3C05133B" w14:textId="77777777" w:rsidR="00F91711" w:rsidRPr="00C35766" w:rsidRDefault="00F91711" w:rsidP="00F91711">
            <w:pPr>
              <w:pStyle w:val="a3"/>
              <w:jc w:val="center"/>
            </w:pPr>
            <w:r w:rsidRPr="00C35766">
              <w:rPr>
                <w:rFonts w:eastAsia="Times New Roman"/>
                <w:lang w:val="it-IT"/>
              </w:rPr>
              <w:t>9 %</w:t>
            </w:r>
          </w:p>
        </w:tc>
        <w:tc>
          <w:tcPr>
            <w:tcW w:w="3220" w:type="dxa"/>
            <w:vAlign w:val="center"/>
          </w:tcPr>
          <w:p w14:paraId="29BF943A" w14:textId="77777777" w:rsidR="00F91711" w:rsidRPr="00C35766" w:rsidRDefault="00F91711" w:rsidP="00F91711">
            <w:pPr>
              <w:pStyle w:val="a3"/>
              <w:jc w:val="center"/>
            </w:pPr>
            <w:r w:rsidRPr="00C35766">
              <w:rPr>
                <w:rFonts w:eastAsia="Times New Roman"/>
                <w:lang w:val="it-IT"/>
              </w:rPr>
              <w:t>17 %</w:t>
            </w:r>
            <w:r w:rsidRPr="00C35766">
              <w:rPr>
                <w:rFonts w:eastAsia="Times New Roman"/>
                <w:sz w:val="20"/>
                <w:szCs w:val="20"/>
                <w:lang w:val="it-IT"/>
              </w:rPr>
              <w:t>*</w:t>
            </w:r>
          </w:p>
        </w:tc>
      </w:tr>
      <w:tr w:rsidR="00F91711" w:rsidRPr="00C35766" w14:paraId="379138F0" w14:textId="77777777" w:rsidTr="00F91711">
        <w:trPr>
          <w:trHeight w:val="309"/>
          <w:jc w:val="center"/>
        </w:trPr>
        <w:tc>
          <w:tcPr>
            <w:tcW w:w="2875" w:type="dxa"/>
            <w:vAlign w:val="center"/>
          </w:tcPr>
          <w:p w14:paraId="480E73BD" w14:textId="77777777" w:rsidR="00F91711" w:rsidRPr="00C35766" w:rsidRDefault="00F91711" w:rsidP="00F91711">
            <w:pPr>
              <w:pStyle w:val="a3"/>
              <w:jc w:val="both"/>
            </w:pPr>
            <w:r w:rsidRPr="00C35766">
              <w:rPr>
                <w:rFonts w:eastAsia="Times New Roman"/>
                <w:lang w:val="it-IT"/>
              </w:rPr>
              <w:t>Guarigione della mucosa</w:t>
            </w:r>
          </w:p>
        </w:tc>
        <w:tc>
          <w:tcPr>
            <w:tcW w:w="3158" w:type="dxa"/>
            <w:vAlign w:val="center"/>
          </w:tcPr>
          <w:p w14:paraId="6D7AFA04" w14:textId="77777777" w:rsidR="00F91711" w:rsidRPr="00C35766" w:rsidRDefault="00F91711" w:rsidP="00F91711">
            <w:pPr>
              <w:pStyle w:val="a3"/>
              <w:jc w:val="center"/>
            </w:pPr>
            <w:r w:rsidRPr="00C35766">
              <w:rPr>
                <w:rFonts w:eastAsia="Times New Roman"/>
                <w:lang w:val="it-IT"/>
              </w:rPr>
              <w:t>15 %</w:t>
            </w:r>
          </w:p>
        </w:tc>
        <w:tc>
          <w:tcPr>
            <w:tcW w:w="3220" w:type="dxa"/>
            <w:vAlign w:val="center"/>
          </w:tcPr>
          <w:p w14:paraId="21D65BEC" w14:textId="77777777" w:rsidR="00F91711" w:rsidRPr="00C35766" w:rsidRDefault="00F91711" w:rsidP="00F91711">
            <w:pPr>
              <w:pStyle w:val="a3"/>
              <w:jc w:val="center"/>
            </w:pPr>
            <w:r w:rsidRPr="00C35766">
              <w:rPr>
                <w:rFonts w:eastAsia="Times New Roman"/>
                <w:lang w:val="it-IT"/>
              </w:rPr>
              <w:t>25 %</w:t>
            </w:r>
            <w:r w:rsidRPr="00C35766">
              <w:rPr>
                <w:rFonts w:eastAsia="Times New Roman"/>
                <w:sz w:val="20"/>
                <w:szCs w:val="20"/>
                <w:lang w:val="it-IT"/>
              </w:rPr>
              <w:t>*</w:t>
            </w:r>
          </w:p>
        </w:tc>
      </w:tr>
      <w:tr w:rsidR="00F91711" w:rsidRPr="00C35766" w14:paraId="6FF8C07D" w14:textId="77777777" w:rsidTr="00F91711">
        <w:trPr>
          <w:trHeight w:val="619"/>
          <w:jc w:val="center"/>
        </w:trPr>
        <w:tc>
          <w:tcPr>
            <w:tcW w:w="2875" w:type="dxa"/>
          </w:tcPr>
          <w:p w14:paraId="59421E9C" w14:textId="77777777" w:rsidR="00F91711" w:rsidRPr="00C35766" w:rsidRDefault="00F91711" w:rsidP="00F91711">
            <w:pPr>
              <w:pStyle w:val="a3"/>
              <w:jc w:val="center"/>
              <w:rPr>
                <w:lang w:val="it-IT"/>
              </w:rPr>
            </w:pPr>
            <w:r w:rsidRPr="00C35766">
              <w:rPr>
                <w:rFonts w:eastAsia="Times New Roman"/>
                <w:lang w:val="it-IT"/>
              </w:rPr>
              <w:t>Remissione libera da steroidi per un periodo  ≥ 90 giorni</w:t>
            </w:r>
            <w:r w:rsidRPr="00C35766">
              <w:rPr>
                <w:rFonts w:eastAsia="Times New Roman"/>
                <w:vertAlign w:val="superscript"/>
                <w:lang w:val="it-IT"/>
              </w:rPr>
              <w:t>a</w:t>
            </w:r>
            <w:r w:rsidRPr="00C35766">
              <w:rPr>
                <w:rFonts w:eastAsia="Times New Roman"/>
                <w:lang w:val="it-IT"/>
              </w:rPr>
              <w:t xml:space="preserve"> </w:t>
            </w:r>
          </w:p>
        </w:tc>
        <w:tc>
          <w:tcPr>
            <w:tcW w:w="3158" w:type="dxa"/>
            <w:vAlign w:val="center"/>
          </w:tcPr>
          <w:p w14:paraId="589D3531" w14:textId="77777777" w:rsidR="00F91711" w:rsidRPr="00C35766" w:rsidRDefault="00F91711" w:rsidP="00F91711">
            <w:pPr>
              <w:pStyle w:val="a3"/>
              <w:jc w:val="center"/>
            </w:pPr>
            <w:r w:rsidRPr="00C35766">
              <w:rPr>
                <w:rFonts w:eastAsia="Times New Roman"/>
                <w:lang w:val="it-IT"/>
              </w:rPr>
              <w:t>6 %</w:t>
            </w:r>
          </w:p>
          <w:p w14:paraId="220E6F92" w14:textId="77777777" w:rsidR="00F91711" w:rsidRPr="00C35766" w:rsidRDefault="00F91711" w:rsidP="00F91711">
            <w:pPr>
              <w:pStyle w:val="a3"/>
              <w:jc w:val="center"/>
            </w:pPr>
            <w:r w:rsidRPr="00C35766">
              <w:rPr>
                <w:rFonts w:eastAsia="Times New Roman"/>
                <w:b/>
                <w:bCs/>
                <w:lang w:val="it-IT"/>
              </w:rPr>
              <w:t>(N = 140)</w:t>
            </w:r>
          </w:p>
        </w:tc>
        <w:tc>
          <w:tcPr>
            <w:tcW w:w="3220" w:type="dxa"/>
            <w:vAlign w:val="center"/>
          </w:tcPr>
          <w:p w14:paraId="1EDAF48E" w14:textId="77777777" w:rsidR="00F91711" w:rsidRPr="00C35766" w:rsidRDefault="00F91711" w:rsidP="00F91711">
            <w:pPr>
              <w:pStyle w:val="a3"/>
              <w:jc w:val="center"/>
            </w:pPr>
            <w:r w:rsidRPr="00C35766">
              <w:rPr>
                <w:rFonts w:eastAsia="Times New Roman"/>
                <w:lang w:val="it-IT"/>
              </w:rPr>
              <w:t>13 %</w:t>
            </w:r>
            <w:r w:rsidRPr="00C35766">
              <w:rPr>
                <w:rFonts w:eastAsia="Times New Roman"/>
                <w:sz w:val="20"/>
                <w:szCs w:val="20"/>
                <w:lang w:val="it-IT"/>
              </w:rPr>
              <w:t>*</w:t>
            </w:r>
          </w:p>
          <w:p w14:paraId="50E4AE1F" w14:textId="77777777" w:rsidR="00F91711" w:rsidRPr="00C35766" w:rsidRDefault="00F91711" w:rsidP="00F91711">
            <w:pPr>
              <w:pStyle w:val="a3"/>
              <w:jc w:val="center"/>
            </w:pPr>
            <w:r w:rsidRPr="00C35766">
              <w:rPr>
                <w:rFonts w:eastAsia="Times New Roman"/>
                <w:b/>
                <w:bCs/>
                <w:lang w:val="it-IT"/>
              </w:rPr>
              <w:t>(N = 150)</w:t>
            </w:r>
          </w:p>
        </w:tc>
      </w:tr>
      <w:tr w:rsidR="00F91711" w:rsidRPr="00C35766" w14:paraId="7803CFD1" w14:textId="77777777" w:rsidTr="00F91711">
        <w:trPr>
          <w:trHeight w:val="309"/>
          <w:jc w:val="center"/>
        </w:trPr>
        <w:tc>
          <w:tcPr>
            <w:tcW w:w="9254" w:type="dxa"/>
            <w:gridSpan w:val="3"/>
            <w:vAlign w:val="center"/>
          </w:tcPr>
          <w:p w14:paraId="34FD6476" w14:textId="77777777" w:rsidR="00F91711" w:rsidRPr="00C35766" w:rsidRDefault="00F91711" w:rsidP="00F91711">
            <w:pPr>
              <w:pStyle w:val="a3"/>
              <w:jc w:val="both"/>
              <w:rPr>
                <w:b/>
                <w:bCs/>
              </w:rPr>
            </w:pPr>
            <w:r w:rsidRPr="00C35766">
              <w:rPr>
                <w:rFonts w:eastAsia="Times New Roman"/>
                <w:lang w:val="it-IT"/>
              </w:rPr>
              <w:t>Settimana 8 e 52</w:t>
            </w:r>
          </w:p>
        </w:tc>
      </w:tr>
      <w:tr w:rsidR="00F91711" w:rsidRPr="00C35766" w14:paraId="7AE471C7" w14:textId="77777777" w:rsidTr="00F91711">
        <w:trPr>
          <w:trHeight w:val="309"/>
          <w:jc w:val="center"/>
        </w:trPr>
        <w:tc>
          <w:tcPr>
            <w:tcW w:w="2875" w:type="dxa"/>
            <w:vAlign w:val="center"/>
          </w:tcPr>
          <w:p w14:paraId="454873AB" w14:textId="77777777" w:rsidR="00F91711" w:rsidRPr="00C35766" w:rsidRDefault="00F91711" w:rsidP="00F91711">
            <w:pPr>
              <w:pStyle w:val="a3"/>
              <w:jc w:val="both"/>
            </w:pPr>
            <w:r w:rsidRPr="00C35766">
              <w:rPr>
                <w:rFonts w:eastAsia="Times New Roman"/>
                <w:lang w:val="it-IT"/>
              </w:rPr>
              <w:t>Risposta prolungata</w:t>
            </w:r>
          </w:p>
        </w:tc>
        <w:tc>
          <w:tcPr>
            <w:tcW w:w="3158" w:type="dxa"/>
            <w:vAlign w:val="center"/>
          </w:tcPr>
          <w:p w14:paraId="078A52F2" w14:textId="77777777" w:rsidR="00F91711" w:rsidRPr="00C35766" w:rsidRDefault="00F91711" w:rsidP="00F91711">
            <w:pPr>
              <w:pStyle w:val="a3"/>
              <w:jc w:val="center"/>
              <w:rPr>
                <w:b/>
                <w:bCs/>
              </w:rPr>
            </w:pPr>
            <w:r w:rsidRPr="00C35766">
              <w:rPr>
                <w:rFonts w:eastAsia="Times New Roman"/>
                <w:lang w:val="it-IT"/>
              </w:rPr>
              <w:t>12 %</w:t>
            </w:r>
          </w:p>
        </w:tc>
        <w:tc>
          <w:tcPr>
            <w:tcW w:w="3220" w:type="dxa"/>
            <w:vAlign w:val="center"/>
          </w:tcPr>
          <w:p w14:paraId="609CD000" w14:textId="77777777" w:rsidR="00F91711" w:rsidRPr="00C35766" w:rsidRDefault="00F91711" w:rsidP="00F91711">
            <w:pPr>
              <w:pStyle w:val="a3"/>
              <w:jc w:val="center"/>
              <w:rPr>
                <w:b/>
                <w:bCs/>
              </w:rPr>
            </w:pPr>
            <w:r w:rsidRPr="00C35766">
              <w:rPr>
                <w:rFonts w:eastAsia="Times New Roman"/>
                <w:lang w:val="it-IT"/>
              </w:rPr>
              <w:t>24 %</w:t>
            </w:r>
            <w:r w:rsidRPr="00C35766">
              <w:rPr>
                <w:rFonts w:eastAsia="Times New Roman"/>
                <w:sz w:val="20"/>
                <w:szCs w:val="20"/>
                <w:lang w:val="it-IT"/>
              </w:rPr>
              <w:t>**</w:t>
            </w:r>
          </w:p>
        </w:tc>
      </w:tr>
      <w:tr w:rsidR="00F91711" w:rsidRPr="00C35766" w14:paraId="685D6556" w14:textId="77777777" w:rsidTr="00F91711">
        <w:trPr>
          <w:trHeight w:val="309"/>
          <w:jc w:val="center"/>
        </w:trPr>
        <w:tc>
          <w:tcPr>
            <w:tcW w:w="2875" w:type="dxa"/>
            <w:vAlign w:val="center"/>
          </w:tcPr>
          <w:p w14:paraId="28EDE112" w14:textId="77777777" w:rsidR="00F91711" w:rsidRPr="00C35766" w:rsidRDefault="00F91711" w:rsidP="00F91711">
            <w:pPr>
              <w:pStyle w:val="a3"/>
              <w:jc w:val="both"/>
            </w:pPr>
            <w:r w:rsidRPr="00C35766">
              <w:rPr>
                <w:rFonts w:eastAsia="Times New Roman"/>
                <w:lang w:val="it-IT"/>
              </w:rPr>
              <w:t>Remissione prolungata</w:t>
            </w:r>
          </w:p>
        </w:tc>
        <w:tc>
          <w:tcPr>
            <w:tcW w:w="3158" w:type="dxa"/>
            <w:vAlign w:val="center"/>
          </w:tcPr>
          <w:p w14:paraId="48E03A18" w14:textId="77777777" w:rsidR="00F91711" w:rsidRPr="00C35766" w:rsidRDefault="00F91711" w:rsidP="00F91711">
            <w:pPr>
              <w:pStyle w:val="a3"/>
              <w:jc w:val="center"/>
              <w:rPr>
                <w:b/>
                <w:bCs/>
              </w:rPr>
            </w:pPr>
            <w:r w:rsidRPr="00C35766">
              <w:rPr>
                <w:rFonts w:eastAsia="Times New Roman"/>
                <w:lang w:val="it-IT"/>
              </w:rPr>
              <w:t>4 %</w:t>
            </w:r>
          </w:p>
        </w:tc>
        <w:tc>
          <w:tcPr>
            <w:tcW w:w="3220" w:type="dxa"/>
            <w:vAlign w:val="center"/>
          </w:tcPr>
          <w:p w14:paraId="5D217A4B" w14:textId="77777777" w:rsidR="00F91711" w:rsidRPr="00C35766" w:rsidRDefault="00F91711" w:rsidP="00F91711">
            <w:pPr>
              <w:pStyle w:val="a3"/>
              <w:jc w:val="center"/>
              <w:rPr>
                <w:b/>
                <w:bCs/>
              </w:rPr>
            </w:pPr>
            <w:r w:rsidRPr="00C35766">
              <w:rPr>
                <w:rFonts w:eastAsia="Times New Roman"/>
                <w:lang w:val="it-IT"/>
              </w:rPr>
              <w:t>8 %</w:t>
            </w:r>
            <w:r w:rsidRPr="00C35766">
              <w:rPr>
                <w:rFonts w:eastAsia="Times New Roman"/>
                <w:sz w:val="20"/>
                <w:szCs w:val="20"/>
                <w:lang w:val="it-IT"/>
              </w:rPr>
              <w:t>*</w:t>
            </w:r>
          </w:p>
        </w:tc>
      </w:tr>
      <w:tr w:rsidR="00F91711" w:rsidRPr="00C35766" w14:paraId="5C34E335" w14:textId="77777777" w:rsidTr="00F91711">
        <w:trPr>
          <w:trHeight w:val="619"/>
          <w:jc w:val="center"/>
        </w:trPr>
        <w:tc>
          <w:tcPr>
            <w:tcW w:w="2875" w:type="dxa"/>
            <w:tcBorders>
              <w:bottom w:val="single" w:sz="4" w:space="0" w:color="auto"/>
            </w:tcBorders>
            <w:vAlign w:val="center"/>
          </w:tcPr>
          <w:p w14:paraId="62058921" w14:textId="77777777" w:rsidR="00F91711" w:rsidRPr="00C35766" w:rsidRDefault="00F91711" w:rsidP="00F91711">
            <w:pPr>
              <w:pStyle w:val="a3"/>
              <w:jc w:val="both"/>
            </w:pPr>
            <w:r w:rsidRPr="00C35766">
              <w:rPr>
                <w:rFonts w:eastAsia="Times New Roman"/>
                <w:lang w:val="it-IT"/>
              </w:rPr>
              <w:t>Guarigione prolungata della mucosa</w:t>
            </w:r>
          </w:p>
        </w:tc>
        <w:tc>
          <w:tcPr>
            <w:tcW w:w="3158" w:type="dxa"/>
            <w:tcBorders>
              <w:bottom w:val="single" w:sz="4" w:space="0" w:color="auto"/>
            </w:tcBorders>
            <w:vAlign w:val="center"/>
          </w:tcPr>
          <w:p w14:paraId="096A9E9E" w14:textId="77777777" w:rsidR="00F91711" w:rsidRPr="00C35766" w:rsidRDefault="00F91711" w:rsidP="00F91711">
            <w:pPr>
              <w:pStyle w:val="a3"/>
              <w:jc w:val="center"/>
              <w:rPr>
                <w:b/>
                <w:bCs/>
              </w:rPr>
            </w:pPr>
            <w:r w:rsidRPr="00C35766">
              <w:rPr>
                <w:rFonts w:eastAsia="Times New Roman"/>
                <w:lang w:val="it-IT"/>
              </w:rPr>
              <w:t>11 %</w:t>
            </w:r>
          </w:p>
        </w:tc>
        <w:tc>
          <w:tcPr>
            <w:tcW w:w="3220" w:type="dxa"/>
            <w:tcBorders>
              <w:bottom w:val="single" w:sz="4" w:space="0" w:color="auto"/>
            </w:tcBorders>
            <w:vAlign w:val="center"/>
          </w:tcPr>
          <w:p w14:paraId="5A53CEE4" w14:textId="77777777" w:rsidR="00F91711" w:rsidRPr="00C35766" w:rsidRDefault="00F91711" w:rsidP="00F91711">
            <w:pPr>
              <w:pStyle w:val="a3"/>
              <w:jc w:val="center"/>
              <w:rPr>
                <w:b/>
                <w:bCs/>
              </w:rPr>
            </w:pPr>
            <w:r w:rsidRPr="00C35766">
              <w:rPr>
                <w:rFonts w:eastAsia="Times New Roman"/>
                <w:lang w:val="it-IT"/>
              </w:rPr>
              <w:t>19 %</w:t>
            </w:r>
            <w:r w:rsidRPr="00C35766">
              <w:rPr>
                <w:rFonts w:eastAsia="Times New Roman"/>
                <w:sz w:val="20"/>
                <w:szCs w:val="20"/>
                <w:lang w:val="it-IT"/>
              </w:rPr>
              <w:t>*</w:t>
            </w:r>
          </w:p>
        </w:tc>
      </w:tr>
    </w:tbl>
    <w:p w14:paraId="73FD550C" w14:textId="77777777" w:rsidR="00F91711" w:rsidRPr="00C35766" w:rsidRDefault="00F91711" w:rsidP="00F91711">
      <w:pPr>
        <w:pStyle w:val="a3"/>
        <w:rPr>
          <w:lang w:val="es-ES"/>
        </w:rPr>
      </w:pPr>
      <w:r w:rsidRPr="00C35766">
        <w:rPr>
          <w:rFonts w:eastAsia="Times New Roman"/>
          <w:lang w:val="it-IT"/>
        </w:rPr>
        <w:t>La remissione clinica è definita da un punteggio di Mayo ≤ 2 con nessun sottopunteggio &gt; 1;</w:t>
      </w:r>
    </w:p>
    <w:p w14:paraId="58B4A3AC" w14:textId="77777777" w:rsidR="00F91711" w:rsidRPr="00C35766" w:rsidRDefault="00F91711" w:rsidP="00F91711">
      <w:pPr>
        <w:pStyle w:val="a3"/>
        <w:rPr>
          <w:lang w:val="es-ES"/>
        </w:rPr>
      </w:pPr>
      <w:r w:rsidRPr="00C35766">
        <w:rPr>
          <w:rFonts w:eastAsia="Times New Roman"/>
          <w:lang w:val="it-IT"/>
        </w:rPr>
        <w:t>La risposta clinica è definita come una riduzione rispetto al basale del punteggio Mayo ≥ 3 punti e ≥ 30%, oltre ad una diminuzione del sottopunteggio sanguinamento rettale [RBS] ≥ 1 o un RBS di 0 o 1 in valore assoluto;</w:t>
      </w:r>
    </w:p>
    <w:p w14:paraId="24F7D022" w14:textId="77777777" w:rsidR="00F91711" w:rsidRPr="00C35766" w:rsidRDefault="00F91711" w:rsidP="00F91711">
      <w:pPr>
        <w:pStyle w:val="a3"/>
        <w:rPr>
          <w:lang w:val="es-ES"/>
        </w:rPr>
      </w:pPr>
      <w:r w:rsidRPr="00C35766">
        <w:rPr>
          <w:rFonts w:eastAsia="Times New Roman"/>
          <w:spacing w:val="-2"/>
          <w:position w:val="9"/>
          <w:sz w:val="16"/>
          <w:szCs w:val="16"/>
          <w:lang w:val="it-IT"/>
        </w:rPr>
        <w:t>*</w:t>
      </w:r>
      <w:r w:rsidRPr="00C35766">
        <w:rPr>
          <w:rFonts w:eastAsia="Times New Roman"/>
          <w:spacing w:val="-2"/>
          <w:position w:val="9"/>
          <w:lang w:val="it-IT"/>
        </w:rPr>
        <w:t xml:space="preserve">p &lt; 0,05 per adalimumab </w:t>
      </w:r>
      <w:r w:rsidRPr="00C35766">
        <w:rPr>
          <w:rFonts w:eastAsia="Times New Roman"/>
          <w:i/>
          <w:iCs/>
          <w:spacing w:val="-2"/>
          <w:position w:val="9"/>
          <w:lang w:val="it-IT"/>
        </w:rPr>
        <w:t xml:space="preserve">vs. </w:t>
      </w:r>
      <w:r w:rsidRPr="00C35766">
        <w:rPr>
          <w:rFonts w:eastAsia="Times New Roman"/>
          <w:spacing w:val="-2"/>
          <w:position w:val="9"/>
          <w:lang w:val="it-IT"/>
        </w:rPr>
        <w:t>placebo alla comparazione appaiata delle percentuali</w:t>
      </w:r>
    </w:p>
    <w:p w14:paraId="51F8693D" w14:textId="77777777" w:rsidR="00F91711" w:rsidRPr="00C35766" w:rsidRDefault="00F91711" w:rsidP="00F91711">
      <w:pPr>
        <w:pStyle w:val="a3"/>
        <w:rPr>
          <w:lang w:val="es-ES"/>
        </w:rPr>
      </w:pPr>
      <w:r w:rsidRPr="00C35766">
        <w:rPr>
          <w:rFonts w:eastAsia="Times New Roman"/>
          <w:spacing w:val="-2"/>
          <w:sz w:val="20"/>
          <w:szCs w:val="20"/>
          <w:lang w:val="it-IT"/>
        </w:rPr>
        <w:t>**p &lt; 0,001 per adalimumab</w:t>
      </w:r>
      <w:r w:rsidRPr="00C35766">
        <w:rPr>
          <w:rFonts w:eastAsia="Times New Roman"/>
          <w:i/>
          <w:iCs/>
          <w:spacing w:val="-2"/>
          <w:sz w:val="20"/>
          <w:szCs w:val="20"/>
          <w:lang w:val="it-IT"/>
        </w:rPr>
        <w:t xml:space="preserve"> vs</w:t>
      </w:r>
      <w:r w:rsidRPr="00C35766">
        <w:rPr>
          <w:rFonts w:eastAsia="Times New Roman"/>
          <w:spacing w:val="-2"/>
          <w:sz w:val="20"/>
          <w:szCs w:val="20"/>
          <w:lang w:val="it-IT"/>
        </w:rPr>
        <w:t>. placebo alla comparazione appaiata delle percentuali</w:t>
      </w:r>
    </w:p>
    <w:p w14:paraId="41EA2E8A" w14:textId="77777777" w:rsidR="00F91711" w:rsidRPr="00C35766" w:rsidRDefault="00F91711" w:rsidP="00F91711">
      <w:pPr>
        <w:pStyle w:val="a3"/>
        <w:rPr>
          <w:lang w:val="es-ES"/>
        </w:rPr>
      </w:pPr>
      <w:r w:rsidRPr="00C35766">
        <w:rPr>
          <w:rFonts w:eastAsia="Times New Roman"/>
          <w:position w:val="8"/>
          <w:vertAlign w:val="superscript"/>
          <w:lang w:val="it-IT"/>
        </w:rPr>
        <w:t>a</w:t>
      </w:r>
      <w:r w:rsidRPr="00C35766">
        <w:rPr>
          <w:rFonts w:eastAsia="Times New Roman"/>
          <w:position w:val="8"/>
          <w:sz w:val="14"/>
          <w:szCs w:val="14"/>
          <w:lang w:val="it-IT"/>
        </w:rPr>
        <w:t xml:space="preserve"> </w:t>
      </w:r>
      <w:r w:rsidRPr="00C35766">
        <w:rPr>
          <w:rFonts w:eastAsia="Times New Roman"/>
          <w:position w:val="8"/>
          <w:lang w:val="it-IT"/>
        </w:rPr>
        <w:t>di coloro che hanno assunto corticosteroidi al basale</w:t>
      </w:r>
    </w:p>
    <w:p w14:paraId="500834C1" w14:textId="77777777" w:rsidR="00F91711" w:rsidRPr="00C35766" w:rsidRDefault="00F91711" w:rsidP="00F91711">
      <w:pPr>
        <w:spacing w:before="6" w:line="190" w:lineRule="exact"/>
        <w:rPr>
          <w:rFonts w:ascii="Times New Roman" w:hAnsi="Times New Roman" w:cs="Times New Roman"/>
          <w:sz w:val="19"/>
          <w:szCs w:val="19"/>
          <w:lang w:val="es-ES"/>
        </w:rPr>
      </w:pPr>
    </w:p>
    <w:p w14:paraId="65DCBB09" w14:textId="77777777" w:rsidR="00F91711" w:rsidRPr="00C35766" w:rsidRDefault="00F91711" w:rsidP="00F91711">
      <w:pPr>
        <w:pStyle w:val="a3"/>
        <w:rPr>
          <w:lang w:val="es-ES"/>
        </w:rPr>
      </w:pPr>
      <w:r w:rsidRPr="00C35766">
        <w:rPr>
          <w:rFonts w:eastAsia="Times New Roman"/>
          <w:lang w:val="it-IT"/>
        </w:rPr>
        <w:lastRenderedPageBreak/>
        <w:t>Dei pazienti che hanno risposto alla settimana 8, il 47% mostrava una risposta, il 29% era in remissione, il 41% ha manifestato guarigione della mucosa e il 20% era in remissione senza uso di steroidi per un periodo ≥ 90 giorni alla settimana 52.</w:t>
      </w:r>
    </w:p>
    <w:p w14:paraId="600029D3" w14:textId="77777777" w:rsidR="00F91711" w:rsidRPr="00C35766" w:rsidRDefault="00F91711" w:rsidP="00F91711">
      <w:pPr>
        <w:spacing w:before="11" w:line="240" w:lineRule="exact"/>
        <w:rPr>
          <w:rFonts w:ascii="Times New Roman" w:hAnsi="Times New Roman" w:cs="Times New Roman"/>
          <w:sz w:val="24"/>
          <w:szCs w:val="24"/>
          <w:lang w:val="es-ES"/>
        </w:rPr>
      </w:pPr>
    </w:p>
    <w:p w14:paraId="01517087" w14:textId="77777777" w:rsidR="00F91711" w:rsidRPr="00C35766" w:rsidRDefault="00F91711" w:rsidP="00F91711">
      <w:pPr>
        <w:pStyle w:val="a3"/>
        <w:rPr>
          <w:lang w:val="it-IT"/>
        </w:rPr>
      </w:pPr>
      <w:r w:rsidRPr="00C35766">
        <w:rPr>
          <w:rFonts w:eastAsia="Times New Roman"/>
          <w:lang w:val="it-IT"/>
        </w:rPr>
        <w:t>Circa il 40% di pazienti arruolati nello studio UC-II aveva fallito il precedente trattamento a base di anti-TNF con infliximab. L’efficacia di adalimumab in quei pazienti si è dimostrata ridotta in confronto a quanto mostrato in pazienti non precedentemente trattati con anti TNF. Tra i pazienti che avevano fallito il precedente trattamento con anti TNF, il 3% del braccio placebo e il 10% del braccio adalimumab ha raggiunto la remissione alla settimana 52.</w:t>
      </w:r>
    </w:p>
    <w:p w14:paraId="2C569B99" w14:textId="77777777" w:rsidR="00F91711" w:rsidRPr="00C35766" w:rsidRDefault="00F91711" w:rsidP="00F91711">
      <w:pPr>
        <w:pStyle w:val="a3"/>
        <w:rPr>
          <w:sz w:val="24"/>
          <w:szCs w:val="24"/>
          <w:lang w:val="it-IT"/>
        </w:rPr>
      </w:pPr>
    </w:p>
    <w:p w14:paraId="119C0B09" w14:textId="77777777" w:rsidR="00F91711" w:rsidRPr="00C35766" w:rsidRDefault="00F91711" w:rsidP="00F91711">
      <w:pPr>
        <w:pStyle w:val="a3"/>
        <w:rPr>
          <w:lang w:val="es-ES"/>
        </w:rPr>
      </w:pPr>
      <w:r w:rsidRPr="00C35766">
        <w:rPr>
          <w:rFonts w:eastAsia="Times New Roman"/>
          <w:lang w:val="it-IT"/>
        </w:rPr>
        <w:t>I pazienti arruolati negli studi UC-I e UC-II hanno avuto la possibilità di entrare in uno studio di estensione in aperto a lungo termine (UC-III). Dopo tre anni di terapia a base di adalimumab, il 75% (301/402) ha continuato ad essere in remissione clinica in accordo al punteggio Mayo parziale.</w:t>
      </w:r>
    </w:p>
    <w:p w14:paraId="2A601E11" w14:textId="77777777" w:rsidR="00F91711" w:rsidRPr="00C35766" w:rsidRDefault="00F91711" w:rsidP="00F91711">
      <w:pPr>
        <w:pStyle w:val="a3"/>
        <w:rPr>
          <w:lang w:val="es-ES"/>
        </w:rPr>
      </w:pPr>
    </w:p>
    <w:p w14:paraId="446E4070" w14:textId="77777777" w:rsidR="00F91711" w:rsidRPr="00C35766" w:rsidRDefault="00F91711" w:rsidP="00F91711">
      <w:pPr>
        <w:pStyle w:val="a3"/>
        <w:rPr>
          <w:i/>
          <w:u w:val="single"/>
          <w:lang w:val="es-ES"/>
        </w:rPr>
      </w:pPr>
      <w:r w:rsidRPr="00C35766">
        <w:rPr>
          <w:rFonts w:eastAsia="Times New Roman"/>
          <w:i/>
          <w:iCs/>
          <w:u w:val="single" w:color="000000"/>
          <w:lang w:val="it-IT"/>
        </w:rPr>
        <w:t>Tassi di ospedalizzazione</w:t>
      </w:r>
    </w:p>
    <w:p w14:paraId="54AAEB1B" w14:textId="77777777" w:rsidR="00F91711" w:rsidRPr="00C35766" w:rsidRDefault="00F91711" w:rsidP="00F91711">
      <w:pPr>
        <w:pStyle w:val="a3"/>
        <w:rPr>
          <w:sz w:val="18"/>
          <w:szCs w:val="18"/>
          <w:lang w:val="es-ES"/>
        </w:rPr>
      </w:pPr>
    </w:p>
    <w:p w14:paraId="3C0A47DF" w14:textId="77777777" w:rsidR="00F91711" w:rsidRPr="00C35766" w:rsidRDefault="00F91711" w:rsidP="00F91711">
      <w:pPr>
        <w:pStyle w:val="a3"/>
        <w:rPr>
          <w:lang w:val="it-IT"/>
        </w:rPr>
      </w:pPr>
      <w:r w:rsidRPr="00C35766">
        <w:rPr>
          <w:rFonts w:eastAsia="Times New Roman"/>
          <w:lang w:val="it-IT"/>
        </w:rPr>
        <w:t xml:space="preserve">Durante le 52 settimane degli studi UC-I e UC-II, è stata osservata una diminuzione delle ospedalizzazioni per tutte le cause e delle ospedalizzazioni correlate alla colite ulcerosa nel gruppo trattato con adalimumab rispetto al gruppo trattato con placebo. Il numero delle ospedalizzazioni per tutte le cause era 0,18 per anno/paziente nel gruppo di trattamento con adalimumab </w:t>
      </w:r>
      <w:r w:rsidRPr="00C35766">
        <w:rPr>
          <w:lang w:val="it-IT"/>
        </w:rPr>
        <w:t>rispetto</w:t>
      </w:r>
      <w:r w:rsidRPr="00C35766">
        <w:rPr>
          <w:rFonts w:eastAsia="Times New Roman"/>
          <w:lang w:val="it-IT"/>
        </w:rPr>
        <w:t xml:space="preserve"> a 0,26 per anno/paziente nel gruppo placebo, e le corrispondenti ospedalizzazioni correlate alla colite ulcerosa erano 0,12 </w:t>
      </w:r>
      <w:r w:rsidRPr="00C35766">
        <w:rPr>
          <w:lang w:val="it-IT"/>
        </w:rPr>
        <w:t>rispetto a</w:t>
      </w:r>
      <w:r w:rsidRPr="00C35766">
        <w:rPr>
          <w:rFonts w:eastAsia="Times New Roman"/>
          <w:i/>
          <w:iCs/>
          <w:lang w:val="it-IT"/>
        </w:rPr>
        <w:t xml:space="preserve"> </w:t>
      </w:r>
      <w:r w:rsidRPr="00C35766">
        <w:rPr>
          <w:rFonts w:eastAsia="Times New Roman"/>
          <w:lang w:val="it-IT"/>
        </w:rPr>
        <w:t>0,22 per anno/paziente.</w:t>
      </w:r>
    </w:p>
    <w:p w14:paraId="7174006A" w14:textId="77777777" w:rsidR="00F91711" w:rsidRPr="00C35766" w:rsidRDefault="00F91711" w:rsidP="00F91711">
      <w:pPr>
        <w:pStyle w:val="a3"/>
        <w:rPr>
          <w:sz w:val="24"/>
          <w:szCs w:val="24"/>
          <w:lang w:val="it-IT"/>
        </w:rPr>
      </w:pPr>
    </w:p>
    <w:p w14:paraId="0A40CA83" w14:textId="77777777" w:rsidR="00F91711" w:rsidRPr="00C35766" w:rsidRDefault="00F91711" w:rsidP="00F91711">
      <w:pPr>
        <w:pStyle w:val="a3"/>
        <w:rPr>
          <w:rFonts w:eastAsia="Times New Roman"/>
          <w:lang w:val="es-ES"/>
        </w:rPr>
      </w:pPr>
      <w:r w:rsidRPr="00C35766">
        <w:rPr>
          <w:rFonts w:eastAsia="Times New Roman"/>
          <w:i/>
          <w:iCs/>
          <w:spacing w:val="-1"/>
          <w:u w:val="single" w:color="000000"/>
          <w:lang w:val="it-IT"/>
        </w:rPr>
        <w:t>Qualità della vita</w:t>
      </w:r>
    </w:p>
    <w:p w14:paraId="72A5BB8F" w14:textId="77777777" w:rsidR="00F91711" w:rsidRPr="00C35766" w:rsidRDefault="00F91711" w:rsidP="00F91711">
      <w:pPr>
        <w:pStyle w:val="a3"/>
        <w:rPr>
          <w:sz w:val="18"/>
          <w:szCs w:val="18"/>
          <w:lang w:val="es-ES"/>
        </w:rPr>
      </w:pPr>
    </w:p>
    <w:p w14:paraId="5B195116" w14:textId="77777777" w:rsidR="00F91711" w:rsidRPr="00C35766" w:rsidRDefault="00F91711" w:rsidP="00F91711">
      <w:pPr>
        <w:pStyle w:val="a3"/>
        <w:rPr>
          <w:lang w:val="es-ES"/>
        </w:rPr>
      </w:pPr>
      <w:r w:rsidRPr="00C35766">
        <w:rPr>
          <w:rFonts w:eastAsia="Times New Roman"/>
          <w:lang w:val="it-IT"/>
        </w:rPr>
        <w:t>Nello studio UC-II, il trattamento con adalimumab ha portato ad un miglioramento del punteggio del questionario Inflammatory Bowel Disease Questionnaire (IBDQ).</w:t>
      </w:r>
    </w:p>
    <w:p w14:paraId="7548A7CF" w14:textId="19CD3F56" w:rsidR="00F91711" w:rsidRPr="00C35766" w:rsidRDefault="00F91711" w:rsidP="00F91711">
      <w:pPr>
        <w:spacing w:before="10" w:line="240" w:lineRule="exact"/>
        <w:rPr>
          <w:rFonts w:ascii="Times New Roman" w:hAnsi="Times New Roman" w:cs="Times New Roman"/>
          <w:sz w:val="24"/>
          <w:szCs w:val="24"/>
          <w:lang w:val="es-ES"/>
        </w:rPr>
      </w:pPr>
    </w:p>
    <w:p w14:paraId="7F5AA2D6" w14:textId="77777777" w:rsidR="00F91711" w:rsidRPr="00C35766" w:rsidRDefault="00F91711" w:rsidP="00F91711">
      <w:pPr>
        <w:pStyle w:val="a3"/>
        <w:rPr>
          <w:i/>
          <w:lang w:val="es-ES"/>
        </w:rPr>
      </w:pPr>
      <w:r w:rsidRPr="00C35766">
        <w:rPr>
          <w:rFonts w:eastAsia="Times New Roman"/>
          <w:i/>
          <w:iCs/>
          <w:lang w:val="it-IT"/>
        </w:rPr>
        <w:t>Uveite</w:t>
      </w:r>
    </w:p>
    <w:p w14:paraId="5325E8A6" w14:textId="77777777" w:rsidR="00F91711" w:rsidRPr="00C35766" w:rsidRDefault="00F91711" w:rsidP="00F91711">
      <w:pPr>
        <w:pStyle w:val="a3"/>
        <w:rPr>
          <w:sz w:val="24"/>
          <w:szCs w:val="24"/>
          <w:lang w:val="es-ES"/>
        </w:rPr>
      </w:pPr>
    </w:p>
    <w:p w14:paraId="705AFA59" w14:textId="77777777" w:rsidR="00F91711" w:rsidRPr="00C35766" w:rsidRDefault="00F91711" w:rsidP="00F91711">
      <w:pPr>
        <w:pStyle w:val="a3"/>
        <w:rPr>
          <w:lang w:val="fr-FR"/>
        </w:rPr>
      </w:pPr>
      <w:r w:rsidRPr="00C35766">
        <w:rPr>
          <w:rFonts w:eastAsia="Times New Roman"/>
          <w:lang w:val="it-IT"/>
        </w:rPr>
        <w:t>La sicurezza e l'efficacia di adalimumab sono state valutate in pazienti adulti con uveite non-infettiva intermedia, posteriore e panuveite, escludendo i pazienti con uveite anteriore isolata, in due studi randomizzati, in doppio cieco, controllati con placebo (UV I e II). I pazienti hanno ricevuto placebo o adalimumab a una dose iniziale di 80 mg seguita da 40 mg a settimane alterne a partire da una settimana dopo la dose iniziale. Erano consentite dosi stabili concomitanti di un immunosoppressore non biologico.</w:t>
      </w:r>
    </w:p>
    <w:p w14:paraId="6D432490" w14:textId="77777777" w:rsidR="00F91711" w:rsidRPr="00C35766" w:rsidRDefault="00F91711" w:rsidP="00F91711">
      <w:pPr>
        <w:pStyle w:val="a3"/>
        <w:rPr>
          <w:sz w:val="24"/>
          <w:szCs w:val="24"/>
          <w:lang w:val="fr-FR"/>
        </w:rPr>
      </w:pPr>
    </w:p>
    <w:p w14:paraId="43DE8872" w14:textId="77777777" w:rsidR="00F91711" w:rsidRPr="00C35766" w:rsidRDefault="00F91711" w:rsidP="00F91711">
      <w:pPr>
        <w:pStyle w:val="a3"/>
        <w:rPr>
          <w:lang w:val="it-IT"/>
        </w:rPr>
      </w:pPr>
      <w:r w:rsidRPr="00C35766">
        <w:rPr>
          <w:rFonts w:eastAsia="Times New Roman"/>
          <w:lang w:val="it-IT"/>
        </w:rPr>
        <w:t>Lo Studio UV I ha valutato 217 pazienti con uveite attiva nonostante il trattamento con corticosteroidi (prednisone orale a una dose di 10-60 mg/die). Tutti i pazienti hanno ricevuto una dose standardizzata di prednisone pari a 60 mg/die all’ingresso nello studio per 2 settimane seguita da un programma obbligatorio di riduzione del dosaggio, fino alla sospensione totale del corticosteroide alla settimana 15.</w:t>
      </w:r>
    </w:p>
    <w:p w14:paraId="4B25590D" w14:textId="77777777" w:rsidR="00F91711" w:rsidRPr="00C35766" w:rsidRDefault="00F91711" w:rsidP="00F91711">
      <w:pPr>
        <w:pStyle w:val="a3"/>
        <w:rPr>
          <w:sz w:val="24"/>
          <w:szCs w:val="24"/>
          <w:lang w:val="it-IT"/>
        </w:rPr>
      </w:pPr>
    </w:p>
    <w:p w14:paraId="72D6272E" w14:textId="77777777" w:rsidR="00F91711" w:rsidRPr="00C35766" w:rsidRDefault="00F91711" w:rsidP="00F91711">
      <w:pPr>
        <w:pStyle w:val="a3"/>
        <w:rPr>
          <w:lang w:val="es-ES"/>
        </w:rPr>
      </w:pPr>
      <w:r w:rsidRPr="00C35766">
        <w:rPr>
          <w:rFonts w:eastAsia="Times New Roman"/>
          <w:lang w:val="it-IT"/>
        </w:rPr>
        <w:t>Lo Studio UV II ha valutato 226 pazienti con uveite inattiva che al basale necessitavano di trattamento cronico con corticosteroide (prednisone orale da 10 a 35 mg/die) per controllare la loro malattia. I pazienti sono stati sottoposti successivamente a un programma obbligatorio di riduzione del dosaggio, fino alla sospensione totale del corticosteroide alla settimana 19.</w:t>
      </w:r>
    </w:p>
    <w:p w14:paraId="1CA9F94A" w14:textId="77777777" w:rsidR="00F91711" w:rsidRPr="00C35766" w:rsidRDefault="00F91711" w:rsidP="00F91711">
      <w:pPr>
        <w:pStyle w:val="a3"/>
        <w:rPr>
          <w:sz w:val="24"/>
          <w:szCs w:val="24"/>
          <w:lang w:val="es-ES"/>
        </w:rPr>
      </w:pPr>
    </w:p>
    <w:p w14:paraId="3FCD3CD0" w14:textId="77777777" w:rsidR="00F91711" w:rsidRPr="00C35766" w:rsidRDefault="00F91711" w:rsidP="00F91711">
      <w:pPr>
        <w:pStyle w:val="a3"/>
        <w:rPr>
          <w:lang w:val="it-IT"/>
        </w:rPr>
      </w:pPr>
      <w:r w:rsidRPr="00C35766">
        <w:rPr>
          <w:rFonts w:eastAsia="Times New Roman"/>
          <w:lang w:val="it-IT"/>
        </w:rPr>
        <w:t>L'endpoint primario di efficacia in entrambi gli studi era il “tempo al fallimento del trattamento”. Il fallimento del trattamento è stato definito attraverso un parametro a più componenti basato su lesioni vascolari infiammatorie corioretiniche e/o retiniche , numero di cellule in camera anteriore (anterior chamber, AC), grado di opacità del vitreo (vitreous haze, VH) e migliore acuità visiva corretta (best corrected visual acuity, BCVA).</w:t>
      </w:r>
    </w:p>
    <w:p w14:paraId="3FA2C27E" w14:textId="77777777" w:rsidR="00F91711" w:rsidRPr="00C35766" w:rsidRDefault="00F91711" w:rsidP="00F91711">
      <w:pPr>
        <w:pStyle w:val="a3"/>
        <w:rPr>
          <w:sz w:val="24"/>
          <w:szCs w:val="24"/>
          <w:lang w:val="it-IT"/>
        </w:rPr>
      </w:pPr>
    </w:p>
    <w:p w14:paraId="620C27D3" w14:textId="77777777" w:rsidR="00F91711" w:rsidRPr="00C35766" w:rsidRDefault="00F91711" w:rsidP="00F91711">
      <w:pPr>
        <w:pStyle w:val="a3"/>
        <w:rPr>
          <w:lang w:val="it-IT"/>
        </w:rPr>
      </w:pPr>
      <w:r w:rsidRPr="00C35766">
        <w:rPr>
          <w:rFonts w:eastAsia="Times New Roman"/>
          <w:lang w:val="it-IT"/>
        </w:rPr>
        <w:t xml:space="preserve">I pazienti che hanno completato gli Studi UV I e UV II erano eleggibili per essere arruolati in uno studio di </w:t>
      </w:r>
      <w:r w:rsidRPr="00C35766">
        <w:rPr>
          <w:rFonts w:eastAsia="Times New Roman"/>
          <w:lang w:val="it-IT"/>
        </w:rPr>
        <w:lastRenderedPageBreak/>
        <w:t>estensione a lungo termine non controllato della durata originariamente programmata di 78 settimane. I pazienti sono stati autorizzati a continuare il medicinale in studio oltre la Settimana 78 fino a quando hanno avuto accesso ad adalimumab.</w:t>
      </w:r>
    </w:p>
    <w:p w14:paraId="3FCCAC1A" w14:textId="77777777" w:rsidR="00626057" w:rsidRPr="00C35766" w:rsidRDefault="00626057" w:rsidP="00F91711">
      <w:pPr>
        <w:pStyle w:val="a3"/>
        <w:rPr>
          <w:sz w:val="24"/>
          <w:szCs w:val="24"/>
          <w:lang w:val="it-IT"/>
        </w:rPr>
      </w:pPr>
    </w:p>
    <w:p w14:paraId="23867243" w14:textId="77777777" w:rsidR="00F91711" w:rsidRPr="00C35766" w:rsidRDefault="00F91711" w:rsidP="00F91711">
      <w:pPr>
        <w:pStyle w:val="a3"/>
        <w:rPr>
          <w:rFonts w:eastAsia="Times New Roman"/>
          <w:lang w:val="it-IT"/>
        </w:rPr>
      </w:pPr>
      <w:r w:rsidRPr="00C35766">
        <w:rPr>
          <w:rFonts w:eastAsia="Times New Roman"/>
          <w:i/>
          <w:iCs/>
          <w:spacing w:val="-1"/>
          <w:u w:val="single" w:color="000000"/>
          <w:lang w:val="it-IT"/>
        </w:rPr>
        <w:t>Risposta clinica</w:t>
      </w:r>
    </w:p>
    <w:p w14:paraId="77DA4A5B" w14:textId="77777777" w:rsidR="00F91711" w:rsidRPr="00C35766" w:rsidRDefault="00F91711" w:rsidP="00F91711">
      <w:pPr>
        <w:pStyle w:val="a3"/>
        <w:rPr>
          <w:sz w:val="18"/>
          <w:szCs w:val="18"/>
          <w:lang w:val="it-IT"/>
        </w:rPr>
      </w:pPr>
    </w:p>
    <w:p w14:paraId="0C6372FB" w14:textId="7AE3F2F9" w:rsidR="00F91711" w:rsidRPr="00C35766" w:rsidRDefault="00F91711" w:rsidP="00F91711">
      <w:pPr>
        <w:pStyle w:val="a3"/>
        <w:rPr>
          <w:lang w:val="it-IT"/>
        </w:rPr>
      </w:pPr>
      <w:r w:rsidRPr="00C35766">
        <w:rPr>
          <w:rFonts w:eastAsia="Times New Roman"/>
          <w:lang w:val="it-IT"/>
        </w:rPr>
        <w:t xml:space="preserve">I risultati di entrambi gli studi hanno dimostrato la riduzione statisticamente significativa del rischio di fallimento del trattamento nei pazienti trattati con adalimumab rispetto ai pazienti trattati con placebo (vedere Tabella </w:t>
      </w:r>
      <w:r w:rsidR="0067580C">
        <w:rPr>
          <w:rFonts w:eastAsia="Times New Roman"/>
          <w:lang w:val="it-IT"/>
        </w:rPr>
        <w:t>17</w:t>
      </w:r>
      <w:r w:rsidRPr="00C35766">
        <w:rPr>
          <w:rFonts w:eastAsia="Times New Roman"/>
          <w:lang w:val="it-IT"/>
        </w:rPr>
        <w:t xml:space="preserve">). Entrambi gli studi hanno dimostrato un effetto precoce e prolungato di adalimumab sul tasso di fallimento del trattamento rispetto al placebo (vedere Figura </w:t>
      </w:r>
      <w:r w:rsidR="005D076A" w:rsidRPr="00C35766">
        <w:rPr>
          <w:rFonts w:eastAsia="Times New Roman"/>
          <w:lang w:val="it-IT"/>
        </w:rPr>
        <w:t>1</w:t>
      </w:r>
      <w:r w:rsidRPr="00C35766">
        <w:rPr>
          <w:rFonts w:eastAsia="Times New Roman"/>
          <w:lang w:val="it-IT"/>
        </w:rPr>
        <w:t>).</w:t>
      </w:r>
    </w:p>
    <w:p w14:paraId="2A3D9808" w14:textId="0F377462" w:rsidR="00F91711" w:rsidRPr="00C35766" w:rsidRDefault="00F91711" w:rsidP="00F91711">
      <w:pPr>
        <w:rPr>
          <w:rFonts w:ascii="Times New Roman" w:hAnsi="Times New Roman" w:cs="Times New Roman"/>
          <w:b/>
          <w:lang w:val="it-IT"/>
        </w:rPr>
      </w:pPr>
    </w:p>
    <w:p w14:paraId="17FE2654" w14:textId="48D9382D" w:rsidR="00F91711" w:rsidRPr="00C35766" w:rsidRDefault="00F91711" w:rsidP="00F91711">
      <w:pPr>
        <w:pStyle w:val="a3"/>
        <w:jc w:val="center"/>
        <w:rPr>
          <w:b/>
          <w:lang w:val="it-IT"/>
        </w:rPr>
      </w:pPr>
      <w:r w:rsidRPr="00C35766">
        <w:rPr>
          <w:rFonts w:eastAsia="Times New Roman"/>
          <w:b/>
          <w:bCs/>
          <w:lang w:val="it-IT"/>
        </w:rPr>
        <w:t xml:space="preserve">Tabella </w:t>
      </w:r>
      <w:r w:rsidR="0067580C">
        <w:rPr>
          <w:rFonts w:eastAsia="Times New Roman"/>
          <w:b/>
          <w:bCs/>
          <w:lang w:val="it-IT"/>
        </w:rPr>
        <w:t>17</w:t>
      </w:r>
    </w:p>
    <w:p w14:paraId="0C111991" w14:textId="77777777" w:rsidR="00F91711" w:rsidRPr="00C35766" w:rsidRDefault="00F91711" w:rsidP="00F91711">
      <w:pPr>
        <w:pStyle w:val="a3"/>
        <w:jc w:val="center"/>
        <w:rPr>
          <w:b/>
          <w:lang w:val="it-IT"/>
        </w:rPr>
      </w:pPr>
      <w:r w:rsidRPr="00C35766">
        <w:rPr>
          <w:rFonts w:eastAsia="Times New Roman"/>
          <w:b/>
          <w:bCs/>
          <w:lang w:val="it-IT"/>
        </w:rPr>
        <w:t>Tempo al fallimento del trattamento negli Studi UV I e UV II</w:t>
      </w:r>
    </w:p>
    <w:p w14:paraId="070E9A3C" w14:textId="77777777" w:rsidR="00F91711" w:rsidRPr="00C35766" w:rsidRDefault="00F91711" w:rsidP="00F91711">
      <w:pPr>
        <w:pStyle w:val="a3"/>
        <w:jc w:val="center"/>
        <w:rPr>
          <w:b/>
          <w:lang w:val="it-IT"/>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546"/>
        <w:gridCol w:w="1221"/>
        <w:gridCol w:w="2963"/>
        <w:gridCol w:w="613"/>
        <w:gridCol w:w="1552"/>
        <w:gridCol w:w="1015"/>
      </w:tblGrid>
      <w:tr w:rsidR="00F91711" w:rsidRPr="00C35766" w14:paraId="720430B9" w14:textId="77777777" w:rsidTr="00F91711">
        <w:trPr>
          <w:jc w:val="center"/>
        </w:trPr>
        <w:tc>
          <w:tcPr>
            <w:tcW w:w="0" w:type="auto"/>
            <w:tcBorders>
              <w:top w:val="single" w:sz="4" w:space="0" w:color="auto"/>
              <w:bottom w:val="single" w:sz="4" w:space="0" w:color="auto"/>
            </w:tcBorders>
            <w:vAlign w:val="center"/>
          </w:tcPr>
          <w:p w14:paraId="563F9902" w14:textId="77777777" w:rsidR="00F91711" w:rsidRPr="00C35766" w:rsidRDefault="00F91711" w:rsidP="00F91711">
            <w:pPr>
              <w:pStyle w:val="a3"/>
              <w:jc w:val="center"/>
              <w:rPr>
                <w:b/>
                <w:lang w:eastAsia="ko-KR"/>
              </w:rPr>
            </w:pPr>
            <w:r w:rsidRPr="00C35766">
              <w:rPr>
                <w:rFonts w:eastAsia="Times New Roman"/>
                <w:b/>
                <w:bCs/>
                <w:lang w:val="it-IT" w:eastAsia="ko-KR"/>
              </w:rPr>
              <w:t>Analisi trattamento</w:t>
            </w:r>
          </w:p>
        </w:tc>
        <w:tc>
          <w:tcPr>
            <w:tcW w:w="0" w:type="auto"/>
            <w:tcBorders>
              <w:top w:val="single" w:sz="4" w:space="0" w:color="auto"/>
              <w:bottom w:val="single" w:sz="4" w:space="0" w:color="auto"/>
            </w:tcBorders>
            <w:vAlign w:val="center"/>
          </w:tcPr>
          <w:p w14:paraId="60DDB7D1" w14:textId="77777777" w:rsidR="00F91711" w:rsidRPr="00C35766" w:rsidRDefault="00F91711" w:rsidP="00F91711">
            <w:pPr>
              <w:pStyle w:val="a3"/>
              <w:jc w:val="center"/>
              <w:rPr>
                <w:b/>
              </w:rPr>
            </w:pPr>
            <w:r w:rsidRPr="00C35766">
              <w:rPr>
                <w:rFonts w:eastAsia="Times New Roman"/>
                <w:b/>
                <w:bCs/>
                <w:lang w:val="it-IT"/>
              </w:rPr>
              <w:t>N</w:t>
            </w:r>
          </w:p>
        </w:tc>
        <w:tc>
          <w:tcPr>
            <w:tcW w:w="0" w:type="auto"/>
            <w:tcBorders>
              <w:top w:val="single" w:sz="4" w:space="0" w:color="auto"/>
              <w:bottom w:val="single" w:sz="4" w:space="0" w:color="auto"/>
            </w:tcBorders>
            <w:vAlign w:val="center"/>
          </w:tcPr>
          <w:p w14:paraId="34E1C1D1" w14:textId="77777777" w:rsidR="00F91711" w:rsidRPr="00C35766" w:rsidRDefault="00F91711" w:rsidP="00F91711">
            <w:pPr>
              <w:pStyle w:val="a3"/>
              <w:jc w:val="center"/>
              <w:rPr>
                <w:rFonts w:eastAsia="Times New Roman"/>
                <w:b/>
                <w:bCs/>
                <w:spacing w:val="-1"/>
                <w:lang w:val="it-IT"/>
              </w:rPr>
            </w:pPr>
            <w:r w:rsidRPr="00C35766">
              <w:rPr>
                <w:rFonts w:eastAsia="Times New Roman"/>
                <w:b/>
                <w:bCs/>
                <w:spacing w:val="-1"/>
                <w:lang w:val="it-IT"/>
              </w:rPr>
              <w:t xml:space="preserve">Fallimento </w:t>
            </w:r>
          </w:p>
          <w:p w14:paraId="53D53030" w14:textId="77777777" w:rsidR="00F91711" w:rsidRPr="00C35766" w:rsidRDefault="00F91711" w:rsidP="00F91711">
            <w:pPr>
              <w:pStyle w:val="a3"/>
              <w:jc w:val="center"/>
              <w:rPr>
                <w:b/>
              </w:rPr>
            </w:pPr>
            <w:r w:rsidRPr="00C35766">
              <w:rPr>
                <w:rFonts w:eastAsia="Times New Roman"/>
                <w:b/>
                <w:bCs/>
                <w:spacing w:val="-1"/>
                <w:lang w:val="it-IT"/>
              </w:rPr>
              <w:t>N (%)</w:t>
            </w:r>
          </w:p>
        </w:tc>
        <w:tc>
          <w:tcPr>
            <w:tcW w:w="0" w:type="auto"/>
            <w:tcBorders>
              <w:top w:val="single" w:sz="4" w:space="0" w:color="auto"/>
              <w:bottom w:val="single" w:sz="4" w:space="0" w:color="auto"/>
            </w:tcBorders>
          </w:tcPr>
          <w:p w14:paraId="34A6834B" w14:textId="77777777" w:rsidR="00F91711" w:rsidRPr="00C35766" w:rsidRDefault="00F91711" w:rsidP="00F91711">
            <w:pPr>
              <w:pStyle w:val="a3"/>
              <w:jc w:val="center"/>
              <w:rPr>
                <w:b/>
                <w:bCs/>
                <w:spacing w:val="-1"/>
                <w:lang w:val="es-ES" w:eastAsia="ko-KR"/>
              </w:rPr>
            </w:pPr>
            <w:r w:rsidRPr="00C35766">
              <w:rPr>
                <w:rFonts w:eastAsia="Times New Roman"/>
                <w:b/>
                <w:bCs/>
                <w:spacing w:val="-1"/>
                <w:lang w:val="it-IT" w:eastAsia="ko-KR"/>
              </w:rPr>
              <w:t>Mediana del tempo al fallimento (mesi)</w:t>
            </w:r>
          </w:p>
        </w:tc>
        <w:tc>
          <w:tcPr>
            <w:tcW w:w="0" w:type="auto"/>
            <w:tcBorders>
              <w:top w:val="single" w:sz="4" w:space="0" w:color="auto"/>
              <w:bottom w:val="single" w:sz="4" w:space="0" w:color="auto"/>
            </w:tcBorders>
            <w:vAlign w:val="center"/>
          </w:tcPr>
          <w:p w14:paraId="7307B6A0" w14:textId="77777777" w:rsidR="00F91711" w:rsidRPr="00C35766" w:rsidRDefault="00F91711" w:rsidP="00F91711">
            <w:pPr>
              <w:pStyle w:val="a3"/>
              <w:jc w:val="center"/>
              <w:rPr>
                <w:b/>
                <w:bCs/>
                <w:spacing w:val="-1"/>
                <w:lang w:eastAsia="ko-KR"/>
              </w:rPr>
            </w:pPr>
            <w:r w:rsidRPr="00C35766">
              <w:rPr>
                <w:rFonts w:eastAsia="Times New Roman"/>
                <w:b/>
                <w:bCs/>
                <w:spacing w:val="-1"/>
                <w:lang w:val="it-IT" w:eastAsia="ko-KR"/>
              </w:rPr>
              <w:t>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09F604ED" w14:textId="77777777" w:rsidR="00F91711" w:rsidRPr="00C35766" w:rsidRDefault="00F91711" w:rsidP="00F91711">
            <w:pPr>
              <w:pStyle w:val="a3"/>
              <w:jc w:val="center"/>
              <w:rPr>
                <w:b/>
                <w:bCs/>
                <w:spacing w:val="-1"/>
                <w:lang w:eastAsia="ko-KR"/>
              </w:rPr>
            </w:pPr>
            <w:r w:rsidRPr="00C35766">
              <w:rPr>
                <w:rFonts w:eastAsia="Times New Roman"/>
                <w:b/>
                <w:bCs/>
                <w:spacing w:val="-1"/>
                <w:lang w:val="it-IT" w:eastAsia="ko-KR"/>
              </w:rPr>
              <w:t>IC al 95% per 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3E27A1AF" w14:textId="77777777" w:rsidR="00F91711" w:rsidRPr="00C35766" w:rsidRDefault="00F91711" w:rsidP="00F91711">
            <w:pPr>
              <w:pStyle w:val="a3"/>
              <w:jc w:val="center"/>
              <w:rPr>
                <w:b/>
              </w:rPr>
            </w:pPr>
            <w:r w:rsidRPr="00C35766">
              <w:rPr>
                <w:b/>
                <w:spacing w:val="-1"/>
                <w:lang w:val="it-IT"/>
              </w:rPr>
              <w:t>Valore</w:t>
            </w:r>
            <w:r w:rsidRPr="00C35766">
              <w:rPr>
                <w:rFonts w:eastAsia="Times New Roman"/>
                <w:b/>
                <w:bCs/>
                <w:spacing w:val="-1"/>
                <w:lang w:val="it-IT" w:eastAsia="ko-KR"/>
              </w:rPr>
              <w:t xml:space="preserve"> p</w:t>
            </w:r>
            <w:r w:rsidRPr="00C35766">
              <w:rPr>
                <w:rFonts w:eastAsia="Times New Roman"/>
                <w:b/>
                <w:bCs/>
                <w:spacing w:val="-1"/>
                <w:vertAlign w:val="superscript"/>
                <w:lang w:val="it-IT" w:eastAsia="ko-KR"/>
              </w:rPr>
              <w:t>b</w:t>
            </w:r>
          </w:p>
          <w:p w14:paraId="11728926" w14:textId="77777777" w:rsidR="00F91711" w:rsidRPr="00C35766" w:rsidRDefault="00F91711" w:rsidP="00F91711">
            <w:pPr>
              <w:pStyle w:val="a3"/>
              <w:jc w:val="center"/>
              <w:rPr>
                <w:rFonts w:eastAsia="Times New Roman"/>
                <w:b/>
                <w:bCs/>
                <w:spacing w:val="-1"/>
              </w:rPr>
            </w:pPr>
          </w:p>
        </w:tc>
      </w:tr>
      <w:tr w:rsidR="00F91711" w:rsidRPr="00C35766" w14:paraId="26454072" w14:textId="77777777" w:rsidTr="00F91711">
        <w:trPr>
          <w:jc w:val="center"/>
        </w:trPr>
        <w:tc>
          <w:tcPr>
            <w:tcW w:w="0" w:type="auto"/>
            <w:gridSpan w:val="7"/>
            <w:tcBorders>
              <w:top w:val="single" w:sz="4" w:space="0" w:color="auto"/>
              <w:bottom w:val="single" w:sz="4" w:space="0" w:color="auto"/>
            </w:tcBorders>
            <w:vAlign w:val="center"/>
          </w:tcPr>
          <w:p w14:paraId="25CE12B5" w14:textId="77777777" w:rsidR="00F91711" w:rsidRPr="00C35766" w:rsidRDefault="00F91711" w:rsidP="00F91711">
            <w:pPr>
              <w:pStyle w:val="a3"/>
              <w:rPr>
                <w:b/>
                <w:lang w:val="es-ES"/>
              </w:rPr>
            </w:pPr>
            <w:r w:rsidRPr="00C35766">
              <w:rPr>
                <w:rFonts w:eastAsia="Times New Roman"/>
                <w:b/>
                <w:bCs/>
                <w:lang w:val="it-IT"/>
              </w:rPr>
              <w:t>Tempo al fallimento del trattamento alla o dopo la settimana 6 nello Studio UV I</w:t>
            </w:r>
          </w:p>
          <w:p w14:paraId="6DB07A00" w14:textId="77777777" w:rsidR="00F91711" w:rsidRPr="00C35766" w:rsidRDefault="00F91711" w:rsidP="00F91711">
            <w:pPr>
              <w:pStyle w:val="a3"/>
              <w:jc w:val="both"/>
            </w:pPr>
            <w:r w:rsidRPr="00C35766">
              <w:rPr>
                <w:rFonts w:eastAsia="Times New Roman"/>
                <w:b/>
                <w:bCs/>
                <w:lang w:val="it-IT"/>
              </w:rPr>
              <w:t>Analisi primaria (ITT)</w:t>
            </w:r>
          </w:p>
        </w:tc>
      </w:tr>
      <w:tr w:rsidR="00F91711" w:rsidRPr="00C35766" w14:paraId="6531F2F6" w14:textId="77777777" w:rsidTr="00F91711">
        <w:trPr>
          <w:jc w:val="center"/>
        </w:trPr>
        <w:tc>
          <w:tcPr>
            <w:tcW w:w="0" w:type="auto"/>
            <w:tcBorders>
              <w:top w:val="single" w:sz="4" w:space="0" w:color="auto"/>
            </w:tcBorders>
            <w:vAlign w:val="center"/>
          </w:tcPr>
          <w:p w14:paraId="49C6255D" w14:textId="77777777" w:rsidR="00F91711" w:rsidRPr="00C35766" w:rsidRDefault="00F91711" w:rsidP="00F91711">
            <w:pPr>
              <w:pStyle w:val="a3"/>
              <w:jc w:val="center"/>
            </w:pPr>
            <w:r w:rsidRPr="00C35766">
              <w:rPr>
                <w:rFonts w:eastAsia="Times New Roman"/>
                <w:lang w:val="it-IT"/>
              </w:rPr>
              <w:t>placebo</w:t>
            </w:r>
          </w:p>
        </w:tc>
        <w:tc>
          <w:tcPr>
            <w:tcW w:w="0" w:type="auto"/>
            <w:tcBorders>
              <w:top w:val="single" w:sz="4" w:space="0" w:color="auto"/>
            </w:tcBorders>
          </w:tcPr>
          <w:p w14:paraId="5194335B" w14:textId="77777777" w:rsidR="00F91711" w:rsidRPr="00C35766" w:rsidRDefault="00F91711" w:rsidP="00F91711">
            <w:pPr>
              <w:pStyle w:val="a3"/>
              <w:jc w:val="center"/>
            </w:pPr>
            <w:r w:rsidRPr="00C35766">
              <w:rPr>
                <w:rFonts w:eastAsia="Times New Roman"/>
                <w:lang w:val="it-IT"/>
              </w:rPr>
              <w:t xml:space="preserve">107 </w:t>
            </w:r>
          </w:p>
        </w:tc>
        <w:tc>
          <w:tcPr>
            <w:tcW w:w="0" w:type="auto"/>
            <w:tcBorders>
              <w:top w:val="single" w:sz="4" w:space="0" w:color="auto"/>
            </w:tcBorders>
          </w:tcPr>
          <w:p w14:paraId="3D830A58" w14:textId="77777777" w:rsidR="00F91711" w:rsidRPr="00C35766" w:rsidRDefault="00F91711" w:rsidP="00F91711">
            <w:pPr>
              <w:pStyle w:val="a3"/>
              <w:jc w:val="center"/>
            </w:pPr>
            <w:r w:rsidRPr="00C35766">
              <w:rPr>
                <w:rFonts w:eastAsia="Times New Roman"/>
                <w:lang w:val="it-IT"/>
              </w:rPr>
              <w:t xml:space="preserve">84 (78,5) </w:t>
            </w:r>
          </w:p>
        </w:tc>
        <w:tc>
          <w:tcPr>
            <w:tcW w:w="0" w:type="auto"/>
            <w:tcBorders>
              <w:top w:val="single" w:sz="4" w:space="0" w:color="auto"/>
            </w:tcBorders>
          </w:tcPr>
          <w:p w14:paraId="6730951A" w14:textId="77777777" w:rsidR="00F91711" w:rsidRPr="00C35766" w:rsidRDefault="00F91711" w:rsidP="00F91711">
            <w:pPr>
              <w:pStyle w:val="a3"/>
              <w:jc w:val="center"/>
            </w:pPr>
            <w:r w:rsidRPr="00C35766">
              <w:rPr>
                <w:rFonts w:eastAsia="Times New Roman"/>
                <w:lang w:val="it-IT"/>
              </w:rPr>
              <w:t xml:space="preserve">3,0 </w:t>
            </w:r>
          </w:p>
        </w:tc>
        <w:tc>
          <w:tcPr>
            <w:tcW w:w="0" w:type="auto"/>
            <w:tcBorders>
              <w:top w:val="single" w:sz="4" w:space="0" w:color="auto"/>
            </w:tcBorders>
          </w:tcPr>
          <w:p w14:paraId="4DD4FD0E" w14:textId="77777777" w:rsidR="00F91711" w:rsidRPr="00C35766" w:rsidRDefault="00F91711" w:rsidP="00F91711">
            <w:pPr>
              <w:pStyle w:val="a3"/>
              <w:jc w:val="center"/>
            </w:pPr>
            <w:r w:rsidRPr="00C35766">
              <w:t xml:space="preserve">-- </w:t>
            </w:r>
          </w:p>
        </w:tc>
        <w:tc>
          <w:tcPr>
            <w:tcW w:w="0" w:type="auto"/>
            <w:tcBorders>
              <w:top w:val="single" w:sz="4" w:space="0" w:color="auto"/>
            </w:tcBorders>
          </w:tcPr>
          <w:p w14:paraId="7EFCF087" w14:textId="77777777" w:rsidR="00F91711" w:rsidRPr="00C35766" w:rsidRDefault="00F91711" w:rsidP="00F91711">
            <w:pPr>
              <w:pStyle w:val="a3"/>
              <w:jc w:val="center"/>
            </w:pPr>
            <w:r w:rsidRPr="00C35766">
              <w:t xml:space="preserve">-- </w:t>
            </w:r>
          </w:p>
        </w:tc>
        <w:tc>
          <w:tcPr>
            <w:tcW w:w="0" w:type="auto"/>
            <w:tcBorders>
              <w:top w:val="single" w:sz="4" w:space="0" w:color="auto"/>
            </w:tcBorders>
          </w:tcPr>
          <w:p w14:paraId="48A46134" w14:textId="77777777" w:rsidR="00F91711" w:rsidRPr="00C35766" w:rsidRDefault="00F91711" w:rsidP="00F91711">
            <w:pPr>
              <w:pStyle w:val="a3"/>
              <w:jc w:val="center"/>
            </w:pPr>
            <w:r w:rsidRPr="00C35766">
              <w:t xml:space="preserve">-- </w:t>
            </w:r>
          </w:p>
        </w:tc>
      </w:tr>
      <w:tr w:rsidR="00F91711" w:rsidRPr="00C35766" w14:paraId="2B58F8AF" w14:textId="77777777" w:rsidTr="00F91711">
        <w:trPr>
          <w:jc w:val="center"/>
        </w:trPr>
        <w:tc>
          <w:tcPr>
            <w:tcW w:w="0" w:type="auto"/>
            <w:tcBorders>
              <w:bottom w:val="single" w:sz="4" w:space="0" w:color="auto"/>
            </w:tcBorders>
            <w:vAlign w:val="center"/>
          </w:tcPr>
          <w:p w14:paraId="4842B6DC" w14:textId="77777777" w:rsidR="00F91711" w:rsidRPr="00C35766" w:rsidRDefault="00F91711" w:rsidP="00F91711">
            <w:pPr>
              <w:pStyle w:val="a3"/>
              <w:jc w:val="center"/>
            </w:pPr>
            <w:r w:rsidRPr="00C35766">
              <w:rPr>
                <w:rFonts w:eastAsia="Times New Roman"/>
                <w:lang w:val="it-IT"/>
              </w:rPr>
              <w:t>adalimumab</w:t>
            </w:r>
          </w:p>
        </w:tc>
        <w:tc>
          <w:tcPr>
            <w:tcW w:w="0" w:type="auto"/>
            <w:tcBorders>
              <w:bottom w:val="single" w:sz="4" w:space="0" w:color="auto"/>
            </w:tcBorders>
          </w:tcPr>
          <w:p w14:paraId="426DFA8D" w14:textId="77777777" w:rsidR="00F91711" w:rsidRPr="00C35766" w:rsidRDefault="00F91711" w:rsidP="00F91711">
            <w:pPr>
              <w:pStyle w:val="a3"/>
              <w:jc w:val="center"/>
            </w:pPr>
            <w:r w:rsidRPr="00C35766">
              <w:rPr>
                <w:rFonts w:eastAsia="Times New Roman"/>
                <w:lang w:val="it-IT"/>
              </w:rPr>
              <w:t xml:space="preserve">110 </w:t>
            </w:r>
          </w:p>
        </w:tc>
        <w:tc>
          <w:tcPr>
            <w:tcW w:w="0" w:type="auto"/>
            <w:tcBorders>
              <w:bottom w:val="single" w:sz="4" w:space="0" w:color="auto"/>
            </w:tcBorders>
          </w:tcPr>
          <w:p w14:paraId="1031CAE4" w14:textId="77777777" w:rsidR="00F91711" w:rsidRPr="00C35766" w:rsidRDefault="00F91711" w:rsidP="00F91711">
            <w:pPr>
              <w:pStyle w:val="a3"/>
              <w:jc w:val="center"/>
            </w:pPr>
            <w:r w:rsidRPr="00C35766">
              <w:rPr>
                <w:rFonts w:eastAsia="Times New Roman"/>
                <w:lang w:val="it-IT"/>
              </w:rPr>
              <w:t xml:space="preserve">60 (54,5) </w:t>
            </w:r>
          </w:p>
        </w:tc>
        <w:tc>
          <w:tcPr>
            <w:tcW w:w="0" w:type="auto"/>
            <w:tcBorders>
              <w:bottom w:val="single" w:sz="4" w:space="0" w:color="auto"/>
            </w:tcBorders>
          </w:tcPr>
          <w:p w14:paraId="6141543C" w14:textId="77777777" w:rsidR="00F91711" w:rsidRPr="00C35766" w:rsidRDefault="00F91711" w:rsidP="00F91711">
            <w:pPr>
              <w:pStyle w:val="a3"/>
              <w:jc w:val="center"/>
            </w:pPr>
            <w:r w:rsidRPr="00C35766">
              <w:rPr>
                <w:rFonts w:eastAsia="Times New Roman"/>
                <w:lang w:val="it-IT"/>
              </w:rPr>
              <w:t xml:space="preserve">5,6 </w:t>
            </w:r>
          </w:p>
        </w:tc>
        <w:tc>
          <w:tcPr>
            <w:tcW w:w="0" w:type="auto"/>
            <w:tcBorders>
              <w:bottom w:val="single" w:sz="4" w:space="0" w:color="auto"/>
            </w:tcBorders>
          </w:tcPr>
          <w:p w14:paraId="22495F9C" w14:textId="77777777" w:rsidR="00F91711" w:rsidRPr="00C35766" w:rsidRDefault="00F91711" w:rsidP="00F91711">
            <w:pPr>
              <w:pStyle w:val="a3"/>
              <w:jc w:val="center"/>
            </w:pPr>
            <w:r w:rsidRPr="00C35766">
              <w:rPr>
                <w:rFonts w:eastAsia="Times New Roman"/>
                <w:lang w:val="it-IT"/>
              </w:rPr>
              <w:t xml:space="preserve">0,50 </w:t>
            </w:r>
          </w:p>
        </w:tc>
        <w:tc>
          <w:tcPr>
            <w:tcW w:w="0" w:type="auto"/>
            <w:tcBorders>
              <w:bottom w:val="single" w:sz="4" w:space="0" w:color="auto"/>
            </w:tcBorders>
          </w:tcPr>
          <w:p w14:paraId="73E5A708" w14:textId="77777777" w:rsidR="00F91711" w:rsidRPr="00C35766" w:rsidRDefault="00F91711" w:rsidP="00F91711">
            <w:pPr>
              <w:pStyle w:val="a3"/>
              <w:jc w:val="center"/>
            </w:pPr>
            <w:r w:rsidRPr="00C35766">
              <w:rPr>
                <w:rFonts w:eastAsia="Times New Roman"/>
                <w:lang w:val="it-IT"/>
              </w:rPr>
              <w:t xml:space="preserve">0,36, 0,70 </w:t>
            </w:r>
          </w:p>
        </w:tc>
        <w:tc>
          <w:tcPr>
            <w:tcW w:w="0" w:type="auto"/>
            <w:tcBorders>
              <w:bottom w:val="single" w:sz="4" w:space="0" w:color="auto"/>
            </w:tcBorders>
          </w:tcPr>
          <w:p w14:paraId="4C45C30F" w14:textId="77777777" w:rsidR="00F91711" w:rsidRPr="00C35766" w:rsidRDefault="00F91711" w:rsidP="00F91711">
            <w:pPr>
              <w:pStyle w:val="a3"/>
              <w:jc w:val="center"/>
            </w:pPr>
            <w:r w:rsidRPr="00C35766">
              <w:rPr>
                <w:rFonts w:eastAsia="Times New Roman"/>
                <w:lang w:val="it-IT"/>
              </w:rPr>
              <w:t xml:space="preserve">&lt; 0,001 </w:t>
            </w:r>
          </w:p>
        </w:tc>
      </w:tr>
      <w:tr w:rsidR="00F91711" w:rsidRPr="00C35766" w14:paraId="2104D3C2" w14:textId="77777777" w:rsidTr="00F91711">
        <w:trPr>
          <w:jc w:val="center"/>
        </w:trPr>
        <w:tc>
          <w:tcPr>
            <w:tcW w:w="0" w:type="auto"/>
            <w:gridSpan w:val="7"/>
            <w:tcBorders>
              <w:top w:val="single" w:sz="4" w:space="0" w:color="auto"/>
              <w:bottom w:val="single" w:sz="4" w:space="0" w:color="auto"/>
            </w:tcBorders>
            <w:vAlign w:val="center"/>
          </w:tcPr>
          <w:p w14:paraId="0F490A13" w14:textId="77777777" w:rsidR="00F91711" w:rsidRPr="00C35766" w:rsidRDefault="00F91711" w:rsidP="00F91711">
            <w:pPr>
              <w:pStyle w:val="a3"/>
              <w:jc w:val="both"/>
              <w:rPr>
                <w:b/>
                <w:lang w:val="es-ES"/>
              </w:rPr>
            </w:pPr>
            <w:r w:rsidRPr="00C35766">
              <w:rPr>
                <w:rFonts w:eastAsia="Times New Roman"/>
                <w:b/>
                <w:bCs/>
                <w:lang w:val="it-IT"/>
              </w:rPr>
              <w:t>Tempo al fallimento del trattamento alla o dopo la settimana 2 nello Studio UV II</w:t>
            </w:r>
          </w:p>
          <w:p w14:paraId="00142CBC" w14:textId="77777777" w:rsidR="00F91711" w:rsidRPr="00C35766" w:rsidRDefault="00F91711" w:rsidP="00F91711">
            <w:pPr>
              <w:pStyle w:val="a3"/>
              <w:jc w:val="both"/>
            </w:pPr>
            <w:r w:rsidRPr="00C35766">
              <w:rPr>
                <w:rFonts w:eastAsia="Times New Roman"/>
                <w:b/>
                <w:bCs/>
                <w:lang w:val="it-IT"/>
              </w:rPr>
              <w:t>Analisi primaria (ITT)</w:t>
            </w:r>
          </w:p>
        </w:tc>
      </w:tr>
      <w:tr w:rsidR="00F91711" w:rsidRPr="00C35766" w14:paraId="7F4A9BB0" w14:textId="77777777" w:rsidTr="00F91711">
        <w:trPr>
          <w:jc w:val="center"/>
        </w:trPr>
        <w:tc>
          <w:tcPr>
            <w:tcW w:w="0" w:type="auto"/>
            <w:tcBorders>
              <w:top w:val="single" w:sz="4" w:space="0" w:color="auto"/>
            </w:tcBorders>
          </w:tcPr>
          <w:p w14:paraId="513C7A71" w14:textId="77777777" w:rsidR="00F91711" w:rsidRPr="00C35766" w:rsidRDefault="00F91711" w:rsidP="00F91711">
            <w:pPr>
              <w:pStyle w:val="a3"/>
              <w:jc w:val="center"/>
            </w:pPr>
            <w:r w:rsidRPr="00C35766">
              <w:rPr>
                <w:rFonts w:eastAsia="Times New Roman"/>
                <w:lang w:val="it-IT"/>
              </w:rPr>
              <w:t xml:space="preserve">placebo </w:t>
            </w:r>
          </w:p>
        </w:tc>
        <w:tc>
          <w:tcPr>
            <w:tcW w:w="0" w:type="auto"/>
            <w:tcBorders>
              <w:top w:val="single" w:sz="4" w:space="0" w:color="auto"/>
            </w:tcBorders>
          </w:tcPr>
          <w:p w14:paraId="183214AC" w14:textId="77777777" w:rsidR="00F91711" w:rsidRPr="00C35766" w:rsidRDefault="00F91711" w:rsidP="00F91711">
            <w:pPr>
              <w:pStyle w:val="a3"/>
              <w:jc w:val="center"/>
            </w:pPr>
            <w:r w:rsidRPr="00C35766">
              <w:rPr>
                <w:rFonts w:eastAsia="Times New Roman"/>
                <w:lang w:val="it-IT"/>
              </w:rPr>
              <w:t xml:space="preserve">111 </w:t>
            </w:r>
          </w:p>
        </w:tc>
        <w:tc>
          <w:tcPr>
            <w:tcW w:w="0" w:type="auto"/>
            <w:tcBorders>
              <w:top w:val="single" w:sz="4" w:space="0" w:color="auto"/>
            </w:tcBorders>
          </w:tcPr>
          <w:p w14:paraId="544FD93C" w14:textId="77777777" w:rsidR="00F91711" w:rsidRPr="00C35766" w:rsidRDefault="00F91711" w:rsidP="00F91711">
            <w:pPr>
              <w:pStyle w:val="a3"/>
              <w:jc w:val="center"/>
            </w:pPr>
            <w:r w:rsidRPr="00C35766">
              <w:rPr>
                <w:rFonts w:eastAsia="Times New Roman"/>
                <w:lang w:val="it-IT"/>
              </w:rPr>
              <w:t xml:space="preserve">61 (55,0) </w:t>
            </w:r>
          </w:p>
        </w:tc>
        <w:tc>
          <w:tcPr>
            <w:tcW w:w="0" w:type="auto"/>
            <w:tcBorders>
              <w:top w:val="single" w:sz="4" w:space="0" w:color="auto"/>
            </w:tcBorders>
          </w:tcPr>
          <w:p w14:paraId="164DA8F8" w14:textId="77777777" w:rsidR="00F91711" w:rsidRPr="00C35766" w:rsidRDefault="00F91711" w:rsidP="00F91711">
            <w:pPr>
              <w:pStyle w:val="a3"/>
              <w:jc w:val="center"/>
            </w:pPr>
            <w:r w:rsidRPr="00C35766">
              <w:rPr>
                <w:rFonts w:eastAsia="Times New Roman"/>
                <w:lang w:val="it-IT"/>
              </w:rPr>
              <w:t xml:space="preserve">8,3 </w:t>
            </w:r>
          </w:p>
        </w:tc>
        <w:tc>
          <w:tcPr>
            <w:tcW w:w="0" w:type="auto"/>
            <w:tcBorders>
              <w:top w:val="single" w:sz="4" w:space="0" w:color="auto"/>
            </w:tcBorders>
          </w:tcPr>
          <w:p w14:paraId="3C57E139" w14:textId="77777777" w:rsidR="00F91711" w:rsidRPr="00C35766" w:rsidRDefault="00F91711" w:rsidP="00F91711">
            <w:pPr>
              <w:pStyle w:val="a3"/>
              <w:jc w:val="center"/>
            </w:pPr>
            <w:r w:rsidRPr="00C35766">
              <w:t xml:space="preserve">-- </w:t>
            </w:r>
          </w:p>
        </w:tc>
        <w:tc>
          <w:tcPr>
            <w:tcW w:w="0" w:type="auto"/>
            <w:tcBorders>
              <w:top w:val="single" w:sz="4" w:space="0" w:color="auto"/>
            </w:tcBorders>
          </w:tcPr>
          <w:p w14:paraId="12682B37" w14:textId="77777777" w:rsidR="00F91711" w:rsidRPr="00C35766" w:rsidRDefault="00F91711" w:rsidP="00F91711">
            <w:pPr>
              <w:pStyle w:val="a3"/>
              <w:jc w:val="center"/>
            </w:pPr>
            <w:r w:rsidRPr="00C35766">
              <w:t xml:space="preserve">-- </w:t>
            </w:r>
          </w:p>
        </w:tc>
        <w:tc>
          <w:tcPr>
            <w:tcW w:w="0" w:type="auto"/>
            <w:tcBorders>
              <w:top w:val="single" w:sz="4" w:space="0" w:color="auto"/>
            </w:tcBorders>
          </w:tcPr>
          <w:p w14:paraId="414E98D9" w14:textId="77777777" w:rsidR="00F91711" w:rsidRPr="00C35766" w:rsidRDefault="00F91711" w:rsidP="00F91711">
            <w:pPr>
              <w:pStyle w:val="a3"/>
              <w:jc w:val="center"/>
            </w:pPr>
            <w:r w:rsidRPr="00C35766">
              <w:t xml:space="preserve">-- </w:t>
            </w:r>
          </w:p>
        </w:tc>
      </w:tr>
      <w:tr w:rsidR="00F91711" w:rsidRPr="00C35766" w14:paraId="4B4F855A" w14:textId="77777777" w:rsidTr="00F91711">
        <w:trPr>
          <w:jc w:val="center"/>
        </w:trPr>
        <w:tc>
          <w:tcPr>
            <w:tcW w:w="0" w:type="auto"/>
            <w:tcBorders>
              <w:bottom w:val="single" w:sz="4" w:space="0" w:color="auto"/>
            </w:tcBorders>
          </w:tcPr>
          <w:p w14:paraId="6C43AD7D" w14:textId="77777777" w:rsidR="00F91711" w:rsidRPr="00C35766" w:rsidRDefault="00F91711" w:rsidP="00F91711">
            <w:pPr>
              <w:pStyle w:val="a3"/>
              <w:jc w:val="center"/>
            </w:pPr>
            <w:r w:rsidRPr="00C35766">
              <w:rPr>
                <w:rFonts w:eastAsia="Times New Roman"/>
                <w:lang w:val="it-IT"/>
              </w:rPr>
              <w:t xml:space="preserve">adalimumab </w:t>
            </w:r>
          </w:p>
        </w:tc>
        <w:tc>
          <w:tcPr>
            <w:tcW w:w="0" w:type="auto"/>
            <w:tcBorders>
              <w:bottom w:val="single" w:sz="4" w:space="0" w:color="auto"/>
            </w:tcBorders>
          </w:tcPr>
          <w:p w14:paraId="7B638CAB" w14:textId="77777777" w:rsidR="00F91711" w:rsidRPr="00C35766" w:rsidRDefault="00F91711" w:rsidP="00F91711">
            <w:pPr>
              <w:pStyle w:val="a3"/>
              <w:jc w:val="center"/>
            </w:pPr>
            <w:r w:rsidRPr="00C35766">
              <w:rPr>
                <w:rFonts w:eastAsia="Times New Roman"/>
                <w:lang w:val="it-IT"/>
              </w:rPr>
              <w:t xml:space="preserve">115 </w:t>
            </w:r>
          </w:p>
        </w:tc>
        <w:tc>
          <w:tcPr>
            <w:tcW w:w="0" w:type="auto"/>
            <w:tcBorders>
              <w:bottom w:val="single" w:sz="4" w:space="0" w:color="auto"/>
            </w:tcBorders>
          </w:tcPr>
          <w:p w14:paraId="35186A7E" w14:textId="77777777" w:rsidR="00F91711" w:rsidRPr="00C35766" w:rsidRDefault="00F91711" w:rsidP="00F91711">
            <w:pPr>
              <w:pStyle w:val="a3"/>
              <w:jc w:val="center"/>
            </w:pPr>
            <w:r w:rsidRPr="00C35766">
              <w:rPr>
                <w:rFonts w:eastAsia="Times New Roman"/>
                <w:lang w:val="it-IT"/>
              </w:rPr>
              <w:t xml:space="preserve">45 (39,1) </w:t>
            </w:r>
          </w:p>
        </w:tc>
        <w:tc>
          <w:tcPr>
            <w:tcW w:w="0" w:type="auto"/>
            <w:tcBorders>
              <w:bottom w:val="single" w:sz="4" w:space="0" w:color="auto"/>
            </w:tcBorders>
          </w:tcPr>
          <w:p w14:paraId="04BA2CAF" w14:textId="77777777" w:rsidR="00F91711" w:rsidRPr="00C35766" w:rsidRDefault="00F91711" w:rsidP="00F91711">
            <w:pPr>
              <w:pStyle w:val="a3"/>
              <w:jc w:val="center"/>
            </w:pPr>
            <w:r w:rsidRPr="00C35766">
              <w:rPr>
                <w:rFonts w:eastAsia="Times New Roman"/>
                <w:lang w:val="it-IT"/>
              </w:rPr>
              <w:t>NV</w:t>
            </w:r>
            <w:r w:rsidRPr="00C35766">
              <w:rPr>
                <w:vertAlign w:val="superscript"/>
                <w:lang w:val="it-IT"/>
              </w:rPr>
              <w:t>c</w:t>
            </w:r>
            <w:r w:rsidRPr="00C35766">
              <w:rPr>
                <w:rFonts w:eastAsia="Times New Roman"/>
                <w:lang w:val="it-IT"/>
              </w:rPr>
              <w:t xml:space="preserve"> </w:t>
            </w:r>
          </w:p>
        </w:tc>
        <w:tc>
          <w:tcPr>
            <w:tcW w:w="0" w:type="auto"/>
            <w:tcBorders>
              <w:bottom w:val="single" w:sz="4" w:space="0" w:color="auto"/>
            </w:tcBorders>
          </w:tcPr>
          <w:p w14:paraId="7550DEEF" w14:textId="77777777" w:rsidR="00F91711" w:rsidRPr="00C35766" w:rsidRDefault="00F91711" w:rsidP="00F91711">
            <w:pPr>
              <w:pStyle w:val="a3"/>
              <w:jc w:val="center"/>
            </w:pPr>
            <w:r w:rsidRPr="00C35766">
              <w:rPr>
                <w:rFonts w:eastAsia="Times New Roman"/>
                <w:lang w:val="it-IT"/>
              </w:rPr>
              <w:t xml:space="preserve">0,57 </w:t>
            </w:r>
          </w:p>
        </w:tc>
        <w:tc>
          <w:tcPr>
            <w:tcW w:w="0" w:type="auto"/>
            <w:tcBorders>
              <w:bottom w:val="single" w:sz="4" w:space="0" w:color="auto"/>
            </w:tcBorders>
          </w:tcPr>
          <w:p w14:paraId="3A855ADB" w14:textId="77777777" w:rsidR="00F91711" w:rsidRPr="00C35766" w:rsidRDefault="00F91711" w:rsidP="00F91711">
            <w:pPr>
              <w:pStyle w:val="a3"/>
              <w:jc w:val="center"/>
            </w:pPr>
            <w:r w:rsidRPr="00C35766">
              <w:rPr>
                <w:rFonts w:eastAsia="Times New Roman"/>
                <w:lang w:val="it-IT"/>
              </w:rPr>
              <w:t xml:space="preserve">0,39, 0,84 </w:t>
            </w:r>
          </w:p>
        </w:tc>
        <w:tc>
          <w:tcPr>
            <w:tcW w:w="0" w:type="auto"/>
            <w:tcBorders>
              <w:bottom w:val="single" w:sz="4" w:space="0" w:color="auto"/>
            </w:tcBorders>
          </w:tcPr>
          <w:p w14:paraId="28FB49EB" w14:textId="77777777" w:rsidR="00F91711" w:rsidRPr="00C35766" w:rsidRDefault="00F91711" w:rsidP="00F91711">
            <w:pPr>
              <w:pStyle w:val="a3"/>
              <w:jc w:val="center"/>
            </w:pPr>
            <w:r w:rsidRPr="00C35766">
              <w:rPr>
                <w:rFonts w:eastAsia="Times New Roman"/>
                <w:lang w:val="it-IT"/>
              </w:rPr>
              <w:t xml:space="preserve">0,004 </w:t>
            </w:r>
          </w:p>
        </w:tc>
      </w:tr>
    </w:tbl>
    <w:p w14:paraId="44BBA463" w14:textId="77777777" w:rsidR="00F91711" w:rsidRPr="00C35766" w:rsidRDefault="00F91711" w:rsidP="00F91711">
      <w:pPr>
        <w:pStyle w:val="a3"/>
        <w:rPr>
          <w:lang w:val="it-IT"/>
        </w:rPr>
      </w:pPr>
      <w:r w:rsidRPr="00C35766">
        <w:rPr>
          <w:rFonts w:eastAsia="Times New Roman"/>
          <w:lang w:val="it-IT"/>
        </w:rPr>
        <w:t>Nota: il fallimento del trattamento alla o dopo la settimana 6 (Studio UV I) oppure alla o dopo la settimana 2 (Studio UV II) è stato contato come evento. Gli abbandoni a causa di motivi diversi dal fallimento del trattamento sono stati censurati al momento dell’abbandono.</w:t>
      </w:r>
    </w:p>
    <w:p w14:paraId="6D9E49DF" w14:textId="66725552" w:rsidR="00F91711" w:rsidRPr="00C35766" w:rsidRDefault="00F91711" w:rsidP="00146E60">
      <w:pPr>
        <w:pStyle w:val="a3"/>
        <w:numPr>
          <w:ilvl w:val="0"/>
          <w:numId w:val="85"/>
        </w:numPr>
        <w:rPr>
          <w:lang w:val="it-IT"/>
        </w:rPr>
      </w:pPr>
      <w:r w:rsidRPr="00C35766">
        <w:rPr>
          <w:rFonts w:eastAsia="Times New Roman"/>
          <w:lang w:val="it-IT"/>
        </w:rPr>
        <w:t>HR di adalimumab rispetto al placebo dalla regressione proporzionale dei rischi con il trattamento come fattore.</w:t>
      </w:r>
    </w:p>
    <w:p w14:paraId="6C84DD08" w14:textId="049183F5" w:rsidR="00F91711" w:rsidRPr="00C35766" w:rsidRDefault="00F91711" w:rsidP="00146E60">
      <w:pPr>
        <w:pStyle w:val="a3"/>
        <w:numPr>
          <w:ilvl w:val="0"/>
          <w:numId w:val="85"/>
        </w:numPr>
        <w:rPr>
          <w:lang w:val="fr-FR"/>
        </w:rPr>
      </w:pPr>
      <w:r w:rsidRPr="00C35766">
        <w:rPr>
          <w:rFonts w:eastAsia="Times New Roman"/>
          <w:lang w:val="it-IT"/>
        </w:rPr>
        <w:t>Valore p</w:t>
      </w:r>
      <w:r w:rsidRPr="00C35766">
        <w:rPr>
          <w:rFonts w:eastAsia="Times New Roman"/>
          <w:i/>
          <w:iCs/>
          <w:lang w:val="it-IT"/>
        </w:rPr>
        <w:t xml:space="preserve"> </w:t>
      </w:r>
      <w:r w:rsidRPr="00C35766">
        <w:rPr>
          <w:rFonts w:eastAsia="Times New Roman"/>
          <w:lang w:val="it-IT"/>
        </w:rPr>
        <w:t>bilaterale dal test dei ranghi logaritmici.</w:t>
      </w:r>
    </w:p>
    <w:p w14:paraId="402060D6" w14:textId="4847884A" w:rsidR="00F91711" w:rsidRPr="00C35766" w:rsidRDefault="00F91711" w:rsidP="00146E60">
      <w:pPr>
        <w:pStyle w:val="a3"/>
        <w:numPr>
          <w:ilvl w:val="0"/>
          <w:numId w:val="85"/>
        </w:numPr>
        <w:rPr>
          <w:lang w:val="it-IT"/>
        </w:rPr>
      </w:pPr>
      <w:r w:rsidRPr="00C35766">
        <w:rPr>
          <w:rFonts w:eastAsia="Times New Roman"/>
          <w:lang w:val="it-IT"/>
        </w:rPr>
        <w:t>NV = non valutabile. Meno della metà dei soggetti a rischio ha avuto un evento.</w:t>
      </w:r>
    </w:p>
    <w:p w14:paraId="7BF42705" w14:textId="0BA8FD15" w:rsidR="0040092E" w:rsidRDefault="0040092E">
      <w:pPr>
        <w:rPr>
          <w:rFonts w:ascii="Times New Roman" w:eastAsia="Times New Roman" w:hAnsi="Times New Roman" w:cs="Times New Roman"/>
          <w:b/>
          <w:bCs/>
          <w:lang w:val="it-IT"/>
        </w:rPr>
      </w:pPr>
    </w:p>
    <w:p w14:paraId="56F0B3CB" w14:textId="77777777" w:rsidR="00A842FF" w:rsidRPr="00C35766" w:rsidRDefault="00A842FF">
      <w:pPr>
        <w:rPr>
          <w:rFonts w:ascii="Times New Roman" w:eastAsia="Times New Roman" w:hAnsi="Times New Roman" w:cs="Times New Roman"/>
          <w:b/>
          <w:bCs/>
          <w:lang w:val="it-IT"/>
        </w:rPr>
      </w:pPr>
    </w:p>
    <w:p w14:paraId="6C2D709E" w14:textId="77777777" w:rsidR="00A842FF" w:rsidRDefault="00A842FF">
      <w:pPr>
        <w:rPr>
          <w:rFonts w:ascii="Times New Roman" w:eastAsia="Times New Roman" w:hAnsi="Times New Roman" w:cs="Times New Roman"/>
          <w:b/>
          <w:bCs/>
          <w:lang w:val="it-IT"/>
        </w:rPr>
      </w:pPr>
      <w:r>
        <w:rPr>
          <w:rFonts w:eastAsia="Times New Roman"/>
          <w:b/>
          <w:bCs/>
          <w:lang w:val="it-IT"/>
        </w:rPr>
        <w:br w:type="page"/>
      </w:r>
    </w:p>
    <w:p w14:paraId="03BEFA88" w14:textId="771E9B01" w:rsidR="00F91711" w:rsidRPr="00C35766" w:rsidRDefault="00F91711" w:rsidP="00F91711">
      <w:pPr>
        <w:pStyle w:val="a3"/>
        <w:jc w:val="center"/>
        <w:rPr>
          <w:b/>
          <w:lang w:val="es-ES"/>
        </w:rPr>
      </w:pPr>
      <w:r w:rsidRPr="00C35766">
        <w:rPr>
          <w:rFonts w:eastAsia="Times New Roman"/>
          <w:b/>
          <w:bCs/>
          <w:lang w:val="it-IT"/>
        </w:rPr>
        <w:lastRenderedPageBreak/>
        <w:t xml:space="preserve">Figura </w:t>
      </w:r>
      <w:r w:rsidR="005D076A" w:rsidRPr="00C35766">
        <w:rPr>
          <w:rFonts w:eastAsia="Times New Roman"/>
          <w:b/>
          <w:bCs/>
          <w:lang w:val="it-IT"/>
        </w:rPr>
        <w:t>1</w:t>
      </w:r>
      <w:r w:rsidRPr="00C35766">
        <w:rPr>
          <w:rFonts w:eastAsia="Times New Roman"/>
          <w:b/>
          <w:bCs/>
          <w:lang w:val="it-IT"/>
        </w:rPr>
        <w:t>: curve di Kaplan-Meier del tempo al fallimento del trattamento alla o dopo la settimana 6 (Studio UV I) o la settimana 2 (Studio UV II)</w:t>
      </w:r>
    </w:p>
    <w:p w14:paraId="509DE83B" w14:textId="58416809" w:rsidR="00F91711" w:rsidRPr="00C35766" w:rsidRDefault="00A842FF" w:rsidP="00F91711">
      <w:pPr>
        <w:spacing w:line="200" w:lineRule="exact"/>
        <w:rPr>
          <w:rFonts w:ascii="Times New Roman" w:hAnsi="Times New Roman" w:cs="Times New Roman"/>
          <w:sz w:val="20"/>
          <w:szCs w:val="20"/>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01" behindDoc="1" locked="0" layoutInCell="1" allowOverlap="1" wp14:anchorId="249FC45D" wp14:editId="060AE194">
                <wp:simplePos x="0" y="0"/>
                <wp:positionH relativeFrom="page">
                  <wp:posOffset>892175</wp:posOffset>
                </wp:positionH>
                <wp:positionV relativeFrom="page">
                  <wp:posOffset>1080465</wp:posOffset>
                </wp:positionV>
                <wp:extent cx="306705" cy="2280285"/>
                <wp:effectExtent l="0" t="0" r="17145" b="5715"/>
                <wp:wrapNone/>
                <wp:docPr id="1054"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8EC51" w14:textId="77777777" w:rsidR="00D97785" w:rsidRPr="00824699" w:rsidRDefault="00D97785" w:rsidP="00F91711">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FC45D" id="_x0000_s1036" type="#_x0000_t202" style="position:absolute;margin-left:70.25pt;margin-top:85.1pt;width:24.15pt;height:179.55pt;z-index:-2516581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" filled="f" stroked="f">
                <v:textbox style="layout-flow:vertical;mso-layout-flow-alt:bottom-to-top" inset="0,0,0,0">
                  <w:txbxContent>
                    <w:p w14:paraId="4A18EC51" w14:textId="77777777" w:rsidR="00D97785" w:rsidRPr="00824699" w:rsidRDefault="00D97785" w:rsidP="00F91711">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page" anchory="page"/>
              </v:shape>
            </w:pict>
          </mc:Fallback>
        </mc:AlternateContent>
      </w:r>
    </w:p>
    <w:p w14:paraId="54E2FB72" w14:textId="7B932D65" w:rsidR="00F91711" w:rsidRPr="00C35766" w:rsidRDefault="000103A6" w:rsidP="00F91711">
      <w:pPr>
        <w:ind w:left="701" w:right="10920"/>
        <w:rPr>
          <w:rFonts w:ascii="Times New Roman" w:eastAsia="Times New Roman" w:hAnsi="Times New Roman" w:cs="Times New Roman"/>
          <w:b/>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302" behindDoc="0" locked="0" layoutInCell="1" allowOverlap="1" wp14:anchorId="22C89440" wp14:editId="51081A8E">
                <wp:simplePos x="0" y="0"/>
                <wp:positionH relativeFrom="column">
                  <wp:posOffset>605155</wp:posOffset>
                </wp:positionH>
                <wp:positionV relativeFrom="paragraph">
                  <wp:posOffset>2235531</wp:posOffset>
                </wp:positionV>
                <wp:extent cx="436880" cy="273997"/>
                <wp:effectExtent l="0" t="0" r="1270" b="0"/>
                <wp:wrapNone/>
                <wp:docPr id="1053" name="Text Box 1053"/>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09414"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380D73D2"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2C89440" id="Text Box 1053" o:spid="_x0000_s1037" type="#_x0000_t202" style="position:absolute;left:0;text-align:left;margin-left:47.65pt;margin-top:176.05pt;width:34.4pt;height:21.5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" fillcolor="white [3212]" stroked="f" strokeweight=".5pt">
                <v:textbox inset="0,0,0,0">
                  <w:txbxContent>
                    <w:p w14:paraId="15109414"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380D73D2"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v:textbox>
              </v:shape>
            </w:pict>
          </mc:Fallback>
        </mc:AlternateContent>
      </w:r>
      <w:r w:rsidR="00F91711" w:rsidRPr="00C35766">
        <w:rPr>
          <w:rFonts w:ascii="Times New Roman" w:hAnsi="Times New Roman" w:cs="Times New Roman"/>
          <w:b/>
          <w:noProof/>
          <w:lang w:eastAsia="ko-KR"/>
        </w:rPr>
        <w:drawing>
          <wp:inline distT="0" distB="0" distL="0" distR="0" wp14:anchorId="14848A26" wp14:editId="717593A0">
            <wp:extent cx="5518150" cy="2509113"/>
            <wp:effectExtent l="0" t="0" r="6350" b="5715"/>
            <wp:docPr id="1064"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523358" cy="2511481"/>
                    </a:xfrm>
                    <a:prstGeom prst="rect">
                      <a:avLst/>
                    </a:prstGeom>
                    <a:noFill/>
                    <a:ln>
                      <a:noFill/>
                    </a:ln>
                  </pic:spPr>
                </pic:pic>
              </a:graphicData>
            </a:graphic>
          </wp:inline>
        </w:drawing>
      </w:r>
    </w:p>
    <w:p w14:paraId="22D5205A" w14:textId="44A82086" w:rsidR="00F91711" w:rsidRPr="00C35766" w:rsidRDefault="00F91711" w:rsidP="00F91711">
      <w:pPr>
        <w:spacing w:line="233" w:lineRule="exact"/>
        <w:ind w:left="4099" w:right="372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6546F1A9" w14:textId="0DE1FDEE" w:rsidR="00F91711" w:rsidRPr="00C35766" w:rsidRDefault="00F91711" w:rsidP="00F91711">
      <w:pPr>
        <w:pStyle w:val="a3"/>
        <w:ind w:firstLine="701"/>
        <w:rPr>
          <w:lang w:val="pt-BR"/>
        </w:rPr>
      </w:pPr>
      <w:r w:rsidRPr="00C35766">
        <w:rPr>
          <w:noProof/>
          <w:lang w:eastAsia="ko-KR"/>
        </w:rPr>
        <w:drawing>
          <wp:anchor distT="0" distB="0" distL="114300" distR="114300" simplePos="0" relativeHeight="251658298" behindDoc="1" locked="0" layoutInCell="1" allowOverlap="1" wp14:anchorId="16AB52DC" wp14:editId="46AD4D2C">
            <wp:simplePos x="0" y="0"/>
            <wp:positionH relativeFrom="page">
              <wp:posOffset>3696970</wp:posOffset>
            </wp:positionH>
            <wp:positionV relativeFrom="paragraph">
              <wp:posOffset>1905</wp:posOffset>
            </wp:positionV>
            <wp:extent cx="397510" cy="182880"/>
            <wp:effectExtent l="0" t="0" r="0" b="0"/>
            <wp:wrapNone/>
            <wp:docPr id="1066" name="그림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noProof/>
          <w:lang w:eastAsia="ko-KR"/>
        </w:rPr>
        <w:drawing>
          <wp:anchor distT="0" distB="0" distL="114300" distR="114300" simplePos="0" relativeHeight="251658299" behindDoc="1" locked="0" layoutInCell="1" allowOverlap="1" wp14:anchorId="3802FD26" wp14:editId="01766821">
            <wp:simplePos x="0" y="0"/>
            <wp:positionH relativeFrom="page">
              <wp:posOffset>5091430</wp:posOffset>
            </wp:positionH>
            <wp:positionV relativeFrom="paragraph">
              <wp:posOffset>1905</wp:posOffset>
            </wp:positionV>
            <wp:extent cx="501650" cy="182880"/>
            <wp:effectExtent l="0" t="0" r="0" b="0"/>
            <wp:wrapNone/>
            <wp:docPr id="1067" name="그림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Studio UV 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rFonts w:eastAsia="Times New Roman"/>
          <w:lang w:val="it-IT"/>
        </w:rPr>
        <w:tab/>
      </w:r>
      <w:r w:rsidRPr="00C35766">
        <w:rPr>
          <w:rFonts w:eastAsia="Times New Roman"/>
          <w:lang w:val="it-IT"/>
        </w:rPr>
        <w:tab/>
        <w:t>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6DB1DFD8" w14:textId="69D5D7C9" w:rsidR="00F91711" w:rsidRPr="00C35766" w:rsidRDefault="00F91711" w:rsidP="00F91711">
      <w:pPr>
        <w:rPr>
          <w:rFonts w:ascii="Times New Roman" w:hAnsi="Times New Roman" w:cs="Times New Roman"/>
          <w:lang w:val="pt-BR"/>
        </w:rPr>
      </w:pPr>
    </w:p>
    <w:p w14:paraId="5BE5608C" w14:textId="2F9D364E" w:rsidR="00F91711" w:rsidRPr="00C35766" w:rsidRDefault="000103A6" w:rsidP="00F91711">
      <w:pPr>
        <w:spacing w:before="97"/>
        <w:ind w:left="701" w:right="10920"/>
        <w:rPr>
          <w:rFonts w:ascii="Times New Roman" w:eastAsia="Times New Roman" w:hAnsi="Times New Roman" w:cs="Times New Roman"/>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303" behindDoc="0" locked="0" layoutInCell="1" allowOverlap="1" wp14:anchorId="5CCCAC76" wp14:editId="2FFE1CFC">
                <wp:simplePos x="0" y="0"/>
                <wp:positionH relativeFrom="column">
                  <wp:posOffset>608330</wp:posOffset>
                </wp:positionH>
                <wp:positionV relativeFrom="paragraph">
                  <wp:posOffset>2115796</wp:posOffset>
                </wp:positionV>
                <wp:extent cx="436880" cy="273997"/>
                <wp:effectExtent l="0" t="0" r="1270" b="0"/>
                <wp:wrapNone/>
                <wp:docPr id="1058" name="Text Box 1058"/>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5DA22A"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6D230D55"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CCCAC76" id="Text Box 1058" o:spid="_x0000_s1038" type="#_x0000_t202" style="position:absolute;left:0;text-align:left;margin-left:47.9pt;margin-top:166.6pt;width:34.4pt;height:21.5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" fillcolor="white [3212]" stroked="f" strokeweight=".5pt">
                <v:textbox inset="0,0,0,0">
                  <w:txbxContent>
                    <w:p w14:paraId="525DA22A"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6D230D55" w14:textId="77777777" w:rsidR="00D97785" w:rsidRDefault="00D97785" w:rsidP="00F91711">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v:textbox>
              </v:shape>
            </w:pict>
          </mc:Fallback>
        </mc:AlternateContent>
      </w:r>
      <w:r w:rsidR="0040092E"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00" behindDoc="1" locked="0" layoutInCell="1" allowOverlap="1" wp14:anchorId="228F0B69" wp14:editId="39324F7B">
                <wp:simplePos x="0" y="0"/>
                <wp:positionH relativeFrom="margin">
                  <wp:posOffset>70663</wp:posOffset>
                </wp:positionH>
                <wp:positionV relativeFrom="paragraph">
                  <wp:posOffset>10160</wp:posOffset>
                </wp:positionV>
                <wp:extent cx="312420" cy="2084251"/>
                <wp:effectExtent l="0" t="0" r="11430" b="11430"/>
                <wp:wrapNone/>
                <wp:docPr id="1052"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084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C84AF" w14:textId="77777777" w:rsidR="00D97785" w:rsidRPr="00824699" w:rsidRDefault="00D97785" w:rsidP="00F91711">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F0B69" id="_x0000_s1039" type="#_x0000_t202" style="position:absolute;left:0;text-align:left;margin-left:5.55pt;margin-top:.8pt;width:24.6pt;height:164.1pt;z-index:-2516581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" filled="f" stroked="f">
                <v:textbox style="layout-flow:vertical;mso-layout-flow-alt:bottom-to-top" inset="0,0,0,0">
                  <w:txbxContent>
                    <w:p w14:paraId="274C84AF" w14:textId="77777777" w:rsidR="00D97785" w:rsidRPr="00824699" w:rsidRDefault="00D97785" w:rsidP="00F91711">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margin"/>
              </v:shape>
            </w:pict>
          </mc:Fallback>
        </mc:AlternateContent>
      </w:r>
      <w:r w:rsidR="00F91711" w:rsidRPr="00C35766">
        <w:rPr>
          <w:rFonts w:ascii="Times New Roman" w:hAnsi="Times New Roman" w:cs="Times New Roman"/>
          <w:noProof/>
          <w:lang w:eastAsia="ko-KR"/>
        </w:rPr>
        <w:drawing>
          <wp:inline distT="0" distB="0" distL="0" distR="0" wp14:anchorId="4CD5DA9E" wp14:editId="5A1FEDE2">
            <wp:extent cx="5473700" cy="2370125"/>
            <wp:effectExtent l="0" t="0" r="0" b="0"/>
            <wp:docPr id="1068"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77021" cy="2371563"/>
                    </a:xfrm>
                    <a:prstGeom prst="rect">
                      <a:avLst/>
                    </a:prstGeom>
                    <a:noFill/>
                    <a:ln>
                      <a:noFill/>
                    </a:ln>
                  </pic:spPr>
                </pic:pic>
              </a:graphicData>
            </a:graphic>
          </wp:inline>
        </w:drawing>
      </w:r>
    </w:p>
    <w:p w14:paraId="09B5B71A" w14:textId="77777777" w:rsidR="00F91711" w:rsidRPr="00C35766" w:rsidRDefault="00F91711" w:rsidP="00F91711">
      <w:pPr>
        <w:spacing w:before="11"/>
        <w:ind w:left="4099" w:right="364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1B3E0490" w14:textId="77777777" w:rsidR="00F91711" w:rsidRPr="00C35766" w:rsidRDefault="00F91711" w:rsidP="00F91711">
      <w:pPr>
        <w:pStyle w:val="a3"/>
        <w:ind w:firstLine="720"/>
        <w:rPr>
          <w:lang w:val="pt-BR"/>
        </w:rPr>
      </w:pPr>
      <w:r w:rsidRPr="00C35766">
        <w:rPr>
          <w:rFonts w:eastAsia="Times New Roman"/>
          <w:lang w:val="it-IT"/>
        </w:rPr>
        <w:t>Studio UV II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noProof/>
          <w:lang w:eastAsia="ko-KR"/>
        </w:rPr>
        <w:drawing>
          <wp:inline distT="0" distB="0" distL="0" distR="0" wp14:anchorId="41BA6E40" wp14:editId="15F5ECE4">
            <wp:extent cx="393700" cy="177800"/>
            <wp:effectExtent l="0" t="0" r="0" b="0"/>
            <wp:docPr id="1071"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noProof/>
          <w:lang w:eastAsia="ko-KR"/>
        </w:rPr>
        <w:drawing>
          <wp:inline distT="0" distB="0" distL="0" distR="0" wp14:anchorId="1900BE9B" wp14:editId="168DAEFD">
            <wp:extent cx="508000" cy="177800"/>
            <wp:effectExtent l="0" t="0" r="0" b="0"/>
            <wp:docPr id="1072"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sidRPr="00C35766">
        <w:rPr>
          <w:rFonts w:eastAsia="Times New Roman"/>
          <w:lang w:val="it-IT"/>
        </w:rPr>
        <w:t xml:space="preserve">  Adalimumab</w:t>
      </w:r>
    </w:p>
    <w:p w14:paraId="3541D0EB" w14:textId="77777777" w:rsidR="00F91711" w:rsidRPr="00C35766" w:rsidRDefault="00F91711" w:rsidP="00F91711">
      <w:pPr>
        <w:spacing w:before="9" w:line="130" w:lineRule="exact"/>
        <w:rPr>
          <w:rFonts w:ascii="Times New Roman" w:hAnsi="Times New Roman" w:cs="Times New Roman"/>
          <w:sz w:val="13"/>
          <w:szCs w:val="13"/>
          <w:lang w:val="pt-BR"/>
        </w:rPr>
      </w:pPr>
    </w:p>
    <w:p w14:paraId="38F8A196" w14:textId="77777777" w:rsidR="00F91711" w:rsidRPr="00C35766" w:rsidRDefault="00F91711" w:rsidP="00F91711">
      <w:pPr>
        <w:pStyle w:val="a3"/>
        <w:rPr>
          <w:lang w:val="pt-BR"/>
        </w:rPr>
      </w:pPr>
      <w:r w:rsidRPr="00C35766">
        <w:rPr>
          <w:rFonts w:eastAsia="Times New Roman"/>
          <w:lang w:val="it-IT"/>
        </w:rPr>
        <w:t>Nota: P = Placebo (Numero di eventi/Numero a rischio); A = adalimumab (Numero di eventi/Numero a rischio).</w:t>
      </w:r>
    </w:p>
    <w:p w14:paraId="1CBA0FBA" w14:textId="77777777" w:rsidR="00F91711" w:rsidRPr="00C35766" w:rsidRDefault="00F91711" w:rsidP="00F91711">
      <w:pPr>
        <w:spacing w:line="200" w:lineRule="exact"/>
        <w:rPr>
          <w:rFonts w:ascii="Times New Roman" w:hAnsi="Times New Roman" w:cs="Times New Roman"/>
          <w:sz w:val="20"/>
          <w:szCs w:val="20"/>
          <w:lang w:val="pt-BR"/>
        </w:rPr>
      </w:pPr>
    </w:p>
    <w:p w14:paraId="28FA22AC" w14:textId="77777777" w:rsidR="00F91711" w:rsidRPr="00C35766" w:rsidRDefault="00F91711" w:rsidP="00F91711">
      <w:pPr>
        <w:pStyle w:val="a3"/>
        <w:rPr>
          <w:lang w:val="it-IT"/>
        </w:rPr>
      </w:pPr>
      <w:r w:rsidRPr="00C35766">
        <w:rPr>
          <w:rFonts w:eastAsia="Times New Roman"/>
          <w:lang w:val="it-IT"/>
        </w:rPr>
        <w:t>Nello Studio UV I sono state osservate differenze statisticamente significative a favore di adalimumab rispetto al placebo per ogni componente del fallimento del trattamento. Nello Studio UV II sono state osservate differenze statisticamente significative solo per l’acuità visiva, mentre gli altri componenti erano numericamente a favore di adalimumab.</w:t>
      </w:r>
    </w:p>
    <w:p w14:paraId="1F10DAA2" w14:textId="77777777" w:rsidR="00F91711" w:rsidRPr="00C35766" w:rsidRDefault="00F91711" w:rsidP="00F91711">
      <w:pPr>
        <w:spacing w:before="13" w:line="240" w:lineRule="exact"/>
        <w:rPr>
          <w:rFonts w:ascii="Times New Roman" w:hAnsi="Times New Roman" w:cs="Times New Roman"/>
          <w:sz w:val="24"/>
          <w:szCs w:val="24"/>
          <w:lang w:val="it-IT"/>
        </w:rPr>
      </w:pPr>
    </w:p>
    <w:p w14:paraId="64A02A87" w14:textId="77777777" w:rsidR="00F91711" w:rsidRPr="00C35766" w:rsidRDefault="00F91711" w:rsidP="00F91711">
      <w:pPr>
        <w:pStyle w:val="a3"/>
        <w:rPr>
          <w:lang w:val="it-IT"/>
        </w:rPr>
      </w:pPr>
      <w:r w:rsidRPr="00C35766">
        <w:rPr>
          <w:rFonts w:eastAsia="Times New Roman"/>
          <w:lang w:val="it-IT"/>
        </w:rPr>
        <w:t xml:space="preserve">Dei 424 soggetti inclusi nell’estensione a lungo termine non controllata degli Studi UV I ed UV II, 60 soggetti sono stati considerati non eleggibili (ad es. a causa di deviazioni o per complicazioni secondarie alla retinopatia diabetica, a causa di intervento chirurgico di cataratta o vitrectomia) e sono stati esclusi dall’analisi primaria di efficacia.  Dei 364 pazienti rimanenti, 269 pazienti valutabili (74%) hanno raggiunto 78 settimane di trattamento in aperto con adalimumab. In base all’approccio utilizzato per l’osservazione dei dati, 216 (80,3%) sono stati in quiescenza (nessuna lesione infiammatoria attiva, grado </w:t>
      </w:r>
      <w:r w:rsidRPr="00C35766">
        <w:rPr>
          <w:rFonts w:eastAsia="Times New Roman"/>
          <w:lang w:val="it-IT"/>
        </w:rPr>
        <w:lastRenderedPageBreak/>
        <w:t>di cellule AC ≤ 0,5+, grado VH ≤ 0,5+) con una dose concomitante di steroidi ≤ 7,5 mg al giorno, e 178 (66,2%) sono stati in quiescenza senza trattamento steroideo. BCVA era migliorata o mantenuta (deteriorazione &lt; 5 lettere) nell’88,6% degli occhi alla settimana 78. I dati oltre la settimana 78 sono stati generalmente coerenti con questi risultati, ma il numero di soggetti arruolati è diminuito dopo questo periodo. Complessivamente, tra i pazienti che hanno interrotto lo studio, il 18% ha interrotto a causa di eventi avversi, e l’8% a causa di risposta insufficiente al trattamento con adalimumab.</w:t>
      </w:r>
    </w:p>
    <w:p w14:paraId="6F8C674A" w14:textId="77777777" w:rsidR="00F91711" w:rsidRPr="00C35766" w:rsidRDefault="00F91711" w:rsidP="00F91711">
      <w:pPr>
        <w:pStyle w:val="a3"/>
        <w:rPr>
          <w:sz w:val="24"/>
          <w:szCs w:val="24"/>
          <w:lang w:val="it-IT"/>
        </w:rPr>
      </w:pPr>
    </w:p>
    <w:p w14:paraId="78637173" w14:textId="77777777" w:rsidR="00F91711" w:rsidRPr="00C35766" w:rsidRDefault="00F91711" w:rsidP="00F91711">
      <w:pPr>
        <w:pStyle w:val="a3"/>
        <w:rPr>
          <w:rFonts w:eastAsia="Times New Roman"/>
          <w:lang w:val="it-IT"/>
        </w:rPr>
      </w:pPr>
      <w:r w:rsidRPr="00C35766">
        <w:rPr>
          <w:rFonts w:eastAsia="Times New Roman"/>
          <w:i/>
          <w:iCs/>
          <w:spacing w:val="-1"/>
          <w:u w:val="single" w:color="000000"/>
          <w:lang w:val="it-IT"/>
        </w:rPr>
        <w:t>Qualità della vita</w:t>
      </w:r>
    </w:p>
    <w:p w14:paraId="1A043474" w14:textId="77777777" w:rsidR="00F91711" w:rsidRPr="00C35766" w:rsidRDefault="00F91711" w:rsidP="00F91711">
      <w:pPr>
        <w:pStyle w:val="a3"/>
        <w:rPr>
          <w:sz w:val="18"/>
          <w:szCs w:val="18"/>
          <w:lang w:val="it-IT"/>
        </w:rPr>
      </w:pPr>
    </w:p>
    <w:p w14:paraId="2E5CFA5E" w14:textId="77777777" w:rsidR="00F91711" w:rsidRPr="00C35766" w:rsidRDefault="00F91711" w:rsidP="00F91711">
      <w:pPr>
        <w:pStyle w:val="a3"/>
        <w:rPr>
          <w:lang w:val="es-ES"/>
        </w:rPr>
      </w:pPr>
      <w:r w:rsidRPr="00C35766">
        <w:rPr>
          <w:rFonts w:eastAsia="Times New Roman"/>
          <w:lang w:val="it-IT"/>
        </w:rPr>
        <w:t>Gli esiti riferiti dal paziente per quanto riguarda la funzione visiva sono stati misurati in entrambi gli studi clinici, utilizzando la scala NEI VFQ-25. Adalimumab è stato numericamente favorito per la maggior parte dei punteggi parziali con differenze medie statisticamente significative per la visione generale, il dolore oculare, la visione da vicino, la salute mentale e il punteggio totale nello Studio UV I e per la visione generale e la salute mentale nello Studio UV II. Gli effetti legati alla visione non erano numericamente a favore di adalimumab per la visione del colore nello Studio UV I e per la visione del colore, la visione periferica e la visione da vicino nello Studio UV II.</w:t>
      </w:r>
    </w:p>
    <w:p w14:paraId="3FFDB2C7" w14:textId="38203193" w:rsidR="00F91711" w:rsidRPr="00C35766" w:rsidRDefault="00F91711" w:rsidP="00F91711">
      <w:pPr>
        <w:pStyle w:val="a3"/>
        <w:rPr>
          <w:sz w:val="24"/>
          <w:szCs w:val="24"/>
          <w:lang w:val="es-ES"/>
        </w:rPr>
      </w:pPr>
    </w:p>
    <w:p w14:paraId="02C052D7" w14:textId="77777777" w:rsidR="00F91711" w:rsidRPr="00C35766" w:rsidRDefault="00F91711" w:rsidP="00F91711">
      <w:pPr>
        <w:pStyle w:val="a3"/>
        <w:rPr>
          <w:u w:val="single" w:color="000000"/>
          <w:lang w:val="pt-BR"/>
        </w:rPr>
      </w:pPr>
      <w:r w:rsidRPr="00C35766">
        <w:rPr>
          <w:rFonts w:eastAsia="Times New Roman"/>
          <w:u w:val="single" w:color="000000"/>
          <w:lang w:val="it-IT"/>
        </w:rPr>
        <w:t>Immunogenicità</w:t>
      </w:r>
    </w:p>
    <w:p w14:paraId="2736ADB7" w14:textId="77777777" w:rsidR="00F91711" w:rsidRPr="00C35766" w:rsidRDefault="00F91711" w:rsidP="00F91711">
      <w:pPr>
        <w:spacing w:before="1" w:line="180" w:lineRule="exact"/>
        <w:rPr>
          <w:rFonts w:ascii="Times New Roman" w:hAnsi="Times New Roman" w:cs="Times New Roman"/>
          <w:sz w:val="18"/>
          <w:szCs w:val="18"/>
          <w:lang w:val="pt-BR" w:eastAsia="ko-KR"/>
        </w:rPr>
      </w:pPr>
    </w:p>
    <w:p w14:paraId="327F6A3F" w14:textId="77777777" w:rsidR="00A90892" w:rsidRPr="00A90892" w:rsidRDefault="00A90892" w:rsidP="00A90892">
      <w:pPr>
        <w:keepNext/>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La formazione di anticorpi anti-adalimumab è associata all’aumento della clearance ed alla riduzione dell’efficacia di adalimumab. Non esiste una correlazione evidente tra la presenza di anticorpi anti-adalimumab e l’insorgenza di eventi avversi.</w:t>
      </w:r>
    </w:p>
    <w:p w14:paraId="5D1BD005" w14:textId="77777777" w:rsidR="00A90892" w:rsidRPr="00A90892" w:rsidRDefault="00A90892" w:rsidP="00A90892">
      <w:pPr>
        <w:keepNext/>
        <w:widowControl/>
        <w:tabs>
          <w:tab w:val="left" w:pos="567"/>
          <w:tab w:val="left" w:pos="1294"/>
        </w:tabs>
        <w:autoSpaceDE w:val="0"/>
        <w:autoSpaceDN w:val="0"/>
        <w:adjustRightInd w:val="0"/>
        <w:jc w:val="both"/>
        <w:rPr>
          <w:rFonts w:ascii="Times New Roman" w:eastAsia="바탕" w:hAnsi="Times New Roman" w:cs="Times New Roman"/>
          <w:color w:val="000000"/>
          <w:u w:val="single"/>
          <w:lang w:val="it-IT" w:eastAsia="it-IT"/>
        </w:rPr>
      </w:pPr>
    </w:p>
    <w:p w14:paraId="0F08478E" w14:textId="77777777" w:rsidR="00A90892" w:rsidRPr="00A90892" w:rsidRDefault="00A90892" w:rsidP="00A90892">
      <w:pPr>
        <w:keepNext/>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I pazienti degli studi I, II e III sull’artrite reumatoide sono stati esaminati a vari intervalli di tempo per valutare gli anticorpi anti-adalimumab durante il periodo da 6 a 12 mesi. Negli studi clinici registrativi, gli anticorpi anti-adalimumab sono stati riscontrati nel 5,5% (58/1053) dei pazienti trattati con adalimumab, rispetto allo 0,5% (2/370) dei pazienti trattati con placebo. Nei pazienti a cui non è stato somministrato contemporaneamente il metotressato, l’incidenza è stata del 12,4%, rispetto allo 0,6% quando adalimumab è stato usato in combinazione con metotressato.</w:t>
      </w:r>
    </w:p>
    <w:p w14:paraId="4BADD01A" w14:textId="77777777" w:rsidR="00A90892" w:rsidRPr="00A90892" w:rsidRDefault="00A90892" w:rsidP="00A90892">
      <w:pPr>
        <w:keepNext/>
        <w:widowControl/>
        <w:tabs>
          <w:tab w:val="left" w:pos="567"/>
          <w:tab w:val="left" w:pos="1294"/>
        </w:tabs>
        <w:autoSpaceDE w:val="0"/>
        <w:autoSpaceDN w:val="0"/>
        <w:adjustRightInd w:val="0"/>
        <w:jc w:val="both"/>
        <w:rPr>
          <w:rFonts w:ascii="Times New Roman" w:eastAsia="바탕" w:hAnsi="Times New Roman" w:cs="Times New Roman"/>
          <w:color w:val="000000"/>
          <w:u w:val="single"/>
          <w:lang w:val="it-IT" w:eastAsia="it-IT"/>
        </w:rPr>
      </w:pPr>
    </w:p>
    <w:p w14:paraId="66155427"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Nei pazienti con malattia di Crohn, anticorpi anti-adalimumab sono stati identificati in 7/269 soggetti (2,6%) e in 19/487 soggetti (3,9%) in pazienti affetti da colite ulcerosa.</w:t>
      </w:r>
    </w:p>
    <w:p w14:paraId="5B4A4CC9"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4C709515"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Nei pazienti adulti affetti da psoriasi, sono stati identificati anticorpi anti-adalimumab in 77/920 (8,4%) soggetti trattati con adalimumab in monoterapia.</w:t>
      </w:r>
    </w:p>
    <w:p w14:paraId="16142D35"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1F171748"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 xml:space="preserve">In pazienti adulti affetti da psoriasi a placche trattati a lungo termine in monoterapia con adalimumab che hanno partecipato ad uno studio di sospensione e di ri-trattamento, la percentuale di positività per anticorpi anti-adalimumab dopo la ripresa del trattamento (11 casi su 482 soggetti, 2,3%) si è mostrata simile a quella osservata prima della sospensione del farmaco (11 casi su 590 soggetti, 1,9%).  </w:t>
      </w:r>
    </w:p>
    <w:p w14:paraId="53E4F481"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1184E06B"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In pazienti con Idrosadenite Suppurativa di grado da moderato a severo, sono stati identificati anticorpi anti-adalimumab in 10/99 soggetti (10,1%) trattati con adalimumab.</w:t>
      </w:r>
    </w:p>
    <w:p w14:paraId="31A21D66"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334E9232"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Nei pazienti in età pediatrica con malattia di Crohn attiva di grado da moderato a severo, il tasso di sviluppo di anticorpi anti-adalimumab è stato del 3,3% nei pazienti in trattamento con adalimumab.</w:t>
      </w:r>
    </w:p>
    <w:p w14:paraId="684B4E38"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C04B42E"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A90892">
        <w:rPr>
          <w:rFonts w:ascii="Times New Roman" w:eastAsia="바탕" w:hAnsi="Times New Roman" w:cs="Times New Roman"/>
          <w:color w:val="000000"/>
          <w:lang w:val="it-IT" w:eastAsia="it-IT"/>
        </w:rPr>
        <w:t>Nei pazienti adulti con uveite non infettiva, sono stati identificati anticorpi anti-adalimumab nel 4,8% (12/249) dei pazienti trattati con adalimumab.</w:t>
      </w:r>
    </w:p>
    <w:p w14:paraId="4B810986"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30573817" w14:textId="77777777" w:rsidR="00A90892" w:rsidRPr="00A90892" w:rsidRDefault="00A90892" w:rsidP="00A90892">
      <w:pPr>
        <w:widowControl/>
        <w:rPr>
          <w:rFonts w:ascii="Times New Roman" w:eastAsia="바탕" w:hAnsi="Times New Roman" w:cs="Times New Roman"/>
          <w:lang w:val="it-IT" w:eastAsia="it-IT"/>
        </w:rPr>
      </w:pPr>
      <w:r w:rsidRPr="00A90892">
        <w:rPr>
          <w:rFonts w:ascii="Times New Roman" w:eastAsia="바탕" w:hAnsi="Times New Roman" w:cs="Times New Roman"/>
          <w:lang w:val="it-IT" w:eastAsia="it-IT"/>
        </w:rPr>
        <w:t>Nei pazienti con colite ulcerosa pediatrica attiva di grado da moderato a severo, il tasso di sviluppo di anticorpi anti-adalimumab nei pazienti trattati con adalimumab è stato del 3%.</w:t>
      </w:r>
    </w:p>
    <w:p w14:paraId="1D0F9F1A" w14:textId="77777777" w:rsidR="00A90892" w:rsidRPr="00A90892" w:rsidRDefault="00A90892" w:rsidP="00A90892">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C21C859" w14:textId="7E42A107" w:rsidR="00F91711" w:rsidRPr="00C35766" w:rsidRDefault="00A90892" w:rsidP="00F91711">
      <w:pPr>
        <w:pStyle w:val="a3"/>
        <w:rPr>
          <w:rFonts w:eastAsia="Times New Roman"/>
          <w:lang w:val="it-IT"/>
        </w:rPr>
      </w:pPr>
      <w:r w:rsidRPr="00A90892">
        <w:rPr>
          <w:rFonts w:eastAsia="바탕"/>
          <w:color w:val="000000"/>
          <w:lang w:val="it-IT" w:eastAsia="it-IT"/>
        </w:rPr>
        <w:t xml:space="preserve">Poiché le analisi di immunogenicità sono specifiche del prodotto, il confronto fra le quantità di anticorpi </w:t>
      </w:r>
      <w:r w:rsidRPr="00A90892">
        <w:rPr>
          <w:rFonts w:eastAsia="바탕"/>
          <w:color w:val="000000"/>
          <w:lang w:val="it-IT" w:eastAsia="it-IT"/>
        </w:rPr>
        <w:lastRenderedPageBreak/>
        <w:t>con quelle di altri prodotti non è appropriato</w:t>
      </w:r>
      <w:r w:rsidR="00F91711" w:rsidRPr="00C35766">
        <w:rPr>
          <w:rFonts w:eastAsia="Times New Roman"/>
          <w:lang w:val="it-IT"/>
        </w:rPr>
        <w:t>.</w:t>
      </w:r>
    </w:p>
    <w:p w14:paraId="191393D1" w14:textId="7AF72B0D" w:rsidR="007A08FF" w:rsidRDefault="007A08FF" w:rsidP="00F91711">
      <w:pPr>
        <w:pStyle w:val="a3"/>
        <w:rPr>
          <w:lang w:val="es-ES"/>
        </w:rPr>
      </w:pPr>
    </w:p>
    <w:p w14:paraId="773B95AB" w14:textId="362DB201" w:rsidR="0067580C" w:rsidRDefault="0067580C" w:rsidP="00F91711">
      <w:pPr>
        <w:pStyle w:val="a3"/>
        <w:rPr>
          <w:rFonts w:eastAsia="Times New Roman"/>
          <w:u w:val="single" w:color="000000"/>
          <w:lang w:val="it-IT"/>
        </w:rPr>
      </w:pPr>
      <w:r w:rsidRPr="00146E60">
        <w:rPr>
          <w:rFonts w:eastAsia="Times New Roman"/>
          <w:u w:val="single" w:color="000000"/>
          <w:lang w:val="it-IT"/>
        </w:rPr>
        <w:t>Popolazione pediatrica</w:t>
      </w:r>
    </w:p>
    <w:p w14:paraId="1212A569" w14:textId="77777777" w:rsidR="0067580C" w:rsidRPr="00146E60" w:rsidRDefault="0067580C" w:rsidP="00F91711">
      <w:pPr>
        <w:pStyle w:val="a3"/>
        <w:rPr>
          <w:rFonts w:eastAsia="Times New Roman"/>
          <w:lang w:val="it-IT"/>
        </w:rPr>
      </w:pPr>
    </w:p>
    <w:p w14:paraId="0A194576" w14:textId="77777777" w:rsidR="0067580C" w:rsidRPr="00C35766" w:rsidRDefault="0067580C" w:rsidP="0067580C">
      <w:pPr>
        <w:pStyle w:val="a3"/>
        <w:rPr>
          <w:rFonts w:eastAsia="Times New Roman"/>
          <w:lang w:val="it-IT"/>
        </w:rPr>
      </w:pPr>
      <w:r w:rsidRPr="00C35766">
        <w:rPr>
          <w:rFonts w:eastAsia="Times New Roman"/>
          <w:i/>
          <w:iCs/>
          <w:spacing w:val="-1"/>
          <w:lang w:val="it-IT"/>
        </w:rPr>
        <w:t>Idrosadenite suppurativa negli adolescenti</w:t>
      </w:r>
    </w:p>
    <w:p w14:paraId="068A7C43" w14:textId="77777777" w:rsidR="0067580C" w:rsidRPr="00C35766" w:rsidRDefault="0067580C" w:rsidP="0067580C">
      <w:pPr>
        <w:pStyle w:val="a3"/>
        <w:rPr>
          <w:sz w:val="24"/>
          <w:szCs w:val="24"/>
          <w:lang w:val="it-IT"/>
        </w:rPr>
      </w:pPr>
    </w:p>
    <w:p w14:paraId="09CDD941" w14:textId="77777777" w:rsidR="0067580C" w:rsidRPr="00C35766" w:rsidRDefault="0067580C" w:rsidP="0067580C">
      <w:pPr>
        <w:pStyle w:val="a3"/>
        <w:rPr>
          <w:sz w:val="24"/>
          <w:szCs w:val="24"/>
          <w:lang w:val="it-IT"/>
        </w:rPr>
      </w:pPr>
      <w:r w:rsidRPr="00C35766">
        <w:rPr>
          <w:rFonts w:eastAsia="Times New Roman"/>
          <w:lang w:val="it-IT"/>
        </w:rPr>
        <w:t>Non ci sono studi clinici con adalimumab in pazienti adolescenti con HS. L’efficacia di adalimumab nel trattamento di pazienti adolescenti con HS è stata predetta in base all’efficacia dimostrata e al rapporto esposizione-risposta in pazienti adulti con HS ed alla plausibilità che il decorso di malattia, la patofisiologia e gli effetti del medicinale siano sostanzialmente simili a quelli degli adulti agli stessi livelli di esposizione. La sicurezza della dose raccomandata di adalimumab nella popolazione adolescente con HS si basa sul profilo di sicurezza cross-indicazione di adalimumab sia nei pazienti adulti che nei pazienti pediatrici a dosi simili o più frequenti (vedere paragrafo 5.2).</w:t>
      </w:r>
    </w:p>
    <w:p w14:paraId="39144DF5" w14:textId="77777777" w:rsidR="0067580C" w:rsidRPr="00C35766" w:rsidRDefault="0067580C" w:rsidP="0067580C">
      <w:pPr>
        <w:pStyle w:val="a3"/>
        <w:rPr>
          <w:sz w:val="24"/>
          <w:szCs w:val="24"/>
          <w:lang w:val="it-IT"/>
        </w:rPr>
      </w:pPr>
    </w:p>
    <w:p w14:paraId="502CB94C" w14:textId="2C4872B3" w:rsidR="0067580C" w:rsidRDefault="0067580C" w:rsidP="00F91711">
      <w:pPr>
        <w:pStyle w:val="a3"/>
        <w:rPr>
          <w:rFonts w:eastAsia="Times New Roman"/>
          <w:i/>
          <w:iCs/>
          <w:spacing w:val="-1"/>
          <w:lang w:val="it-IT"/>
        </w:rPr>
      </w:pPr>
      <w:r w:rsidRPr="00146E60">
        <w:rPr>
          <w:rFonts w:eastAsia="Times New Roman"/>
          <w:i/>
          <w:iCs/>
          <w:spacing w:val="-1"/>
          <w:lang w:val="it-IT"/>
        </w:rPr>
        <w:t>Malattia di Crohn in pazienti pediatrici</w:t>
      </w:r>
    </w:p>
    <w:p w14:paraId="2A7C3036" w14:textId="083BA36D" w:rsidR="00DA74AB" w:rsidRPr="00C35766" w:rsidRDefault="00DA74AB" w:rsidP="00DA74AB">
      <w:pPr>
        <w:pStyle w:val="a3"/>
        <w:rPr>
          <w:sz w:val="18"/>
          <w:szCs w:val="18"/>
          <w:lang w:val="it-IT"/>
        </w:rPr>
      </w:pPr>
    </w:p>
    <w:p w14:paraId="79524641" w14:textId="77777777" w:rsidR="00DA74AB" w:rsidRPr="00C35766" w:rsidRDefault="00DA74AB" w:rsidP="00DA74AB">
      <w:pPr>
        <w:pStyle w:val="a3"/>
        <w:rPr>
          <w:lang w:val="it-IT"/>
        </w:rPr>
      </w:pPr>
      <w:r w:rsidRPr="00C35766">
        <w:rPr>
          <w:rFonts w:eastAsia="Times New Roman"/>
          <w:lang w:val="it-IT"/>
        </w:rPr>
        <w:t>Adalimumab è stato testato in uno studio clinico multicentrico, randomizzato, in doppio cieco disegnato per valutare l’efficacia e la sicurezza del trattamento di induzione e di mantenimento con dosi dipendenti dal peso corporeo (&lt; 40 kg o ≥ 40 kg) in 192 soggetti pediatrici di età compresa tra 6 e 17 anni (inclusi), con malattia di Crohn (MC) di grado da moderato a severo definita da un punteggio dell’Indice di Attività della Malattia di Crohn Pediatrica (Paediatric Crohn's Disease Activity Index - PCDAI) &gt; 30. I soggetti dovevano aver fallito la terapia convenzionale (incluso un corticosteroide e/o un immunomodulatore) per MC. I soggetti, inoltre, potevano aver precedentemente perso la risposta o essere stati intolleranti ad infliximab.</w:t>
      </w:r>
    </w:p>
    <w:p w14:paraId="645E261F" w14:textId="77777777" w:rsidR="00DA74AB" w:rsidRPr="00C35766" w:rsidRDefault="00DA74AB" w:rsidP="00DA74AB">
      <w:pPr>
        <w:pStyle w:val="a3"/>
        <w:rPr>
          <w:sz w:val="24"/>
          <w:szCs w:val="24"/>
          <w:lang w:val="it-IT"/>
        </w:rPr>
      </w:pPr>
    </w:p>
    <w:p w14:paraId="0AE94C81" w14:textId="77777777" w:rsidR="00DA74AB" w:rsidRPr="00C35766" w:rsidRDefault="00DA74AB" w:rsidP="00DA74AB">
      <w:pPr>
        <w:pStyle w:val="a3"/>
        <w:rPr>
          <w:lang w:val="it-IT"/>
        </w:rPr>
      </w:pPr>
      <w:r w:rsidRPr="00C35766">
        <w:rPr>
          <w:rFonts w:eastAsia="Times New Roman"/>
          <w:lang w:val="it-IT"/>
        </w:rPr>
        <w:t>Tutti i soggetti hanno ricevuto una terapia di induzione in aperto con una dose basata sul loro peso corporeo al basale: 160 mg alla settimana 0 e 80 mg alla settimana 2 per i soggetti con peso ≥ 40 kg, e rispettivamente, 80 mg e 40 mg per i soggetti con peso &lt; 40 kg.</w:t>
      </w:r>
    </w:p>
    <w:p w14:paraId="3328B127" w14:textId="77777777" w:rsidR="00DA74AB" w:rsidRPr="00C35766" w:rsidRDefault="00DA74AB" w:rsidP="00DA74AB">
      <w:pPr>
        <w:pStyle w:val="a3"/>
        <w:rPr>
          <w:sz w:val="24"/>
          <w:szCs w:val="24"/>
          <w:lang w:val="it-IT"/>
        </w:rPr>
      </w:pPr>
    </w:p>
    <w:p w14:paraId="3B20F92A" w14:textId="6B8940E0" w:rsidR="00DA74AB" w:rsidRPr="00C35766" w:rsidRDefault="00DA74AB" w:rsidP="00DA74AB">
      <w:pPr>
        <w:pStyle w:val="a3"/>
        <w:rPr>
          <w:lang w:val="it-IT"/>
        </w:rPr>
      </w:pPr>
      <w:r w:rsidRPr="00C35766">
        <w:rPr>
          <w:rFonts w:eastAsia="Times New Roman"/>
          <w:lang w:val="it-IT"/>
        </w:rPr>
        <w:t xml:space="preserve">Alla settimana 4, in base al loro peso corporeo, i soggetti sono stati randomizzati 1:1 o nel regime di mantenimento a Bassa Dose o in quello a Dose Standard, come mostrato nella Tabella </w:t>
      </w:r>
      <w:r>
        <w:rPr>
          <w:rFonts w:eastAsia="Times New Roman"/>
          <w:lang w:val="it-IT"/>
        </w:rPr>
        <w:t>18</w:t>
      </w:r>
      <w:r w:rsidRPr="00C35766">
        <w:rPr>
          <w:rFonts w:eastAsia="Times New Roman"/>
          <w:lang w:val="it-IT"/>
        </w:rPr>
        <w:t>.</w:t>
      </w:r>
    </w:p>
    <w:p w14:paraId="7B038B7C" w14:textId="77777777" w:rsidR="00DA74AB" w:rsidRPr="00C35766" w:rsidRDefault="00DA74AB" w:rsidP="00DA74AB">
      <w:pPr>
        <w:pStyle w:val="a3"/>
        <w:rPr>
          <w:sz w:val="24"/>
          <w:szCs w:val="24"/>
          <w:lang w:val="it-IT"/>
        </w:rPr>
      </w:pPr>
    </w:p>
    <w:p w14:paraId="520AFBF9" w14:textId="33C2A03F" w:rsidR="00DA74AB" w:rsidRPr="00C35766" w:rsidRDefault="00DA74AB" w:rsidP="00DA74AB">
      <w:pPr>
        <w:pStyle w:val="a3"/>
        <w:keepNext/>
        <w:jc w:val="center"/>
        <w:rPr>
          <w:b/>
        </w:rPr>
      </w:pPr>
      <w:r w:rsidRPr="00C35766">
        <w:rPr>
          <w:rFonts w:eastAsia="Times New Roman"/>
          <w:b/>
          <w:bCs/>
          <w:lang w:val="it-IT"/>
        </w:rPr>
        <w:t xml:space="preserve">Tabella </w:t>
      </w:r>
      <w:r>
        <w:rPr>
          <w:rFonts w:eastAsia="Times New Roman"/>
          <w:b/>
          <w:bCs/>
          <w:lang w:val="it-IT"/>
        </w:rPr>
        <w:t>18</w:t>
      </w:r>
      <w:r w:rsidRPr="00C35766">
        <w:rPr>
          <w:rFonts w:eastAsia="Times New Roman"/>
          <w:b/>
          <w:bCs/>
          <w:lang w:val="it-IT"/>
        </w:rPr>
        <w:t xml:space="preserve"> Regime di mantenimento</w:t>
      </w:r>
    </w:p>
    <w:p w14:paraId="0A7156E7" w14:textId="77777777" w:rsidR="00DA74AB" w:rsidRPr="00C35766" w:rsidRDefault="00DA74AB" w:rsidP="00DA74AB">
      <w:pPr>
        <w:pStyle w:val="a3"/>
        <w:keepNext/>
        <w:jc w:val="center"/>
        <w:rPr>
          <w:b/>
        </w:rPr>
      </w:pPr>
    </w:p>
    <w:tbl>
      <w:tblPr>
        <w:tblStyle w:val="TableNormal1"/>
        <w:tblW w:w="4222" w:type="pct"/>
        <w:jc w:val="center"/>
        <w:tblLook w:val="01E0" w:firstRow="1" w:lastRow="1" w:firstColumn="1" w:lastColumn="1" w:noHBand="0" w:noVBand="0"/>
      </w:tblPr>
      <w:tblGrid>
        <w:gridCol w:w="2325"/>
        <w:gridCol w:w="2844"/>
        <w:gridCol w:w="2843"/>
      </w:tblGrid>
      <w:tr w:rsidR="00DA74AB" w:rsidRPr="00C35766" w14:paraId="5D30DDEF" w14:textId="77777777" w:rsidTr="00D97785">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391F8E6C" w14:textId="77777777" w:rsidR="00DA74AB" w:rsidRPr="00C35766" w:rsidRDefault="00DA74AB" w:rsidP="00D97785">
            <w:pPr>
              <w:pStyle w:val="TableParagraph"/>
              <w:keepNext/>
              <w:ind w:leftChars="59" w:left="130"/>
              <w:rPr>
                <w:rFonts w:ascii="Times New Roman" w:eastAsia="Times New Roman" w:hAnsi="Times New Roman" w:cs="Times New Roman"/>
              </w:rPr>
            </w:pPr>
            <w:r w:rsidRPr="00C35766">
              <w:rPr>
                <w:rFonts w:ascii="Times New Roman" w:eastAsia="Times New Roman" w:hAnsi="Times New Roman" w:cs="Times New Roman"/>
                <w:b/>
                <w:bCs/>
                <w:lang w:val="it-IT"/>
              </w:rPr>
              <w:t>Peso del paziente</w:t>
            </w:r>
            <w:r w:rsidRPr="00C35766">
              <w:rPr>
                <w:rFonts w:ascii="Times New Roman" w:eastAsia="Times New Roman" w:hAnsi="Times New Roman" w:cs="Times New Roman"/>
                <w:b/>
                <w:bCs/>
                <w:spacing w:val="-1"/>
                <w:lang w:val="it-IT"/>
              </w:rPr>
              <w:t> </w:t>
            </w:r>
          </w:p>
        </w:tc>
        <w:tc>
          <w:tcPr>
            <w:tcW w:w="1775" w:type="pct"/>
            <w:tcBorders>
              <w:top w:val="single" w:sz="5" w:space="0" w:color="000000"/>
              <w:left w:val="single" w:sz="5" w:space="0" w:color="000000"/>
              <w:bottom w:val="single" w:sz="5" w:space="0" w:color="000000"/>
              <w:right w:val="single" w:sz="5" w:space="0" w:color="000000"/>
            </w:tcBorders>
          </w:tcPr>
          <w:p w14:paraId="0AA7890C" w14:textId="77777777" w:rsidR="00DA74AB" w:rsidRPr="00C35766" w:rsidRDefault="00DA74AB" w:rsidP="00D97785">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2"/>
                <w:lang w:val="it-IT"/>
              </w:rPr>
              <w:t>Dose bassa</w:t>
            </w:r>
          </w:p>
        </w:tc>
        <w:tc>
          <w:tcPr>
            <w:tcW w:w="1774" w:type="pct"/>
            <w:tcBorders>
              <w:top w:val="single" w:sz="5" w:space="0" w:color="000000"/>
              <w:left w:val="single" w:sz="5" w:space="0" w:color="000000"/>
              <w:bottom w:val="single" w:sz="5" w:space="0" w:color="000000"/>
              <w:right w:val="single" w:sz="5" w:space="0" w:color="000000"/>
            </w:tcBorders>
          </w:tcPr>
          <w:p w14:paraId="58415398" w14:textId="77777777" w:rsidR="00DA74AB" w:rsidRPr="00C35766" w:rsidRDefault="00DA74AB" w:rsidP="00D97785">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 xml:space="preserve">Dose </w:t>
            </w:r>
            <w:r w:rsidRPr="00C35766">
              <w:rPr>
                <w:rFonts w:ascii="Times New Roman" w:eastAsia="Times New Roman" w:hAnsi="Times New Roman" w:cs="Times New Roman"/>
                <w:b/>
                <w:bCs/>
                <w:lang w:val="it-IT"/>
              </w:rPr>
              <w:t>standard</w:t>
            </w:r>
          </w:p>
        </w:tc>
      </w:tr>
      <w:tr w:rsidR="00DA74AB" w:rsidRPr="00C35766" w14:paraId="567B53B1" w14:textId="77777777" w:rsidTr="00D97785">
        <w:trPr>
          <w:trHeight w:val="243"/>
          <w:jc w:val="center"/>
        </w:trPr>
        <w:tc>
          <w:tcPr>
            <w:tcW w:w="1451" w:type="pct"/>
            <w:tcBorders>
              <w:top w:val="single" w:sz="5" w:space="0" w:color="000000"/>
              <w:left w:val="single" w:sz="5" w:space="0" w:color="000000"/>
              <w:bottom w:val="single" w:sz="5" w:space="0" w:color="000000"/>
              <w:right w:val="single" w:sz="5" w:space="0" w:color="000000"/>
            </w:tcBorders>
          </w:tcPr>
          <w:p w14:paraId="36BF135C"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1775" w:type="pct"/>
            <w:tcBorders>
              <w:top w:val="single" w:sz="5" w:space="0" w:color="000000"/>
              <w:left w:val="single" w:sz="5" w:space="0" w:color="000000"/>
              <w:bottom w:val="single" w:sz="5" w:space="0" w:color="000000"/>
              <w:right w:val="single" w:sz="5" w:space="0" w:color="000000"/>
            </w:tcBorders>
          </w:tcPr>
          <w:p w14:paraId="5B567BB9"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10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1FD5571A"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r>
      <w:tr w:rsidR="00DA74AB" w:rsidRPr="00C35766" w14:paraId="5AB25AD3" w14:textId="77777777" w:rsidTr="00D97785">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54467F92"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1775" w:type="pct"/>
            <w:tcBorders>
              <w:top w:val="single" w:sz="5" w:space="0" w:color="000000"/>
              <w:left w:val="single" w:sz="5" w:space="0" w:color="000000"/>
              <w:bottom w:val="single" w:sz="5" w:space="0" w:color="000000"/>
              <w:right w:val="single" w:sz="5" w:space="0" w:color="000000"/>
            </w:tcBorders>
          </w:tcPr>
          <w:p w14:paraId="2F98EED0"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190E752F" w14:textId="77777777" w:rsidR="00DA74AB" w:rsidRPr="00C35766" w:rsidRDefault="00DA74AB" w:rsidP="00D97785">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r>
    </w:tbl>
    <w:p w14:paraId="075326D3" w14:textId="77777777" w:rsidR="00DA74AB" w:rsidRPr="00C35766" w:rsidRDefault="00DA74AB" w:rsidP="00DA74AB">
      <w:pPr>
        <w:pStyle w:val="a3"/>
      </w:pPr>
    </w:p>
    <w:p w14:paraId="1C051BC9" w14:textId="77777777" w:rsidR="00DA74AB" w:rsidRPr="00C35766" w:rsidRDefault="00DA74AB" w:rsidP="00DA74AB">
      <w:pPr>
        <w:pStyle w:val="a3"/>
        <w:rPr>
          <w:rFonts w:eastAsia="Times New Roman"/>
        </w:rPr>
      </w:pPr>
      <w:r w:rsidRPr="00C35766">
        <w:rPr>
          <w:rFonts w:eastAsia="Times New Roman"/>
          <w:i/>
          <w:iCs/>
          <w:spacing w:val="-1"/>
          <w:u w:val="single" w:color="000000"/>
          <w:lang w:val="it-IT"/>
        </w:rPr>
        <w:t>Risultati di efficacia</w:t>
      </w:r>
    </w:p>
    <w:p w14:paraId="0B07AB2A" w14:textId="77777777" w:rsidR="00DA74AB" w:rsidRPr="00C35766" w:rsidRDefault="00DA74AB" w:rsidP="00DA74AB">
      <w:pPr>
        <w:pStyle w:val="a3"/>
        <w:rPr>
          <w:sz w:val="19"/>
          <w:szCs w:val="19"/>
        </w:rPr>
      </w:pPr>
    </w:p>
    <w:p w14:paraId="403E2620" w14:textId="77777777" w:rsidR="00DA74AB" w:rsidRPr="00C35766" w:rsidRDefault="00DA74AB" w:rsidP="00DA74AB">
      <w:pPr>
        <w:pStyle w:val="a3"/>
        <w:rPr>
          <w:lang w:val="es-ES"/>
        </w:rPr>
      </w:pPr>
      <w:r w:rsidRPr="00C35766">
        <w:rPr>
          <w:rFonts w:eastAsia="Times New Roman"/>
          <w:lang w:val="it-IT"/>
        </w:rPr>
        <w:t xml:space="preserve">L’endpoint primario dello studio è stato la remissione clinica alla settimana 26, definita da un punteggio PCDAI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10.</w:t>
      </w:r>
    </w:p>
    <w:p w14:paraId="2B49787C" w14:textId="77777777" w:rsidR="00DA74AB" w:rsidRPr="00C35766" w:rsidRDefault="00DA74AB" w:rsidP="00DA74AB">
      <w:pPr>
        <w:pStyle w:val="a3"/>
        <w:rPr>
          <w:sz w:val="24"/>
          <w:szCs w:val="24"/>
          <w:lang w:val="es-ES"/>
        </w:rPr>
      </w:pPr>
    </w:p>
    <w:p w14:paraId="3CA0053D" w14:textId="2CF4F18A" w:rsidR="00DA74AB" w:rsidRPr="00C35766" w:rsidRDefault="00DA74AB" w:rsidP="00DA74AB">
      <w:pPr>
        <w:pStyle w:val="a3"/>
        <w:rPr>
          <w:lang w:val="it-IT"/>
        </w:rPr>
      </w:pPr>
      <w:r w:rsidRPr="00C35766">
        <w:rPr>
          <w:rFonts w:eastAsia="Times New Roman"/>
          <w:lang w:val="it-IT"/>
        </w:rPr>
        <w:t xml:space="preserve">Le percentuali di remissione clinica e di risposta clinica (definite come riduzione del punteggio PCDAI di almeno 15 punti dal basale) sono riportate nella Tabella </w:t>
      </w:r>
      <w:r>
        <w:rPr>
          <w:rFonts w:eastAsia="Times New Roman"/>
          <w:lang w:val="it-IT"/>
        </w:rPr>
        <w:t>19</w:t>
      </w:r>
      <w:r w:rsidRPr="00C35766">
        <w:rPr>
          <w:rFonts w:eastAsia="Times New Roman"/>
          <w:lang w:val="it-IT"/>
        </w:rPr>
        <w:t xml:space="preserve">. Le percentuali di interruzione dei corticosteroidi o degli immunomodulatori sono riportate nella Tabella </w:t>
      </w:r>
      <w:r>
        <w:rPr>
          <w:rFonts w:eastAsia="Times New Roman"/>
          <w:lang w:val="it-IT"/>
        </w:rPr>
        <w:t>20</w:t>
      </w:r>
      <w:r w:rsidRPr="00C35766">
        <w:rPr>
          <w:rFonts w:eastAsia="Times New Roman"/>
          <w:lang w:val="it-IT"/>
        </w:rPr>
        <w:t>.</w:t>
      </w:r>
    </w:p>
    <w:p w14:paraId="61F5C6FB" w14:textId="77777777" w:rsidR="00DA74AB" w:rsidRPr="00C35766" w:rsidRDefault="00DA74AB" w:rsidP="00DA74AB">
      <w:pPr>
        <w:rPr>
          <w:rFonts w:ascii="Times New Roman" w:hAnsi="Times New Roman" w:cs="Times New Roman"/>
          <w:lang w:val="it-IT"/>
        </w:rPr>
      </w:pPr>
    </w:p>
    <w:p w14:paraId="2CDF7283" w14:textId="77777777" w:rsidR="00DA74AB" w:rsidRPr="004F0B2E" w:rsidRDefault="00DA74AB" w:rsidP="00DA74AB">
      <w:pPr>
        <w:spacing w:before="7" w:line="90" w:lineRule="exact"/>
        <w:rPr>
          <w:rFonts w:ascii="Times New Roman" w:hAnsi="Times New Roman" w:cs="Times New Roman"/>
          <w:sz w:val="9"/>
          <w:szCs w:val="9"/>
          <w:lang w:val="it-IT"/>
        </w:rPr>
      </w:pPr>
    </w:p>
    <w:tbl>
      <w:tblPr>
        <w:tblStyle w:val="TableNormal1"/>
        <w:tblW w:w="8246" w:type="dxa"/>
        <w:jc w:val="center"/>
        <w:tblLayout w:type="fixed"/>
        <w:tblLook w:val="01E0" w:firstRow="1" w:lastRow="1" w:firstColumn="1" w:lastColumn="1" w:noHBand="0" w:noVBand="0"/>
      </w:tblPr>
      <w:tblGrid>
        <w:gridCol w:w="2543"/>
        <w:gridCol w:w="2319"/>
        <w:gridCol w:w="1965"/>
        <w:gridCol w:w="1419"/>
      </w:tblGrid>
      <w:tr w:rsidR="00DA74AB" w:rsidRPr="006501B3" w14:paraId="0132A105" w14:textId="77777777" w:rsidTr="00D97785">
        <w:trPr>
          <w:trHeight w:val="331"/>
          <w:jc w:val="center"/>
        </w:trPr>
        <w:tc>
          <w:tcPr>
            <w:tcW w:w="8246" w:type="dxa"/>
            <w:gridSpan w:val="4"/>
            <w:tcBorders>
              <w:top w:val="single" w:sz="7" w:space="0" w:color="000000"/>
              <w:left w:val="single" w:sz="7" w:space="0" w:color="000000"/>
              <w:bottom w:val="single" w:sz="7" w:space="0" w:color="000000"/>
              <w:right w:val="single" w:sz="7" w:space="0" w:color="000000"/>
            </w:tcBorders>
          </w:tcPr>
          <w:p w14:paraId="1338D193" w14:textId="66975EFB" w:rsidR="00DA74AB" w:rsidRPr="004F0B2E" w:rsidRDefault="00DA74AB" w:rsidP="00D97785">
            <w:pPr>
              <w:pStyle w:val="a3"/>
              <w:jc w:val="center"/>
              <w:rPr>
                <w:lang w:val="it-IT"/>
              </w:rPr>
            </w:pPr>
            <w:r w:rsidRPr="00C35766">
              <w:rPr>
                <w:rFonts w:eastAsia="Times New Roman"/>
                <w:b/>
                <w:bCs/>
                <w:lang w:val="it-IT"/>
              </w:rPr>
              <w:t xml:space="preserve">Tabella </w:t>
            </w:r>
            <w:r>
              <w:rPr>
                <w:rFonts w:eastAsia="Times New Roman"/>
                <w:b/>
                <w:bCs/>
                <w:lang w:val="it-IT"/>
              </w:rPr>
              <w:t>19</w:t>
            </w:r>
          </w:p>
          <w:p w14:paraId="05CCC0E8" w14:textId="77777777" w:rsidR="00DA74AB" w:rsidRPr="00C35766" w:rsidRDefault="00DA74AB" w:rsidP="00D97785">
            <w:pPr>
              <w:pStyle w:val="a3"/>
              <w:jc w:val="center"/>
              <w:rPr>
                <w:b/>
                <w:lang w:val="pt-BR"/>
              </w:rPr>
            </w:pPr>
            <w:r w:rsidRPr="00C35766">
              <w:rPr>
                <w:rFonts w:eastAsia="Times New Roman"/>
                <w:b/>
                <w:bCs/>
                <w:lang w:val="it-IT"/>
              </w:rPr>
              <w:t>Studio della Malattia di Crohn Pediatrica</w:t>
            </w:r>
          </w:p>
          <w:p w14:paraId="1B114938" w14:textId="77777777" w:rsidR="00DA74AB" w:rsidRPr="00C35766" w:rsidRDefault="00DA74AB" w:rsidP="00D97785">
            <w:pPr>
              <w:pStyle w:val="a3"/>
              <w:jc w:val="center"/>
              <w:rPr>
                <w:rFonts w:eastAsia="Times New Roman"/>
                <w:lang w:val="pt-BR"/>
              </w:rPr>
            </w:pPr>
            <w:r w:rsidRPr="00C35766">
              <w:rPr>
                <w:rFonts w:eastAsia="Times New Roman"/>
                <w:b/>
                <w:bCs/>
                <w:lang w:val="it-IT"/>
              </w:rPr>
              <w:t>PCDAI di Remissione e di Risposta Clinica</w:t>
            </w:r>
          </w:p>
        </w:tc>
      </w:tr>
      <w:tr w:rsidR="00DA74AB" w:rsidRPr="00C35766" w14:paraId="3FB4A75E" w14:textId="77777777" w:rsidTr="00A842FF">
        <w:trPr>
          <w:trHeight w:val="809"/>
          <w:jc w:val="center"/>
        </w:trPr>
        <w:tc>
          <w:tcPr>
            <w:tcW w:w="2543" w:type="dxa"/>
            <w:tcBorders>
              <w:top w:val="single" w:sz="7" w:space="0" w:color="000000"/>
              <w:left w:val="single" w:sz="7" w:space="0" w:color="000000"/>
              <w:bottom w:val="single" w:sz="7" w:space="0" w:color="000000"/>
              <w:right w:val="single" w:sz="7" w:space="0" w:color="000000"/>
            </w:tcBorders>
          </w:tcPr>
          <w:p w14:paraId="0E57EEB9" w14:textId="77777777" w:rsidR="00DA74AB" w:rsidRPr="00C35766" w:rsidRDefault="00DA74AB" w:rsidP="00D97785">
            <w:pPr>
              <w:rPr>
                <w:rFonts w:ascii="Times New Roman" w:hAnsi="Times New Roman" w:cs="Times New Roman"/>
                <w:lang w:val="pt-BR"/>
              </w:rPr>
            </w:pPr>
          </w:p>
        </w:tc>
        <w:tc>
          <w:tcPr>
            <w:tcW w:w="2319" w:type="dxa"/>
            <w:tcBorders>
              <w:top w:val="single" w:sz="7" w:space="0" w:color="000000"/>
              <w:left w:val="single" w:sz="7" w:space="0" w:color="000000"/>
              <w:bottom w:val="single" w:sz="7" w:space="0" w:color="000000"/>
              <w:right w:val="single" w:sz="7" w:space="0" w:color="000000"/>
            </w:tcBorders>
          </w:tcPr>
          <w:p w14:paraId="5E6DE1A2" w14:textId="77777777" w:rsidR="00DA74AB" w:rsidRPr="00C35766" w:rsidRDefault="00DA74AB" w:rsidP="00D97785">
            <w:pPr>
              <w:pStyle w:val="TableParagraph"/>
              <w:spacing w:before="1" w:line="252" w:lineRule="exact"/>
              <w:ind w:left="111" w:right="98"/>
              <w:jc w:val="center"/>
              <w:rPr>
                <w:rFonts w:ascii="Times New Roman" w:eastAsia="Times New Roman" w:hAnsi="Times New Roman" w:cs="Times New Roman"/>
                <w:lang w:val="de-DE"/>
              </w:rPr>
            </w:pPr>
            <w:r w:rsidRPr="00C35766">
              <w:rPr>
                <w:rFonts w:ascii="Times New Roman" w:eastAsia="Times New Roman" w:hAnsi="Times New Roman" w:cs="Times New Roman"/>
                <w:b/>
                <w:bCs/>
                <w:spacing w:val="-1"/>
                <w:lang w:val="it-IT"/>
              </w:rPr>
              <w:t>Dose Standard 40/20 mg a settimane alterne</w:t>
            </w:r>
          </w:p>
          <w:p w14:paraId="3875F28F" w14:textId="77777777" w:rsidR="00DA74AB" w:rsidRPr="00C35766" w:rsidRDefault="00DA74AB" w:rsidP="00D97785">
            <w:pPr>
              <w:pStyle w:val="TableParagraph"/>
              <w:spacing w:line="251" w:lineRule="exact"/>
              <w:ind w:left="480" w:right="468"/>
              <w:jc w:val="center"/>
              <w:rPr>
                <w:rFonts w:ascii="Times New Roman" w:eastAsia="Times New Roman" w:hAnsi="Times New Roman" w:cs="Times New Roman"/>
                <w:lang w:val="de-DE"/>
              </w:rPr>
            </w:pPr>
            <w:r w:rsidRPr="00C35766">
              <w:rPr>
                <w:rFonts w:ascii="Times New Roman" w:eastAsia="Times New Roman" w:hAnsi="Times New Roman" w:cs="Times New Roman"/>
                <w:b/>
                <w:bCs/>
                <w:lang w:val="it-IT"/>
              </w:rPr>
              <w:t>N = 93</w:t>
            </w:r>
          </w:p>
        </w:tc>
        <w:tc>
          <w:tcPr>
            <w:tcW w:w="1965" w:type="dxa"/>
            <w:tcBorders>
              <w:top w:val="single" w:sz="7" w:space="0" w:color="000000"/>
              <w:left w:val="single" w:sz="7" w:space="0" w:color="000000"/>
              <w:bottom w:val="single" w:sz="7" w:space="0" w:color="000000"/>
              <w:right w:val="single" w:sz="7" w:space="0" w:color="000000"/>
            </w:tcBorders>
          </w:tcPr>
          <w:p w14:paraId="1FE72CEC" w14:textId="77777777" w:rsidR="00DA74AB" w:rsidRPr="00C35766" w:rsidRDefault="00DA74AB" w:rsidP="00D97785">
            <w:pPr>
              <w:pStyle w:val="TableParagraph"/>
              <w:spacing w:before="1" w:line="252" w:lineRule="exact"/>
              <w:ind w:left="157" w:right="142" w:firstLine="1"/>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Bassa dose 20/10 mg a settimane alterne</w:t>
            </w:r>
          </w:p>
          <w:p w14:paraId="02B30C77" w14:textId="77777777" w:rsidR="00DA74AB" w:rsidRPr="00C35766" w:rsidRDefault="00DA74AB" w:rsidP="00D97785">
            <w:pPr>
              <w:pStyle w:val="TableParagraph"/>
              <w:spacing w:line="251" w:lineRule="exact"/>
              <w:ind w:left="468" w:right="456"/>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 95</w:t>
            </w:r>
          </w:p>
        </w:tc>
        <w:tc>
          <w:tcPr>
            <w:tcW w:w="1419" w:type="dxa"/>
            <w:tcBorders>
              <w:top w:val="single" w:sz="7" w:space="0" w:color="000000"/>
              <w:left w:val="single" w:sz="7" w:space="0" w:color="000000"/>
              <w:bottom w:val="single" w:sz="7" w:space="0" w:color="000000"/>
              <w:right w:val="single" w:sz="7" w:space="0" w:color="000000"/>
            </w:tcBorders>
          </w:tcPr>
          <w:p w14:paraId="29F1E395" w14:textId="77777777" w:rsidR="00DA74AB" w:rsidRPr="00C35766" w:rsidRDefault="00DA74AB" w:rsidP="00D97785">
            <w:pPr>
              <w:pStyle w:val="TableParagraph"/>
              <w:spacing w:line="246" w:lineRule="exact"/>
              <w:ind w:left="169"/>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lang w:val="it-IT"/>
              </w:rPr>
              <w:t>*</w:t>
            </w:r>
          </w:p>
        </w:tc>
      </w:tr>
      <w:tr w:rsidR="00DA74AB" w:rsidRPr="00C35766" w14:paraId="18FC51D6" w14:textId="77777777" w:rsidTr="00A842FF">
        <w:trPr>
          <w:trHeight w:val="177"/>
          <w:jc w:val="center"/>
        </w:trPr>
        <w:tc>
          <w:tcPr>
            <w:tcW w:w="2543" w:type="dxa"/>
            <w:tcBorders>
              <w:top w:val="single" w:sz="7" w:space="0" w:color="000000"/>
              <w:left w:val="single" w:sz="7" w:space="0" w:color="000000"/>
              <w:bottom w:val="single" w:sz="7" w:space="0" w:color="000000"/>
              <w:right w:val="single" w:sz="7" w:space="0" w:color="000000"/>
            </w:tcBorders>
          </w:tcPr>
          <w:p w14:paraId="1085A2A2" w14:textId="77777777" w:rsidR="00DA74AB" w:rsidRPr="00C35766" w:rsidRDefault="00DA74AB" w:rsidP="00D97785">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t>Settimana 26</w:t>
            </w:r>
          </w:p>
        </w:tc>
        <w:tc>
          <w:tcPr>
            <w:tcW w:w="2319" w:type="dxa"/>
            <w:tcBorders>
              <w:top w:val="single" w:sz="7" w:space="0" w:color="000000"/>
              <w:left w:val="single" w:sz="7" w:space="0" w:color="000000"/>
              <w:bottom w:val="single" w:sz="7" w:space="0" w:color="000000"/>
              <w:right w:val="single" w:sz="7" w:space="0" w:color="000000"/>
            </w:tcBorders>
          </w:tcPr>
          <w:p w14:paraId="71BCE063" w14:textId="77777777" w:rsidR="00DA74AB" w:rsidRPr="00C35766" w:rsidRDefault="00DA74AB" w:rsidP="00D97785">
            <w:pPr>
              <w:rPr>
                <w:rFonts w:ascii="Times New Roman" w:hAnsi="Times New Roman" w:cs="Times New Roman"/>
              </w:rPr>
            </w:pPr>
          </w:p>
        </w:tc>
        <w:tc>
          <w:tcPr>
            <w:tcW w:w="1965" w:type="dxa"/>
            <w:tcBorders>
              <w:top w:val="single" w:sz="7" w:space="0" w:color="000000"/>
              <w:left w:val="single" w:sz="7" w:space="0" w:color="000000"/>
              <w:bottom w:val="single" w:sz="7" w:space="0" w:color="000000"/>
              <w:right w:val="single" w:sz="7" w:space="0" w:color="000000"/>
            </w:tcBorders>
          </w:tcPr>
          <w:p w14:paraId="75F9375D" w14:textId="77777777" w:rsidR="00DA74AB" w:rsidRPr="00C35766" w:rsidRDefault="00DA74AB" w:rsidP="00D97785">
            <w:pPr>
              <w:rPr>
                <w:rFonts w:ascii="Times New Roman" w:hAnsi="Times New Roman" w:cs="Times New Roman"/>
              </w:rPr>
            </w:pPr>
          </w:p>
        </w:tc>
        <w:tc>
          <w:tcPr>
            <w:tcW w:w="1419" w:type="dxa"/>
            <w:tcBorders>
              <w:top w:val="single" w:sz="7" w:space="0" w:color="000000"/>
              <w:left w:val="single" w:sz="7" w:space="0" w:color="000000"/>
              <w:bottom w:val="single" w:sz="7" w:space="0" w:color="000000"/>
              <w:right w:val="single" w:sz="7" w:space="0" w:color="000000"/>
            </w:tcBorders>
          </w:tcPr>
          <w:p w14:paraId="74CDDF4C" w14:textId="77777777" w:rsidR="00DA74AB" w:rsidRPr="00C35766" w:rsidRDefault="00DA74AB" w:rsidP="00D97785">
            <w:pPr>
              <w:rPr>
                <w:rFonts w:ascii="Times New Roman" w:hAnsi="Times New Roman" w:cs="Times New Roman"/>
              </w:rPr>
            </w:pPr>
          </w:p>
        </w:tc>
      </w:tr>
      <w:tr w:rsidR="00DA74AB" w:rsidRPr="00C35766" w14:paraId="62B26D00" w14:textId="77777777" w:rsidTr="00A842FF">
        <w:trPr>
          <w:trHeight w:val="161"/>
          <w:jc w:val="center"/>
        </w:trPr>
        <w:tc>
          <w:tcPr>
            <w:tcW w:w="2543" w:type="dxa"/>
            <w:tcBorders>
              <w:top w:val="single" w:sz="7" w:space="0" w:color="000000"/>
              <w:left w:val="single" w:sz="7" w:space="0" w:color="000000"/>
              <w:bottom w:val="single" w:sz="7" w:space="0" w:color="000000"/>
              <w:right w:val="single" w:sz="7" w:space="0" w:color="000000"/>
            </w:tcBorders>
          </w:tcPr>
          <w:p w14:paraId="22DC2F86" w14:textId="77777777" w:rsidR="00DA74AB" w:rsidRPr="00C35766" w:rsidRDefault="00DA74AB" w:rsidP="00D97785">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2319" w:type="dxa"/>
            <w:tcBorders>
              <w:top w:val="single" w:sz="7" w:space="0" w:color="000000"/>
              <w:left w:val="single" w:sz="7" w:space="0" w:color="000000"/>
              <w:bottom w:val="single" w:sz="7" w:space="0" w:color="000000"/>
              <w:right w:val="single" w:sz="7" w:space="0" w:color="000000"/>
            </w:tcBorders>
          </w:tcPr>
          <w:p w14:paraId="7417E4AB" w14:textId="77777777" w:rsidR="00DA74AB" w:rsidRPr="00C35766" w:rsidRDefault="00DA74AB" w:rsidP="00D97785">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38,7%</w:t>
            </w:r>
          </w:p>
        </w:tc>
        <w:tc>
          <w:tcPr>
            <w:tcW w:w="1965" w:type="dxa"/>
            <w:tcBorders>
              <w:top w:val="single" w:sz="7" w:space="0" w:color="000000"/>
              <w:left w:val="single" w:sz="7" w:space="0" w:color="000000"/>
              <w:bottom w:val="single" w:sz="7" w:space="0" w:color="000000"/>
              <w:right w:val="single" w:sz="7" w:space="0" w:color="000000"/>
            </w:tcBorders>
          </w:tcPr>
          <w:p w14:paraId="53AC6EC7" w14:textId="77777777" w:rsidR="00DA74AB" w:rsidRPr="00C35766" w:rsidRDefault="00DA74AB" w:rsidP="00D97785">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9" w:type="dxa"/>
            <w:tcBorders>
              <w:top w:val="single" w:sz="7" w:space="0" w:color="000000"/>
              <w:left w:val="single" w:sz="7" w:space="0" w:color="000000"/>
              <w:bottom w:val="single" w:sz="7" w:space="0" w:color="000000"/>
              <w:right w:val="single" w:sz="7" w:space="0" w:color="000000"/>
            </w:tcBorders>
          </w:tcPr>
          <w:p w14:paraId="1922AF79" w14:textId="77777777" w:rsidR="00DA74AB" w:rsidRPr="00C35766" w:rsidRDefault="00DA74AB" w:rsidP="00D97785">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0,075</w:t>
            </w:r>
          </w:p>
        </w:tc>
      </w:tr>
      <w:tr w:rsidR="00DA74AB" w:rsidRPr="00C35766" w14:paraId="0894ECD8" w14:textId="77777777" w:rsidTr="00A842FF">
        <w:trPr>
          <w:trHeight w:val="161"/>
          <w:jc w:val="center"/>
        </w:trPr>
        <w:tc>
          <w:tcPr>
            <w:tcW w:w="2543" w:type="dxa"/>
            <w:tcBorders>
              <w:top w:val="single" w:sz="7" w:space="0" w:color="000000"/>
              <w:left w:val="single" w:sz="7" w:space="0" w:color="000000"/>
              <w:bottom w:val="single" w:sz="7" w:space="0" w:color="000000"/>
              <w:right w:val="single" w:sz="7" w:space="0" w:color="000000"/>
            </w:tcBorders>
          </w:tcPr>
          <w:p w14:paraId="720C941B" w14:textId="77777777" w:rsidR="00DA74AB" w:rsidRPr="00C35766" w:rsidRDefault="00DA74AB" w:rsidP="00D97785">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2319" w:type="dxa"/>
            <w:tcBorders>
              <w:top w:val="single" w:sz="7" w:space="0" w:color="000000"/>
              <w:left w:val="single" w:sz="7" w:space="0" w:color="000000"/>
              <w:bottom w:val="single" w:sz="7" w:space="0" w:color="000000"/>
              <w:right w:val="single" w:sz="7" w:space="0" w:color="000000"/>
            </w:tcBorders>
          </w:tcPr>
          <w:p w14:paraId="679ABA5B" w14:textId="77777777" w:rsidR="00DA74AB" w:rsidRPr="00C35766" w:rsidRDefault="00DA74AB" w:rsidP="00D97785">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59,1%</w:t>
            </w:r>
          </w:p>
        </w:tc>
        <w:tc>
          <w:tcPr>
            <w:tcW w:w="1965" w:type="dxa"/>
            <w:tcBorders>
              <w:top w:val="single" w:sz="7" w:space="0" w:color="000000"/>
              <w:left w:val="single" w:sz="7" w:space="0" w:color="000000"/>
              <w:bottom w:val="single" w:sz="7" w:space="0" w:color="000000"/>
              <w:right w:val="single" w:sz="7" w:space="0" w:color="000000"/>
            </w:tcBorders>
          </w:tcPr>
          <w:p w14:paraId="35EC1A4A" w14:textId="77777777" w:rsidR="00DA74AB" w:rsidRPr="00C35766" w:rsidRDefault="00DA74AB" w:rsidP="00D97785">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48,4</w:t>
            </w:r>
          </w:p>
        </w:tc>
        <w:tc>
          <w:tcPr>
            <w:tcW w:w="1419" w:type="dxa"/>
            <w:tcBorders>
              <w:top w:val="single" w:sz="7" w:space="0" w:color="000000"/>
              <w:left w:val="single" w:sz="7" w:space="0" w:color="000000"/>
              <w:bottom w:val="single" w:sz="7" w:space="0" w:color="000000"/>
              <w:right w:val="single" w:sz="7" w:space="0" w:color="000000"/>
            </w:tcBorders>
          </w:tcPr>
          <w:p w14:paraId="3DB94B92" w14:textId="77777777" w:rsidR="00DA74AB" w:rsidRPr="00C35766" w:rsidRDefault="00DA74AB" w:rsidP="00D97785">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0,073</w:t>
            </w:r>
          </w:p>
        </w:tc>
      </w:tr>
      <w:tr w:rsidR="00DA74AB" w:rsidRPr="00C35766" w14:paraId="793ACC53" w14:textId="77777777" w:rsidTr="00A842FF">
        <w:trPr>
          <w:trHeight w:val="177"/>
          <w:jc w:val="center"/>
        </w:trPr>
        <w:tc>
          <w:tcPr>
            <w:tcW w:w="2543" w:type="dxa"/>
            <w:tcBorders>
              <w:top w:val="single" w:sz="7" w:space="0" w:color="000000"/>
              <w:left w:val="single" w:sz="7" w:space="0" w:color="000000"/>
              <w:bottom w:val="single" w:sz="7" w:space="0" w:color="000000"/>
              <w:right w:val="single" w:sz="7" w:space="0" w:color="000000"/>
            </w:tcBorders>
          </w:tcPr>
          <w:p w14:paraId="544ED4E9" w14:textId="77777777" w:rsidR="00DA74AB" w:rsidRPr="00C35766" w:rsidRDefault="00DA74AB" w:rsidP="00D97785">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t>Settimana 52</w:t>
            </w:r>
          </w:p>
        </w:tc>
        <w:tc>
          <w:tcPr>
            <w:tcW w:w="2319" w:type="dxa"/>
            <w:tcBorders>
              <w:top w:val="single" w:sz="7" w:space="0" w:color="000000"/>
              <w:left w:val="single" w:sz="7" w:space="0" w:color="000000"/>
              <w:bottom w:val="single" w:sz="7" w:space="0" w:color="000000"/>
              <w:right w:val="single" w:sz="7" w:space="0" w:color="000000"/>
            </w:tcBorders>
          </w:tcPr>
          <w:p w14:paraId="6F4AE28E" w14:textId="77777777" w:rsidR="00DA74AB" w:rsidRPr="00C35766" w:rsidRDefault="00DA74AB" w:rsidP="00D97785">
            <w:pPr>
              <w:rPr>
                <w:rFonts w:ascii="Times New Roman" w:hAnsi="Times New Roman" w:cs="Times New Roman"/>
              </w:rPr>
            </w:pPr>
          </w:p>
        </w:tc>
        <w:tc>
          <w:tcPr>
            <w:tcW w:w="1965" w:type="dxa"/>
            <w:tcBorders>
              <w:top w:val="single" w:sz="7" w:space="0" w:color="000000"/>
              <w:left w:val="single" w:sz="7" w:space="0" w:color="000000"/>
              <w:bottom w:val="single" w:sz="7" w:space="0" w:color="000000"/>
              <w:right w:val="single" w:sz="7" w:space="0" w:color="000000"/>
            </w:tcBorders>
          </w:tcPr>
          <w:p w14:paraId="26E261B7" w14:textId="77777777" w:rsidR="00DA74AB" w:rsidRPr="00C35766" w:rsidRDefault="00DA74AB" w:rsidP="00D97785">
            <w:pPr>
              <w:rPr>
                <w:rFonts w:ascii="Times New Roman" w:hAnsi="Times New Roman" w:cs="Times New Roman"/>
              </w:rPr>
            </w:pPr>
          </w:p>
        </w:tc>
        <w:tc>
          <w:tcPr>
            <w:tcW w:w="1419" w:type="dxa"/>
            <w:tcBorders>
              <w:top w:val="single" w:sz="7" w:space="0" w:color="000000"/>
              <w:left w:val="single" w:sz="7" w:space="0" w:color="000000"/>
              <w:bottom w:val="single" w:sz="7" w:space="0" w:color="000000"/>
              <w:right w:val="single" w:sz="7" w:space="0" w:color="000000"/>
            </w:tcBorders>
          </w:tcPr>
          <w:p w14:paraId="55CB7455" w14:textId="77777777" w:rsidR="00DA74AB" w:rsidRPr="00C35766" w:rsidRDefault="00DA74AB" w:rsidP="00D97785">
            <w:pPr>
              <w:rPr>
                <w:rFonts w:ascii="Times New Roman" w:hAnsi="Times New Roman" w:cs="Times New Roman"/>
              </w:rPr>
            </w:pPr>
          </w:p>
        </w:tc>
      </w:tr>
      <w:tr w:rsidR="00DA74AB" w:rsidRPr="00C35766" w14:paraId="5415C391" w14:textId="77777777" w:rsidTr="00A842FF">
        <w:trPr>
          <w:trHeight w:val="161"/>
          <w:jc w:val="center"/>
        </w:trPr>
        <w:tc>
          <w:tcPr>
            <w:tcW w:w="2543" w:type="dxa"/>
            <w:tcBorders>
              <w:top w:val="single" w:sz="7" w:space="0" w:color="000000"/>
              <w:left w:val="single" w:sz="7" w:space="0" w:color="000000"/>
              <w:bottom w:val="single" w:sz="7" w:space="0" w:color="000000"/>
              <w:right w:val="single" w:sz="7" w:space="0" w:color="000000"/>
            </w:tcBorders>
          </w:tcPr>
          <w:p w14:paraId="5FBD781F" w14:textId="77777777" w:rsidR="00DA74AB" w:rsidRPr="00C35766" w:rsidRDefault="00DA74AB" w:rsidP="00D97785">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2319" w:type="dxa"/>
            <w:tcBorders>
              <w:top w:val="single" w:sz="7" w:space="0" w:color="000000"/>
              <w:left w:val="single" w:sz="7" w:space="0" w:color="000000"/>
              <w:bottom w:val="single" w:sz="7" w:space="0" w:color="000000"/>
              <w:right w:val="single" w:sz="7" w:space="0" w:color="000000"/>
            </w:tcBorders>
          </w:tcPr>
          <w:p w14:paraId="02B633BA" w14:textId="77777777" w:rsidR="00DA74AB" w:rsidRPr="00C35766" w:rsidRDefault="00DA74AB" w:rsidP="00D97785">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33,3%</w:t>
            </w:r>
          </w:p>
        </w:tc>
        <w:tc>
          <w:tcPr>
            <w:tcW w:w="1965" w:type="dxa"/>
            <w:tcBorders>
              <w:top w:val="single" w:sz="7" w:space="0" w:color="000000"/>
              <w:left w:val="single" w:sz="7" w:space="0" w:color="000000"/>
              <w:bottom w:val="single" w:sz="7" w:space="0" w:color="000000"/>
              <w:right w:val="single" w:sz="7" w:space="0" w:color="000000"/>
            </w:tcBorders>
          </w:tcPr>
          <w:p w14:paraId="22EB20B7" w14:textId="77777777" w:rsidR="00DA74AB" w:rsidRPr="00C35766" w:rsidRDefault="00DA74AB" w:rsidP="00D97785">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23,2%</w:t>
            </w:r>
          </w:p>
        </w:tc>
        <w:tc>
          <w:tcPr>
            <w:tcW w:w="1419" w:type="dxa"/>
            <w:tcBorders>
              <w:top w:val="single" w:sz="7" w:space="0" w:color="000000"/>
              <w:left w:val="single" w:sz="7" w:space="0" w:color="000000"/>
              <w:bottom w:val="single" w:sz="7" w:space="0" w:color="000000"/>
              <w:right w:val="single" w:sz="7" w:space="0" w:color="000000"/>
            </w:tcBorders>
          </w:tcPr>
          <w:p w14:paraId="3152E486" w14:textId="77777777" w:rsidR="00DA74AB" w:rsidRPr="00C35766" w:rsidRDefault="00DA74AB" w:rsidP="00D97785">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0,100</w:t>
            </w:r>
          </w:p>
        </w:tc>
      </w:tr>
      <w:tr w:rsidR="00DA74AB" w:rsidRPr="00C35766" w14:paraId="21585ED3" w14:textId="77777777" w:rsidTr="00A842FF">
        <w:trPr>
          <w:trHeight w:val="161"/>
          <w:jc w:val="center"/>
        </w:trPr>
        <w:tc>
          <w:tcPr>
            <w:tcW w:w="2543" w:type="dxa"/>
            <w:tcBorders>
              <w:top w:val="single" w:sz="7" w:space="0" w:color="000000"/>
              <w:left w:val="single" w:sz="7" w:space="0" w:color="000000"/>
              <w:bottom w:val="single" w:sz="7" w:space="0" w:color="000000"/>
              <w:right w:val="single" w:sz="7" w:space="0" w:color="000000"/>
            </w:tcBorders>
          </w:tcPr>
          <w:p w14:paraId="61FC782D" w14:textId="77777777" w:rsidR="00DA74AB" w:rsidRPr="00C35766" w:rsidRDefault="00DA74AB" w:rsidP="00D97785">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2319" w:type="dxa"/>
            <w:tcBorders>
              <w:top w:val="single" w:sz="7" w:space="0" w:color="000000"/>
              <w:left w:val="single" w:sz="7" w:space="0" w:color="000000"/>
              <w:bottom w:val="single" w:sz="7" w:space="0" w:color="000000"/>
              <w:right w:val="single" w:sz="7" w:space="0" w:color="000000"/>
            </w:tcBorders>
          </w:tcPr>
          <w:p w14:paraId="2D9B42C5" w14:textId="77777777" w:rsidR="00DA74AB" w:rsidRPr="00C35766" w:rsidRDefault="00DA74AB" w:rsidP="00D97785">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41,9%</w:t>
            </w:r>
          </w:p>
        </w:tc>
        <w:tc>
          <w:tcPr>
            <w:tcW w:w="1965" w:type="dxa"/>
            <w:tcBorders>
              <w:top w:val="single" w:sz="7" w:space="0" w:color="000000"/>
              <w:left w:val="single" w:sz="7" w:space="0" w:color="000000"/>
              <w:bottom w:val="single" w:sz="7" w:space="0" w:color="000000"/>
              <w:right w:val="single" w:sz="7" w:space="0" w:color="000000"/>
            </w:tcBorders>
          </w:tcPr>
          <w:p w14:paraId="385D530A" w14:textId="77777777" w:rsidR="00DA74AB" w:rsidRPr="00C35766" w:rsidRDefault="00DA74AB" w:rsidP="00D97785">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9" w:type="dxa"/>
            <w:tcBorders>
              <w:top w:val="single" w:sz="7" w:space="0" w:color="000000"/>
              <w:left w:val="single" w:sz="7" w:space="0" w:color="000000"/>
              <w:bottom w:val="single" w:sz="7" w:space="0" w:color="000000"/>
              <w:right w:val="single" w:sz="7" w:space="0" w:color="000000"/>
            </w:tcBorders>
          </w:tcPr>
          <w:p w14:paraId="6F476771" w14:textId="77777777" w:rsidR="00DA74AB" w:rsidRPr="00C35766" w:rsidRDefault="00DA74AB" w:rsidP="00D97785">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0,038</w:t>
            </w:r>
          </w:p>
        </w:tc>
      </w:tr>
      <w:tr w:rsidR="00DA74AB" w:rsidRPr="00494E69" w14:paraId="211BA23E" w14:textId="77777777" w:rsidTr="00D97785">
        <w:trPr>
          <w:trHeight w:val="161"/>
          <w:jc w:val="center"/>
        </w:trPr>
        <w:tc>
          <w:tcPr>
            <w:tcW w:w="8246" w:type="dxa"/>
            <w:gridSpan w:val="4"/>
            <w:tcBorders>
              <w:top w:val="single" w:sz="7" w:space="0" w:color="000000"/>
              <w:left w:val="single" w:sz="7" w:space="0" w:color="000000"/>
              <w:bottom w:val="single" w:sz="7" w:space="0" w:color="000000"/>
              <w:right w:val="single" w:sz="7" w:space="0" w:color="000000"/>
            </w:tcBorders>
          </w:tcPr>
          <w:p w14:paraId="563A9965" w14:textId="77777777" w:rsidR="00DA74AB" w:rsidRPr="00C35766" w:rsidRDefault="00DA74AB" w:rsidP="00D97785">
            <w:pPr>
              <w:pStyle w:val="TableParagraph"/>
              <w:spacing w:line="246" w:lineRule="exact"/>
              <w:ind w:left="13"/>
              <w:rPr>
                <w:rFonts w:ascii="Times New Roman" w:hAnsi="Times New Roman" w:cs="Times New Roman"/>
                <w:lang w:val="it-IT"/>
              </w:rPr>
            </w:pPr>
            <w:r w:rsidRPr="00C35766">
              <w:rPr>
                <w:rFonts w:ascii="Times New Roman" w:eastAsia="Times New Roman" w:hAnsi="Times New Roman" w:cs="Times New Roman"/>
                <w:lang w:val="it-IT"/>
              </w:rPr>
              <w:t xml:space="preserve">* confronto valore p per Dose Standard </w:t>
            </w:r>
            <w:r w:rsidRPr="00C35766">
              <w:rPr>
                <w:rFonts w:ascii="Times New Roman" w:hAnsi="Times New Roman" w:cs="Times New Roman"/>
                <w:lang w:val="it-IT"/>
              </w:rPr>
              <w:t>versus</w:t>
            </w:r>
            <w:r w:rsidRPr="00C35766">
              <w:rPr>
                <w:rFonts w:ascii="Times New Roman" w:eastAsia="Times New Roman" w:hAnsi="Times New Roman" w:cs="Times New Roman"/>
                <w:lang w:val="it-IT"/>
              </w:rPr>
              <w:t xml:space="preserve"> Bassa Dose.</w:t>
            </w:r>
          </w:p>
        </w:tc>
      </w:tr>
    </w:tbl>
    <w:p w14:paraId="3C2BE33D" w14:textId="77777777" w:rsidR="00DA74AB" w:rsidRDefault="00DA74AB" w:rsidP="00DA74AB">
      <w:pPr>
        <w:spacing w:before="10" w:line="240" w:lineRule="exact"/>
        <w:rPr>
          <w:rFonts w:ascii="Times New Roman" w:hAnsi="Times New Roman" w:cs="Times New Roman"/>
          <w:sz w:val="24"/>
          <w:lang w:val="it-IT"/>
        </w:rPr>
      </w:pPr>
    </w:p>
    <w:p w14:paraId="7AB97645" w14:textId="77777777" w:rsidR="00DA74AB" w:rsidRPr="00824699" w:rsidRDefault="00DA74AB" w:rsidP="00DA74AB">
      <w:pPr>
        <w:rPr>
          <w:rFonts w:ascii="Times New Roman" w:hAnsi="Times New Roman" w:cs="Times New Roman"/>
          <w:sz w:val="24"/>
          <w:szCs w:val="24"/>
          <w:lang w:val="it-IT"/>
        </w:rPr>
      </w:pPr>
    </w:p>
    <w:tbl>
      <w:tblPr>
        <w:tblStyle w:val="TableNormal1"/>
        <w:tblW w:w="8638" w:type="dxa"/>
        <w:jc w:val="center"/>
        <w:tblLayout w:type="fixed"/>
        <w:tblLook w:val="01E0" w:firstRow="1" w:lastRow="1" w:firstColumn="1" w:lastColumn="1" w:noHBand="0" w:noVBand="0"/>
      </w:tblPr>
      <w:tblGrid>
        <w:gridCol w:w="2826"/>
        <w:gridCol w:w="2268"/>
        <w:gridCol w:w="1985"/>
        <w:gridCol w:w="1559"/>
      </w:tblGrid>
      <w:tr w:rsidR="00DA74AB" w:rsidRPr="00494E69" w14:paraId="6EC48ADC" w14:textId="77777777" w:rsidTr="00A842FF">
        <w:trPr>
          <w:jc w:val="center"/>
        </w:trPr>
        <w:tc>
          <w:tcPr>
            <w:tcW w:w="8638" w:type="dxa"/>
            <w:gridSpan w:val="4"/>
            <w:tcBorders>
              <w:top w:val="single" w:sz="7" w:space="0" w:color="000000"/>
              <w:left w:val="single" w:sz="7" w:space="0" w:color="000000"/>
              <w:bottom w:val="single" w:sz="7" w:space="0" w:color="000000"/>
              <w:right w:val="single" w:sz="7" w:space="0" w:color="000000"/>
            </w:tcBorders>
          </w:tcPr>
          <w:p w14:paraId="37FB3079" w14:textId="71721122" w:rsidR="00DA74AB" w:rsidRPr="00C35766" w:rsidRDefault="00DA74AB" w:rsidP="00D97785">
            <w:pPr>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Tabella </w:t>
            </w:r>
            <w:r>
              <w:rPr>
                <w:rFonts w:ascii="Times New Roman" w:eastAsia="Times New Roman" w:hAnsi="Times New Roman" w:cs="Times New Roman"/>
                <w:b/>
                <w:bCs/>
                <w:lang w:val="it-IT"/>
              </w:rPr>
              <w:t>20</w:t>
            </w:r>
          </w:p>
          <w:p w14:paraId="3A7F7217" w14:textId="77777777" w:rsidR="00DA74AB" w:rsidRPr="00C35766" w:rsidRDefault="00DA74AB" w:rsidP="00D97785">
            <w:pPr>
              <w:pStyle w:val="TableParagraph"/>
              <w:spacing w:before="3" w:line="252" w:lineRule="exact"/>
              <w:ind w:left="3239" w:right="962" w:hanging="438"/>
              <w:rPr>
                <w:rFonts w:ascii="Times New Roman" w:eastAsia="Times New Roman" w:hAnsi="Times New Roman" w:cs="Times New Roman"/>
                <w:lang w:val="es-ES"/>
              </w:rPr>
            </w:pPr>
            <w:r w:rsidRPr="00C35766">
              <w:rPr>
                <w:rFonts w:ascii="Times New Roman" w:eastAsia="Times New Roman" w:hAnsi="Times New Roman" w:cs="Times New Roman"/>
                <w:b/>
                <w:bCs/>
                <w:lang w:val="it-IT"/>
              </w:rPr>
              <w:t>Studio della Malattia di Crohn Pediatrica</w:t>
            </w:r>
          </w:p>
          <w:p w14:paraId="4648B7EB" w14:textId="77777777" w:rsidR="00DA74AB" w:rsidRPr="00C35766" w:rsidRDefault="00DA74AB" w:rsidP="00D97785">
            <w:pPr>
              <w:pStyle w:val="TableParagraph"/>
              <w:spacing w:line="249" w:lineRule="exact"/>
              <w:ind w:left="431"/>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Interruzione dei corticosteroidi o immunomodulatori e remissione della fistola</w:t>
            </w:r>
          </w:p>
        </w:tc>
      </w:tr>
      <w:tr w:rsidR="00DA74AB" w:rsidRPr="00C35766" w14:paraId="113A2F39"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0510079F" w14:textId="77777777" w:rsidR="00DA74AB" w:rsidRPr="00C35766" w:rsidRDefault="00DA74AB" w:rsidP="00D97785">
            <w:pPr>
              <w:rPr>
                <w:rFonts w:ascii="Times New Roman" w:hAnsi="Times New Roman" w:cs="Times New Roman"/>
                <w:lang w:val="pt-BR"/>
              </w:rPr>
            </w:pPr>
          </w:p>
        </w:tc>
        <w:tc>
          <w:tcPr>
            <w:tcW w:w="2268" w:type="dxa"/>
            <w:tcBorders>
              <w:top w:val="single" w:sz="7" w:space="0" w:color="000000"/>
              <w:left w:val="single" w:sz="7" w:space="0" w:color="000000"/>
              <w:bottom w:val="single" w:sz="7" w:space="0" w:color="000000"/>
              <w:right w:val="single" w:sz="7" w:space="0" w:color="000000"/>
            </w:tcBorders>
            <w:vAlign w:val="center"/>
          </w:tcPr>
          <w:p w14:paraId="53010F3D" w14:textId="77777777" w:rsidR="00DA74AB" w:rsidRPr="00C35766" w:rsidRDefault="00DA74AB" w:rsidP="00D97785">
            <w:pPr>
              <w:pStyle w:val="TableParagraph"/>
              <w:spacing w:line="251" w:lineRule="exact"/>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standard</w:t>
            </w:r>
          </w:p>
          <w:p w14:paraId="6AB28501" w14:textId="77777777" w:rsidR="00DA74AB" w:rsidRPr="00C35766" w:rsidRDefault="00DA74AB" w:rsidP="00D97785">
            <w:pPr>
              <w:pStyle w:val="TableParagraph"/>
              <w:spacing w:before="1" w:line="252"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40/20 mg a settimane alterne</w:t>
            </w:r>
          </w:p>
        </w:tc>
        <w:tc>
          <w:tcPr>
            <w:tcW w:w="1985" w:type="dxa"/>
            <w:tcBorders>
              <w:top w:val="single" w:sz="7" w:space="0" w:color="000000"/>
              <w:left w:val="single" w:sz="7" w:space="0" w:color="000000"/>
              <w:bottom w:val="single" w:sz="7" w:space="0" w:color="000000"/>
              <w:right w:val="single" w:sz="7" w:space="0" w:color="000000"/>
            </w:tcBorders>
            <w:vAlign w:val="center"/>
          </w:tcPr>
          <w:p w14:paraId="5DA55C24" w14:textId="77777777" w:rsidR="00DA74AB" w:rsidRPr="00C35766" w:rsidRDefault="00DA74AB" w:rsidP="00D97785">
            <w:pPr>
              <w:pStyle w:val="TableParagraph"/>
              <w:spacing w:line="251" w:lineRule="exact"/>
              <w:ind w:right="31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Dose bassa</w:t>
            </w:r>
          </w:p>
          <w:p w14:paraId="2BCCB6AF" w14:textId="77777777" w:rsidR="00DA74AB" w:rsidRPr="00C35766" w:rsidRDefault="00DA74AB" w:rsidP="00D97785">
            <w:pPr>
              <w:pStyle w:val="TableParagraph"/>
              <w:spacing w:before="1" w:line="252" w:lineRule="exact"/>
              <w:ind w:right="143"/>
              <w:jc w:val="center"/>
              <w:rPr>
                <w:rFonts w:ascii="Times New Roman" w:eastAsia="Times New Roman" w:hAnsi="Times New Roman" w:cs="Times New Roman"/>
                <w:lang w:val="pt-BR"/>
              </w:rPr>
            </w:pPr>
            <w:r w:rsidRPr="00C35766">
              <w:rPr>
                <w:rFonts w:ascii="Times New Roman" w:eastAsia="Times New Roman" w:hAnsi="Times New Roman" w:cs="Times New Roman"/>
                <w:b/>
                <w:bCs/>
                <w:lang w:val="it-IT"/>
              </w:rPr>
              <w:t>20/10 mg a settimane alterne</w:t>
            </w:r>
          </w:p>
        </w:tc>
        <w:tc>
          <w:tcPr>
            <w:tcW w:w="1559" w:type="dxa"/>
            <w:tcBorders>
              <w:top w:val="single" w:sz="7" w:space="0" w:color="000000"/>
              <w:left w:val="single" w:sz="7" w:space="0" w:color="000000"/>
              <w:bottom w:val="single" w:sz="7" w:space="0" w:color="000000"/>
              <w:right w:val="single" w:sz="7" w:space="0" w:color="000000"/>
            </w:tcBorders>
            <w:vAlign w:val="center"/>
          </w:tcPr>
          <w:p w14:paraId="678916BD" w14:textId="77777777" w:rsidR="00DA74AB" w:rsidRPr="00C35766" w:rsidRDefault="00DA74AB" w:rsidP="00D97785">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b/>
                <w:bCs/>
                <w:vertAlign w:val="superscript"/>
                <w:lang w:val="it-IT"/>
              </w:rPr>
              <w:t>1</w:t>
            </w:r>
          </w:p>
        </w:tc>
      </w:tr>
      <w:tr w:rsidR="00DA74AB" w:rsidRPr="00C35766" w14:paraId="3DBDABEE"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00325A07" w14:textId="77777777" w:rsidR="00DA74AB" w:rsidRPr="00C35766" w:rsidRDefault="00DA74AB" w:rsidP="00D9778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Corticosteroidi interrotti</w:t>
            </w:r>
          </w:p>
        </w:tc>
        <w:tc>
          <w:tcPr>
            <w:tcW w:w="2268" w:type="dxa"/>
            <w:tcBorders>
              <w:top w:val="single" w:sz="7" w:space="0" w:color="000000"/>
              <w:left w:val="single" w:sz="7" w:space="0" w:color="000000"/>
              <w:bottom w:val="single" w:sz="7" w:space="0" w:color="000000"/>
              <w:right w:val="single" w:sz="7" w:space="0" w:color="000000"/>
            </w:tcBorders>
          </w:tcPr>
          <w:p w14:paraId="26B47A7D" w14:textId="77777777" w:rsidR="00DA74AB" w:rsidRPr="00C35766" w:rsidRDefault="00DA74AB" w:rsidP="00D97785">
            <w:pPr>
              <w:pStyle w:val="TableParagraph"/>
              <w:spacing w:line="251" w:lineRule="exact"/>
              <w:ind w:left="546"/>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33</w:t>
            </w:r>
          </w:p>
        </w:tc>
        <w:tc>
          <w:tcPr>
            <w:tcW w:w="1985" w:type="dxa"/>
            <w:tcBorders>
              <w:top w:val="single" w:sz="7" w:space="0" w:color="000000"/>
              <w:left w:val="single" w:sz="7" w:space="0" w:color="000000"/>
              <w:bottom w:val="single" w:sz="7" w:space="0" w:color="000000"/>
              <w:right w:val="single" w:sz="7" w:space="0" w:color="000000"/>
            </w:tcBorders>
          </w:tcPr>
          <w:p w14:paraId="74CBCCDF" w14:textId="77777777" w:rsidR="00DA74AB" w:rsidRPr="00C35766" w:rsidRDefault="00DA74AB" w:rsidP="00D9778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N=38</w:t>
            </w:r>
          </w:p>
        </w:tc>
        <w:tc>
          <w:tcPr>
            <w:tcW w:w="1559" w:type="dxa"/>
            <w:tcBorders>
              <w:top w:val="single" w:sz="7" w:space="0" w:color="000000"/>
              <w:left w:val="single" w:sz="7" w:space="0" w:color="000000"/>
              <w:bottom w:val="single" w:sz="7" w:space="0" w:color="000000"/>
              <w:right w:val="single" w:sz="7" w:space="0" w:color="000000"/>
            </w:tcBorders>
          </w:tcPr>
          <w:p w14:paraId="497F8FD5" w14:textId="77777777" w:rsidR="00DA74AB" w:rsidRPr="00C35766" w:rsidRDefault="00DA74AB" w:rsidP="00D97785">
            <w:pPr>
              <w:rPr>
                <w:rFonts w:ascii="Times New Roman" w:hAnsi="Times New Roman" w:cs="Times New Roman"/>
              </w:rPr>
            </w:pPr>
          </w:p>
        </w:tc>
      </w:tr>
      <w:tr w:rsidR="00DA74AB" w:rsidRPr="00C35766" w14:paraId="65D5C431"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3079A33A" w14:textId="77777777" w:rsidR="00DA74AB" w:rsidRPr="00C35766" w:rsidRDefault="00DA74AB" w:rsidP="00D9778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26</w:t>
            </w:r>
          </w:p>
        </w:tc>
        <w:tc>
          <w:tcPr>
            <w:tcW w:w="2268" w:type="dxa"/>
            <w:tcBorders>
              <w:top w:val="single" w:sz="7" w:space="0" w:color="000000"/>
              <w:left w:val="single" w:sz="7" w:space="0" w:color="000000"/>
              <w:bottom w:val="single" w:sz="7" w:space="0" w:color="000000"/>
              <w:right w:val="single" w:sz="7" w:space="0" w:color="000000"/>
            </w:tcBorders>
          </w:tcPr>
          <w:p w14:paraId="4577B2C6" w14:textId="77777777" w:rsidR="00DA74AB" w:rsidRPr="00C35766" w:rsidRDefault="00DA74AB" w:rsidP="00D9778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84,8%</w:t>
            </w:r>
          </w:p>
        </w:tc>
        <w:tc>
          <w:tcPr>
            <w:tcW w:w="1985" w:type="dxa"/>
            <w:tcBorders>
              <w:top w:val="single" w:sz="7" w:space="0" w:color="000000"/>
              <w:left w:val="single" w:sz="7" w:space="0" w:color="000000"/>
              <w:bottom w:val="single" w:sz="7" w:space="0" w:color="000000"/>
              <w:right w:val="single" w:sz="7" w:space="0" w:color="000000"/>
            </w:tcBorders>
          </w:tcPr>
          <w:p w14:paraId="1C123371" w14:textId="77777777" w:rsidR="00DA74AB" w:rsidRPr="00C35766" w:rsidRDefault="00DA74AB" w:rsidP="00D9778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65,8%</w:t>
            </w:r>
          </w:p>
        </w:tc>
        <w:tc>
          <w:tcPr>
            <w:tcW w:w="1559" w:type="dxa"/>
            <w:tcBorders>
              <w:top w:val="single" w:sz="7" w:space="0" w:color="000000"/>
              <w:left w:val="single" w:sz="7" w:space="0" w:color="000000"/>
              <w:bottom w:val="single" w:sz="7" w:space="0" w:color="000000"/>
              <w:right w:val="single" w:sz="7" w:space="0" w:color="000000"/>
            </w:tcBorders>
          </w:tcPr>
          <w:p w14:paraId="014C43E8" w14:textId="77777777" w:rsidR="00DA74AB" w:rsidRPr="00C35766" w:rsidRDefault="00DA74AB" w:rsidP="00D9778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0,066</w:t>
            </w:r>
          </w:p>
        </w:tc>
      </w:tr>
      <w:tr w:rsidR="00DA74AB" w:rsidRPr="00C35766" w14:paraId="0A47EBD3"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54D46C62" w14:textId="77777777" w:rsidR="00DA74AB" w:rsidRPr="00C35766" w:rsidRDefault="00DA74AB" w:rsidP="00D9778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2268" w:type="dxa"/>
            <w:tcBorders>
              <w:top w:val="single" w:sz="7" w:space="0" w:color="000000"/>
              <w:left w:val="single" w:sz="7" w:space="0" w:color="000000"/>
              <w:bottom w:val="single" w:sz="7" w:space="0" w:color="000000"/>
              <w:right w:val="single" w:sz="7" w:space="0" w:color="000000"/>
            </w:tcBorders>
          </w:tcPr>
          <w:p w14:paraId="744ED612" w14:textId="77777777" w:rsidR="00DA74AB" w:rsidRPr="00C35766" w:rsidRDefault="00DA74AB" w:rsidP="00D9778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69,7%</w:t>
            </w:r>
          </w:p>
        </w:tc>
        <w:tc>
          <w:tcPr>
            <w:tcW w:w="1985" w:type="dxa"/>
            <w:tcBorders>
              <w:top w:val="single" w:sz="7" w:space="0" w:color="000000"/>
              <w:left w:val="single" w:sz="7" w:space="0" w:color="000000"/>
              <w:bottom w:val="single" w:sz="7" w:space="0" w:color="000000"/>
              <w:right w:val="single" w:sz="7" w:space="0" w:color="000000"/>
            </w:tcBorders>
          </w:tcPr>
          <w:p w14:paraId="0F777504" w14:textId="77777777" w:rsidR="00DA74AB" w:rsidRPr="00C35766" w:rsidRDefault="00DA74AB" w:rsidP="00D9778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60,5%</w:t>
            </w:r>
          </w:p>
        </w:tc>
        <w:tc>
          <w:tcPr>
            <w:tcW w:w="1559" w:type="dxa"/>
            <w:tcBorders>
              <w:top w:val="single" w:sz="7" w:space="0" w:color="000000"/>
              <w:left w:val="single" w:sz="7" w:space="0" w:color="000000"/>
              <w:bottom w:val="single" w:sz="7" w:space="0" w:color="000000"/>
              <w:right w:val="single" w:sz="7" w:space="0" w:color="000000"/>
            </w:tcBorders>
          </w:tcPr>
          <w:p w14:paraId="74D0D352" w14:textId="77777777" w:rsidR="00DA74AB" w:rsidRPr="00C35766" w:rsidRDefault="00DA74AB" w:rsidP="00D9778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0,420</w:t>
            </w:r>
          </w:p>
        </w:tc>
      </w:tr>
      <w:tr w:rsidR="00DA74AB" w:rsidRPr="00C35766" w14:paraId="0B463E5A"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042EBB06" w14:textId="77777777" w:rsidR="00DA74AB" w:rsidRPr="00C35766" w:rsidRDefault="00DA74AB" w:rsidP="00D9778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Interruzione degli immunomodulatori</w:t>
            </w:r>
            <w:r w:rsidRPr="00C35766">
              <w:rPr>
                <w:rFonts w:ascii="Times New Roman" w:hAnsi="Times New Roman" w:cs="Times New Roman"/>
                <w:b/>
                <w:spacing w:val="-1"/>
                <w:vertAlign w:val="superscript"/>
                <w:lang w:val="it-IT"/>
              </w:rPr>
              <w:t>2</w:t>
            </w:r>
          </w:p>
        </w:tc>
        <w:tc>
          <w:tcPr>
            <w:tcW w:w="2268" w:type="dxa"/>
            <w:tcBorders>
              <w:top w:val="single" w:sz="7" w:space="0" w:color="000000"/>
              <w:left w:val="single" w:sz="7" w:space="0" w:color="000000"/>
              <w:bottom w:val="single" w:sz="7" w:space="0" w:color="000000"/>
              <w:right w:val="single" w:sz="7" w:space="0" w:color="000000"/>
            </w:tcBorders>
          </w:tcPr>
          <w:p w14:paraId="0FC97F98" w14:textId="77777777" w:rsidR="00DA74AB" w:rsidRPr="00C35766" w:rsidRDefault="00DA74AB" w:rsidP="00D97785">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N=60</w:t>
            </w:r>
          </w:p>
        </w:tc>
        <w:tc>
          <w:tcPr>
            <w:tcW w:w="1985" w:type="dxa"/>
            <w:tcBorders>
              <w:top w:val="single" w:sz="7" w:space="0" w:color="000000"/>
              <w:left w:val="single" w:sz="7" w:space="0" w:color="000000"/>
              <w:bottom w:val="single" w:sz="7" w:space="0" w:color="000000"/>
              <w:right w:val="single" w:sz="7" w:space="0" w:color="000000"/>
            </w:tcBorders>
          </w:tcPr>
          <w:p w14:paraId="4030965A" w14:textId="77777777" w:rsidR="00DA74AB" w:rsidRPr="00C35766" w:rsidRDefault="00DA74AB" w:rsidP="00D9778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N=57</w:t>
            </w:r>
          </w:p>
        </w:tc>
        <w:tc>
          <w:tcPr>
            <w:tcW w:w="1559" w:type="dxa"/>
            <w:tcBorders>
              <w:top w:val="single" w:sz="7" w:space="0" w:color="000000"/>
              <w:left w:val="single" w:sz="7" w:space="0" w:color="000000"/>
              <w:bottom w:val="single" w:sz="7" w:space="0" w:color="000000"/>
              <w:right w:val="single" w:sz="7" w:space="0" w:color="000000"/>
            </w:tcBorders>
          </w:tcPr>
          <w:p w14:paraId="2304D403" w14:textId="77777777" w:rsidR="00DA74AB" w:rsidRPr="00C35766" w:rsidRDefault="00DA74AB" w:rsidP="00D97785">
            <w:pPr>
              <w:rPr>
                <w:rFonts w:ascii="Times New Roman" w:hAnsi="Times New Roman" w:cs="Times New Roman"/>
              </w:rPr>
            </w:pPr>
          </w:p>
        </w:tc>
      </w:tr>
      <w:tr w:rsidR="00DA74AB" w:rsidRPr="00C35766" w14:paraId="3D96D88B"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20D2AC35" w14:textId="77777777" w:rsidR="00DA74AB" w:rsidRPr="00C35766" w:rsidRDefault="00DA74AB" w:rsidP="00D9778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2268" w:type="dxa"/>
            <w:tcBorders>
              <w:top w:val="single" w:sz="7" w:space="0" w:color="000000"/>
              <w:left w:val="single" w:sz="7" w:space="0" w:color="000000"/>
              <w:bottom w:val="single" w:sz="7" w:space="0" w:color="000000"/>
              <w:right w:val="single" w:sz="7" w:space="0" w:color="000000"/>
            </w:tcBorders>
          </w:tcPr>
          <w:p w14:paraId="4D2538DB" w14:textId="77777777" w:rsidR="00DA74AB" w:rsidRPr="00C35766" w:rsidRDefault="00DA74AB" w:rsidP="00D9778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30,0%</w:t>
            </w:r>
          </w:p>
        </w:tc>
        <w:tc>
          <w:tcPr>
            <w:tcW w:w="1985" w:type="dxa"/>
            <w:tcBorders>
              <w:top w:val="single" w:sz="7" w:space="0" w:color="000000"/>
              <w:left w:val="single" w:sz="7" w:space="0" w:color="000000"/>
              <w:bottom w:val="single" w:sz="7" w:space="0" w:color="000000"/>
              <w:right w:val="single" w:sz="7" w:space="0" w:color="000000"/>
            </w:tcBorders>
          </w:tcPr>
          <w:p w14:paraId="28030DF7" w14:textId="77777777" w:rsidR="00DA74AB" w:rsidRPr="00C35766" w:rsidRDefault="00DA74AB" w:rsidP="00D9778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29,8%</w:t>
            </w:r>
          </w:p>
        </w:tc>
        <w:tc>
          <w:tcPr>
            <w:tcW w:w="1559" w:type="dxa"/>
            <w:tcBorders>
              <w:top w:val="single" w:sz="7" w:space="0" w:color="000000"/>
              <w:left w:val="single" w:sz="7" w:space="0" w:color="000000"/>
              <w:bottom w:val="single" w:sz="7" w:space="0" w:color="000000"/>
              <w:right w:val="single" w:sz="7" w:space="0" w:color="000000"/>
            </w:tcBorders>
          </w:tcPr>
          <w:p w14:paraId="183B7F7F" w14:textId="77777777" w:rsidR="00DA74AB" w:rsidRPr="00C35766" w:rsidRDefault="00DA74AB" w:rsidP="00D9778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0,983</w:t>
            </w:r>
          </w:p>
        </w:tc>
      </w:tr>
      <w:tr w:rsidR="00DA74AB" w:rsidRPr="00C35766" w14:paraId="70DE2CEE"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5EFE292E" w14:textId="77777777" w:rsidR="00DA74AB" w:rsidRPr="00C35766" w:rsidRDefault="00DA74AB" w:rsidP="00D97785">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Remissione della fistola</w:t>
            </w:r>
            <w:r w:rsidRPr="00C35766">
              <w:rPr>
                <w:rFonts w:ascii="Times New Roman" w:eastAsia="Times New Roman" w:hAnsi="Times New Roman" w:cs="Times New Roman"/>
                <w:b/>
                <w:bCs/>
                <w:spacing w:val="-1"/>
                <w:vertAlign w:val="superscript"/>
                <w:lang w:val="it-IT"/>
              </w:rPr>
              <w:t>3</w:t>
            </w:r>
          </w:p>
        </w:tc>
        <w:tc>
          <w:tcPr>
            <w:tcW w:w="2268" w:type="dxa"/>
            <w:tcBorders>
              <w:top w:val="single" w:sz="7" w:space="0" w:color="000000"/>
              <w:left w:val="single" w:sz="7" w:space="0" w:color="000000"/>
              <w:bottom w:val="single" w:sz="7" w:space="0" w:color="000000"/>
              <w:right w:val="single" w:sz="7" w:space="0" w:color="000000"/>
            </w:tcBorders>
          </w:tcPr>
          <w:p w14:paraId="577EBE00" w14:textId="77777777" w:rsidR="00DA74AB" w:rsidRPr="00C35766" w:rsidRDefault="00DA74AB" w:rsidP="00D97785">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w:t>
            </w:r>
          </w:p>
        </w:tc>
        <w:tc>
          <w:tcPr>
            <w:tcW w:w="1985" w:type="dxa"/>
            <w:tcBorders>
              <w:top w:val="single" w:sz="7" w:space="0" w:color="000000"/>
              <w:left w:val="single" w:sz="7" w:space="0" w:color="000000"/>
              <w:bottom w:val="single" w:sz="7" w:space="0" w:color="000000"/>
              <w:right w:val="single" w:sz="7" w:space="0" w:color="000000"/>
            </w:tcBorders>
          </w:tcPr>
          <w:p w14:paraId="344BDC3E" w14:textId="77777777" w:rsidR="00DA74AB" w:rsidRPr="00C35766" w:rsidRDefault="00DA74AB" w:rsidP="00D97785">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N=21</w:t>
            </w:r>
          </w:p>
        </w:tc>
        <w:tc>
          <w:tcPr>
            <w:tcW w:w="1559" w:type="dxa"/>
            <w:tcBorders>
              <w:top w:val="single" w:sz="7" w:space="0" w:color="000000"/>
              <w:left w:val="single" w:sz="7" w:space="0" w:color="000000"/>
              <w:bottom w:val="single" w:sz="7" w:space="0" w:color="000000"/>
              <w:right w:val="single" w:sz="7" w:space="0" w:color="000000"/>
            </w:tcBorders>
          </w:tcPr>
          <w:p w14:paraId="5D4D12FC" w14:textId="77777777" w:rsidR="00DA74AB" w:rsidRPr="00C35766" w:rsidRDefault="00DA74AB" w:rsidP="00D97785">
            <w:pPr>
              <w:rPr>
                <w:rFonts w:ascii="Times New Roman" w:hAnsi="Times New Roman" w:cs="Times New Roman"/>
              </w:rPr>
            </w:pPr>
          </w:p>
        </w:tc>
      </w:tr>
      <w:tr w:rsidR="00DA74AB" w:rsidRPr="00C35766" w14:paraId="55CC76BC" w14:textId="77777777" w:rsidTr="00A842FF">
        <w:trPr>
          <w:jc w:val="center"/>
        </w:trPr>
        <w:tc>
          <w:tcPr>
            <w:tcW w:w="2826" w:type="dxa"/>
            <w:tcBorders>
              <w:top w:val="single" w:sz="7" w:space="0" w:color="000000"/>
              <w:left w:val="single" w:sz="7" w:space="0" w:color="000000"/>
              <w:bottom w:val="single" w:sz="7" w:space="0" w:color="000000"/>
              <w:right w:val="single" w:sz="7" w:space="0" w:color="000000"/>
            </w:tcBorders>
          </w:tcPr>
          <w:p w14:paraId="166E8912" w14:textId="77777777" w:rsidR="00DA74AB" w:rsidRPr="00C35766" w:rsidRDefault="00DA74AB" w:rsidP="00D9778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26</w:t>
            </w:r>
          </w:p>
        </w:tc>
        <w:tc>
          <w:tcPr>
            <w:tcW w:w="2268" w:type="dxa"/>
            <w:tcBorders>
              <w:top w:val="single" w:sz="7" w:space="0" w:color="000000"/>
              <w:left w:val="single" w:sz="7" w:space="0" w:color="000000"/>
              <w:bottom w:val="single" w:sz="7" w:space="0" w:color="000000"/>
              <w:right w:val="single" w:sz="7" w:space="0" w:color="000000"/>
            </w:tcBorders>
          </w:tcPr>
          <w:p w14:paraId="298D2C84" w14:textId="77777777" w:rsidR="00DA74AB" w:rsidRPr="00C35766" w:rsidRDefault="00DA74AB" w:rsidP="00D9778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46,7%</w:t>
            </w:r>
          </w:p>
        </w:tc>
        <w:tc>
          <w:tcPr>
            <w:tcW w:w="1985" w:type="dxa"/>
            <w:tcBorders>
              <w:top w:val="single" w:sz="7" w:space="0" w:color="000000"/>
              <w:left w:val="single" w:sz="7" w:space="0" w:color="000000"/>
              <w:bottom w:val="single" w:sz="7" w:space="0" w:color="000000"/>
              <w:right w:val="single" w:sz="7" w:space="0" w:color="000000"/>
            </w:tcBorders>
          </w:tcPr>
          <w:p w14:paraId="27F1878A" w14:textId="77777777" w:rsidR="00DA74AB" w:rsidRPr="00C35766" w:rsidRDefault="00DA74AB" w:rsidP="00D9778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38,1%</w:t>
            </w:r>
          </w:p>
        </w:tc>
        <w:tc>
          <w:tcPr>
            <w:tcW w:w="1559" w:type="dxa"/>
            <w:tcBorders>
              <w:top w:val="single" w:sz="7" w:space="0" w:color="000000"/>
              <w:left w:val="single" w:sz="7" w:space="0" w:color="000000"/>
              <w:bottom w:val="single" w:sz="7" w:space="0" w:color="000000"/>
              <w:right w:val="single" w:sz="7" w:space="0" w:color="000000"/>
            </w:tcBorders>
          </w:tcPr>
          <w:p w14:paraId="77E98CD3" w14:textId="77777777" w:rsidR="00DA74AB" w:rsidRPr="00C35766" w:rsidRDefault="00DA74AB" w:rsidP="00D9778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0,608</w:t>
            </w:r>
          </w:p>
        </w:tc>
      </w:tr>
      <w:tr w:rsidR="00DA74AB" w:rsidRPr="00C35766" w14:paraId="03C425E7" w14:textId="77777777" w:rsidTr="00A842FF">
        <w:trPr>
          <w:jc w:val="center"/>
        </w:trPr>
        <w:tc>
          <w:tcPr>
            <w:tcW w:w="2826" w:type="dxa"/>
            <w:tcBorders>
              <w:top w:val="single" w:sz="7" w:space="0" w:color="000000"/>
              <w:left w:val="single" w:sz="7" w:space="0" w:color="000000"/>
              <w:bottom w:val="single" w:sz="5" w:space="0" w:color="000000"/>
              <w:right w:val="single" w:sz="7" w:space="0" w:color="000000"/>
            </w:tcBorders>
          </w:tcPr>
          <w:p w14:paraId="1FF3DC58" w14:textId="77777777" w:rsidR="00DA74AB" w:rsidRPr="00C35766" w:rsidRDefault="00DA74AB" w:rsidP="00D97785">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2268" w:type="dxa"/>
            <w:tcBorders>
              <w:top w:val="single" w:sz="7" w:space="0" w:color="000000"/>
              <w:left w:val="single" w:sz="7" w:space="0" w:color="000000"/>
              <w:bottom w:val="single" w:sz="5" w:space="0" w:color="000000"/>
              <w:right w:val="single" w:sz="7" w:space="0" w:color="000000"/>
            </w:tcBorders>
          </w:tcPr>
          <w:p w14:paraId="6958F1D6" w14:textId="77777777" w:rsidR="00DA74AB" w:rsidRPr="00C35766" w:rsidRDefault="00DA74AB" w:rsidP="00D97785">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40,0%</w:t>
            </w:r>
          </w:p>
        </w:tc>
        <w:tc>
          <w:tcPr>
            <w:tcW w:w="1985" w:type="dxa"/>
            <w:tcBorders>
              <w:top w:val="single" w:sz="7" w:space="0" w:color="000000"/>
              <w:left w:val="single" w:sz="7" w:space="0" w:color="000000"/>
              <w:bottom w:val="single" w:sz="5" w:space="0" w:color="000000"/>
              <w:right w:val="single" w:sz="7" w:space="0" w:color="000000"/>
            </w:tcBorders>
          </w:tcPr>
          <w:p w14:paraId="14427EBA" w14:textId="77777777" w:rsidR="00DA74AB" w:rsidRPr="00C35766" w:rsidRDefault="00DA74AB" w:rsidP="00D97785">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1559" w:type="dxa"/>
            <w:tcBorders>
              <w:top w:val="single" w:sz="7" w:space="0" w:color="000000"/>
              <w:left w:val="single" w:sz="7" w:space="0" w:color="000000"/>
              <w:bottom w:val="single" w:sz="5" w:space="0" w:color="000000"/>
              <w:right w:val="single" w:sz="7" w:space="0" w:color="000000"/>
            </w:tcBorders>
          </w:tcPr>
          <w:p w14:paraId="56047332" w14:textId="77777777" w:rsidR="00DA74AB" w:rsidRPr="00C35766" w:rsidRDefault="00DA74AB" w:rsidP="00D97785">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0,303</w:t>
            </w:r>
          </w:p>
        </w:tc>
      </w:tr>
    </w:tbl>
    <w:p w14:paraId="16EEAF24" w14:textId="77777777" w:rsidR="00DA74AB" w:rsidRPr="00C35766" w:rsidRDefault="00DA74AB" w:rsidP="00DA74AB">
      <w:pPr>
        <w:pStyle w:val="a3"/>
        <w:numPr>
          <w:ilvl w:val="0"/>
          <w:numId w:val="0"/>
        </w:numPr>
        <w:ind w:leftChars="100" w:left="220"/>
        <w:rPr>
          <w:lang w:val="it-IT"/>
        </w:rPr>
      </w:pPr>
      <w:r w:rsidRPr="008A6AF4">
        <w:rPr>
          <w:rFonts w:eastAsia="Times New Roman"/>
          <w:vertAlign w:val="superscript"/>
          <w:lang w:val="it-IT"/>
        </w:rPr>
        <w:t>1</w:t>
      </w:r>
      <w:r>
        <w:rPr>
          <w:rFonts w:eastAsia="Times New Roman"/>
          <w:vertAlign w:val="superscript"/>
          <w:lang w:val="it-IT"/>
        </w:rPr>
        <w:t xml:space="preserve"> </w:t>
      </w:r>
      <w:r w:rsidRPr="00C35766">
        <w:rPr>
          <w:rFonts w:eastAsia="Times New Roman"/>
          <w:lang w:val="it-IT"/>
        </w:rPr>
        <w:t xml:space="preserve">confronto valore p per Dose Standard </w:t>
      </w:r>
      <w:r w:rsidRPr="00C35766">
        <w:rPr>
          <w:lang w:val="it-IT"/>
        </w:rPr>
        <w:t>versus</w:t>
      </w:r>
      <w:r w:rsidRPr="00C35766">
        <w:rPr>
          <w:rFonts w:eastAsia="Times New Roman"/>
          <w:lang w:val="it-IT"/>
        </w:rPr>
        <w:t xml:space="preserve"> Bassa Dose.</w:t>
      </w:r>
    </w:p>
    <w:p w14:paraId="5DC1AF99" w14:textId="77777777" w:rsidR="00DA74AB" w:rsidRPr="00C35766" w:rsidRDefault="00DA74AB" w:rsidP="00DA74AB">
      <w:pPr>
        <w:pStyle w:val="a3"/>
        <w:numPr>
          <w:ilvl w:val="0"/>
          <w:numId w:val="0"/>
        </w:numPr>
        <w:ind w:leftChars="100" w:left="220"/>
        <w:rPr>
          <w:lang w:val="it-IT"/>
        </w:rPr>
      </w:pPr>
      <w:r w:rsidRPr="008A6AF4">
        <w:rPr>
          <w:rFonts w:eastAsia="Times New Roman"/>
          <w:vertAlign w:val="superscript"/>
          <w:lang w:val="it-IT"/>
        </w:rPr>
        <w:t>2</w:t>
      </w:r>
      <w:r>
        <w:rPr>
          <w:rFonts w:eastAsia="Times New Roman"/>
          <w:vertAlign w:val="superscript"/>
          <w:lang w:val="it-IT"/>
        </w:rPr>
        <w:t xml:space="preserve"> </w:t>
      </w:r>
      <w:r w:rsidRPr="00C35766">
        <w:rPr>
          <w:rFonts w:eastAsia="Times New Roman"/>
          <w:lang w:val="it-IT"/>
        </w:rPr>
        <w:t>la terapia immunosoppressiva poteva essere interrotta solo alla o dopo la Settimana 26 a discrezione dello sperimentatore se il soggetto aveva raggiunto il criterio della risposta clinica</w:t>
      </w:r>
    </w:p>
    <w:p w14:paraId="6A7A7146" w14:textId="77777777" w:rsidR="00DA74AB" w:rsidRPr="00C35766" w:rsidRDefault="00DA74AB">
      <w:pPr>
        <w:pStyle w:val="a3"/>
        <w:numPr>
          <w:ilvl w:val="0"/>
          <w:numId w:val="0"/>
        </w:numPr>
        <w:ind w:leftChars="100" w:left="220"/>
        <w:rPr>
          <w:lang w:val="it-IT"/>
        </w:rPr>
      </w:pPr>
      <w:r w:rsidRPr="008A6AF4">
        <w:rPr>
          <w:rFonts w:eastAsia="Times New Roman"/>
          <w:vertAlign w:val="superscript"/>
          <w:lang w:val="it-IT"/>
        </w:rPr>
        <w:t>3</w:t>
      </w:r>
      <w:r>
        <w:rPr>
          <w:rFonts w:eastAsia="Times New Roman"/>
          <w:vertAlign w:val="superscript"/>
          <w:lang w:val="it-IT"/>
        </w:rPr>
        <w:t xml:space="preserve"> </w:t>
      </w:r>
      <w:r w:rsidRPr="00C35766">
        <w:rPr>
          <w:rFonts w:eastAsia="Times New Roman"/>
          <w:lang w:val="it-IT"/>
        </w:rPr>
        <w:t>definito come chiusura di tutte le fistole che si stavano esaurendo al basale per almeno 2 visite consecutive post-basale</w:t>
      </w:r>
    </w:p>
    <w:p w14:paraId="76586B75" w14:textId="77777777" w:rsidR="00DA74AB" w:rsidRPr="00C35766" w:rsidRDefault="00DA74AB" w:rsidP="00DA74AB">
      <w:pPr>
        <w:spacing w:before="8" w:line="170" w:lineRule="exact"/>
        <w:rPr>
          <w:rFonts w:ascii="Times New Roman" w:hAnsi="Times New Roman" w:cs="Times New Roman"/>
          <w:sz w:val="17"/>
          <w:lang w:val="it-IT"/>
        </w:rPr>
      </w:pPr>
    </w:p>
    <w:p w14:paraId="391F7053" w14:textId="77777777" w:rsidR="00DA74AB" w:rsidRPr="00C35766" w:rsidRDefault="00DA74AB" w:rsidP="00DA74AB">
      <w:pPr>
        <w:pStyle w:val="a3"/>
        <w:rPr>
          <w:lang w:val="pt-BR"/>
        </w:rPr>
      </w:pPr>
      <w:r w:rsidRPr="00C35766">
        <w:rPr>
          <w:rFonts w:eastAsia="Times New Roman"/>
          <w:lang w:val="it-IT"/>
        </w:rPr>
        <w:t>Per entrambi i gruppi di trattamento sono stati osservati incrementi (miglioramenti) statisticamente significativi dell’Indice di Massa Corporea e della velocità di accrescimento staturale dal basale alla Settimana 26 e 52.</w:t>
      </w:r>
    </w:p>
    <w:p w14:paraId="0624EDB5" w14:textId="77777777" w:rsidR="00DA74AB" w:rsidRPr="00C35766" w:rsidRDefault="00DA74AB" w:rsidP="00DA74AB">
      <w:pPr>
        <w:spacing w:before="14" w:line="240" w:lineRule="exact"/>
        <w:rPr>
          <w:rFonts w:ascii="Times New Roman" w:hAnsi="Times New Roman" w:cs="Times New Roman"/>
          <w:sz w:val="24"/>
          <w:szCs w:val="24"/>
          <w:lang w:val="pt-BR"/>
        </w:rPr>
      </w:pPr>
    </w:p>
    <w:p w14:paraId="51BFEC27" w14:textId="77777777" w:rsidR="00DA74AB" w:rsidRPr="00C35766" w:rsidRDefault="00DA74AB" w:rsidP="00DA74AB">
      <w:pPr>
        <w:pStyle w:val="a3"/>
        <w:rPr>
          <w:lang w:val="pt-BR"/>
        </w:rPr>
      </w:pPr>
      <w:r w:rsidRPr="00C35766">
        <w:rPr>
          <w:rFonts w:eastAsia="Times New Roman"/>
          <w:lang w:val="it-IT"/>
        </w:rPr>
        <w:t>In entrambi i gruppi di trattamento sono stati inoltre osservati miglioramenti statisticamente e clinicamente significativi rispetto al basale dei parametri di qualità di vita (incluso IMPACT III).</w:t>
      </w:r>
    </w:p>
    <w:p w14:paraId="4AD3853C" w14:textId="77777777" w:rsidR="00DA74AB" w:rsidRPr="00C35766" w:rsidRDefault="00DA74AB" w:rsidP="00DA74AB">
      <w:pPr>
        <w:pStyle w:val="a3"/>
        <w:rPr>
          <w:lang w:val="pt-BR"/>
        </w:rPr>
      </w:pPr>
    </w:p>
    <w:p w14:paraId="2FAB2C4F" w14:textId="77777777" w:rsidR="00DA74AB" w:rsidRPr="00C35766" w:rsidRDefault="00DA74AB" w:rsidP="00DA74AB">
      <w:pPr>
        <w:pStyle w:val="a3"/>
        <w:rPr>
          <w:lang w:val="it-IT"/>
        </w:rPr>
      </w:pPr>
      <w:r w:rsidRPr="00C35766">
        <w:rPr>
          <w:rFonts w:eastAsia="Times New Roman"/>
          <w:lang w:val="it-IT"/>
        </w:rPr>
        <w:t>Cento pazienti (n=100) dello Studio della Malattia di Crohn Pediatrica hanno continuato in uno studio di estensione in aperto a lungo termine. Dopo 5 anni di trattamento con adalimumab, il 74,0% (37/50) dei 50 pazienti rimasti nello studio ha continuato ad essere in remissione clinica e il 92,0% (46/50) dei pazienti ha continuato ad avere la risposta clinica per PCDAI.</w:t>
      </w:r>
    </w:p>
    <w:p w14:paraId="54CFA08C" w14:textId="77777777" w:rsidR="00DA74AB" w:rsidRPr="00824699" w:rsidRDefault="00DA74AB" w:rsidP="00DA74AB">
      <w:pPr>
        <w:rPr>
          <w:rFonts w:ascii="Times New Roman" w:hAnsi="Times New Roman" w:cs="Times New Roman"/>
          <w:lang w:val="it-IT"/>
        </w:rPr>
      </w:pPr>
    </w:p>
    <w:p w14:paraId="75A7E71D" w14:textId="77777777" w:rsidR="00DA74AB" w:rsidRPr="00824699" w:rsidRDefault="00DA74AB" w:rsidP="00DA74AB">
      <w:pPr>
        <w:keepNext/>
        <w:rPr>
          <w:rFonts w:ascii="Times New Roman" w:hAnsi="Times New Roman" w:cs="Times New Roman"/>
          <w:bCs/>
          <w:i/>
          <w:lang w:val="it-IT"/>
        </w:rPr>
      </w:pPr>
      <w:r w:rsidRPr="00824699">
        <w:rPr>
          <w:rFonts w:ascii="Times New Roman" w:hAnsi="Times New Roman" w:cs="Times New Roman"/>
          <w:i/>
          <w:lang w:val="it-IT"/>
        </w:rPr>
        <w:t>Colite ulcerosa pediatrica</w:t>
      </w:r>
    </w:p>
    <w:p w14:paraId="455A4829" w14:textId="77777777" w:rsidR="00DA74AB" w:rsidRPr="00824699" w:rsidRDefault="00DA74AB" w:rsidP="00DA74AB">
      <w:pPr>
        <w:keepNext/>
        <w:rPr>
          <w:rFonts w:ascii="Times New Roman" w:hAnsi="Times New Roman" w:cs="Times New Roman"/>
          <w:bCs/>
          <w:i/>
          <w:lang w:val="it-IT"/>
        </w:rPr>
      </w:pPr>
    </w:p>
    <w:p w14:paraId="338F13DA" w14:textId="7777777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 xml:space="preserve">La sicurezza e l'efficacia di adalimumab sono state valutate in uno studio multicentrico, randomizzato, in doppio cieco, condotto su 93 pazienti pediatrici di età compresa tra 5 e 17 anni affetti da colite ulcerosa da moderata a severa (Mayo Score da 6 a 12 con sottopunteggio endoscopico da 2 a 3 punti, confermato mediante endoscopia refertata da un operatore indipendente) che hanno avuto una risposta inadeguata o intolleranza alla terapia convenzionale. Circa il 16% dei pazienti nello studio aveva fallito un precedente </w:t>
      </w:r>
      <w:r w:rsidRPr="00824699">
        <w:rPr>
          <w:rFonts w:ascii="Times New Roman" w:hAnsi="Times New Roman" w:cs="Times New Roman"/>
          <w:lang w:val="it-IT"/>
        </w:rPr>
        <w:lastRenderedPageBreak/>
        <w:t>trattamento con anti-TNF. Ai pazienti che avevano ricevuto corticosteroidi all'arruolamento è stato consentito di ridurre la terapia con corticosteroidi dopo la Settimana 4.</w:t>
      </w:r>
    </w:p>
    <w:p w14:paraId="12F96C90" w14:textId="77777777" w:rsidR="00DA74AB" w:rsidRPr="00824699" w:rsidRDefault="00DA74AB" w:rsidP="00DA74AB">
      <w:pPr>
        <w:rPr>
          <w:rFonts w:ascii="Times New Roman" w:hAnsi="Times New Roman" w:cs="Times New Roman"/>
          <w:lang w:val="it-IT"/>
        </w:rPr>
      </w:pPr>
    </w:p>
    <w:p w14:paraId="05C6860A" w14:textId="77777777" w:rsidR="00DA74AB" w:rsidRPr="00824699" w:rsidRDefault="00DA74AB" w:rsidP="00DA74AB">
      <w:pPr>
        <w:rPr>
          <w:rFonts w:ascii="Times New Roman" w:hAnsi="Times New Roman" w:cs="Times New Roman"/>
          <w:lang w:val="it-IT"/>
        </w:rPr>
      </w:pPr>
      <w:r w:rsidRPr="00824699">
        <w:rPr>
          <w:rStyle w:val="normaltextrun"/>
          <w:rFonts w:ascii="Times New Roman" w:hAnsi="Times New Roman" w:cs="Times New Roman"/>
          <w:shd w:val="clear" w:color="auto" w:fill="FFFFFF"/>
          <w:lang w:val="it-IT"/>
        </w:rPr>
        <w:t>Nel periodo di induzione dello studio, 77 pazienti sono stati randomizzati 3:2 per ricevere un trattamento in doppio cieco con adalimumab a una dose di induzione di 2,4 mg/kg (massimo 160 mg) alla Settimana 0 e alla Settimana 1 e di 1,2 mg/kg (massimo 80 mg) alla Settimana 2, oppure una dose di induzione di 2,4 mg/kg (massimo 160 mg) alla Settimana 0, placebo alla Settimana 1 e 1,2 mg/kg (massimo 80 mg) alla Settimana 2. Entrambi i gruppi hanno ricevuto 0,6 mg/kg (massimo 40 mg) alla Settimana 4 e alla Settimana 6. A seguito di un emendamento al disegno dello studio, i restanti 16 pazienti arruolati hanno ricevuto nel periodo di induzione un trattamento in aperto con adalimumab alla dose di induzione di 2,4 mg/kg (massimo 160 mg) alla Settimana 0 e alla Settimana 1 e di 1,2 mg/kg (massimo 80 mg) alla Settimana 2.</w:t>
      </w:r>
      <w:r w:rsidRPr="00824699">
        <w:rPr>
          <w:rStyle w:val="eop"/>
          <w:rFonts w:ascii="Times New Roman" w:hAnsi="Times New Roman" w:cs="Times New Roman"/>
          <w:shd w:val="clear" w:color="auto" w:fill="FFFFFF"/>
          <w:lang w:val="it-IT"/>
        </w:rPr>
        <w:t> </w:t>
      </w:r>
    </w:p>
    <w:p w14:paraId="2C10EA2D" w14:textId="77777777" w:rsidR="00DA74AB" w:rsidRPr="00824699" w:rsidRDefault="00DA74AB" w:rsidP="00DA74AB">
      <w:pPr>
        <w:rPr>
          <w:rFonts w:ascii="Times New Roman" w:hAnsi="Times New Roman" w:cs="Times New Roman"/>
          <w:lang w:val="it-IT"/>
        </w:rPr>
      </w:pPr>
    </w:p>
    <w:p w14:paraId="1FF49133" w14:textId="77777777" w:rsidR="00DA74AB" w:rsidRPr="006501B3" w:rsidRDefault="00DA74AB" w:rsidP="00DA74AB">
      <w:pPr>
        <w:rPr>
          <w:rStyle w:val="normaltextrun"/>
          <w:lang w:val="it-IT"/>
        </w:rPr>
      </w:pPr>
      <w:r w:rsidRPr="00824699">
        <w:rPr>
          <w:rStyle w:val="normaltextrun"/>
          <w:rFonts w:ascii="Times New Roman" w:hAnsi="Times New Roman" w:cs="Times New Roman"/>
          <w:shd w:val="clear" w:color="auto" w:fill="FFFFFF"/>
          <w:lang w:val="it-IT"/>
        </w:rPr>
        <w:t xml:space="preserve">Alla Settimana 8, 62 pazienti che avevano dimostrato una risposta clinica come indicato dal Partial Mayo Score (PMS; definito come una diminuzione del PMS </w:t>
      </w:r>
      <w:r w:rsidRPr="00824699">
        <w:rPr>
          <w:rStyle w:val="normaltextrun"/>
          <w:rFonts w:ascii="Times New Roman" w:hAnsi="Times New Roman" w:cs="Times New Roman" w:hint="eastAsia"/>
          <w:shd w:val="clear" w:color="auto" w:fill="FFFFFF"/>
          <w:lang w:val="it-IT"/>
        </w:rPr>
        <w:t>≥</w:t>
      </w:r>
      <w:r w:rsidRPr="00824699">
        <w:rPr>
          <w:rStyle w:val="normaltextrun"/>
          <w:rFonts w:ascii="Times New Roman" w:hAnsi="Times New Roman" w:cs="Times New Roman"/>
          <w:shd w:val="clear" w:color="auto" w:fill="FFFFFF"/>
          <w:lang w:val="it-IT"/>
        </w:rPr>
        <w:t xml:space="preserve"> 2 punti e </w:t>
      </w:r>
      <w:r w:rsidRPr="00824699">
        <w:rPr>
          <w:rStyle w:val="normaltextrun"/>
          <w:rFonts w:ascii="Times New Roman" w:hAnsi="Times New Roman" w:cs="Times New Roman" w:hint="eastAsia"/>
          <w:shd w:val="clear" w:color="auto" w:fill="FFFFFF"/>
          <w:lang w:val="it-IT"/>
        </w:rPr>
        <w:t>≥</w:t>
      </w:r>
      <w:r w:rsidRPr="00824699">
        <w:rPr>
          <w:rStyle w:val="normaltextrun"/>
          <w:rFonts w:ascii="Times New Roman" w:hAnsi="Times New Roman" w:cs="Times New Roman"/>
          <w:shd w:val="clear" w:color="auto" w:fill="FFFFFF"/>
          <w:lang w:val="it-IT"/>
        </w:rPr>
        <w:t xml:space="preserve"> 30% dal basale) sono stati randomizzati 1:1 a ricevere un trattamento di mantenimento in doppio cieco con adalimumab ad una dose di 0,6 mg/kg (massimo 40 mg) ogni settimana o ad una dose di mantenimento di 0,6 mg/kg (massimo 40 mg) a settimane alterne. Prima di un emendamento al disegno dello studio, altri 12 pazienti che avevano dimostrato una risposta clinica come indicato dal PMS, sono stati randomizzati a ricevere placebo ma non sono stati inclusi nell'analisi di conferma dell'efficacia.</w:t>
      </w:r>
    </w:p>
    <w:p w14:paraId="047304A2" w14:textId="77777777" w:rsidR="00DA74AB" w:rsidRPr="00824699" w:rsidRDefault="00DA74AB" w:rsidP="00DA74AB">
      <w:pPr>
        <w:rPr>
          <w:rFonts w:ascii="Times New Roman" w:hAnsi="Times New Roman" w:cs="Times New Roman"/>
          <w:lang w:val="it-IT"/>
        </w:rPr>
      </w:pPr>
    </w:p>
    <w:p w14:paraId="4B8569AE" w14:textId="7777777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La riacutizzazione della malattia è stata definita come un aumento del PMS di almeno 3 punti (per i pazienti con PMS da 0 a 2 alla Settimana 8), di almeno 2 punti (per i pazienti con PMS da 3 a 4 alla Settimana 8) o almeno di 1 punto (per i pazienti con PMS da 5 a 6 alla Settimana 8). </w:t>
      </w:r>
    </w:p>
    <w:p w14:paraId="58342634" w14:textId="77777777" w:rsidR="00DA74AB" w:rsidRPr="00824699" w:rsidRDefault="00DA74AB" w:rsidP="00DA74AB">
      <w:pPr>
        <w:rPr>
          <w:rFonts w:ascii="Times New Roman" w:hAnsi="Times New Roman" w:cs="Times New Roman"/>
          <w:lang w:val="it-IT"/>
        </w:rPr>
      </w:pPr>
    </w:p>
    <w:p w14:paraId="63AA8B9B" w14:textId="7777777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I pazienti che hanno presentato i criteri di riacutizzazione di malattia alla Settimana 12 o successivamente, sono stati randomizzati a ricevere una dose di reinduzione di 2,4 mg/kg (massimo 160 mg) o una dose di 0,6 mg/kg (massimo 40 mg) e hanno continuato a ricevere successivamente il rispettivo regime di mantenimento. </w:t>
      </w:r>
    </w:p>
    <w:p w14:paraId="20BA96AC" w14:textId="77777777" w:rsidR="00DA74AB" w:rsidRPr="00824699" w:rsidRDefault="00DA74AB" w:rsidP="00DA74AB">
      <w:pPr>
        <w:rPr>
          <w:rFonts w:ascii="Times New Roman" w:hAnsi="Times New Roman" w:cs="Times New Roman"/>
          <w:lang w:val="it-IT"/>
        </w:rPr>
      </w:pPr>
    </w:p>
    <w:p w14:paraId="31330466" w14:textId="77777777" w:rsidR="00DA74AB" w:rsidRPr="00C35766" w:rsidRDefault="00DA74AB" w:rsidP="00DA74AB">
      <w:pPr>
        <w:pStyle w:val="gtcbodytext"/>
        <w:spacing w:before="0" w:after="0" w:line="240" w:lineRule="auto"/>
        <w:rPr>
          <w:i/>
          <w:iCs/>
          <w:sz w:val="22"/>
          <w:szCs w:val="22"/>
          <w:lang w:val="it-IT"/>
        </w:rPr>
      </w:pPr>
      <w:r w:rsidRPr="00C35766">
        <w:rPr>
          <w:i/>
          <w:sz w:val="22"/>
          <w:szCs w:val="22"/>
          <w:lang w:val="it-IT"/>
        </w:rPr>
        <w:t>Risultati di efficacia</w:t>
      </w:r>
    </w:p>
    <w:p w14:paraId="0D3C9493" w14:textId="77777777" w:rsidR="00DA74AB" w:rsidRPr="00824699" w:rsidRDefault="00DA74AB" w:rsidP="00DA74AB">
      <w:pPr>
        <w:rPr>
          <w:rFonts w:ascii="Times New Roman" w:hAnsi="Times New Roman" w:cs="Times New Roman"/>
          <w:lang w:val="it-IT"/>
        </w:rPr>
      </w:pPr>
    </w:p>
    <w:p w14:paraId="681C84DF" w14:textId="7777777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 xml:space="preserve">Gli endpoint co-primari dello studio sono stati la remissione clinica come indicato dal PMS (definita come PMS </w:t>
      </w:r>
      <w:r w:rsidRPr="00824699">
        <w:rPr>
          <w:rFonts w:ascii="Times New Roman" w:hAnsi="Times New Roman" w:cs="Times New Roman" w:hint="eastAsia"/>
          <w:lang w:val="it-IT"/>
        </w:rPr>
        <w:t>≤</w:t>
      </w:r>
      <w:r w:rsidRPr="00824699">
        <w:rPr>
          <w:rFonts w:ascii="Times New Roman" w:hAnsi="Times New Roman" w:cs="Times New Roman"/>
          <w:lang w:val="it-IT"/>
        </w:rPr>
        <w:t xml:space="preserve"> 2 e nessun sottopunteggio individuale &gt; 1) alla Settimana 8 e remissione clinica come indicato dal FMS (Full Mayo Score) (definito come Mayo Score </w:t>
      </w:r>
      <w:r w:rsidRPr="00824699">
        <w:rPr>
          <w:rFonts w:ascii="Times New Roman" w:hAnsi="Times New Roman" w:cs="Times New Roman" w:hint="eastAsia"/>
          <w:lang w:val="it-IT"/>
        </w:rPr>
        <w:t>≤</w:t>
      </w:r>
      <w:r w:rsidRPr="00824699">
        <w:rPr>
          <w:rFonts w:ascii="Times New Roman" w:hAnsi="Times New Roman" w:cs="Times New Roman"/>
          <w:lang w:val="it-IT"/>
        </w:rPr>
        <w:t xml:space="preserve"> 2 e nessun sottopunteggio individuale &gt; 1) alla Settimana 52 nei pazienti che avevano ottenuto una risposta clinica come indicato dal PMS alla Settimana 8.</w:t>
      </w:r>
    </w:p>
    <w:p w14:paraId="29224511" w14:textId="77777777" w:rsidR="00DA74AB" w:rsidRPr="00824699" w:rsidRDefault="00DA74AB" w:rsidP="00DA74AB">
      <w:pPr>
        <w:textAlignment w:val="baseline"/>
        <w:rPr>
          <w:rFonts w:ascii="Times New Roman" w:hAnsi="Times New Roman" w:cs="Times New Roman"/>
          <w:lang w:val="it-IT" w:eastAsia="en-GB"/>
        </w:rPr>
      </w:pPr>
    </w:p>
    <w:p w14:paraId="22C05FCA" w14:textId="2A7E4A80" w:rsidR="00DA74AB" w:rsidRPr="00824699" w:rsidRDefault="00DA74AB" w:rsidP="00DA74AB">
      <w:pPr>
        <w:textAlignment w:val="baseline"/>
        <w:rPr>
          <w:rFonts w:ascii="Times New Roman" w:hAnsi="Times New Roman" w:cs="Times New Roman"/>
          <w:lang w:val="it-IT"/>
        </w:rPr>
      </w:pPr>
      <w:r w:rsidRPr="00824699">
        <w:rPr>
          <w:rFonts w:ascii="Times New Roman" w:hAnsi="Times New Roman" w:cs="Times New Roman"/>
          <w:lang w:val="it-IT"/>
        </w:rPr>
        <w:t>I tassi di remissione clinica come indicato dal PMS alla Settimana 8 per i pazienti in ciascuno dei gruppi di induzione in doppio cieco di adalimumab sono mostrati nella Tabella 21. </w:t>
      </w:r>
    </w:p>
    <w:p w14:paraId="49278E37" w14:textId="77777777" w:rsidR="00DA74AB" w:rsidRPr="00824699" w:rsidRDefault="00DA74AB" w:rsidP="00DA74AB">
      <w:pPr>
        <w:textAlignment w:val="baseline"/>
        <w:rPr>
          <w:rFonts w:ascii="Times New Roman" w:hAnsi="Times New Roman" w:cs="Times New Roman"/>
          <w:lang w:val="it-IT"/>
        </w:rPr>
      </w:pPr>
    </w:p>
    <w:p w14:paraId="0D87B8EA" w14:textId="00A68443" w:rsidR="00DA74AB" w:rsidRDefault="00DA74AB" w:rsidP="00DA74AB">
      <w:pPr>
        <w:pStyle w:val="gtcbodytext"/>
        <w:spacing w:before="0" w:after="0" w:line="240" w:lineRule="auto"/>
        <w:jc w:val="center"/>
        <w:rPr>
          <w:b/>
          <w:sz w:val="22"/>
          <w:szCs w:val="22"/>
          <w:lang w:val="it-IT"/>
        </w:rPr>
      </w:pPr>
      <w:r w:rsidRPr="00C35766">
        <w:rPr>
          <w:b/>
          <w:sz w:val="22"/>
          <w:szCs w:val="22"/>
          <w:lang w:val="it-IT"/>
        </w:rPr>
        <w:t>Tabella </w:t>
      </w:r>
      <w:r>
        <w:rPr>
          <w:b/>
          <w:sz w:val="22"/>
          <w:szCs w:val="22"/>
          <w:lang w:val="it-IT"/>
        </w:rPr>
        <w:t>21.</w:t>
      </w:r>
      <w:r w:rsidRPr="00C35766">
        <w:rPr>
          <w:b/>
          <w:sz w:val="22"/>
          <w:szCs w:val="22"/>
          <w:lang w:val="it-IT"/>
        </w:rPr>
        <w:t xml:space="preserve"> Remissione Clinica in base al PMS a 8 Settimane</w:t>
      </w:r>
    </w:p>
    <w:p w14:paraId="2ACD8FD3" w14:textId="77777777" w:rsidR="00DA74AB" w:rsidRPr="00C35766" w:rsidRDefault="00DA74AB" w:rsidP="00DA74AB">
      <w:pPr>
        <w:pStyle w:val="gtcbodytext"/>
        <w:spacing w:before="0" w:after="0" w:line="240" w:lineRule="auto"/>
        <w:jc w:val="center"/>
        <w:rPr>
          <w:rStyle w:val="normaltextrun"/>
          <w:b/>
          <w:sz w:val="22"/>
          <w:szCs w:val="22"/>
          <w:lang w:val="it-IT"/>
        </w:rPr>
      </w:pPr>
    </w:p>
    <w:tbl>
      <w:tblPr>
        <w:tblW w:w="4774" w:type="pct"/>
        <w:jc w:val="center"/>
        <w:tblLook w:val="04A0" w:firstRow="1" w:lastRow="0" w:firstColumn="1" w:lastColumn="0" w:noHBand="0" w:noVBand="1"/>
      </w:tblPr>
      <w:tblGrid>
        <w:gridCol w:w="2827"/>
        <w:gridCol w:w="3171"/>
        <w:gridCol w:w="3057"/>
      </w:tblGrid>
      <w:tr w:rsidR="00DA74AB" w:rsidRPr="00C35766" w14:paraId="31C3BAFB" w14:textId="77777777" w:rsidTr="005A5DEF">
        <w:trPr>
          <w:jc w:val="center"/>
        </w:trPr>
        <w:tc>
          <w:tcPr>
            <w:tcW w:w="156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B134894" w14:textId="77777777" w:rsidR="00DA74AB" w:rsidRPr="00824699" w:rsidRDefault="00DA74AB" w:rsidP="005A5DEF">
            <w:pPr>
              <w:rPr>
                <w:rFonts w:ascii="Times New Roman" w:hAnsi="Times New Roman" w:cs="Times New Roman"/>
                <w:lang w:val="it-IT"/>
              </w:rPr>
            </w:pPr>
          </w:p>
        </w:tc>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DD40EB7" w14:textId="77777777" w:rsidR="00DA74AB" w:rsidRPr="00C35766" w:rsidRDefault="00DA74AB" w:rsidP="005A5DEF">
            <w:pPr>
              <w:pStyle w:val="paragraph"/>
              <w:widowControl w:val="0"/>
              <w:spacing w:before="0" w:beforeAutospacing="0" w:after="0" w:afterAutospacing="0"/>
              <w:jc w:val="center"/>
              <w:textAlignment w:val="baseline"/>
              <w:rPr>
                <w:b/>
                <w:bCs/>
                <w:sz w:val="22"/>
                <w:szCs w:val="22"/>
              </w:rPr>
            </w:pPr>
            <w:r w:rsidRPr="00C35766">
              <w:rPr>
                <w:rStyle w:val="spellingerror"/>
                <w:b/>
                <w:sz w:val="22"/>
                <w:szCs w:val="22"/>
              </w:rPr>
              <w:t>Adalimumab</w:t>
            </w:r>
            <w:r w:rsidRPr="00C35766">
              <w:rPr>
                <w:rStyle w:val="spellingerror"/>
                <w:b/>
                <w:sz w:val="22"/>
                <w:szCs w:val="22"/>
                <w:vertAlign w:val="superscript"/>
              </w:rPr>
              <w:t>a</w:t>
            </w:r>
            <w:r w:rsidRPr="00C35766">
              <w:rPr>
                <w:rStyle w:val="eop"/>
                <w:b/>
                <w:sz w:val="22"/>
                <w:szCs w:val="22"/>
              </w:rPr>
              <w:t> </w:t>
            </w:r>
          </w:p>
          <w:p w14:paraId="6B4537C1" w14:textId="77777777" w:rsidR="00DA74AB" w:rsidRPr="00824699" w:rsidRDefault="00DA74AB" w:rsidP="005A5DEF">
            <w:pPr>
              <w:jc w:val="center"/>
              <w:rPr>
                <w:rStyle w:val="eop"/>
                <w:rFonts w:ascii="Times New Roman" w:hAnsi="Times New Roman" w:cs="Times New Roman"/>
                <w:b/>
                <w:bCs/>
                <w:lang w:val="it-IT"/>
              </w:rPr>
            </w:pPr>
            <w:r w:rsidRPr="00824699">
              <w:rPr>
                <w:rStyle w:val="normaltextrun"/>
                <w:rFonts w:ascii="Times New Roman" w:hAnsi="Times New Roman" w:cs="Times New Roman"/>
                <w:b/>
                <w:lang w:val="it-IT"/>
              </w:rPr>
              <w:t>Massimo 160 mg alla Settimana 0/Placebo alla Settimana 1</w:t>
            </w:r>
            <w:r w:rsidRPr="00824699">
              <w:rPr>
                <w:rStyle w:val="eop"/>
                <w:rFonts w:ascii="Times New Roman" w:hAnsi="Times New Roman" w:cs="Times New Roman"/>
                <w:b/>
                <w:lang w:val="it-IT"/>
              </w:rPr>
              <w:t> </w:t>
            </w:r>
          </w:p>
          <w:p w14:paraId="5978C692" w14:textId="77777777" w:rsidR="00DA74AB" w:rsidRPr="00C35766" w:rsidRDefault="00DA74AB" w:rsidP="005A5DEF">
            <w:pPr>
              <w:jc w:val="center"/>
              <w:rPr>
                <w:rFonts w:ascii="Times New Roman" w:hAnsi="Times New Roman" w:cs="Times New Roman"/>
              </w:rPr>
            </w:pPr>
            <w:r w:rsidRPr="00C35766">
              <w:rPr>
                <w:rStyle w:val="eop"/>
                <w:rFonts w:ascii="Times New Roman" w:hAnsi="Times New Roman" w:cs="Times New Roman"/>
              </w:rPr>
              <w:t>N=30</w:t>
            </w:r>
          </w:p>
        </w:tc>
        <w:tc>
          <w:tcPr>
            <w:tcW w:w="16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966B8C4" w14:textId="77777777" w:rsidR="00DA74AB" w:rsidRPr="00C35766" w:rsidRDefault="00DA74AB" w:rsidP="005A5DEF">
            <w:pPr>
              <w:pStyle w:val="paragraph"/>
              <w:widowControl w:val="0"/>
              <w:spacing w:before="0" w:beforeAutospacing="0" w:after="0" w:afterAutospacing="0"/>
              <w:jc w:val="center"/>
              <w:textAlignment w:val="baseline"/>
              <w:rPr>
                <w:b/>
                <w:bCs/>
                <w:sz w:val="22"/>
                <w:szCs w:val="22"/>
              </w:rPr>
            </w:pPr>
            <w:r w:rsidRPr="00C35766">
              <w:rPr>
                <w:rStyle w:val="spellingerror"/>
                <w:b/>
                <w:sz w:val="22"/>
                <w:szCs w:val="22"/>
              </w:rPr>
              <w:t>Adalimumab</w:t>
            </w:r>
            <w:r w:rsidRPr="00C35766">
              <w:rPr>
                <w:rStyle w:val="spellingerror"/>
                <w:b/>
                <w:sz w:val="22"/>
                <w:szCs w:val="22"/>
                <w:vertAlign w:val="superscript"/>
              </w:rPr>
              <w:t>b</w:t>
            </w:r>
            <w:r w:rsidRPr="00C35766">
              <w:rPr>
                <w:rStyle w:val="normaltextrun"/>
                <w:b/>
                <w:sz w:val="22"/>
                <w:szCs w:val="22"/>
                <w:vertAlign w:val="superscript"/>
              </w:rPr>
              <w:t>, c</w:t>
            </w:r>
            <w:r w:rsidRPr="00C35766">
              <w:rPr>
                <w:rStyle w:val="eop"/>
                <w:b/>
                <w:sz w:val="22"/>
                <w:szCs w:val="22"/>
              </w:rPr>
              <w:t> </w:t>
            </w:r>
          </w:p>
          <w:p w14:paraId="44CAF5FE" w14:textId="77777777" w:rsidR="00DA74AB" w:rsidRPr="00824699" w:rsidRDefault="00DA74AB" w:rsidP="005A5DEF">
            <w:pPr>
              <w:jc w:val="center"/>
              <w:rPr>
                <w:rStyle w:val="eop"/>
                <w:rFonts w:ascii="Times New Roman" w:hAnsi="Times New Roman" w:cs="Times New Roman"/>
                <w:b/>
                <w:bCs/>
                <w:lang w:val="it-IT"/>
              </w:rPr>
            </w:pPr>
            <w:r w:rsidRPr="00824699">
              <w:rPr>
                <w:rStyle w:val="normaltextrun"/>
                <w:rFonts w:ascii="Times New Roman" w:hAnsi="Times New Roman" w:cs="Times New Roman"/>
                <w:b/>
                <w:lang w:val="it-IT"/>
              </w:rPr>
              <w:t>Massimo 160 mg alla Settimana 0 e alla Settimana 1</w:t>
            </w:r>
            <w:r w:rsidRPr="00824699">
              <w:rPr>
                <w:rStyle w:val="eop"/>
                <w:rFonts w:ascii="Times New Roman" w:hAnsi="Times New Roman" w:cs="Times New Roman"/>
                <w:b/>
                <w:lang w:val="it-IT"/>
              </w:rPr>
              <w:t> </w:t>
            </w:r>
          </w:p>
          <w:p w14:paraId="394BF35B" w14:textId="77777777" w:rsidR="00DA74AB" w:rsidRPr="00C35766" w:rsidRDefault="00DA74AB" w:rsidP="005A5DEF">
            <w:pPr>
              <w:jc w:val="center"/>
              <w:rPr>
                <w:rFonts w:ascii="Times New Roman" w:hAnsi="Times New Roman" w:cs="Times New Roman"/>
              </w:rPr>
            </w:pPr>
            <w:r w:rsidRPr="00C35766">
              <w:rPr>
                <w:rStyle w:val="eop"/>
                <w:rFonts w:ascii="Times New Roman" w:hAnsi="Times New Roman" w:cs="Times New Roman"/>
              </w:rPr>
              <w:t>N=47</w:t>
            </w:r>
          </w:p>
        </w:tc>
      </w:tr>
      <w:tr w:rsidR="00DA74AB" w:rsidRPr="00C35766" w14:paraId="6FF4AA8F" w14:textId="77777777" w:rsidTr="005A5DEF">
        <w:trPr>
          <w:jc w:val="center"/>
        </w:trPr>
        <w:tc>
          <w:tcPr>
            <w:tcW w:w="156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CE90F9E" w14:textId="77777777" w:rsidR="00DA74AB" w:rsidRPr="00C35766" w:rsidRDefault="00DA74AB" w:rsidP="005A5DEF">
            <w:pPr>
              <w:rPr>
                <w:rFonts w:ascii="Times New Roman" w:hAnsi="Times New Roman" w:cs="Times New Roman"/>
              </w:rPr>
            </w:pPr>
            <w:r w:rsidRPr="00C35766">
              <w:rPr>
                <w:rFonts w:ascii="Times New Roman" w:hAnsi="Times New Roman" w:cs="Times New Roman"/>
              </w:rPr>
              <w:t>Remissione clinica</w:t>
            </w:r>
          </w:p>
        </w:tc>
        <w:tc>
          <w:tcPr>
            <w:tcW w:w="175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5408F178" w14:textId="77777777" w:rsidR="00DA74AB" w:rsidRPr="00C35766" w:rsidRDefault="00DA74AB" w:rsidP="005A5DEF">
            <w:pPr>
              <w:jc w:val="center"/>
              <w:rPr>
                <w:rFonts w:ascii="Times New Roman" w:hAnsi="Times New Roman" w:cs="Times New Roman"/>
              </w:rPr>
            </w:pPr>
            <w:r w:rsidRPr="00C35766">
              <w:rPr>
                <w:rFonts w:ascii="Times New Roman" w:hAnsi="Times New Roman" w:cs="Times New Roman"/>
              </w:rPr>
              <w:t>13/30 (43,3%)</w:t>
            </w:r>
          </w:p>
        </w:tc>
        <w:tc>
          <w:tcPr>
            <w:tcW w:w="16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62476F6" w14:textId="77777777" w:rsidR="00DA74AB" w:rsidRPr="00C35766" w:rsidRDefault="00DA74AB" w:rsidP="005A5DEF">
            <w:pPr>
              <w:jc w:val="center"/>
              <w:rPr>
                <w:rFonts w:ascii="Times New Roman" w:hAnsi="Times New Roman" w:cs="Times New Roman"/>
                <w:vertAlign w:val="superscript"/>
              </w:rPr>
            </w:pPr>
            <w:r w:rsidRPr="00C35766">
              <w:rPr>
                <w:rFonts w:ascii="Times New Roman" w:hAnsi="Times New Roman" w:cs="Times New Roman"/>
              </w:rPr>
              <w:t>28/47 (59,6%)</w:t>
            </w:r>
          </w:p>
        </w:tc>
      </w:tr>
      <w:tr w:rsidR="00DA74AB" w:rsidRPr="00494E69" w14:paraId="7DC141BD" w14:textId="77777777" w:rsidTr="005A5DEF">
        <w:trPr>
          <w:trHeight w:val="2517"/>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18401F12" w14:textId="77777777" w:rsidR="00DA74AB" w:rsidRPr="00C35766" w:rsidRDefault="00DA74AB" w:rsidP="005A5DEF">
            <w:pPr>
              <w:pStyle w:val="paragraph"/>
              <w:widowControl w:val="0"/>
              <w:spacing w:before="0" w:beforeAutospacing="0" w:after="0" w:afterAutospacing="0"/>
              <w:textAlignment w:val="baseline"/>
              <w:rPr>
                <w:sz w:val="22"/>
                <w:szCs w:val="22"/>
              </w:rPr>
            </w:pPr>
            <w:r w:rsidRPr="00C35766">
              <w:rPr>
                <w:rStyle w:val="normaltextrun"/>
                <w:sz w:val="22"/>
                <w:szCs w:val="22"/>
                <w:vertAlign w:val="superscript"/>
              </w:rPr>
              <w:lastRenderedPageBreak/>
              <w:t>a</w:t>
            </w:r>
            <w:r w:rsidRPr="00C35766">
              <w:rPr>
                <w:rStyle w:val="normaltextrun"/>
                <w:sz w:val="22"/>
                <w:szCs w:val="22"/>
              </w:rPr>
              <w:t>Adalimumab 2,4 mg/kg (massimo 160 mg) alla Settimana 0, placebo alla Settimana 1 e 1,2 mg/kg (massimo 80 mg) alla Settimana 2</w:t>
            </w:r>
            <w:r w:rsidRPr="00C35766">
              <w:rPr>
                <w:rStyle w:val="eop"/>
                <w:sz w:val="22"/>
                <w:szCs w:val="22"/>
              </w:rPr>
              <w:t> </w:t>
            </w:r>
          </w:p>
          <w:p w14:paraId="6EF4B766" w14:textId="77777777" w:rsidR="00DA74AB" w:rsidRPr="00C35766" w:rsidRDefault="00DA74AB" w:rsidP="005A5DEF">
            <w:pPr>
              <w:pStyle w:val="paragraph"/>
              <w:widowControl w:val="0"/>
              <w:spacing w:before="0" w:beforeAutospacing="0" w:after="0" w:afterAutospacing="0"/>
              <w:textAlignment w:val="baseline"/>
              <w:rPr>
                <w:sz w:val="22"/>
                <w:szCs w:val="22"/>
              </w:rPr>
            </w:pPr>
            <w:r w:rsidRPr="00C35766">
              <w:rPr>
                <w:rStyle w:val="normaltextrun"/>
                <w:sz w:val="22"/>
                <w:szCs w:val="22"/>
                <w:vertAlign w:val="superscript"/>
              </w:rPr>
              <w:t>b</w:t>
            </w:r>
            <w:r w:rsidRPr="00C35766">
              <w:rPr>
                <w:rStyle w:val="normaltextrun"/>
                <w:sz w:val="22"/>
                <w:szCs w:val="22"/>
              </w:rPr>
              <w:t>Adalimumab 2,4 mg/kg (massimo 160 mg) alla Settimana 0 e alla Settimana 1 e 1,2 mg/kg (massimo 80 mg) alla Settimana 2</w:t>
            </w:r>
            <w:r w:rsidRPr="00C35766">
              <w:rPr>
                <w:rStyle w:val="eop"/>
                <w:sz w:val="22"/>
                <w:szCs w:val="22"/>
              </w:rPr>
              <w:t> </w:t>
            </w:r>
          </w:p>
          <w:p w14:paraId="3D2CB74B" w14:textId="77777777" w:rsidR="00DA74AB" w:rsidRPr="00C35766" w:rsidRDefault="00DA74AB" w:rsidP="005A5DEF">
            <w:pPr>
              <w:pStyle w:val="paragraph"/>
              <w:widowControl w:val="0"/>
              <w:spacing w:before="0" w:beforeAutospacing="0" w:after="0" w:afterAutospacing="0"/>
              <w:textAlignment w:val="baseline"/>
              <w:rPr>
                <w:sz w:val="22"/>
                <w:szCs w:val="22"/>
              </w:rPr>
            </w:pPr>
            <w:r w:rsidRPr="00C35766">
              <w:rPr>
                <w:rStyle w:val="normaltextrun"/>
                <w:sz w:val="22"/>
                <w:szCs w:val="22"/>
                <w:vertAlign w:val="superscript"/>
              </w:rPr>
              <w:t>c</w:t>
            </w:r>
            <w:r w:rsidRPr="00C35766">
              <w:rPr>
                <w:rStyle w:val="normaltextrun"/>
                <w:sz w:val="22"/>
                <w:szCs w:val="22"/>
              </w:rPr>
              <w:t>Senza includere la dose di Induzione in aperto di adalimumab 2,4 mg/kg (massimo 160 mg) alla Settimana 0 e alla Settimana 1 e 1,2 mg/kg (massimo 80 mg) alla Settimana 2</w:t>
            </w:r>
          </w:p>
          <w:p w14:paraId="7780A02B" w14:textId="77777777" w:rsidR="00DA74AB" w:rsidRPr="00C35766" w:rsidRDefault="00DA74AB" w:rsidP="005A5DEF">
            <w:pPr>
              <w:pStyle w:val="paragraph"/>
              <w:widowControl w:val="0"/>
              <w:spacing w:before="0" w:beforeAutospacing="0" w:after="0" w:afterAutospacing="0"/>
              <w:textAlignment w:val="baseline"/>
              <w:rPr>
                <w:sz w:val="22"/>
                <w:szCs w:val="22"/>
              </w:rPr>
            </w:pPr>
            <w:r w:rsidRPr="00C35766">
              <w:rPr>
                <w:rStyle w:val="normaltextrun"/>
                <w:sz w:val="22"/>
                <w:szCs w:val="22"/>
              </w:rPr>
              <w:t>Nota 1: entrambi i gruppi di induzione hanno ricevuto 0,6 mg/kg (massimo 40 mg) alla Settimana 4 e alla Settimana 6</w:t>
            </w:r>
            <w:r w:rsidRPr="00C35766">
              <w:rPr>
                <w:rStyle w:val="eop"/>
                <w:sz w:val="22"/>
                <w:szCs w:val="22"/>
              </w:rPr>
              <w:t> </w:t>
            </w:r>
          </w:p>
          <w:p w14:paraId="1C8D8F5A" w14:textId="77777777" w:rsidR="00DA74AB" w:rsidRPr="00C35766" w:rsidRDefault="00DA74AB" w:rsidP="005A5DEF">
            <w:pPr>
              <w:pStyle w:val="paragraph"/>
              <w:widowControl w:val="0"/>
              <w:spacing w:before="0" w:beforeAutospacing="0" w:after="0" w:afterAutospacing="0"/>
              <w:textAlignment w:val="baseline"/>
              <w:rPr>
                <w:sz w:val="22"/>
                <w:szCs w:val="22"/>
              </w:rPr>
            </w:pPr>
            <w:r w:rsidRPr="00C35766">
              <w:rPr>
                <w:rStyle w:val="normaltextrun"/>
                <w:sz w:val="22"/>
                <w:szCs w:val="22"/>
              </w:rPr>
              <w:t>Nota 2: i pazienti con valori mancanti alla Settimana 8 sono stati considerati come non aver raggiunto</w:t>
            </w:r>
            <w:r w:rsidRPr="00C35766">
              <w:rPr>
                <w:rStyle w:val="normaltextrun"/>
              </w:rPr>
              <w:t xml:space="preserve"> </w:t>
            </w:r>
            <w:r w:rsidRPr="00C35766">
              <w:rPr>
                <w:rStyle w:val="normaltextrun"/>
                <w:sz w:val="22"/>
                <w:szCs w:val="22"/>
              </w:rPr>
              <w:t>l'endpoint</w:t>
            </w:r>
            <w:r w:rsidRPr="00C35766">
              <w:rPr>
                <w:rStyle w:val="eop"/>
                <w:sz w:val="22"/>
                <w:szCs w:val="22"/>
              </w:rPr>
              <w:t> </w:t>
            </w:r>
          </w:p>
        </w:tc>
      </w:tr>
    </w:tbl>
    <w:p w14:paraId="7A03EBE3" w14:textId="77777777" w:rsidR="00DA74AB" w:rsidRPr="00824699" w:rsidRDefault="00DA74AB" w:rsidP="00DA74AB">
      <w:pPr>
        <w:rPr>
          <w:rFonts w:ascii="Times New Roman" w:hAnsi="Times New Roman" w:cs="Times New Roman"/>
          <w:lang w:val="it-IT"/>
        </w:rPr>
      </w:pPr>
    </w:p>
    <w:p w14:paraId="037D69F7" w14:textId="37ADA4EB" w:rsidR="00DA74AB" w:rsidRPr="00824699" w:rsidRDefault="00DA74AB" w:rsidP="00DA74AB">
      <w:pPr>
        <w:rPr>
          <w:rFonts w:ascii="Times New Roman" w:hAnsi="Times New Roman" w:cs="Times New Roman"/>
          <w:lang w:val="it-IT"/>
        </w:rPr>
      </w:pPr>
      <w:r w:rsidRPr="00824699">
        <w:rPr>
          <w:rStyle w:val="normaltextrun"/>
          <w:rFonts w:ascii="Times New Roman" w:hAnsi="Times New Roman" w:cs="Times New Roman"/>
          <w:shd w:val="clear" w:color="auto" w:fill="FFFFFF"/>
          <w:lang w:val="it-IT"/>
        </w:rPr>
        <w:t xml:space="preserve">Alla Settimana 52, nei pazienti che avevano ricevuto adalimumab alle dosi di mantenimento massima in doppio cieco di 40 mg </w:t>
      </w:r>
      <w:r w:rsidRPr="00824699">
        <w:rPr>
          <w:rStyle w:val="spellingerror"/>
          <w:rFonts w:ascii="Times New Roman" w:hAnsi="Times New Roman" w:cs="Times New Roman"/>
          <w:shd w:val="clear" w:color="auto" w:fill="FFFFFF"/>
          <w:lang w:val="it-IT"/>
        </w:rPr>
        <w:t>a settimane alterne</w:t>
      </w:r>
      <w:r w:rsidRPr="00824699">
        <w:rPr>
          <w:rStyle w:val="normaltextrun"/>
          <w:rFonts w:ascii="Times New Roman" w:hAnsi="Times New Roman" w:cs="Times New Roman"/>
          <w:shd w:val="clear" w:color="auto" w:fill="FFFFFF"/>
          <w:lang w:val="it-IT"/>
        </w:rPr>
        <w:t xml:space="preserve"> (0,6 mg/kg) e massima di 40 mg </w:t>
      </w:r>
      <w:r w:rsidRPr="00824699">
        <w:rPr>
          <w:rStyle w:val="spellingerror"/>
          <w:rFonts w:ascii="Times New Roman" w:hAnsi="Times New Roman" w:cs="Times New Roman"/>
          <w:shd w:val="clear" w:color="auto" w:fill="FFFFFF"/>
          <w:lang w:val="it-IT"/>
        </w:rPr>
        <w:t>a settimana</w:t>
      </w:r>
      <w:r w:rsidRPr="00824699">
        <w:rPr>
          <w:rStyle w:val="normaltextrun"/>
          <w:rFonts w:ascii="Times New Roman" w:hAnsi="Times New Roman" w:cs="Times New Roman"/>
          <w:shd w:val="clear" w:color="auto" w:fill="FFFFFF"/>
          <w:lang w:val="it-IT"/>
        </w:rPr>
        <w:t xml:space="preserve"> (0,6 mg/kg), sono state valutate la remissione clinica come indicato dal FMS nei responder alla Settimana 8, la risposta clinica come indicato dal FMS (definita come una diminuzione del Mayo Score </w:t>
      </w:r>
      <w:r w:rsidRPr="00824699">
        <w:rPr>
          <w:rStyle w:val="normaltextrun"/>
          <w:rFonts w:ascii="Times New Roman" w:hAnsi="Times New Roman" w:cs="Times New Roman" w:hint="eastAsia"/>
          <w:shd w:val="clear" w:color="auto" w:fill="FFFFFF"/>
          <w:lang w:val="it-IT"/>
        </w:rPr>
        <w:t>≥</w:t>
      </w:r>
      <w:r w:rsidRPr="00824699">
        <w:rPr>
          <w:rStyle w:val="normaltextrun"/>
          <w:rFonts w:ascii="Times New Roman" w:hAnsi="Times New Roman" w:cs="Times New Roman"/>
          <w:shd w:val="clear" w:color="auto" w:fill="FFFFFF"/>
          <w:lang w:val="it-IT"/>
        </w:rPr>
        <w:t xml:space="preserve"> 3 punti e </w:t>
      </w:r>
      <w:r w:rsidRPr="00824699">
        <w:rPr>
          <w:rStyle w:val="normaltextrun"/>
          <w:rFonts w:ascii="Times New Roman" w:hAnsi="Times New Roman" w:cs="Times New Roman" w:hint="eastAsia"/>
          <w:shd w:val="clear" w:color="auto" w:fill="FFFFFF"/>
          <w:lang w:val="it-IT"/>
        </w:rPr>
        <w:t>≥</w:t>
      </w:r>
      <w:r w:rsidRPr="00824699">
        <w:rPr>
          <w:rStyle w:val="normaltextrun"/>
          <w:rFonts w:ascii="Times New Roman" w:hAnsi="Times New Roman" w:cs="Times New Roman"/>
          <w:shd w:val="clear" w:color="auto" w:fill="FFFFFF"/>
          <w:lang w:val="it-IT"/>
        </w:rPr>
        <w:t xml:space="preserve"> 30% dal basale) nei responder alla Settimana 8, la guarigione della mucosa come indicato dal FMS (definita come Mayo Score per endoscopia </w:t>
      </w:r>
      <w:r w:rsidRPr="00824699">
        <w:rPr>
          <w:rStyle w:val="normaltextrun"/>
          <w:rFonts w:ascii="Times New Roman" w:hAnsi="Times New Roman" w:cs="Times New Roman" w:hint="eastAsia"/>
          <w:shd w:val="clear" w:color="auto" w:fill="FFFFFF"/>
          <w:lang w:val="it-IT"/>
        </w:rPr>
        <w:t>≤</w:t>
      </w:r>
      <w:r w:rsidRPr="00824699">
        <w:rPr>
          <w:rStyle w:val="normaltextrun"/>
          <w:rFonts w:ascii="Times New Roman" w:hAnsi="Times New Roman" w:cs="Times New Roman"/>
          <w:shd w:val="clear" w:color="auto" w:fill="FFFFFF"/>
          <w:lang w:val="it-IT"/>
        </w:rPr>
        <w:t xml:space="preserve"> 1) nei responder alla Settimana 8, la remissione clinica come indicato dal FMS nei soggetti in remissione alla Settimana 8 e la proporzione di soggetti in remissione senza corticosteroidi come indicato dal FMS nei responder alla Settimana 8 (Tabella 22).</w:t>
      </w:r>
    </w:p>
    <w:p w14:paraId="7D56DE00" w14:textId="77777777" w:rsidR="00DA74AB" w:rsidRPr="00824699" w:rsidRDefault="00DA74AB" w:rsidP="00DA74AB">
      <w:pPr>
        <w:jc w:val="center"/>
        <w:textAlignment w:val="baseline"/>
        <w:rPr>
          <w:rFonts w:ascii="Times New Roman" w:hAnsi="Times New Roman" w:cs="Times New Roman"/>
          <w:b/>
          <w:lang w:val="it-IT" w:eastAsia="en-GB"/>
        </w:rPr>
      </w:pPr>
    </w:p>
    <w:p w14:paraId="088FABD3" w14:textId="3F5F8DFE" w:rsidR="00DA74AB" w:rsidRPr="00824699" w:rsidRDefault="00DA74AB" w:rsidP="00DA74AB">
      <w:pPr>
        <w:keepNext/>
        <w:jc w:val="center"/>
        <w:textAlignment w:val="baseline"/>
        <w:rPr>
          <w:rFonts w:ascii="Times New Roman" w:hAnsi="Times New Roman" w:cs="Times New Roman"/>
          <w:b/>
          <w:lang w:val="it-IT"/>
        </w:rPr>
      </w:pPr>
      <w:r w:rsidRPr="00824699">
        <w:rPr>
          <w:rFonts w:ascii="Times New Roman" w:hAnsi="Times New Roman" w:cs="Times New Roman"/>
          <w:b/>
          <w:lang w:val="it-IT"/>
        </w:rPr>
        <w:t>Tabella 22. Risultati di Efficacia a 52 Settimane</w:t>
      </w:r>
    </w:p>
    <w:p w14:paraId="0ABF8104" w14:textId="77777777" w:rsidR="00DA74AB" w:rsidRPr="00824699" w:rsidRDefault="00DA74AB" w:rsidP="00DA74AB">
      <w:pPr>
        <w:keepNext/>
        <w:jc w:val="center"/>
        <w:textAlignment w:val="baseline"/>
        <w:rPr>
          <w:rFonts w:ascii="Times New Roman" w:hAnsi="Times New Roman" w:cs="Times New Roman"/>
          <w:b/>
          <w:lang w:val="it-IT"/>
        </w:rPr>
      </w:pPr>
    </w:p>
    <w:tbl>
      <w:tblPr>
        <w:tblW w:w="8285"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43"/>
        <w:gridCol w:w="2409"/>
        <w:gridCol w:w="2633"/>
      </w:tblGrid>
      <w:tr w:rsidR="00DA74AB" w:rsidRPr="00494E69" w14:paraId="07532999" w14:textId="77777777" w:rsidTr="00D97785">
        <w:trPr>
          <w:trHeight w:val="912"/>
          <w:jc w:val="center"/>
        </w:trPr>
        <w:tc>
          <w:tcPr>
            <w:tcW w:w="3243" w:type="dxa"/>
            <w:tcBorders>
              <w:top w:val="single" w:sz="6" w:space="0" w:color="auto"/>
              <w:left w:val="single" w:sz="6" w:space="0" w:color="auto"/>
              <w:bottom w:val="single" w:sz="6" w:space="0" w:color="auto"/>
              <w:right w:val="single" w:sz="6" w:space="0" w:color="auto"/>
            </w:tcBorders>
            <w:hideMark/>
          </w:tcPr>
          <w:p w14:paraId="6FC5353E" w14:textId="77777777" w:rsidR="00DA74AB" w:rsidRPr="00824699" w:rsidRDefault="00DA74AB" w:rsidP="00D97785">
            <w:pPr>
              <w:jc w:val="center"/>
              <w:textAlignment w:val="baseline"/>
              <w:rPr>
                <w:rFonts w:ascii="Times New Roman" w:hAnsi="Times New Roman" w:cs="Times New Roman"/>
                <w:lang w:val="it-IT" w:eastAsia="en-GB"/>
              </w:rPr>
            </w:pPr>
          </w:p>
        </w:tc>
        <w:tc>
          <w:tcPr>
            <w:tcW w:w="2409" w:type="dxa"/>
            <w:tcBorders>
              <w:top w:val="single" w:sz="6" w:space="0" w:color="auto"/>
              <w:left w:val="nil"/>
              <w:bottom w:val="single" w:sz="6" w:space="0" w:color="auto"/>
              <w:right w:val="single" w:sz="6" w:space="0" w:color="auto"/>
            </w:tcBorders>
            <w:vAlign w:val="center"/>
            <w:hideMark/>
          </w:tcPr>
          <w:p w14:paraId="7B986D9A" w14:textId="77777777" w:rsidR="00DA74AB" w:rsidRPr="00824699" w:rsidRDefault="00DA74AB" w:rsidP="00D97785">
            <w:pPr>
              <w:jc w:val="center"/>
              <w:textAlignment w:val="baseline"/>
              <w:rPr>
                <w:rFonts w:ascii="Times New Roman" w:hAnsi="Times New Roman" w:cs="Times New Roman"/>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a</w:t>
            </w:r>
            <w:r w:rsidRPr="00824699">
              <w:rPr>
                <w:rFonts w:ascii="Times New Roman" w:hAnsi="Times New Roman" w:cs="Times New Roman"/>
                <w:b/>
                <w:lang w:val="it-IT"/>
              </w:rPr>
              <w:t> </w:t>
            </w:r>
            <w:r w:rsidRPr="00824699">
              <w:rPr>
                <w:rFonts w:ascii="Times New Roman" w:hAnsi="Times New Roman" w:cs="Times New Roman"/>
                <w:lang w:val="it-IT"/>
              </w:rPr>
              <w:t> </w:t>
            </w:r>
          </w:p>
          <w:p w14:paraId="21B1A44F" w14:textId="77777777" w:rsidR="00DA74AB" w:rsidRPr="00824699" w:rsidRDefault="00DA74AB" w:rsidP="00D97785">
            <w:pPr>
              <w:jc w:val="center"/>
              <w:textAlignment w:val="baseline"/>
              <w:rPr>
                <w:rFonts w:ascii="Times New Roman" w:hAnsi="Times New Roman" w:cs="Times New Roman"/>
                <w:lang w:val="it-IT"/>
              </w:rPr>
            </w:pPr>
            <w:r w:rsidRPr="00824699">
              <w:rPr>
                <w:rFonts w:ascii="Times New Roman" w:hAnsi="Times New Roman" w:cs="Times New Roman"/>
                <w:b/>
                <w:lang w:val="it-IT"/>
              </w:rPr>
              <w:t>Massimo 40 mg a settimane alterne</w:t>
            </w:r>
            <w:r w:rsidRPr="00824699">
              <w:rPr>
                <w:rFonts w:ascii="Times New Roman" w:hAnsi="Times New Roman" w:cs="Times New Roman"/>
                <w:lang w:val="it-IT"/>
              </w:rPr>
              <w:t> </w:t>
            </w:r>
          </w:p>
          <w:p w14:paraId="36F92BD0"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N=31</w:t>
            </w:r>
          </w:p>
        </w:tc>
        <w:tc>
          <w:tcPr>
            <w:tcW w:w="2633" w:type="dxa"/>
            <w:tcBorders>
              <w:top w:val="single" w:sz="6" w:space="0" w:color="auto"/>
              <w:left w:val="nil"/>
              <w:bottom w:val="single" w:sz="6" w:space="0" w:color="auto"/>
              <w:right w:val="single" w:sz="6" w:space="0" w:color="auto"/>
            </w:tcBorders>
            <w:vAlign w:val="center"/>
            <w:hideMark/>
          </w:tcPr>
          <w:p w14:paraId="10129E7C" w14:textId="77777777" w:rsidR="00DA74AB" w:rsidRPr="00824699" w:rsidRDefault="00DA74AB" w:rsidP="00D97785">
            <w:pPr>
              <w:jc w:val="center"/>
              <w:textAlignment w:val="baseline"/>
              <w:rPr>
                <w:rFonts w:ascii="Times New Roman" w:hAnsi="Times New Roman" w:cs="Times New Roman"/>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b</w:t>
            </w:r>
            <w:r w:rsidRPr="00824699">
              <w:rPr>
                <w:rFonts w:ascii="Times New Roman" w:hAnsi="Times New Roman" w:cs="Times New Roman"/>
                <w:b/>
                <w:lang w:val="it-IT"/>
              </w:rPr>
              <w:t> </w:t>
            </w:r>
            <w:r w:rsidRPr="00824699">
              <w:rPr>
                <w:rFonts w:ascii="Times New Roman" w:hAnsi="Times New Roman" w:cs="Times New Roman"/>
                <w:lang w:val="it-IT"/>
              </w:rPr>
              <w:t> </w:t>
            </w:r>
          </w:p>
          <w:p w14:paraId="3556BF4F" w14:textId="77777777" w:rsidR="00DA74AB" w:rsidRPr="00824699" w:rsidRDefault="00DA74AB" w:rsidP="00D97785">
            <w:pPr>
              <w:jc w:val="center"/>
              <w:textAlignment w:val="baseline"/>
              <w:rPr>
                <w:rFonts w:ascii="Times New Roman" w:hAnsi="Times New Roman" w:cs="Times New Roman"/>
                <w:lang w:val="it-IT"/>
              </w:rPr>
            </w:pPr>
            <w:r w:rsidRPr="00824699">
              <w:rPr>
                <w:rFonts w:ascii="Times New Roman" w:hAnsi="Times New Roman" w:cs="Times New Roman"/>
                <w:b/>
                <w:lang w:val="it-IT"/>
              </w:rPr>
              <w:t>Massimo 40 mg a settimana</w:t>
            </w:r>
            <w:r w:rsidRPr="00824699">
              <w:rPr>
                <w:rFonts w:ascii="Times New Roman" w:hAnsi="Times New Roman" w:cs="Times New Roman"/>
                <w:lang w:val="it-IT"/>
              </w:rPr>
              <w:t> </w:t>
            </w:r>
          </w:p>
          <w:p w14:paraId="5BF5FF62" w14:textId="77777777" w:rsidR="00DA74AB" w:rsidRPr="00824699" w:rsidRDefault="00DA74AB" w:rsidP="00D97785">
            <w:pPr>
              <w:jc w:val="center"/>
              <w:textAlignment w:val="baseline"/>
              <w:rPr>
                <w:rFonts w:ascii="Times New Roman" w:hAnsi="Times New Roman" w:cs="Times New Roman"/>
                <w:lang w:val="it-IT"/>
              </w:rPr>
            </w:pPr>
            <w:r w:rsidRPr="00824699">
              <w:rPr>
                <w:rFonts w:ascii="Times New Roman" w:hAnsi="Times New Roman" w:cs="Times New Roman"/>
                <w:lang w:val="it-IT"/>
              </w:rPr>
              <w:t>N=31</w:t>
            </w:r>
          </w:p>
        </w:tc>
      </w:tr>
      <w:tr w:rsidR="00DA74AB" w:rsidRPr="00C35766" w14:paraId="74DD1614" w14:textId="77777777" w:rsidTr="00D97785">
        <w:trPr>
          <w:trHeight w:val="570"/>
          <w:jc w:val="center"/>
        </w:trPr>
        <w:tc>
          <w:tcPr>
            <w:tcW w:w="3243" w:type="dxa"/>
            <w:tcBorders>
              <w:top w:val="nil"/>
              <w:left w:val="single" w:sz="6" w:space="0" w:color="auto"/>
              <w:bottom w:val="single" w:sz="6" w:space="0" w:color="auto"/>
              <w:right w:val="single" w:sz="6" w:space="0" w:color="auto"/>
            </w:tcBorders>
            <w:vAlign w:val="center"/>
            <w:hideMark/>
          </w:tcPr>
          <w:p w14:paraId="1C6F81A4"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Remissione clinica nei responder PMS alla Settimana 8 </w:t>
            </w:r>
          </w:p>
        </w:tc>
        <w:tc>
          <w:tcPr>
            <w:tcW w:w="2409" w:type="dxa"/>
            <w:tcBorders>
              <w:top w:val="nil"/>
              <w:left w:val="nil"/>
              <w:bottom w:val="single" w:sz="6" w:space="0" w:color="auto"/>
              <w:right w:val="single" w:sz="6" w:space="0" w:color="auto"/>
            </w:tcBorders>
            <w:vAlign w:val="center"/>
            <w:hideMark/>
          </w:tcPr>
          <w:p w14:paraId="7CCD26BF"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9/31 (29,0%) </w:t>
            </w:r>
          </w:p>
        </w:tc>
        <w:tc>
          <w:tcPr>
            <w:tcW w:w="2633" w:type="dxa"/>
            <w:tcBorders>
              <w:top w:val="nil"/>
              <w:left w:val="nil"/>
              <w:bottom w:val="single" w:sz="6" w:space="0" w:color="auto"/>
              <w:right w:val="single" w:sz="6" w:space="0" w:color="auto"/>
            </w:tcBorders>
            <w:vAlign w:val="center"/>
            <w:hideMark/>
          </w:tcPr>
          <w:p w14:paraId="65547A1A"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14/31 (45,2%)</w:t>
            </w:r>
          </w:p>
        </w:tc>
      </w:tr>
      <w:tr w:rsidR="00DA74AB" w:rsidRPr="00C35766" w14:paraId="252675B2" w14:textId="77777777" w:rsidTr="00D97785">
        <w:trPr>
          <w:trHeight w:val="555"/>
          <w:jc w:val="center"/>
        </w:trPr>
        <w:tc>
          <w:tcPr>
            <w:tcW w:w="3243" w:type="dxa"/>
            <w:tcBorders>
              <w:top w:val="nil"/>
              <w:left w:val="single" w:sz="6" w:space="0" w:color="auto"/>
              <w:bottom w:val="single" w:sz="6" w:space="0" w:color="auto"/>
              <w:right w:val="single" w:sz="6" w:space="0" w:color="auto"/>
            </w:tcBorders>
            <w:vAlign w:val="center"/>
            <w:hideMark/>
          </w:tcPr>
          <w:p w14:paraId="60A4E6EA"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Risposta clinica nei responder PMS alla Settimana 8 </w:t>
            </w:r>
          </w:p>
        </w:tc>
        <w:tc>
          <w:tcPr>
            <w:tcW w:w="2409" w:type="dxa"/>
            <w:tcBorders>
              <w:top w:val="nil"/>
              <w:left w:val="nil"/>
              <w:bottom w:val="single" w:sz="6" w:space="0" w:color="auto"/>
              <w:right w:val="single" w:sz="6" w:space="0" w:color="auto"/>
            </w:tcBorders>
            <w:vAlign w:val="center"/>
            <w:hideMark/>
          </w:tcPr>
          <w:p w14:paraId="313B7D58"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19/31 (61,3%) </w:t>
            </w:r>
          </w:p>
        </w:tc>
        <w:tc>
          <w:tcPr>
            <w:tcW w:w="2633" w:type="dxa"/>
            <w:tcBorders>
              <w:top w:val="nil"/>
              <w:left w:val="nil"/>
              <w:bottom w:val="single" w:sz="6" w:space="0" w:color="auto"/>
              <w:right w:val="single" w:sz="6" w:space="0" w:color="auto"/>
            </w:tcBorders>
            <w:vAlign w:val="center"/>
            <w:hideMark/>
          </w:tcPr>
          <w:p w14:paraId="524466BE"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21/31 (67,7%) </w:t>
            </w:r>
          </w:p>
        </w:tc>
      </w:tr>
      <w:tr w:rsidR="00DA74AB" w:rsidRPr="00C35766" w14:paraId="5A6C2EB4" w14:textId="77777777" w:rsidTr="00D97785">
        <w:trPr>
          <w:jc w:val="center"/>
        </w:trPr>
        <w:tc>
          <w:tcPr>
            <w:tcW w:w="3243" w:type="dxa"/>
            <w:tcBorders>
              <w:top w:val="nil"/>
              <w:left w:val="single" w:sz="6" w:space="0" w:color="auto"/>
              <w:bottom w:val="single" w:sz="6" w:space="0" w:color="auto"/>
              <w:right w:val="single" w:sz="6" w:space="0" w:color="auto"/>
            </w:tcBorders>
            <w:vAlign w:val="center"/>
            <w:hideMark/>
          </w:tcPr>
          <w:p w14:paraId="4F7DEC01"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Guarigione della mucosa nei responder PMS alla Settimana 8 </w:t>
            </w:r>
          </w:p>
        </w:tc>
        <w:tc>
          <w:tcPr>
            <w:tcW w:w="2409" w:type="dxa"/>
            <w:tcBorders>
              <w:top w:val="nil"/>
              <w:left w:val="nil"/>
              <w:bottom w:val="single" w:sz="6" w:space="0" w:color="auto"/>
              <w:right w:val="single" w:sz="6" w:space="0" w:color="auto"/>
            </w:tcBorders>
            <w:vAlign w:val="center"/>
            <w:hideMark/>
          </w:tcPr>
          <w:p w14:paraId="2CD3C100"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12/31 (38,7%) </w:t>
            </w:r>
          </w:p>
        </w:tc>
        <w:tc>
          <w:tcPr>
            <w:tcW w:w="2633" w:type="dxa"/>
            <w:tcBorders>
              <w:top w:val="nil"/>
              <w:left w:val="nil"/>
              <w:bottom w:val="single" w:sz="6" w:space="0" w:color="auto"/>
              <w:right w:val="single" w:sz="6" w:space="0" w:color="auto"/>
            </w:tcBorders>
            <w:vAlign w:val="center"/>
            <w:hideMark/>
          </w:tcPr>
          <w:p w14:paraId="529FE049"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16/31 (51,6%) </w:t>
            </w:r>
          </w:p>
        </w:tc>
      </w:tr>
      <w:tr w:rsidR="00DA74AB" w:rsidRPr="00C35766" w14:paraId="119ECA37" w14:textId="77777777" w:rsidTr="00D97785">
        <w:trPr>
          <w:jc w:val="center"/>
        </w:trPr>
        <w:tc>
          <w:tcPr>
            <w:tcW w:w="3243" w:type="dxa"/>
            <w:tcBorders>
              <w:top w:val="nil"/>
              <w:left w:val="single" w:sz="6" w:space="0" w:color="auto"/>
              <w:bottom w:val="single" w:sz="6" w:space="0" w:color="auto"/>
              <w:right w:val="single" w:sz="6" w:space="0" w:color="auto"/>
            </w:tcBorders>
            <w:vAlign w:val="center"/>
            <w:hideMark/>
          </w:tcPr>
          <w:p w14:paraId="03489599"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Remissione clinica nei soggetti in remissione PMS alla Settimana 8 </w:t>
            </w:r>
          </w:p>
        </w:tc>
        <w:tc>
          <w:tcPr>
            <w:tcW w:w="2409" w:type="dxa"/>
            <w:tcBorders>
              <w:top w:val="nil"/>
              <w:left w:val="nil"/>
              <w:bottom w:val="single" w:sz="6" w:space="0" w:color="auto"/>
              <w:right w:val="single" w:sz="6" w:space="0" w:color="auto"/>
            </w:tcBorders>
            <w:vAlign w:val="center"/>
            <w:hideMark/>
          </w:tcPr>
          <w:p w14:paraId="129FB8C5"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9/21 (42,9%) </w:t>
            </w:r>
          </w:p>
        </w:tc>
        <w:tc>
          <w:tcPr>
            <w:tcW w:w="2633" w:type="dxa"/>
            <w:tcBorders>
              <w:top w:val="nil"/>
              <w:left w:val="nil"/>
              <w:bottom w:val="single" w:sz="6" w:space="0" w:color="auto"/>
              <w:right w:val="single" w:sz="6" w:space="0" w:color="auto"/>
            </w:tcBorders>
            <w:vAlign w:val="center"/>
            <w:hideMark/>
          </w:tcPr>
          <w:p w14:paraId="14801B2A"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10/22 (45,5%) </w:t>
            </w:r>
          </w:p>
        </w:tc>
      </w:tr>
      <w:tr w:rsidR="00DA74AB" w:rsidRPr="00C35766" w14:paraId="65B95ED6" w14:textId="77777777" w:rsidTr="00D97785">
        <w:trPr>
          <w:jc w:val="center"/>
        </w:trPr>
        <w:tc>
          <w:tcPr>
            <w:tcW w:w="3243" w:type="dxa"/>
            <w:tcBorders>
              <w:top w:val="nil"/>
              <w:left w:val="single" w:sz="6" w:space="0" w:color="auto"/>
              <w:bottom w:val="single" w:sz="6" w:space="0" w:color="auto"/>
              <w:right w:val="single" w:sz="6" w:space="0" w:color="auto"/>
            </w:tcBorders>
            <w:vAlign w:val="center"/>
            <w:hideMark/>
          </w:tcPr>
          <w:p w14:paraId="13C05D0D"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Remissione senza corticosteroidi nei responder PMS alla Settimana 8</w:t>
            </w:r>
            <w:r w:rsidRPr="00824699">
              <w:rPr>
                <w:rFonts w:ascii="Times New Roman" w:hAnsi="Times New Roman" w:cs="Times New Roman"/>
                <w:vertAlign w:val="superscript"/>
                <w:lang w:val="it-IT"/>
              </w:rPr>
              <w:t>c</w:t>
            </w:r>
            <w:r w:rsidRPr="00824699">
              <w:rPr>
                <w:rFonts w:ascii="Times New Roman" w:hAnsi="Times New Roman" w:cs="Times New Roman"/>
                <w:lang w:val="it-IT"/>
              </w:rPr>
              <w:t> </w:t>
            </w:r>
          </w:p>
        </w:tc>
        <w:tc>
          <w:tcPr>
            <w:tcW w:w="2409" w:type="dxa"/>
            <w:tcBorders>
              <w:top w:val="nil"/>
              <w:left w:val="nil"/>
              <w:bottom w:val="single" w:sz="6" w:space="0" w:color="auto"/>
              <w:right w:val="single" w:sz="6" w:space="0" w:color="auto"/>
            </w:tcBorders>
            <w:vAlign w:val="center"/>
            <w:hideMark/>
          </w:tcPr>
          <w:p w14:paraId="55BE709F"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4/13 (30,8%) </w:t>
            </w:r>
          </w:p>
        </w:tc>
        <w:tc>
          <w:tcPr>
            <w:tcW w:w="2633" w:type="dxa"/>
            <w:tcBorders>
              <w:top w:val="nil"/>
              <w:left w:val="nil"/>
              <w:bottom w:val="single" w:sz="6" w:space="0" w:color="auto"/>
              <w:right w:val="single" w:sz="6" w:space="0" w:color="auto"/>
            </w:tcBorders>
            <w:vAlign w:val="center"/>
            <w:hideMark/>
          </w:tcPr>
          <w:p w14:paraId="05F366BF" w14:textId="77777777" w:rsidR="00DA74AB" w:rsidRPr="00C35766" w:rsidRDefault="00DA74AB" w:rsidP="00D97785">
            <w:pPr>
              <w:jc w:val="center"/>
              <w:textAlignment w:val="baseline"/>
              <w:rPr>
                <w:rFonts w:ascii="Times New Roman" w:hAnsi="Times New Roman" w:cs="Times New Roman"/>
              </w:rPr>
            </w:pPr>
            <w:r w:rsidRPr="00C35766">
              <w:rPr>
                <w:rFonts w:ascii="Times New Roman" w:hAnsi="Times New Roman" w:cs="Times New Roman"/>
              </w:rPr>
              <w:t>5/16 (31,3%) </w:t>
            </w:r>
          </w:p>
        </w:tc>
      </w:tr>
      <w:tr w:rsidR="00DA74AB" w:rsidRPr="006501B3" w14:paraId="7D89DF20" w14:textId="77777777" w:rsidTr="00D97785">
        <w:trPr>
          <w:jc w:val="center"/>
        </w:trPr>
        <w:tc>
          <w:tcPr>
            <w:tcW w:w="8285" w:type="dxa"/>
            <w:gridSpan w:val="3"/>
            <w:tcBorders>
              <w:top w:val="nil"/>
              <w:left w:val="single" w:sz="6" w:space="0" w:color="auto"/>
              <w:bottom w:val="single" w:sz="6" w:space="0" w:color="auto"/>
              <w:right w:val="single" w:sz="6" w:space="0" w:color="auto"/>
            </w:tcBorders>
            <w:hideMark/>
          </w:tcPr>
          <w:p w14:paraId="13783374"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vertAlign w:val="superscript"/>
                <w:lang w:val="it-IT"/>
              </w:rPr>
              <w:t>a</w:t>
            </w:r>
            <w:r w:rsidRPr="00824699">
              <w:rPr>
                <w:rFonts w:ascii="Times New Roman" w:hAnsi="Times New Roman" w:cs="Times New Roman"/>
                <w:lang w:val="it-IT"/>
              </w:rPr>
              <w:t>Adalimumab 0,6 mg/kg (massimo 40 mg) a settimane alterne</w:t>
            </w:r>
            <w:r w:rsidRPr="00824699">
              <w:rPr>
                <w:rFonts w:ascii="Times New Roman" w:hAnsi="Times New Roman" w:cs="Times New Roman"/>
                <w:sz w:val="20"/>
                <w:szCs w:val="20"/>
                <w:lang w:val="it-IT"/>
              </w:rPr>
              <w:t> </w:t>
            </w:r>
          </w:p>
          <w:p w14:paraId="055A9859"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vertAlign w:val="superscript"/>
                <w:lang w:val="it-IT"/>
              </w:rPr>
              <w:t>b</w:t>
            </w:r>
            <w:r w:rsidRPr="00824699">
              <w:rPr>
                <w:rFonts w:ascii="Times New Roman" w:hAnsi="Times New Roman" w:cs="Times New Roman"/>
                <w:lang w:val="it-IT"/>
              </w:rPr>
              <w:t>Adalimumab 0,6 mg/kg (massimo 40 mg) ogni settimana </w:t>
            </w:r>
          </w:p>
          <w:p w14:paraId="7F935270"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vertAlign w:val="superscript"/>
                <w:lang w:val="it-IT"/>
              </w:rPr>
              <w:t>c</w:t>
            </w:r>
            <w:r w:rsidRPr="00824699">
              <w:rPr>
                <w:rFonts w:ascii="Times New Roman" w:hAnsi="Times New Roman" w:cs="Times New Roman"/>
                <w:lang w:val="it-IT"/>
              </w:rPr>
              <w:t>In pazienti che ricevono corticosteroidi concomitanti al basale </w:t>
            </w:r>
          </w:p>
          <w:p w14:paraId="51CE9729" w14:textId="77777777" w:rsidR="00DA74AB" w:rsidRPr="00824699" w:rsidRDefault="00DA74AB" w:rsidP="00D97785">
            <w:pPr>
              <w:textAlignment w:val="baseline"/>
              <w:rPr>
                <w:rFonts w:ascii="Times New Roman" w:hAnsi="Times New Roman" w:cs="Times New Roman"/>
                <w:lang w:val="it-IT"/>
              </w:rPr>
            </w:pPr>
            <w:r w:rsidRPr="00824699">
              <w:rPr>
                <w:rFonts w:ascii="Times New Roman" w:hAnsi="Times New Roman" w:cs="Times New Roman"/>
                <w:lang w:val="it-IT"/>
              </w:rPr>
              <w:t>Nota: i pazienti con valori mancanti alla Settimana 52 o che sono stati randomizzati a ricevere un trattamento di reinduzione o mantenimento sono stati considerati non responder per gli endpoint della Settimana 52 </w:t>
            </w:r>
          </w:p>
        </w:tc>
      </w:tr>
    </w:tbl>
    <w:p w14:paraId="2D41C9A9" w14:textId="77777777" w:rsidR="00DA74AB" w:rsidRPr="00824699" w:rsidRDefault="00DA74AB" w:rsidP="00DA74AB">
      <w:pPr>
        <w:rPr>
          <w:rFonts w:ascii="Times New Roman" w:hAnsi="Times New Roman" w:cs="Times New Roman"/>
          <w:lang w:val="it-IT"/>
        </w:rPr>
      </w:pPr>
    </w:p>
    <w:p w14:paraId="4FE215C3" w14:textId="6E6DB9F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 xml:space="preserve">Ulteriori endpoint di efficacia esplorativi includevano la risposta clinica secondo il PUCAI (Pediatric Ulcerative Colitis Activity Index) (definita come una diminuzione del PUCAI </w:t>
      </w:r>
      <w:r w:rsidRPr="00824699">
        <w:rPr>
          <w:rFonts w:ascii="Times New Roman" w:hAnsi="Times New Roman" w:cs="Times New Roman" w:hint="eastAsia"/>
          <w:lang w:val="it-IT"/>
        </w:rPr>
        <w:t>≥</w:t>
      </w:r>
      <w:r w:rsidRPr="00824699">
        <w:rPr>
          <w:rFonts w:ascii="Times New Roman" w:hAnsi="Times New Roman" w:cs="Times New Roman"/>
          <w:lang w:val="it-IT"/>
        </w:rPr>
        <w:t xml:space="preserve"> 20 punti dal basale) e la remissione clinica come indicato dal PUCAI (definita come PUCAI &lt; 10) alla Settimana 8 e alla Settimana 52 (Tabella 23). </w:t>
      </w:r>
    </w:p>
    <w:p w14:paraId="4B1DBE22" w14:textId="77777777" w:rsidR="005A5DEF" w:rsidRPr="00824699" w:rsidRDefault="005A5DEF" w:rsidP="00DA74AB">
      <w:pPr>
        <w:rPr>
          <w:rFonts w:ascii="Times New Roman" w:hAnsi="Times New Roman" w:cs="Times New Roman"/>
          <w:lang w:val="it-IT"/>
        </w:rPr>
      </w:pPr>
    </w:p>
    <w:tbl>
      <w:tblPr>
        <w:tblW w:w="8971" w:type="dxa"/>
        <w:jc w:val="center"/>
        <w:tblCellMar>
          <w:left w:w="0" w:type="dxa"/>
          <w:right w:w="0" w:type="dxa"/>
        </w:tblCellMar>
        <w:tblLook w:val="04A0" w:firstRow="1" w:lastRow="0" w:firstColumn="1" w:lastColumn="0" w:noHBand="0" w:noVBand="1"/>
      </w:tblPr>
      <w:tblGrid>
        <w:gridCol w:w="3643"/>
        <w:gridCol w:w="2898"/>
        <w:gridCol w:w="2430"/>
      </w:tblGrid>
      <w:tr w:rsidR="00DA74AB" w:rsidRPr="006501B3" w14:paraId="6F0409B8" w14:textId="77777777" w:rsidTr="00D97785">
        <w:trPr>
          <w:trHeight w:val="60"/>
          <w:jc w:val="center"/>
        </w:trPr>
        <w:tc>
          <w:tcPr>
            <w:tcW w:w="8971" w:type="dxa"/>
            <w:gridSpan w:val="3"/>
            <w:tcBorders>
              <w:bottom w:val="single" w:sz="4" w:space="0" w:color="auto"/>
            </w:tcBorders>
            <w:tcMar>
              <w:top w:w="0" w:type="dxa"/>
              <w:left w:w="108" w:type="dxa"/>
              <w:bottom w:w="0" w:type="dxa"/>
              <w:right w:w="108" w:type="dxa"/>
            </w:tcMar>
          </w:tcPr>
          <w:p w14:paraId="03C31B89" w14:textId="08D19643" w:rsidR="00DA74AB" w:rsidRPr="00824699" w:rsidRDefault="00DA74AB" w:rsidP="00DA74AB">
            <w:pPr>
              <w:jc w:val="center"/>
              <w:rPr>
                <w:rFonts w:ascii="Times New Roman" w:hAnsi="Times New Roman" w:cs="Times New Roman"/>
                <w:b/>
                <w:bCs/>
                <w:lang w:val="it-IT"/>
              </w:rPr>
            </w:pPr>
            <w:r w:rsidRPr="00824699">
              <w:rPr>
                <w:rFonts w:ascii="Times New Roman" w:hAnsi="Times New Roman" w:cs="Times New Roman"/>
                <w:b/>
                <w:lang w:val="it-IT"/>
              </w:rPr>
              <w:t>Tabella 23. Risultati degli Endpoint Esplorativi in base al PUCAI</w:t>
            </w:r>
          </w:p>
        </w:tc>
      </w:tr>
      <w:tr w:rsidR="00DA74AB" w:rsidRPr="00C35766" w14:paraId="781C5547" w14:textId="77777777" w:rsidTr="00D97785">
        <w:trPr>
          <w:trHeight w:val="265"/>
          <w:jc w:val="center"/>
        </w:trPr>
        <w:tc>
          <w:tcPr>
            <w:tcW w:w="364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F5C578" w14:textId="77777777" w:rsidR="00DA74AB" w:rsidRPr="00824699" w:rsidRDefault="00DA74AB" w:rsidP="00D97785">
            <w:pPr>
              <w:rPr>
                <w:rFonts w:ascii="Times New Roman" w:hAnsi="Times New Roman" w:cs="Times New Roman"/>
                <w:lang w:val="it-IT"/>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A5362E" w14:textId="77777777" w:rsidR="00DA74AB" w:rsidRPr="00C35766" w:rsidRDefault="00DA74AB" w:rsidP="00D97785">
            <w:pPr>
              <w:jc w:val="center"/>
              <w:rPr>
                <w:rFonts w:ascii="Times New Roman" w:hAnsi="Times New Roman" w:cs="Times New Roman"/>
                <w:b/>
                <w:bCs/>
              </w:rPr>
            </w:pPr>
            <w:r w:rsidRPr="00C35766">
              <w:rPr>
                <w:rFonts w:ascii="Times New Roman" w:hAnsi="Times New Roman" w:cs="Times New Roman"/>
                <w:b/>
              </w:rPr>
              <w:t>Settimana 8</w:t>
            </w:r>
          </w:p>
        </w:tc>
      </w:tr>
      <w:tr w:rsidR="00DA74AB" w:rsidRPr="00C35766" w14:paraId="2E44E1C6" w14:textId="77777777" w:rsidTr="00D97785">
        <w:trPr>
          <w:trHeight w:val="1042"/>
          <w:jc w:val="center"/>
        </w:trPr>
        <w:tc>
          <w:tcPr>
            <w:tcW w:w="364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008B70" w14:textId="77777777" w:rsidR="00DA74AB" w:rsidRPr="00C35766" w:rsidRDefault="00DA74AB" w:rsidP="00D97785">
            <w:pPr>
              <w:rPr>
                <w:rFonts w:ascii="Times New Roman" w:hAnsi="Times New Roman" w:cs="Times New Roman"/>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F23144" w14:textId="77777777" w:rsidR="00DA74AB" w:rsidRPr="00824699" w:rsidRDefault="00DA74AB" w:rsidP="00D97785">
            <w:pPr>
              <w:jc w:val="center"/>
              <w:rPr>
                <w:rFonts w:ascii="Times New Roman" w:hAnsi="Times New Roman" w:cs="Times New Roman"/>
                <w:b/>
                <w:bCs/>
                <w:vertAlign w:val="superscript"/>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a</w:t>
            </w:r>
          </w:p>
          <w:p w14:paraId="7B58AEA1" w14:textId="77777777" w:rsidR="00DA74AB" w:rsidRPr="00824699" w:rsidRDefault="00DA74AB" w:rsidP="00D97785">
            <w:pPr>
              <w:jc w:val="center"/>
              <w:rPr>
                <w:rFonts w:ascii="Times New Roman" w:hAnsi="Times New Roman" w:cs="Times New Roman"/>
                <w:b/>
                <w:bCs/>
                <w:lang w:val="it-IT"/>
              </w:rPr>
            </w:pPr>
            <w:r w:rsidRPr="00824699">
              <w:rPr>
                <w:rFonts w:ascii="Times New Roman" w:hAnsi="Times New Roman" w:cs="Times New Roman"/>
                <w:b/>
                <w:lang w:val="it-IT"/>
              </w:rPr>
              <w:t>Massimo 160 mg alla Settimana 0/Placebo alla Settimana 1</w:t>
            </w:r>
          </w:p>
          <w:p w14:paraId="143047C8"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3E8FB6" w14:textId="77777777" w:rsidR="00DA74AB" w:rsidRPr="00824699" w:rsidRDefault="00DA74AB" w:rsidP="00D97785">
            <w:pPr>
              <w:jc w:val="center"/>
              <w:rPr>
                <w:rFonts w:ascii="Times New Roman" w:hAnsi="Times New Roman" w:cs="Times New Roman"/>
                <w:b/>
                <w:bCs/>
                <w:vertAlign w:val="superscript"/>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b,c</w:t>
            </w:r>
          </w:p>
          <w:p w14:paraId="4A1BFA9B" w14:textId="77777777" w:rsidR="00DA74AB" w:rsidRPr="00824699" w:rsidRDefault="00DA74AB" w:rsidP="00D97785">
            <w:pPr>
              <w:jc w:val="center"/>
              <w:rPr>
                <w:rFonts w:ascii="Times New Roman" w:hAnsi="Times New Roman" w:cs="Times New Roman"/>
                <w:b/>
                <w:bCs/>
                <w:lang w:val="it-IT"/>
              </w:rPr>
            </w:pPr>
            <w:r w:rsidRPr="00824699">
              <w:rPr>
                <w:rFonts w:ascii="Times New Roman" w:hAnsi="Times New Roman" w:cs="Times New Roman"/>
                <w:b/>
                <w:lang w:val="it-IT"/>
              </w:rPr>
              <w:t>Massimo 160 mg alla Settimana 0 e alla Settimana 1</w:t>
            </w:r>
          </w:p>
          <w:p w14:paraId="2E69DCB5"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N=47</w:t>
            </w:r>
          </w:p>
        </w:tc>
      </w:tr>
      <w:tr w:rsidR="00DA74AB" w:rsidRPr="00C35766" w14:paraId="0BE8FFFA" w14:textId="77777777" w:rsidTr="00D97785">
        <w:trPr>
          <w:trHeight w:val="202"/>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396307D" w14:textId="77777777" w:rsidR="00DA74AB" w:rsidRPr="00824699" w:rsidRDefault="00DA74AB" w:rsidP="00D97785">
            <w:pPr>
              <w:rPr>
                <w:rFonts w:ascii="Times New Roman" w:hAnsi="Times New Roman" w:cs="Times New Roman"/>
                <w:lang w:val="it-IT"/>
              </w:rPr>
            </w:pPr>
            <w:r w:rsidRPr="00824699">
              <w:rPr>
                <w:rFonts w:ascii="Times New Roman" w:hAnsi="Times New Roman" w:cs="Times New Roman"/>
                <w:lang w:val="it-IT"/>
              </w:rPr>
              <w:t>Remissione clinica in base al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CEF0CB"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10/30 (33,3%)</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F87D3A"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22/47 (46,8%)</w:t>
            </w:r>
          </w:p>
        </w:tc>
      </w:tr>
      <w:tr w:rsidR="00DA74AB" w:rsidRPr="00C35766" w14:paraId="086DA155" w14:textId="77777777" w:rsidTr="00D97785">
        <w:trPr>
          <w:trHeight w:val="238"/>
          <w:jc w:val="center"/>
        </w:trPr>
        <w:tc>
          <w:tcPr>
            <w:tcW w:w="3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B0CE80" w14:textId="77777777" w:rsidR="00DA74AB" w:rsidRPr="00824699" w:rsidRDefault="00DA74AB" w:rsidP="00D97785">
            <w:pPr>
              <w:rPr>
                <w:rFonts w:ascii="Times New Roman" w:hAnsi="Times New Roman" w:cs="Times New Roman"/>
                <w:lang w:val="it-IT"/>
              </w:rPr>
            </w:pPr>
            <w:r w:rsidRPr="00824699">
              <w:rPr>
                <w:rFonts w:ascii="Times New Roman" w:hAnsi="Times New Roman" w:cs="Times New Roman"/>
                <w:lang w:val="it-IT"/>
              </w:rPr>
              <w:t>Risposta clinica in base al PUCAI</w:t>
            </w: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EEAC37"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15/30 (50,0%)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5177CD"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32/47 (68,1%)</w:t>
            </w:r>
          </w:p>
        </w:tc>
      </w:tr>
      <w:tr w:rsidR="00DA74AB" w:rsidRPr="00C35766" w14:paraId="31ACD74A" w14:textId="77777777" w:rsidTr="00D97785">
        <w:trPr>
          <w:trHeight w:val="238"/>
          <w:jc w:val="center"/>
        </w:trPr>
        <w:tc>
          <w:tcPr>
            <w:tcW w:w="3643" w:type="dxa"/>
            <w:vMerge w:val="restart"/>
            <w:tcBorders>
              <w:top w:val="nil"/>
              <w:left w:val="single" w:sz="8" w:space="0" w:color="auto"/>
              <w:right w:val="single" w:sz="8" w:space="0" w:color="auto"/>
            </w:tcBorders>
            <w:tcMar>
              <w:top w:w="0" w:type="dxa"/>
              <w:left w:w="108" w:type="dxa"/>
              <w:bottom w:w="0" w:type="dxa"/>
              <w:right w:w="108" w:type="dxa"/>
            </w:tcMar>
          </w:tcPr>
          <w:p w14:paraId="70D2F3A5" w14:textId="77777777" w:rsidR="00DA74AB" w:rsidRPr="00C35766" w:rsidRDefault="00DA74AB" w:rsidP="00D97785">
            <w:pPr>
              <w:rPr>
                <w:rFonts w:ascii="Times New Roman" w:hAnsi="Times New Roman" w:cs="Times New Roma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tcPr>
          <w:p w14:paraId="67DA02DD" w14:textId="77777777" w:rsidR="00DA74AB" w:rsidRPr="00C35766" w:rsidRDefault="00DA74AB" w:rsidP="00D97785">
            <w:pPr>
              <w:jc w:val="center"/>
              <w:rPr>
                <w:rFonts w:ascii="Times New Roman" w:hAnsi="Times New Roman" w:cs="Times New Roman"/>
                <w:b/>
                <w:bCs/>
              </w:rPr>
            </w:pPr>
            <w:r w:rsidRPr="00C35766">
              <w:rPr>
                <w:rFonts w:ascii="Times New Roman" w:hAnsi="Times New Roman" w:cs="Times New Roman"/>
                <w:b/>
              </w:rPr>
              <w:t>Settimana 52</w:t>
            </w:r>
          </w:p>
        </w:tc>
      </w:tr>
      <w:tr w:rsidR="00DA74AB" w:rsidRPr="00494E69" w14:paraId="665B5679" w14:textId="77777777" w:rsidTr="00D97785">
        <w:trPr>
          <w:trHeight w:val="238"/>
          <w:jc w:val="center"/>
        </w:trPr>
        <w:tc>
          <w:tcPr>
            <w:tcW w:w="3643"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4ECC0727" w14:textId="77777777" w:rsidR="00DA74AB" w:rsidRPr="00C35766" w:rsidRDefault="00DA74AB" w:rsidP="00D97785">
            <w:pPr>
              <w:rPr>
                <w:rFonts w:ascii="Times New Roman" w:hAnsi="Times New Roman" w:cs="Times New Roma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043B31C6" w14:textId="77777777" w:rsidR="00DA74AB" w:rsidRPr="00824699" w:rsidRDefault="00DA74AB" w:rsidP="00D97785">
            <w:pPr>
              <w:jc w:val="center"/>
              <w:rPr>
                <w:rFonts w:ascii="Times New Roman" w:hAnsi="Times New Roman" w:cs="Times New Roman"/>
                <w:b/>
                <w:bCs/>
                <w:vertAlign w:val="superscript"/>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d</w:t>
            </w:r>
          </w:p>
          <w:p w14:paraId="6DF11ACB" w14:textId="77777777" w:rsidR="00DA74AB" w:rsidRPr="00824699" w:rsidRDefault="00DA74AB" w:rsidP="00D97785">
            <w:pPr>
              <w:jc w:val="center"/>
              <w:rPr>
                <w:rFonts w:ascii="Times New Roman" w:hAnsi="Times New Roman" w:cs="Times New Roman"/>
                <w:b/>
                <w:bCs/>
                <w:lang w:val="it-IT"/>
              </w:rPr>
            </w:pPr>
            <w:r w:rsidRPr="00824699">
              <w:rPr>
                <w:rFonts w:ascii="Times New Roman" w:hAnsi="Times New Roman" w:cs="Times New Roman"/>
                <w:b/>
                <w:lang w:val="it-IT"/>
              </w:rPr>
              <w:t>Massimo 40 mg a settimane alterne</w:t>
            </w:r>
          </w:p>
          <w:p w14:paraId="559DE1D8"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N=31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24EDFE4D" w14:textId="77777777" w:rsidR="00DA74AB" w:rsidRPr="00824699" w:rsidRDefault="00DA74AB" w:rsidP="00D97785">
            <w:pPr>
              <w:jc w:val="center"/>
              <w:rPr>
                <w:rFonts w:ascii="Times New Roman" w:hAnsi="Times New Roman" w:cs="Times New Roman"/>
                <w:b/>
                <w:bCs/>
                <w:vertAlign w:val="superscript"/>
                <w:lang w:val="it-IT"/>
              </w:rPr>
            </w:pPr>
            <w:r w:rsidRPr="00824699">
              <w:rPr>
                <w:rFonts w:ascii="Times New Roman" w:hAnsi="Times New Roman" w:cs="Times New Roman"/>
                <w:b/>
                <w:lang w:val="it-IT"/>
              </w:rPr>
              <w:t>Adalimumab</w:t>
            </w:r>
            <w:r w:rsidRPr="00824699">
              <w:rPr>
                <w:rFonts w:ascii="Times New Roman" w:hAnsi="Times New Roman" w:cs="Times New Roman"/>
                <w:b/>
                <w:vertAlign w:val="superscript"/>
                <w:lang w:val="it-IT"/>
              </w:rPr>
              <w:t>e</w:t>
            </w:r>
          </w:p>
          <w:p w14:paraId="594199DA" w14:textId="77777777" w:rsidR="00DA74AB" w:rsidRPr="00824699" w:rsidRDefault="00DA74AB" w:rsidP="00D97785">
            <w:pPr>
              <w:jc w:val="center"/>
              <w:rPr>
                <w:rFonts w:ascii="Times New Roman" w:hAnsi="Times New Roman" w:cs="Times New Roman"/>
                <w:b/>
                <w:bCs/>
                <w:lang w:val="it-IT"/>
              </w:rPr>
            </w:pPr>
            <w:r w:rsidRPr="00824699">
              <w:rPr>
                <w:rFonts w:ascii="Times New Roman" w:hAnsi="Times New Roman" w:cs="Times New Roman"/>
                <w:b/>
                <w:lang w:val="it-IT"/>
              </w:rPr>
              <w:t>Massimo 40 mg a settimana</w:t>
            </w:r>
          </w:p>
          <w:p w14:paraId="44B81DC8" w14:textId="77777777" w:rsidR="00DA74AB" w:rsidRPr="00824699" w:rsidRDefault="00DA74AB" w:rsidP="00D97785">
            <w:pPr>
              <w:jc w:val="center"/>
              <w:rPr>
                <w:rFonts w:ascii="Times New Roman" w:hAnsi="Times New Roman" w:cs="Times New Roman"/>
                <w:lang w:val="it-IT"/>
              </w:rPr>
            </w:pPr>
            <w:r w:rsidRPr="00824699">
              <w:rPr>
                <w:rFonts w:ascii="Times New Roman" w:hAnsi="Times New Roman" w:cs="Times New Roman"/>
                <w:lang w:val="it-IT"/>
              </w:rPr>
              <w:t>N=31</w:t>
            </w:r>
          </w:p>
        </w:tc>
      </w:tr>
      <w:tr w:rsidR="00DA74AB" w:rsidRPr="00C35766" w14:paraId="4E01BCA8" w14:textId="77777777" w:rsidTr="00D97785">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59115179" w14:textId="77777777" w:rsidR="00DA74AB" w:rsidRPr="00824699" w:rsidRDefault="00DA74AB" w:rsidP="00D97785">
            <w:pPr>
              <w:rPr>
                <w:rFonts w:ascii="Times New Roman" w:hAnsi="Times New Roman" w:cs="Times New Roman"/>
                <w:lang w:val="it-IT"/>
              </w:rPr>
            </w:pPr>
            <w:r w:rsidRPr="00824699">
              <w:rPr>
                <w:rFonts w:ascii="Times New Roman" w:hAnsi="Times New Roman" w:cs="Times New Roman"/>
                <w:lang w:val="it-IT"/>
              </w:rPr>
              <w:t>Remissione clinica in base al PUCAI nei responder PMS alla Settimana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086F6FEB"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36253F7F"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18/31 (58,1%)</w:t>
            </w:r>
          </w:p>
        </w:tc>
      </w:tr>
      <w:tr w:rsidR="00DA74AB" w:rsidRPr="00C35766" w14:paraId="328952EB" w14:textId="77777777" w:rsidTr="00D97785">
        <w:trPr>
          <w:trHeight w:val="238"/>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3AF6AD9" w14:textId="77777777" w:rsidR="00DA74AB" w:rsidRPr="00824699" w:rsidRDefault="00DA74AB" w:rsidP="00D97785">
            <w:pPr>
              <w:rPr>
                <w:rFonts w:ascii="Times New Roman" w:hAnsi="Times New Roman" w:cs="Times New Roman"/>
                <w:lang w:val="it-IT"/>
              </w:rPr>
            </w:pPr>
            <w:r w:rsidRPr="00824699">
              <w:rPr>
                <w:rFonts w:ascii="Times New Roman" w:hAnsi="Times New Roman" w:cs="Times New Roman"/>
                <w:lang w:val="it-IT"/>
              </w:rPr>
              <w:t>Risposta clinica in base al PUCAI nei responder PMS alla Settimana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6BA2DD4C"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62109DF9" w14:textId="77777777" w:rsidR="00DA74AB" w:rsidRPr="00C35766" w:rsidRDefault="00DA74AB" w:rsidP="00D97785">
            <w:pPr>
              <w:jc w:val="center"/>
              <w:rPr>
                <w:rFonts w:ascii="Times New Roman" w:hAnsi="Times New Roman" w:cs="Times New Roman"/>
              </w:rPr>
            </w:pPr>
            <w:r w:rsidRPr="00C35766">
              <w:rPr>
                <w:rFonts w:ascii="Times New Roman" w:hAnsi="Times New Roman" w:cs="Times New Roman"/>
              </w:rPr>
              <w:t>16/31 (51,6%)</w:t>
            </w:r>
          </w:p>
        </w:tc>
      </w:tr>
      <w:tr w:rsidR="00DA74AB" w:rsidRPr="006501B3" w14:paraId="0728916A" w14:textId="77777777" w:rsidTr="00D97785">
        <w:trPr>
          <w:trHeight w:val="533"/>
          <w:jc w:val="center"/>
        </w:trPr>
        <w:tc>
          <w:tcPr>
            <w:tcW w:w="8971"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593EC5B4" w14:textId="77777777" w:rsidR="00DA74AB" w:rsidRPr="00824699" w:rsidRDefault="00DA74AB" w:rsidP="00D97785">
            <w:pPr>
              <w:rPr>
                <w:rStyle w:val="eop"/>
                <w:rFonts w:ascii="Times New Roman" w:hAnsi="Times New Roman" w:cs="Times New Roman"/>
                <w:lang w:val="it-IT"/>
              </w:rPr>
            </w:pPr>
            <w:r w:rsidRPr="00824699">
              <w:rPr>
                <w:rFonts w:ascii="Times New Roman" w:hAnsi="Times New Roman" w:cs="Times New Roman"/>
                <w:vertAlign w:val="superscript"/>
                <w:lang w:val="it-IT"/>
              </w:rPr>
              <w:t>a</w:t>
            </w:r>
            <w:r w:rsidRPr="00824699">
              <w:rPr>
                <w:rStyle w:val="normaltextrun"/>
                <w:rFonts w:ascii="Times New Roman" w:hAnsi="Times New Roman" w:cs="Times New Roman"/>
                <w:lang w:val="it-IT"/>
              </w:rPr>
              <w:t>Adalimumab 2,4 mg/kg (massimo 160 mg) alla Settimana 0, placebo alla Settimana 1 e 1,2 mg/kg (massimo 80 mg) alla Settimana 2</w:t>
            </w:r>
            <w:r w:rsidRPr="00824699">
              <w:rPr>
                <w:rStyle w:val="eop"/>
                <w:rFonts w:ascii="Times New Roman" w:hAnsi="Times New Roman" w:cs="Times New Roman"/>
                <w:lang w:val="it-IT"/>
              </w:rPr>
              <w:t> </w:t>
            </w:r>
          </w:p>
          <w:p w14:paraId="58337D68" w14:textId="77777777" w:rsidR="00DA74AB" w:rsidRPr="00C35766" w:rsidRDefault="00DA74AB" w:rsidP="00D97785">
            <w:pPr>
              <w:pStyle w:val="paragraph"/>
              <w:spacing w:before="0" w:beforeAutospacing="0" w:after="0" w:afterAutospacing="0"/>
              <w:textAlignment w:val="baseline"/>
              <w:rPr>
                <w:rStyle w:val="eop"/>
                <w:sz w:val="22"/>
                <w:szCs w:val="22"/>
              </w:rPr>
            </w:pPr>
            <w:r w:rsidRPr="00C35766">
              <w:rPr>
                <w:sz w:val="22"/>
                <w:szCs w:val="22"/>
                <w:vertAlign w:val="superscript"/>
              </w:rPr>
              <w:t>b</w:t>
            </w:r>
            <w:r w:rsidRPr="00C35766">
              <w:rPr>
                <w:rStyle w:val="normaltextrun"/>
              </w:rPr>
              <w:t>A</w:t>
            </w:r>
            <w:r w:rsidRPr="00C35766">
              <w:rPr>
                <w:rStyle w:val="normaltextrun"/>
                <w:sz w:val="22"/>
                <w:szCs w:val="22"/>
              </w:rPr>
              <w:t>dalimumab 2,4 mg/kg (massimo 160 mg) alla Settimana 0 e alla Settimana 1 e 1,2 mg/kg (massimo 80 mg) alla Settimana 2</w:t>
            </w:r>
            <w:r w:rsidRPr="00C35766">
              <w:rPr>
                <w:rStyle w:val="eop"/>
                <w:sz w:val="22"/>
                <w:szCs w:val="22"/>
              </w:rPr>
              <w:t> </w:t>
            </w:r>
          </w:p>
          <w:p w14:paraId="4A5ED1A7" w14:textId="77777777" w:rsidR="00DA74AB" w:rsidRPr="00C35766" w:rsidRDefault="00DA74AB" w:rsidP="00D97785">
            <w:pPr>
              <w:pStyle w:val="paragraph"/>
              <w:spacing w:before="0" w:beforeAutospacing="0" w:after="0" w:afterAutospacing="0"/>
              <w:textAlignment w:val="baseline"/>
              <w:rPr>
                <w:rStyle w:val="normaltextrun"/>
                <w:sz w:val="22"/>
                <w:szCs w:val="22"/>
              </w:rPr>
            </w:pPr>
            <w:r w:rsidRPr="00C35766">
              <w:rPr>
                <w:rStyle w:val="normaltextrun"/>
                <w:sz w:val="22"/>
                <w:szCs w:val="22"/>
                <w:vertAlign w:val="superscript"/>
              </w:rPr>
              <w:t>c</w:t>
            </w:r>
            <w:r w:rsidRPr="00C35766">
              <w:rPr>
                <w:rStyle w:val="normaltextrun"/>
                <w:sz w:val="22"/>
                <w:szCs w:val="22"/>
              </w:rPr>
              <w:t>Senza includere la dose di Induzione in aperto di adalimumab 2,4 mg/kg (massimo 160 mg) alla Settimana 0 e alla Settimana 1 e 1,2 mg/kg (massimo 80 mg) alla Settimana 2</w:t>
            </w:r>
          </w:p>
          <w:p w14:paraId="329DC976" w14:textId="77777777" w:rsidR="00DA74AB" w:rsidRPr="00C35766" w:rsidRDefault="00DA74AB" w:rsidP="00D97785">
            <w:pPr>
              <w:pStyle w:val="paragraph"/>
              <w:spacing w:before="0" w:beforeAutospacing="0" w:after="0" w:afterAutospacing="0"/>
              <w:textAlignment w:val="baseline"/>
              <w:rPr>
                <w:sz w:val="22"/>
                <w:szCs w:val="22"/>
              </w:rPr>
            </w:pPr>
            <w:r w:rsidRPr="00C35766">
              <w:rPr>
                <w:rStyle w:val="normaltextrun"/>
                <w:sz w:val="22"/>
                <w:szCs w:val="22"/>
                <w:vertAlign w:val="superscript"/>
              </w:rPr>
              <w:t>d</w:t>
            </w:r>
            <w:r w:rsidRPr="00C35766">
              <w:rPr>
                <w:sz w:val="22"/>
                <w:szCs w:val="22"/>
              </w:rPr>
              <w:t>adalimumab 0,6 mg/kg (massimo 40 mg) a settimane alterne</w:t>
            </w:r>
          </w:p>
          <w:p w14:paraId="6A468CE1" w14:textId="77777777" w:rsidR="00DA74AB" w:rsidRPr="00824699" w:rsidRDefault="00DA74AB" w:rsidP="00D97785">
            <w:pPr>
              <w:rPr>
                <w:rFonts w:ascii="Times New Roman" w:hAnsi="Times New Roman" w:cs="Times New Roman"/>
                <w:lang w:val="it-IT"/>
              </w:rPr>
            </w:pPr>
            <w:r w:rsidRPr="00824699">
              <w:rPr>
                <w:rFonts w:ascii="Times New Roman" w:hAnsi="Times New Roman" w:cs="Times New Roman"/>
                <w:vertAlign w:val="superscript"/>
                <w:lang w:val="it-IT"/>
              </w:rPr>
              <w:t>e</w:t>
            </w:r>
            <w:r w:rsidRPr="00824699">
              <w:rPr>
                <w:rFonts w:ascii="Times New Roman" w:hAnsi="Times New Roman" w:cs="Times New Roman"/>
                <w:lang w:val="it-IT"/>
              </w:rPr>
              <w:t>adalimumab 0,6 mg/kg (massimo 40 mg) ogni settimana</w:t>
            </w:r>
          </w:p>
          <w:p w14:paraId="2F978BDA" w14:textId="77777777" w:rsidR="00DA74AB" w:rsidRPr="00C35766" w:rsidRDefault="00DA74AB" w:rsidP="00D97785">
            <w:pPr>
              <w:pStyle w:val="paragraph"/>
              <w:spacing w:before="0" w:beforeAutospacing="0" w:after="0" w:afterAutospacing="0"/>
              <w:textAlignment w:val="baseline"/>
              <w:rPr>
                <w:sz w:val="22"/>
                <w:szCs w:val="22"/>
              </w:rPr>
            </w:pPr>
            <w:r w:rsidRPr="00C35766">
              <w:rPr>
                <w:rStyle w:val="normaltextrun"/>
                <w:sz w:val="22"/>
                <w:szCs w:val="22"/>
              </w:rPr>
              <w:t>Nota 1: entrambi i gruppi di induzione hanno ricevuto 0,6 mg/kg (massimo 40 mg) alla Settimana 4 e alla Settimana 6</w:t>
            </w:r>
            <w:r w:rsidRPr="00C35766">
              <w:rPr>
                <w:rStyle w:val="eop"/>
                <w:sz w:val="22"/>
                <w:szCs w:val="22"/>
              </w:rPr>
              <w:t> </w:t>
            </w:r>
          </w:p>
          <w:p w14:paraId="63DCE430" w14:textId="77777777" w:rsidR="00DA74AB" w:rsidRPr="00C35766" w:rsidRDefault="00DA74AB" w:rsidP="00D97785">
            <w:pPr>
              <w:pStyle w:val="paragraph"/>
              <w:spacing w:before="0" w:beforeAutospacing="0" w:after="0" w:afterAutospacing="0"/>
              <w:textAlignment w:val="baseline"/>
              <w:rPr>
                <w:rStyle w:val="eop"/>
                <w:sz w:val="22"/>
                <w:szCs w:val="22"/>
              </w:rPr>
            </w:pPr>
            <w:r w:rsidRPr="00C35766">
              <w:rPr>
                <w:rStyle w:val="normaltextrun"/>
                <w:sz w:val="22"/>
                <w:szCs w:val="22"/>
              </w:rPr>
              <w:t>Nota 2: i pazienti con valori mancanti alla Settimana 8 sono stati considerati come non aver raggiunto gli endpoint</w:t>
            </w:r>
            <w:r w:rsidRPr="00C35766">
              <w:rPr>
                <w:rStyle w:val="eop"/>
                <w:sz w:val="22"/>
                <w:szCs w:val="22"/>
              </w:rPr>
              <w:t> </w:t>
            </w:r>
          </w:p>
          <w:p w14:paraId="2C2AF5E8" w14:textId="77777777" w:rsidR="00DA74AB" w:rsidRPr="00C35766" w:rsidRDefault="00DA74AB" w:rsidP="00D97785">
            <w:pPr>
              <w:pStyle w:val="paragraph"/>
              <w:spacing w:before="0" w:beforeAutospacing="0" w:after="0" w:afterAutospacing="0"/>
              <w:textAlignment w:val="baseline"/>
              <w:rPr>
                <w:sz w:val="22"/>
                <w:szCs w:val="22"/>
              </w:rPr>
            </w:pPr>
            <w:r w:rsidRPr="00C35766">
              <w:rPr>
                <w:rStyle w:val="eop"/>
                <w:sz w:val="22"/>
                <w:szCs w:val="22"/>
              </w:rPr>
              <w:t xml:space="preserve">Nota 3: </w:t>
            </w:r>
            <w:r w:rsidRPr="00C35766">
              <w:rPr>
                <w:sz w:val="22"/>
                <w:szCs w:val="22"/>
              </w:rPr>
              <w:t>i pazienti con valori mancanti alla Settimana 52 o che sono stati randomizzati a ricevere un trattamento di reinduzione o mantenimento sono stati considerati non responder per gli endpoint della Settimana 52</w:t>
            </w:r>
          </w:p>
        </w:tc>
      </w:tr>
    </w:tbl>
    <w:p w14:paraId="3A5F319A" w14:textId="77777777" w:rsidR="00DA74AB" w:rsidRPr="00824699" w:rsidRDefault="00DA74AB" w:rsidP="00DA74AB">
      <w:pPr>
        <w:rPr>
          <w:rFonts w:ascii="Times New Roman" w:hAnsi="Times New Roman" w:cs="Times New Roman"/>
          <w:lang w:val="it-IT"/>
        </w:rPr>
      </w:pPr>
    </w:p>
    <w:p w14:paraId="70FEAD38" w14:textId="77777777" w:rsidR="00DA74AB" w:rsidRPr="00824699" w:rsidRDefault="00DA74AB" w:rsidP="00DA74AB">
      <w:pPr>
        <w:rPr>
          <w:rFonts w:ascii="Times New Roman" w:hAnsi="Times New Roman" w:cs="Times New Roman"/>
          <w:lang w:val="it-IT"/>
        </w:rPr>
      </w:pPr>
      <w:r w:rsidRPr="00824699">
        <w:rPr>
          <w:rFonts w:ascii="Times New Roman" w:hAnsi="Times New Roman" w:cs="Times New Roman"/>
          <w:lang w:val="it-IT"/>
        </w:rPr>
        <w:t>Dei pazienti trattati con adalimumab che hanno ricevuto un trattamento di reinduzione durante il periodo di mantenimento, 2/6 (33%) hanno raggiunto una risposta clinica in base al FMS alla Settimana 52.</w:t>
      </w:r>
    </w:p>
    <w:p w14:paraId="75483A19" w14:textId="77777777" w:rsidR="00DA74AB" w:rsidRPr="00824699" w:rsidRDefault="00DA74AB" w:rsidP="00DA74AB">
      <w:pPr>
        <w:rPr>
          <w:rFonts w:ascii="Times New Roman" w:hAnsi="Times New Roman" w:cs="Times New Roman"/>
          <w:lang w:val="it-IT"/>
        </w:rPr>
      </w:pPr>
    </w:p>
    <w:p w14:paraId="6EE9BB8D" w14:textId="77777777" w:rsidR="00DA74AB" w:rsidRPr="00AF25F1" w:rsidRDefault="00DA74AB" w:rsidP="00DA74AB">
      <w:pPr>
        <w:keepNext/>
        <w:rPr>
          <w:rFonts w:ascii="Times New Roman" w:hAnsi="Times New Roman" w:cs="Times New Roman"/>
          <w:bCs/>
          <w:i/>
          <w:u w:val="single"/>
          <w:lang w:val="it-IT"/>
        </w:rPr>
      </w:pPr>
      <w:r w:rsidRPr="00AF25F1">
        <w:rPr>
          <w:rFonts w:ascii="Times New Roman" w:hAnsi="Times New Roman" w:cs="Times New Roman"/>
          <w:i/>
          <w:u w:val="single"/>
          <w:lang w:val="it-IT"/>
        </w:rPr>
        <w:t>Qualità della vita</w:t>
      </w:r>
    </w:p>
    <w:p w14:paraId="17CD14C6" w14:textId="77777777" w:rsidR="00DA74AB" w:rsidRPr="00824699" w:rsidRDefault="00DA74AB" w:rsidP="00DA74AB">
      <w:pPr>
        <w:keepNext/>
        <w:rPr>
          <w:rFonts w:ascii="Times New Roman" w:hAnsi="Times New Roman" w:cs="Times New Roman"/>
          <w:bCs/>
          <w:i/>
          <w:lang w:val="it-IT"/>
        </w:rPr>
      </w:pPr>
    </w:p>
    <w:p w14:paraId="31A2AFD8" w14:textId="77777777" w:rsidR="00DA74AB" w:rsidRPr="00824699" w:rsidRDefault="00DA74AB" w:rsidP="00DA74AB">
      <w:pPr>
        <w:keepNext/>
        <w:rPr>
          <w:rFonts w:ascii="Times New Roman" w:hAnsi="Times New Roman" w:cs="Times New Roman"/>
          <w:lang w:val="it-IT"/>
        </w:rPr>
      </w:pPr>
      <w:r w:rsidRPr="00824699">
        <w:rPr>
          <w:rFonts w:ascii="Times New Roman" w:hAnsi="Times New Roman" w:cs="Times New Roman"/>
          <w:lang w:val="it-IT"/>
        </w:rPr>
        <w:t xml:space="preserve">Miglioramenti clinicamente significativi rispetto al basale sono stati osservati nei punteggi IMPACT III e WPAI (Work Productivity and Activity Impairment) dei caregiver per i gruppi trattati con adalimumab. </w:t>
      </w:r>
    </w:p>
    <w:p w14:paraId="4940C8FC" w14:textId="77777777" w:rsidR="00DA74AB" w:rsidRPr="00824699" w:rsidRDefault="00DA74AB" w:rsidP="00DA74AB">
      <w:pPr>
        <w:keepNext/>
        <w:rPr>
          <w:rFonts w:ascii="Times New Roman" w:hAnsi="Times New Roman" w:cs="Times New Roman"/>
          <w:lang w:val="it-IT"/>
        </w:rPr>
      </w:pPr>
    </w:p>
    <w:p w14:paraId="556B4B61" w14:textId="77777777" w:rsidR="00DA74AB" w:rsidRPr="00C35766" w:rsidRDefault="00DA74AB" w:rsidP="00DA74AB">
      <w:pPr>
        <w:spacing w:before="1"/>
        <w:rPr>
          <w:rFonts w:ascii="Times New Roman" w:hAnsi="Times New Roman" w:cs="Times New Roman"/>
          <w:sz w:val="18"/>
          <w:szCs w:val="18"/>
          <w:lang w:val="it-IT"/>
        </w:rPr>
      </w:pPr>
      <w:r w:rsidRPr="00824699">
        <w:rPr>
          <w:rFonts w:ascii="Times New Roman" w:hAnsi="Times New Roman" w:cs="Times New Roman"/>
          <w:lang w:val="it-IT"/>
        </w:rPr>
        <w:t xml:space="preserve">Aumenti clinicamente significativi (miglioramento) rispetto al basale della velocità di crescita in altezza sono stati osservati per i gruppi trattati con adalimumab e aumenti clinicamente significativi (miglioramento) rispetto al basale dell'indice di massa corporea sono stati osservati nei soggetti trattati con la dose di </w:t>
      </w:r>
      <w:r w:rsidRPr="00824699">
        <w:rPr>
          <w:rStyle w:val="normaltextrun"/>
          <w:rFonts w:ascii="Times New Roman" w:hAnsi="Times New Roman" w:cs="Times New Roman"/>
          <w:lang w:val="it-IT"/>
        </w:rPr>
        <w:t>mantenimento</w:t>
      </w:r>
      <w:r w:rsidRPr="00824699">
        <w:rPr>
          <w:rFonts w:ascii="Times New Roman" w:hAnsi="Times New Roman" w:cs="Times New Roman"/>
          <w:lang w:val="it-IT"/>
        </w:rPr>
        <w:t xml:space="preserve"> di massimo 40 mg (0,6 mg/kg) ogni settimana.</w:t>
      </w:r>
    </w:p>
    <w:p w14:paraId="20C3A6DF" w14:textId="77777777" w:rsidR="0067580C" w:rsidRPr="00146E60" w:rsidRDefault="0067580C" w:rsidP="00F91711">
      <w:pPr>
        <w:pStyle w:val="a3"/>
        <w:rPr>
          <w:lang w:val="it-IT"/>
        </w:rPr>
      </w:pPr>
    </w:p>
    <w:p w14:paraId="103517C6" w14:textId="77777777" w:rsidR="0067580C" w:rsidRPr="00C35766" w:rsidRDefault="0067580C" w:rsidP="0067580C">
      <w:pPr>
        <w:pStyle w:val="a3"/>
        <w:rPr>
          <w:rFonts w:eastAsia="Times New Roman"/>
          <w:lang w:val="es-ES"/>
        </w:rPr>
      </w:pPr>
      <w:r w:rsidRPr="00C35766">
        <w:rPr>
          <w:rFonts w:eastAsia="Times New Roman"/>
          <w:i/>
          <w:iCs/>
          <w:spacing w:val="-1"/>
          <w:lang w:val="it-IT"/>
        </w:rPr>
        <w:t>Uveite pediatrica</w:t>
      </w:r>
    </w:p>
    <w:p w14:paraId="5FDDC7F7" w14:textId="77777777" w:rsidR="0067580C" w:rsidRPr="00C35766" w:rsidRDefault="0067580C" w:rsidP="0067580C">
      <w:pPr>
        <w:pStyle w:val="a3"/>
        <w:rPr>
          <w:sz w:val="24"/>
          <w:szCs w:val="24"/>
          <w:lang w:val="es-ES"/>
        </w:rPr>
      </w:pPr>
    </w:p>
    <w:p w14:paraId="5A4D420B" w14:textId="77777777" w:rsidR="0067580C" w:rsidRPr="00C35766" w:rsidRDefault="0067580C" w:rsidP="0067580C">
      <w:pPr>
        <w:pStyle w:val="a3"/>
        <w:rPr>
          <w:lang w:val="it-IT"/>
        </w:rPr>
      </w:pPr>
      <w:r w:rsidRPr="00C35766">
        <w:rPr>
          <w:rFonts w:eastAsia="Times New Roman"/>
          <w:lang w:val="it-IT"/>
        </w:rPr>
        <w:t>La sicurezza e l’efficacia di adalimumab sono state valutate in uno studio randomizzato, controllato, in doppio cieco su 90 pazienti pediatrici dai 2 ai &lt; 18 anni di età con uveite anteriore non infettiva attiva associata ad artrite idiopatica giovanile (JIA) refrattari ad almeno 12 settimane di trattamento con metotressato. I pazienti hanno ricevuto placebo oppure 20 mg di adalimumab (se &lt; 30 kg) o 40 mg di adalimumab (se ≥ 30 kg) a settimane alterne in associazione con la loro dose basale di metotressato.</w:t>
      </w:r>
    </w:p>
    <w:p w14:paraId="60EB8EBD" w14:textId="77777777" w:rsidR="0067580C" w:rsidRPr="00C35766" w:rsidRDefault="0067580C" w:rsidP="0067580C">
      <w:pPr>
        <w:pStyle w:val="a3"/>
        <w:rPr>
          <w:lang w:val="it-IT"/>
        </w:rPr>
      </w:pPr>
      <w:r w:rsidRPr="00C35766">
        <w:rPr>
          <w:rFonts w:eastAsia="Times New Roman"/>
          <w:lang w:val="it-IT"/>
        </w:rPr>
        <w:t xml:space="preserve">L'endpoint primario di efficacia in entrambi gli studi era il “tempo al fallimento del trattamento”. I criteri </w:t>
      </w:r>
      <w:r w:rsidRPr="00C35766">
        <w:rPr>
          <w:rFonts w:eastAsia="Times New Roman"/>
          <w:lang w:val="it-IT"/>
        </w:rPr>
        <w:lastRenderedPageBreak/>
        <w:t>che definivano il fallimento del trattamento erano il peggioramento o l’assenza prolungata di un miglioramento dell’infiammazione oculare o il miglioramento parziale con sviluppo di comorbidità oculari prolungate o peggioramento delle comorbidità oculari esistenti, l’uso non consentito di medicinali concomitanti e la sospensione del trattamento per un periodo di tempo prolungato.</w:t>
      </w:r>
    </w:p>
    <w:p w14:paraId="47CFD455" w14:textId="77777777" w:rsidR="0067580C" w:rsidRPr="00C35766" w:rsidRDefault="0067580C" w:rsidP="0067580C">
      <w:pPr>
        <w:pStyle w:val="a3"/>
        <w:rPr>
          <w:sz w:val="24"/>
          <w:szCs w:val="24"/>
          <w:lang w:val="it-IT"/>
        </w:rPr>
      </w:pPr>
    </w:p>
    <w:p w14:paraId="0B119B65" w14:textId="77777777" w:rsidR="0067580C" w:rsidRPr="00C35766" w:rsidRDefault="0067580C" w:rsidP="0067580C">
      <w:pPr>
        <w:pStyle w:val="a3"/>
        <w:rPr>
          <w:rFonts w:eastAsia="Times New Roman"/>
          <w:lang w:val="it-IT"/>
        </w:rPr>
      </w:pPr>
      <w:r w:rsidRPr="00C35766">
        <w:rPr>
          <w:rFonts w:eastAsia="Times New Roman"/>
          <w:i/>
          <w:iCs/>
          <w:spacing w:val="-1"/>
          <w:u w:val="single" w:color="000000"/>
          <w:lang w:val="it-IT"/>
        </w:rPr>
        <w:t>Risposta clinica</w:t>
      </w:r>
    </w:p>
    <w:p w14:paraId="3D83355A" w14:textId="77777777" w:rsidR="0067580C" w:rsidRPr="00C35766" w:rsidRDefault="0067580C" w:rsidP="0067580C">
      <w:pPr>
        <w:pStyle w:val="a3"/>
        <w:rPr>
          <w:sz w:val="20"/>
          <w:szCs w:val="20"/>
          <w:lang w:val="it-IT"/>
        </w:rPr>
      </w:pPr>
    </w:p>
    <w:p w14:paraId="6DA2985B" w14:textId="6C5C1F94" w:rsidR="0067580C" w:rsidRPr="00C35766" w:rsidRDefault="0067580C" w:rsidP="0067580C">
      <w:pPr>
        <w:pStyle w:val="a3"/>
        <w:rPr>
          <w:lang w:val="es-ES"/>
        </w:rPr>
      </w:pPr>
      <w:r w:rsidRPr="00C35766">
        <w:rPr>
          <w:rFonts w:eastAsia="Times New Roman"/>
          <w:lang w:val="it-IT"/>
        </w:rPr>
        <w:t>Adalimumab ha ritardato in misura significativa il tempo al fallimento del trattamento rispetto al placebo (vedere Figura 2, P &lt; 0,0001 dal test dei ranghi logaritmici). La mediana del tempo al fallimento del trattamento è stata di 24,1 settimane per i soggetti trattati con placebo, mentre la mediana del tempo al fallimento del trattamento è risultata non valutabile per i soggetti trattati con adalimumab in quanto meno d</w:t>
      </w:r>
      <w:r w:rsidR="0053164F">
        <w:rPr>
          <w:rFonts w:eastAsia="Times New Roman"/>
          <w:lang w:val="it-IT"/>
        </w:rPr>
        <w:t>ella</w:t>
      </w:r>
      <w:r w:rsidRPr="00C35766">
        <w:rPr>
          <w:rFonts w:eastAsia="Times New Roman"/>
          <w:lang w:val="it-IT"/>
        </w:rPr>
        <w:t xml:space="preserve"> metà di questi soggetti è andata incontro a fallimento del trattamento. Adalimumab ha ridotto in maniera significativa il rischio di fallimento del trattamento nella misura del 75% rispetto al placebo, come evidenziato dal rapporto di rischio (HR = 0,25 [IC al 95%: 0,12; 0,49]).</w:t>
      </w:r>
    </w:p>
    <w:p w14:paraId="76F28B60" w14:textId="2534546C" w:rsidR="0067580C" w:rsidRPr="00C35766" w:rsidRDefault="0067580C" w:rsidP="0067580C">
      <w:pPr>
        <w:rPr>
          <w:rFonts w:ascii="Times New Roman" w:eastAsia="Times New Roman" w:hAnsi="Times New Roman" w:cs="Times New Roman"/>
          <w:b/>
          <w:bCs/>
          <w:lang w:val="it-IT"/>
        </w:rPr>
      </w:pPr>
    </w:p>
    <w:p w14:paraId="1B6D1EA4" w14:textId="77777777" w:rsidR="00AF25F1" w:rsidRDefault="00AF25F1">
      <w:pPr>
        <w:rPr>
          <w:rFonts w:ascii="Times New Roman" w:eastAsia="Times New Roman" w:hAnsi="Times New Roman" w:cs="Times New Roman"/>
          <w:b/>
          <w:bCs/>
          <w:lang w:val="it-IT"/>
        </w:rPr>
      </w:pPr>
      <w:r>
        <w:rPr>
          <w:rFonts w:eastAsia="Times New Roman"/>
          <w:b/>
          <w:bCs/>
          <w:lang w:val="it-IT"/>
        </w:rPr>
        <w:br w:type="page"/>
      </w:r>
    </w:p>
    <w:p w14:paraId="51D9CF7F" w14:textId="67D5AB6B" w:rsidR="0067580C" w:rsidRPr="00C35766" w:rsidRDefault="0067580C" w:rsidP="0067580C">
      <w:pPr>
        <w:pStyle w:val="a3"/>
        <w:jc w:val="center"/>
        <w:rPr>
          <w:b/>
          <w:lang w:val="es-ES"/>
        </w:rPr>
      </w:pPr>
      <w:r w:rsidRPr="00C35766">
        <w:rPr>
          <w:rFonts w:eastAsia="Times New Roman"/>
          <w:b/>
          <w:bCs/>
          <w:lang w:val="it-IT"/>
        </w:rPr>
        <w:lastRenderedPageBreak/>
        <w:t>Figura 2</w:t>
      </w:r>
      <w:r>
        <w:rPr>
          <w:rFonts w:eastAsia="Times New Roman"/>
          <w:b/>
          <w:bCs/>
          <w:lang w:val="it-IT"/>
        </w:rPr>
        <w:t>.</w:t>
      </w:r>
      <w:r w:rsidRPr="00C35766">
        <w:rPr>
          <w:rFonts w:eastAsia="Times New Roman"/>
          <w:b/>
          <w:bCs/>
          <w:lang w:val="it-IT"/>
        </w:rPr>
        <w:t xml:space="preserve"> </w:t>
      </w:r>
      <w:r>
        <w:rPr>
          <w:rFonts w:eastAsia="Times New Roman"/>
          <w:b/>
          <w:bCs/>
          <w:lang w:val="it-IT"/>
        </w:rPr>
        <w:t>C</w:t>
      </w:r>
      <w:r w:rsidRPr="00C35766">
        <w:rPr>
          <w:rFonts w:eastAsia="Times New Roman"/>
          <w:b/>
          <w:bCs/>
          <w:lang w:val="it-IT"/>
        </w:rPr>
        <w:t>urve di Kaplan-Meier del tempo al fallimento del trattamento nello studio sull’uveite pediatrica</w:t>
      </w:r>
    </w:p>
    <w:p w14:paraId="2BFA0B16" w14:textId="0B1E1725" w:rsidR="0067580C" w:rsidRPr="00C35766" w:rsidRDefault="00AF25F1" w:rsidP="0067580C">
      <w:pPr>
        <w:spacing w:before="16" w:line="240" w:lineRule="exact"/>
        <w:rPr>
          <w:rFonts w:ascii="Times New Roman" w:hAnsi="Times New Roman" w:cs="Times New Roman"/>
          <w:sz w:val="24"/>
          <w:szCs w:val="24"/>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84" behindDoc="1" locked="0" layoutInCell="1" allowOverlap="1" wp14:anchorId="4F792045" wp14:editId="4E5F88CF">
                <wp:simplePos x="0" y="0"/>
                <wp:positionH relativeFrom="page">
                  <wp:posOffset>942340</wp:posOffset>
                </wp:positionH>
                <wp:positionV relativeFrom="paragraph">
                  <wp:posOffset>-2241</wp:posOffset>
                </wp:positionV>
                <wp:extent cx="206828" cy="3791585"/>
                <wp:effectExtent l="0" t="0" r="3175" b="18415"/>
                <wp:wrapNone/>
                <wp:docPr id="4138"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28" cy="3791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54177" w14:textId="77777777" w:rsidR="00D97785" w:rsidRDefault="00D97785" w:rsidP="0067580C">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92045" id="_x0000_s1040" type="#_x0000_t202" style="position:absolute;margin-left:74.2pt;margin-top:-.2pt;width:16.3pt;height:298.55pt;z-index:-25165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" filled="f" stroked="f">
                <v:textbox style="layout-flow:vertical;mso-layout-flow-alt:bottom-to-top" inset="0,0,0,0">
                  <w:txbxContent>
                    <w:p w14:paraId="0DA54177" w14:textId="77777777" w:rsidR="00D97785" w:rsidRDefault="00D97785" w:rsidP="0067580C">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v:textbox>
                <w10:wrap anchorx="page"/>
              </v:shape>
            </w:pict>
          </mc:Fallback>
        </mc:AlternateContent>
      </w:r>
    </w:p>
    <w:p w14:paraId="32881D90" w14:textId="09A739A7" w:rsidR="0067580C" w:rsidRPr="00AF25F1" w:rsidRDefault="0067580C" w:rsidP="0067580C">
      <w:pPr>
        <w:ind w:left="687" w:right="10920"/>
        <w:rPr>
          <w:rFonts w:ascii="Times New Roman" w:eastAsia="Times New Roman" w:hAnsi="Times New Roman" w:cs="Times New Roman"/>
          <w:i/>
          <w:iCs/>
          <w:sz w:val="20"/>
          <w:szCs w:val="20"/>
        </w:rPr>
      </w:pPr>
      <w:r w:rsidRPr="00AF25F1">
        <w:rPr>
          <w:rFonts w:ascii="Times New Roman" w:eastAsia="Times New Roman" w:hAnsi="Times New Roman" w:cs="Times New Roman"/>
          <w:i/>
          <w:iCs/>
          <w:noProof/>
          <w:sz w:val="20"/>
          <w:szCs w:val="20"/>
          <w:lang w:eastAsia="ko-KR"/>
        </w:rPr>
        <mc:AlternateContent>
          <mc:Choice Requires="wps">
            <w:drawing>
              <wp:anchor distT="0" distB="0" distL="114300" distR="114300" simplePos="0" relativeHeight="251658386" behindDoc="0" locked="0" layoutInCell="1" allowOverlap="1" wp14:anchorId="19086857" wp14:editId="72979410">
                <wp:simplePos x="0" y="0"/>
                <wp:positionH relativeFrom="column">
                  <wp:posOffset>500609</wp:posOffset>
                </wp:positionH>
                <wp:positionV relativeFrom="paragraph">
                  <wp:posOffset>3867100</wp:posOffset>
                </wp:positionV>
                <wp:extent cx="307975" cy="273685"/>
                <wp:effectExtent l="0" t="0" r="0" b="0"/>
                <wp:wrapNone/>
                <wp:docPr id="4139" name="Text Box 4139"/>
                <wp:cNvGraphicFramePr/>
                <a:graphic xmlns:a="http://schemas.openxmlformats.org/drawingml/2006/main">
                  <a:graphicData uri="http://schemas.microsoft.com/office/word/2010/wordprocessingShape">
                    <wps:wsp>
                      <wps:cNvSpPr txBox="1"/>
                      <wps:spPr>
                        <a:xfrm>
                          <a:off x="0" y="0"/>
                          <a:ext cx="307975" cy="2736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885E4A" w14:textId="77777777" w:rsidR="00D97785" w:rsidRPr="00626057" w:rsidRDefault="00D97785" w:rsidP="0067580C">
                            <w:pPr>
                              <w:jc w:val="center"/>
                              <w:rPr>
                                <w:rFonts w:asciiTheme="majorBidi" w:hAnsiTheme="majorBidi" w:cstheme="majorBidi"/>
                                <w:sz w:val="20"/>
                                <w:szCs w:val="20"/>
                              </w:rPr>
                            </w:pPr>
                            <w:r w:rsidRPr="00626057">
                              <w:rPr>
                                <w:rFonts w:ascii="Times New Roman" w:eastAsia="Times New Roman" w:hAnsi="Times New Roman" w:cs="Times New Roman"/>
                                <w:sz w:val="20"/>
                                <w:szCs w:val="20"/>
                                <w:lang w:val="it-IT"/>
                              </w:rPr>
                              <w:t>A</w:t>
                            </w:r>
                          </w:p>
                          <w:p w14:paraId="6E96057C" w14:textId="77777777" w:rsidR="00D97785" w:rsidRPr="00626057" w:rsidRDefault="00D97785" w:rsidP="0067580C">
                            <w:pPr>
                              <w:jc w:val="center"/>
                              <w:rPr>
                                <w:rFonts w:asciiTheme="majorBidi" w:hAnsiTheme="majorBidi" w:cstheme="majorBidi"/>
                                <w:sz w:val="20"/>
                                <w:szCs w:val="20"/>
                              </w:rPr>
                            </w:pPr>
                            <w:r w:rsidRPr="00626057">
                              <w:rPr>
                                <w:rFonts w:ascii="Times New Roman" w:eastAsia="Times New Roman" w:hAnsi="Times New Roman" w:cs="Times New Roman"/>
                                <w:sz w:val="20"/>
                                <w:szCs w:val="20"/>
                                <w:lang w:val="it-IT"/>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9086857" id="Text Box 4139" o:spid="_x0000_s1041" type="#_x0000_t202" style="position:absolute;left:0;text-align:left;margin-left:39.4pt;margin-top:304.5pt;width:24.25pt;height:21.5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" fillcolor="white [3212]" stroked="f" strokeweight=".5pt">
                <v:textbox inset="0,0,0,0">
                  <w:txbxContent>
                    <w:p w14:paraId="34885E4A" w14:textId="77777777" w:rsidR="00D97785" w:rsidRPr="00626057" w:rsidRDefault="00D97785" w:rsidP="0067580C">
                      <w:pPr>
                        <w:jc w:val="center"/>
                        <w:rPr>
                          <w:rFonts w:asciiTheme="majorBidi" w:hAnsiTheme="majorBidi" w:cstheme="majorBidi"/>
                          <w:sz w:val="20"/>
                          <w:szCs w:val="20"/>
                        </w:rPr>
                      </w:pPr>
                      <w:r w:rsidRPr="00626057">
                        <w:rPr>
                          <w:rFonts w:ascii="Times New Roman" w:eastAsia="Times New Roman" w:hAnsi="Times New Roman" w:cs="Times New Roman"/>
                          <w:sz w:val="20"/>
                          <w:szCs w:val="20"/>
                          <w:lang w:val="it-IT"/>
                        </w:rPr>
                        <w:t>A</w:t>
                      </w:r>
                    </w:p>
                    <w:p w14:paraId="6E96057C" w14:textId="77777777" w:rsidR="00D97785" w:rsidRPr="00626057" w:rsidRDefault="00D97785" w:rsidP="0067580C">
                      <w:pPr>
                        <w:jc w:val="center"/>
                        <w:rPr>
                          <w:rFonts w:asciiTheme="majorBidi" w:hAnsiTheme="majorBidi" w:cstheme="majorBidi"/>
                          <w:sz w:val="20"/>
                          <w:szCs w:val="20"/>
                        </w:rPr>
                      </w:pPr>
                      <w:r w:rsidRPr="00626057">
                        <w:rPr>
                          <w:rFonts w:ascii="Times New Roman" w:eastAsia="Times New Roman" w:hAnsi="Times New Roman" w:cs="Times New Roman"/>
                          <w:sz w:val="20"/>
                          <w:szCs w:val="20"/>
                          <w:lang w:val="it-IT"/>
                        </w:rPr>
                        <w:t>P</w:t>
                      </w:r>
                    </w:p>
                  </w:txbxContent>
                </v:textbox>
              </v:shape>
            </w:pict>
          </mc:Fallback>
        </mc:AlternateContent>
      </w:r>
      <w:r w:rsidRPr="00AF25F1">
        <w:rPr>
          <w:rFonts w:ascii="Times New Roman" w:eastAsia="Times New Roman" w:hAnsi="Times New Roman" w:cs="Times New Roman"/>
          <w:i/>
          <w:iCs/>
          <w:noProof/>
          <w:sz w:val="20"/>
          <w:szCs w:val="20"/>
          <w:lang w:eastAsia="ko-KR"/>
        </w:rPr>
        <mc:AlternateContent>
          <mc:Choice Requires="wps">
            <w:drawing>
              <wp:anchor distT="0" distB="0" distL="114300" distR="114300" simplePos="0" relativeHeight="251658385" behindDoc="0" locked="0" layoutInCell="1" allowOverlap="1" wp14:anchorId="3C182E70" wp14:editId="06BA45A6">
                <wp:simplePos x="0" y="0"/>
                <wp:positionH relativeFrom="column">
                  <wp:posOffset>400398</wp:posOffset>
                </wp:positionH>
                <wp:positionV relativeFrom="paragraph">
                  <wp:posOffset>16447</wp:posOffset>
                </wp:positionV>
                <wp:extent cx="225865" cy="3519377"/>
                <wp:effectExtent l="0" t="0" r="3175" b="5080"/>
                <wp:wrapNone/>
                <wp:docPr id="4140" name="Text Box 4140"/>
                <wp:cNvGraphicFramePr/>
                <a:graphic xmlns:a="http://schemas.openxmlformats.org/drawingml/2006/main">
                  <a:graphicData uri="http://schemas.microsoft.com/office/word/2010/wordprocessingShape">
                    <wps:wsp>
                      <wps:cNvSpPr txBox="1"/>
                      <wps:spPr>
                        <a:xfrm>
                          <a:off x="0" y="0"/>
                          <a:ext cx="225865"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36D646"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30C72694"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631FCC03"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5E27D88"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6CF6C091"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514665AC"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14B76003"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9EB157A"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2AA3C09D"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672111F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ABAFCC8"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2806C81"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43CF87C6"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0B989AF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87D95A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04E2E9AF"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102B931A"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72B70C95"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36A9C8C"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C04A0C4"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38986D6C"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182E70" id="Text Box 4140" o:spid="_x0000_s1042" type="#_x0000_t202" style="position:absolute;left:0;text-align:left;margin-left:31.55pt;margin-top:1.3pt;width:17.8pt;height:277.1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" fillcolor="white [3212]" stroked="f" strokeweight=".5pt">
                <v:textbox inset="0,0,0,0">
                  <w:txbxContent>
                    <w:p w14:paraId="7636D646"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30C72694"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631FCC03"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5E27D88"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6CF6C091"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514665AC"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14B76003"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9EB157A"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2AA3C09D"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672111F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ABAFCC8"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2806C81"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43CF87C6"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0B989AF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87D95A6"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04E2E9AF"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102B931A"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72B70C95"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736A9C8C"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5C04A0C4" w14:textId="77777777" w:rsidR="00D97785" w:rsidRDefault="00D97785" w:rsidP="0067580C">
                      <w:pPr>
                        <w:spacing w:line="276" w:lineRule="auto"/>
                        <w:jc w:val="right"/>
                        <w:rPr>
                          <w:rFonts w:ascii="Times New Roman" w:eastAsia="Times New Roman" w:hAnsi="Times New Roman" w:cs="Times New Roman"/>
                          <w:sz w:val="18"/>
                          <w:szCs w:val="18"/>
                          <w:lang w:val="it-IT"/>
                        </w:rPr>
                      </w:pPr>
                    </w:p>
                    <w:p w14:paraId="38986D6C" w14:textId="77777777" w:rsidR="00D97785" w:rsidRDefault="00D97785" w:rsidP="0067580C">
                      <w:pPr>
                        <w:spacing w:line="276" w:lineRule="auto"/>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v:textbox>
              </v:shape>
            </w:pict>
          </mc:Fallback>
        </mc:AlternateContent>
      </w:r>
      <w:r w:rsidRPr="00AF25F1">
        <w:rPr>
          <w:rFonts w:ascii="Times New Roman" w:hAnsi="Times New Roman" w:cs="Times New Roman"/>
          <w:i/>
          <w:iCs/>
          <w:noProof/>
          <w:lang w:eastAsia="ko-KR"/>
        </w:rPr>
        <w:drawing>
          <wp:inline distT="0" distB="0" distL="0" distR="0" wp14:anchorId="330EA54E" wp14:editId="353D58A3">
            <wp:extent cx="4994694" cy="3786861"/>
            <wp:effectExtent l="0" t="0" r="0" b="4445"/>
            <wp:docPr id="4141"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000284" cy="3791099"/>
                    </a:xfrm>
                    <a:prstGeom prst="rect">
                      <a:avLst/>
                    </a:prstGeom>
                    <a:noFill/>
                    <a:ln>
                      <a:noFill/>
                    </a:ln>
                  </pic:spPr>
                </pic:pic>
              </a:graphicData>
            </a:graphic>
          </wp:inline>
        </w:drawing>
      </w:r>
    </w:p>
    <w:p w14:paraId="2AE2FD99" w14:textId="77777777" w:rsidR="0067580C" w:rsidRPr="00C35766" w:rsidRDefault="0067580C" w:rsidP="0067580C">
      <w:pPr>
        <w:spacing w:before="36"/>
        <w:ind w:left="479"/>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(SETTIMANE)</w:t>
      </w:r>
    </w:p>
    <w:p w14:paraId="612799B7" w14:textId="77777777" w:rsidR="0067580C" w:rsidRPr="00C35766" w:rsidRDefault="0067580C" w:rsidP="0067580C">
      <w:pPr>
        <w:pStyle w:val="a3"/>
        <w:rPr>
          <w:lang w:val="pt-BR"/>
        </w:rPr>
      </w:pPr>
      <w:r w:rsidRPr="00C35766">
        <w:rPr>
          <w:noProof/>
          <w:lang w:eastAsia="ko-KR"/>
        </w:rPr>
        <w:drawing>
          <wp:anchor distT="0" distB="0" distL="114300" distR="114300" simplePos="0" relativeHeight="251658383" behindDoc="1" locked="0" layoutInCell="1" allowOverlap="1" wp14:anchorId="19207B24" wp14:editId="0E20E4EE">
            <wp:simplePos x="0" y="0"/>
            <wp:positionH relativeFrom="page">
              <wp:posOffset>5091430</wp:posOffset>
            </wp:positionH>
            <wp:positionV relativeFrom="paragraph">
              <wp:posOffset>67310</wp:posOffset>
            </wp:positionV>
            <wp:extent cx="452755" cy="86995"/>
            <wp:effectExtent l="0" t="0" r="0" b="0"/>
            <wp:wrapNone/>
            <wp:docPr id="4142" name="그림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Trattamento</w:t>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noProof/>
          <w:lang w:eastAsia="ko-KR"/>
        </w:rPr>
        <w:drawing>
          <wp:inline distT="0" distB="0" distL="0" distR="0" wp14:anchorId="1EFB3190" wp14:editId="25A93682">
            <wp:extent cx="457200" cy="127000"/>
            <wp:effectExtent l="0" t="0" r="0" b="0"/>
            <wp:docPr id="4143"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4740F818" w14:textId="77777777" w:rsidR="0067580C" w:rsidRPr="00C35766" w:rsidRDefault="0067580C" w:rsidP="0067580C">
      <w:pPr>
        <w:pStyle w:val="a3"/>
        <w:rPr>
          <w:lang w:val="pt-BR"/>
        </w:rPr>
      </w:pPr>
      <w:r w:rsidRPr="00C35766">
        <w:rPr>
          <w:rFonts w:eastAsia="Times New Roman"/>
          <w:lang w:val="it-IT"/>
        </w:rPr>
        <w:t>Nota: P = Placebo (numero a rischio); A = Adalimumab (numero a rischio).</w:t>
      </w:r>
    </w:p>
    <w:p w14:paraId="2BA59EF2" w14:textId="77777777" w:rsidR="0067580C" w:rsidRPr="0067580C" w:rsidRDefault="0067580C" w:rsidP="00F91711">
      <w:pPr>
        <w:pStyle w:val="a3"/>
        <w:rPr>
          <w:lang w:val="es-ES"/>
        </w:rPr>
      </w:pPr>
    </w:p>
    <w:p w14:paraId="75EFBD7E" w14:textId="77777777" w:rsidR="00F91711" w:rsidRPr="00C35766" w:rsidRDefault="00F91711" w:rsidP="00933A6C">
      <w:pPr>
        <w:widowControl/>
        <w:numPr>
          <w:ilvl w:val="1"/>
          <w:numId w:val="5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farmacocinetiche</w:t>
      </w:r>
    </w:p>
    <w:p w14:paraId="094585E2" w14:textId="77777777" w:rsidR="00F91711" w:rsidRPr="00C35766" w:rsidRDefault="00F91711" w:rsidP="00F91711">
      <w:pPr>
        <w:spacing w:before="9" w:line="240" w:lineRule="exact"/>
        <w:rPr>
          <w:rFonts w:ascii="Times New Roman" w:hAnsi="Times New Roman" w:cs="Times New Roman"/>
          <w:sz w:val="24"/>
          <w:szCs w:val="24"/>
        </w:rPr>
      </w:pPr>
    </w:p>
    <w:p w14:paraId="4B2DF35C" w14:textId="77777777" w:rsidR="00F91711" w:rsidRPr="00C35766" w:rsidRDefault="00F91711" w:rsidP="00F91711">
      <w:pPr>
        <w:pStyle w:val="a3"/>
        <w:rPr>
          <w:u w:val="single"/>
        </w:rPr>
      </w:pPr>
      <w:r w:rsidRPr="00C35766">
        <w:rPr>
          <w:rFonts w:eastAsia="Times New Roman"/>
          <w:u w:val="single" w:color="000000"/>
          <w:lang w:val="it-IT"/>
        </w:rPr>
        <w:t>Assorbimento e distribuzione</w:t>
      </w:r>
    </w:p>
    <w:p w14:paraId="3CDDFC78" w14:textId="77777777" w:rsidR="00F91711" w:rsidRPr="00C35766" w:rsidRDefault="00F91711" w:rsidP="00F91711">
      <w:pPr>
        <w:spacing w:before="1" w:line="180" w:lineRule="exact"/>
        <w:rPr>
          <w:rFonts w:ascii="Times New Roman" w:hAnsi="Times New Roman" w:cs="Times New Roman"/>
          <w:sz w:val="18"/>
          <w:szCs w:val="18"/>
        </w:rPr>
      </w:pPr>
    </w:p>
    <w:p w14:paraId="2B2B5E96" w14:textId="77777777" w:rsidR="00F91711" w:rsidRPr="00C35766" w:rsidRDefault="00F91711" w:rsidP="00F91711">
      <w:pPr>
        <w:pStyle w:val="a3"/>
        <w:rPr>
          <w:lang w:val="it-IT"/>
        </w:rPr>
      </w:pPr>
      <w:r w:rsidRPr="00C35766">
        <w:rPr>
          <w:rFonts w:eastAsia="Times New Roman"/>
          <w:lang w:val="it-IT"/>
        </w:rPr>
        <w:t>Dopo la somministrazione sottocutanea di una singola dose di 40 mg, l’assorbimento e la distribuzione di adalimumab sono stati lenti, con picchi di concentrazione sierica raggiunti circa 5 giorni dopo la somministrazione. La biodisponibilità media assoluta di adalimumab rilevata nei tre studi dopo un’unica dose sottocutanea di 40 mg è stata del 64%. Dopo dosi endovenose singole da 0,25 a 10 mg/kg, le concentrazioni sono state proporzionali alla dose. Dopo dosi di 0,5 mg/kg (~40 mg), la clearance è variata da 11 a 15 mL/ora, il volume di distribuzione (V</w:t>
      </w:r>
      <w:r w:rsidRPr="00C35766">
        <w:rPr>
          <w:rFonts w:eastAsia="Times New Roman"/>
          <w:sz w:val="14"/>
          <w:szCs w:val="14"/>
          <w:lang w:val="it-IT"/>
        </w:rPr>
        <w:t>ss</w:t>
      </w:r>
      <w:r w:rsidRPr="00C35766">
        <w:rPr>
          <w:rFonts w:eastAsia="Times New Roman"/>
          <w:lang w:val="it-IT"/>
        </w:rPr>
        <w:t>) è variato dai 5 ai 6 litri, e l’emivita media della fase finale è stata di circa due settimane. Le concentrazioni di adalimumab nel liquido sinoviale in diversi pazienti affetti da artrite reumatoide sono state del 31-96% rispetto a quelle sieriche.</w:t>
      </w:r>
    </w:p>
    <w:p w14:paraId="39D875E9" w14:textId="77777777" w:rsidR="00F91711" w:rsidRPr="00C35766" w:rsidRDefault="00F91711" w:rsidP="00F91711">
      <w:pPr>
        <w:spacing w:before="14" w:line="240" w:lineRule="exact"/>
        <w:rPr>
          <w:rFonts w:ascii="Times New Roman" w:hAnsi="Times New Roman" w:cs="Times New Roman"/>
          <w:sz w:val="24"/>
          <w:szCs w:val="24"/>
          <w:lang w:val="it-IT"/>
        </w:rPr>
      </w:pPr>
    </w:p>
    <w:p w14:paraId="4030482E" w14:textId="77777777" w:rsidR="00F91711" w:rsidRPr="00C35766" w:rsidRDefault="00F91711" w:rsidP="00F91711">
      <w:pPr>
        <w:pStyle w:val="a3"/>
        <w:rPr>
          <w:lang w:val="pt-BR"/>
        </w:rPr>
      </w:pPr>
      <w:r w:rsidRPr="00C35766">
        <w:rPr>
          <w:rFonts w:eastAsia="Times New Roman"/>
          <w:lang w:val="it-IT"/>
        </w:rPr>
        <w:t xml:space="preserve">In seguito a somministrazione sottocutanea di 40 mg di adalimumab ogni due settimane in pazienti adulti con artrite reumatoide (AR) le concentrazioni minime allo stato stazionario sono state in media di circa 5 </w:t>
      </w:r>
      <w:r w:rsidRPr="00C35766">
        <w:rPr>
          <w:rFonts w:eastAsia="Symbol"/>
          <w:lang w:val="it-IT"/>
        </w:rPr>
        <w:sym w:font="Symbol" w:char="F06D"/>
      </w:r>
      <w:r w:rsidRPr="00C35766">
        <w:rPr>
          <w:rFonts w:eastAsia="Times New Roman"/>
          <w:lang w:val="it-IT"/>
        </w:rPr>
        <w:t xml:space="preserve">g/mL (senza terapia concomitante con metotressato) e 8-9 </w:t>
      </w:r>
      <w:r w:rsidRPr="00C35766">
        <w:rPr>
          <w:rFonts w:eastAsia="Symbol"/>
          <w:lang w:val="it-IT"/>
        </w:rPr>
        <w:sym w:font="Symbol" w:char="F06D"/>
      </w:r>
      <w:r w:rsidRPr="00C35766">
        <w:rPr>
          <w:rFonts w:eastAsia="Times New Roman"/>
          <w:lang w:val="it-IT"/>
        </w:rPr>
        <w:t>g/mL (in associazione con metotressato). I livelli sierici minimi di adalimumab allo stato stazionario a seguito di dosaggi sottocutanei da 20, 40 e 80 mg ogni 2 settimane e settimanalmente sono aumentati approssimativamente in maniera pressoché dose-dipendente.</w:t>
      </w:r>
    </w:p>
    <w:p w14:paraId="75C743BD" w14:textId="77777777" w:rsidR="00F91711" w:rsidRPr="00C35766" w:rsidRDefault="00F91711" w:rsidP="00F91711">
      <w:pPr>
        <w:pStyle w:val="a3"/>
        <w:rPr>
          <w:lang w:val="pt-BR"/>
        </w:rPr>
      </w:pPr>
    </w:p>
    <w:p w14:paraId="787EB1A7" w14:textId="77777777" w:rsidR="00F91711" w:rsidRPr="00C35766" w:rsidRDefault="00F91711" w:rsidP="00F91711">
      <w:pPr>
        <w:pStyle w:val="a3"/>
        <w:rPr>
          <w:lang w:val="pt-BR"/>
        </w:rPr>
      </w:pPr>
      <w:r w:rsidRPr="00C35766">
        <w:rPr>
          <w:rFonts w:eastAsia="Times New Roman"/>
          <w:lang w:val="it-IT"/>
        </w:rPr>
        <w:t xml:space="preserve">Nei pazienti adulti affetti da psoriasi la concentrazione minima allo stato stazionario è risultata essere in media di circa 5 </w:t>
      </w:r>
      <w:r w:rsidRPr="00C35766">
        <w:rPr>
          <w:rFonts w:eastAsia="Symbol"/>
          <w:lang w:val="it-IT"/>
        </w:rPr>
        <w:sym w:font="Symbol" w:char="F06D"/>
      </w:r>
      <w:r w:rsidRPr="00C35766">
        <w:rPr>
          <w:rFonts w:eastAsia="Times New Roman"/>
          <w:lang w:val="it-IT"/>
        </w:rPr>
        <w:t>g/mL durante il trattamento con una dose di adalimumab pari a 40 mg, somministrata a settimane alterne, in monoterapia.</w:t>
      </w:r>
    </w:p>
    <w:p w14:paraId="47CC13C4" w14:textId="77777777" w:rsidR="00F91711" w:rsidRPr="00C35766" w:rsidRDefault="00F91711" w:rsidP="00F91711">
      <w:pPr>
        <w:spacing w:before="13" w:line="240" w:lineRule="exact"/>
        <w:rPr>
          <w:rFonts w:ascii="Times New Roman" w:hAnsi="Times New Roman" w:cs="Times New Roman"/>
          <w:sz w:val="24"/>
          <w:szCs w:val="24"/>
          <w:lang w:val="pt-BR"/>
        </w:rPr>
      </w:pPr>
    </w:p>
    <w:p w14:paraId="7B1F1F97" w14:textId="77777777" w:rsidR="00F91711" w:rsidRPr="00C35766" w:rsidRDefault="00F91711" w:rsidP="00F91711">
      <w:pPr>
        <w:pStyle w:val="a3"/>
        <w:rPr>
          <w:lang w:val="it-IT"/>
        </w:rPr>
      </w:pPr>
      <w:r w:rsidRPr="00C35766">
        <w:rPr>
          <w:rFonts w:eastAsia="Times New Roman"/>
          <w:lang w:val="it-IT"/>
        </w:rPr>
        <w:t>Nei pazienti adulti con idrosadenite suppurativa, una dose pari a 160 mg di adalimumab alla settimana 0 seguita da 80 mg alla settimana 2 ha ottenuto concentrazioni sieriche minime di adalimumab di circa 7-8 μg/mL alla settimana 2 e alla settimana 4. Le concentrazioni medie minime allo stato stazionario alla settimana 12 fino alla settimana 36 erano circa 8-10 μg/mL durante il trattamento con adalimumab 40 mg a settimana.</w:t>
      </w:r>
    </w:p>
    <w:p w14:paraId="740BD871" w14:textId="77777777" w:rsidR="00F91711" w:rsidRPr="00C35766" w:rsidRDefault="00F91711" w:rsidP="00F91711">
      <w:pPr>
        <w:spacing w:before="13" w:line="240" w:lineRule="exact"/>
        <w:rPr>
          <w:rFonts w:ascii="Times New Roman" w:hAnsi="Times New Roman" w:cs="Times New Roman"/>
          <w:sz w:val="24"/>
          <w:szCs w:val="24"/>
          <w:lang w:val="it-IT"/>
        </w:rPr>
      </w:pPr>
    </w:p>
    <w:p w14:paraId="057B592C" w14:textId="77777777" w:rsidR="00F91711" w:rsidRPr="00C35766" w:rsidRDefault="00F91711" w:rsidP="00F91711">
      <w:pPr>
        <w:pStyle w:val="a3"/>
        <w:rPr>
          <w:lang w:val="it-IT"/>
        </w:rPr>
      </w:pPr>
      <w:r w:rsidRPr="00C35766">
        <w:rPr>
          <w:rFonts w:eastAsia="Times New Roman"/>
          <w:lang w:val="it-IT"/>
        </w:rPr>
        <w:t>L’esposizione ad adalimumab nei pazienti adolescenti con HS è stata predetta usando modelli e simulazione farmacocinetiche di popolazione basati sulla farmacocinetica cross-indicazione in altri pazienti pediatrici (psoriasi pediatrica, artrite idiopatica giovanile, malattia di Crohn pediatrica e artrite associata ad entesite). Lo schema posologico raccomandato per gli adolescenti con HS è di 40 mg a settimane alterne. Dato che l’esposizione ad adalimumab potrebbe essere influenzata dalla massa corporea, gli adolescenti che hanno un peso corporeo maggiore e una risposta inadeguata possono beneficiare della dose raccomandata per gli adulti di 40 mg ogni settimana.</w:t>
      </w:r>
    </w:p>
    <w:p w14:paraId="681892AC" w14:textId="77777777" w:rsidR="00F91711" w:rsidRPr="00C35766" w:rsidRDefault="00F91711" w:rsidP="00F91711">
      <w:pPr>
        <w:spacing w:before="13" w:line="240" w:lineRule="exact"/>
        <w:rPr>
          <w:rFonts w:ascii="Times New Roman" w:hAnsi="Times New Roman" w:cs="Times New Roman"/>
          <w:sz w:val="24"/>
          <w:szCs w:val="24"/>
          <w:lang w:val="it-IT"/>
        </w:rPr>
      </w:pPr>
    </w:p>
    <w:p w14:paraId="11BFB857" w14:textId="77777777" w:rsidR="00F91711" w:rsidRPr="00C35766" w:rsidRDefault="00F91711" w:rsidP="00F91711">
      <w:pPr>
        <w:pStyle w:val="a3"/>
        <w:rPr>
          <w:lang w:val="it-IT"/>
        </w:rPr>
      </w:pPr>
      <w:r w:rsidRPr="00C35766">
        <w:rPr>
          <w:rFonts w:eastAsia="Times New Roman"/>
          <w:lang w:val="it-IT"/>
        </w:rPr>
        <w:t xml:space="preserve">Nei pazienti con malattia di Crohn, la dose di carico con 80 mg di adalimumab alla settimana 0 seguita da 40 mg di adalimumab alla settimana 2 ha ottenuto concentrazioni sieriche minime di adalimumab di circa 5,5 </w:t>
      </w:r>
      <w:r w:rsidRPr="00C35766">
        <w:rPr>
          <w:rFonts w:eastAsia="Symbol"/>
          <w:lang w:val="it-IT"/>
        </w:rPr>
        <w:sym w:font="Symbol" w:char="F06D"/>
      </w:r>
      <w:r w:rsidRPr="00C35766">
        <w:rPr>
          <w:rFonts w:eastAsia="Times New Roman"/>
          <w:lang w:val="it-IT"/>
        </w:rPr>
        <w:t xml:space="preserve">g/mL durante il periodo di induzione. Una dose di carico con 160 mg di adalimumab alla settimana 0 seguita da 80 mg di adalimumab alla settimana 2 ha ottenuto concentrazioni sieriche minime di adalimumab di circa 12 </w:t>
      </w:r>
      <w:r w:rsidRPr="00C35766">
        <w:rPr>
          <w:rFonts w:eastAsia="Symbol"/>
          <w:lang w:val="it-IT"/>
        </w:rPr>
        <w:sym w:font="Symbol" w:char="F06D"/>
      </w:r>
      <w:r w:rsidRPr="00C35766">
        <w:rPr>
          <w:rFonts w:eastAsia="Times New Roman"/>
          <w:lang w:val="it-IT"/>
        </w:rPr>
        <w:t xml:space="preserve">g/mL durante il periodo di induzione. Sono stati osservati livelli medi minimi allo stato stazionario di circa 7 </w:t>
      </w:r>
      <w:r w:rsidRPr="00C35766">
        <w:rPr>
          <w:rFonts w:eastAsia="Symbol"/>
          <w:lang w:val="it-IT"/>
        </w:rPr>
        <w:sym w:font="Symbol" w:char="F06D"/>
      </w:r>
      <w:r w:rsidRPr="00C35766">
        <w:rPr>
          <w:rFonts w:eastAsia="Times New Roman"/>
          <w:lang w:val="it-IT"/>
        </w:rPr>
        <w:t>g/mL nei pazienti con malattia di Crohn che hanno ricevuto una dose di mantenimento di 40 mg di adalimumab ogni due settimane.</w:t>
      </w:r>
    </w:p>
    <w:p w14:paraId="030F8BA5" w14:textId="77777777" w:rsidR="00F91711" w:rsidRPr="00C35766" w:rsidRDefault="00F91711" w:rsidP="00F91711">
      <w:pPr>
        <w:spacing w:before="11" w:line="240" w:lineRule="exact"/>
        <w:rPr>
          <w:rFonts w:ascii="Times New Roman" w:hAnsi="Times New Roman" w:cs="Times New Roman"/>
          <w:sz w:val="24"/>
          <w:szCs w:val="24"/>
          <w:lang w:val="it-IT"/>
        </w:rPr>
      </w:pPr>
    </w:p>
    <w:p w14:paraId="066CE89A" w14:textId="77777777" w:rsidR="00F91711" w:rsidRPr="00C35766" w:rsidRDefault="00F91711" w:rsidP="00F91711">
      <w:pPr>
        <w:pStyle w:val="a3"/>
        <w:rPr>
          <w:lang w:val="it-IT"/>
        </w:rPr>
      </w:pPr>
      <w:r w:rsidRPr="00C35766">
        <w:rPr>
          <w:rFonts w:eastAsia="Times New Roman"/>
          <w:lang w:val="it-IT"/>
        </w:rPr>
        <w:t xml:space="preserve">Nei pazienti pediatrici con MC di grado da moderato a severo, la dose di induzione di adalimumab in aperto era 160/80 mg o 80/40 mg alle settimane 0 e 2, rispettivamente, a seconda del cut-off del peso corporeo a 40 kg. Alla settimana 4, i pazienti erano randomizzati 1:1 sulla base del peso corporeo nei gruppi del trattamento di mantenimento o alla Dose Standard (40/20 mg a settimane alterne) o alla Dose Bassa (20/10 mg a settimane alterne). Le concentrazioni sieriche medie (±SD) dei livelli minimi di adalimumab raggiunte alla settimana 4 erano 15,7±6,6 </w:t>
      </w:r>
      <w:r w:rsidRPr="00C35766">
        <w:rPr>
          <w:rFonts w:eastAsia="Symbol"/>
          <w:lang w:val="it-IT"/>
        </w:rPr>
        <w:sym w:font="Symbol" w:char="F06D"/>
      </w:r>
      <w:r w:rsidRPr="00C35766">
        <w:rPr>
          <w:rFonts w:eastAsia="Times New Roman"/>
          <w:lang w:val="it-IT"/>
        </w:rPr>
        <w:t xml:space="preserve">g/mL per i pazienti ≥ 40 kg (160/80 mg) e 10,6±6,1 </w:t>
      </w:r>
      <w:r w:rsidRPr="00C35766">
        <w:rPr>
          <w:rFonts w:eastAsia="Symbol"/>
          <w:lang w:val="it-IT"/>
        </w:rPr>
        <w:sym w:font="Symbol" w:char="F06D"/>
      </w:r>
      <w:r w:rsidRPr="00C35766">
        <w:rPr>
          <w:rFonts w:eastAsia="Times New Roman"/>
          <w:lang w:val="it-IT"/>
        </w:rPr>
        <w:t>g/mL per i pazienti &lt; 40 kg (80/40 mg).</w:t>
      </w:r>
    </w:p>
    <w:p w14:paraId="1B23FD25" w14:textId="77777777" w:rsidR="00F91711" w:rsidRPr="00C35766" w:rsidRDefault="00F91711" w:rsidP="00F91711">
      <w:pPr>
        <w:spacing w:before="7" w:line="240" w:lineRule="exact"/>
        <w:rPr>
          <w:rFonts w:ascii="Times New Roman" w:hAnsi="Times New Roman" w:cs="Times New Roman"/>
          <w:sz w:val="24"/>
          <w:szCs w:val="24"/>
          <w:lang w:val="it-IT"/>
        </w:rPr>
      </w:pPr>
    </w:p>
    <w:p w14:paraId="4EB32A74" w14:textId="77777777" w:rsidR="00F91711" w:rsidRPr="00C35766" w:rsidRDefault="00F91711" w:rsidP="00F91711">
      <w:pPr>
        <w:pStyle w:val="a3"/>
        <w:rPr>
          <w:lang w:val="it-IT"/>
        </w:rPr>
      </w:pPr>
      <w:r w:rsidRPr="00C35766">
        <w:rPr>
          <w:rFonts w:eastAsia="Times New Roman"/>
          <w:lang w:val="it-IT"/>
        </w:rPr>
        <w:t xml:space="preserve">Per i pazienti che rimanevano nella loro terapia randomizzata, le concentrazioni medie dei livelli minimi (±SD) di adalimumab alla settimana 52 erano 9,5±5,6 </w:t>
      </w:r>
      <w:r w:rsidRPr="00C35766">
        <w:rPr>
          <w:rFonts w:eastAsia="Symbol"/>
          <w:lang w:val="it-IT"/>
        </w:rPr>
        <w:sym w:font="Symbol" w:char="F06D"/>
      </w:r>
      <w:r w:rsidRPr="00C35766">
        <w:rPr>
          <w:rFonts w:eastAsia="Times New Roman"/>
          <w:lang w:val="it-IT"/>
        </w:rPr>
        <w:t xml:space="preserve">g/mL per il gruppo a Dose Standard e 3,5±2,2 </w:t>
      </w:r>
      <w:r w:rsidRPr="00C35766">
        <w:rPr>
          <w:rFonts w:eastAsia="Symbol"/>
          <w:lang w:val="it-IT"/>
        </w:rPr>
        <w:sym w:font="Symbol" w:char="F06D"/>
      </w:r>
      <w:r w:rsidRPr="00C35766">
        <w:rPr>
          <w:rFonts w:eastAsia="Times New Roman"/>
          <w:lang w:val="it-IT"/>
        </w:rPr>
        <w:t>g/mL per il gruppo a Bassa Dose. Le concentrazioni medie dei livelli minimi erano mantenute nei pazienti che continuavano a ricevere il trattamento di adalimumab a settimane alterne per 52 settimane. Per i pazienti che aumentavano la dose da un regime a settimane alterne a uno settimanale, le concentrazioni sieriche medie (±SD) di adalimumab alla settimana 52 erano 15,3±11,4μg/mL (40/20 mg, a settimana) e 6,7±3,5 μg/mL (20/10 mg, a settimana).</w:t>
      </w:r>
    </w:p>
    <w:p w14:paraId="4A7093AC" w14:textId="77777777" w:rsidR="00F91711" w:rsidRPr="00C35766" w:rsidRDefault="00F91711" w:rsidP="00F91711">
      <w:pPr>
        <w:spacing w:before="11" w:line="240" w:lineRule="exact"/>
        <w:rPr>
          <w:rFonts w:ascii="Times New Roman" w:hAnsi="Times New Roman" w:cs="Times New Roman"/>
          <w:sz w:val="24"/>
          <w:szCs w:val="24"/>
          <w:lang w:val="it-IT"/>
        </w:rPr>
      </w:pPr>
    </w:p>
    <w:p w14:paraId="5BDE0274" w14:textId="77777777" w:rsidR="00F91711" w:rsidRPr="00C35766" w:rsidRDefault="00F91711" w:rsidP="00F91711">
      <w:pPr>
        <w:pStyle w:val="a3"/>
        <w:rPr>
          <w:lang w:val="it-IT"/>
        </w:rPr>
      </w:pPr>
      <w:r w:rsidRPr="00C35766">
        <w:rPr>
          <w:rFonts w:eastAsia="Times New Roman"/>
          <w:lang w:val="it-IT"/>
        </w:rPr>
        <w:t xml:space="preserve">Nei pazienti affetti da colite ulcerosa, una dose di carico di 160 mg di adalimumab alla settimana 0 seguita da 80 mg di adalimumab alla settimana 2 ha ottenuto una concentrazione sierica minima di adalimumab di circa 12 </w:t>
      </w:r>
      <w:r w:rsidRPr="00C35766">
        <w:rPr>
          <w:rFonts w:eastAsia="Symbol"/>
          <w:lang w:val="it-IT"/>
        </w:rPr>
        <w:sym w:font="Symbol" w:char="F06D"/>
      </w:r>
      <w:r w:rsidRPr="00C35766">
        <w:rPr>
          <w:rFonts w:eastAsia="Times New Roman"/>
          <w:lang w:val="it-IT"/>
        </w:rPr>
        <w:t xml:space="preserve">g/mL durante il periodo di induzione. Sono stati osservati livelli medi minimi allo stato stazionario di circa 8 </w:t>
      </w:r>
      <w:r w:rsidRPr="00C35766">
        <w:rPr>
          <w:rFonts w:eastAsia="Symbol"/>
          <w:lang w:val="it-IT"/>
        </w:rPr>
        <w:sym w:font="Symbol" w:char="F06D"/>
      </w:r>
      <w:r w:rsidRPr="00C35766">
        <w:rPr>
          <w:rFonts w:eastAsia="Times New Roman"/>
          <w:lang w:val="it-IT"/>
        </w:rPr>
        <w:t>g/mL nei pazienti con colite ulcerosa che hanno ricevuto una dose di mantenimento di 40 mg di adalimumab ogni due settimane.</w:t>
      </w:r>
    </w:p>
    <w:p w14:paraId="6F10F53A" w14:textId="77777777" w:rsidR="00F91711" w:rsidRPr="00C35766" w:rsidRDefault="00F91711" w:rsidP="00F91711">
      <w:pPr>
        <w:spacing w:before="14" w:line="240" w:lineRule="exact"/>
        <w:rPr>
          <w:rFonts w:ascii="Times New Roman" w:hAnsi="Times New Roman" w:cs="Times New Roman"/>
          <w:sz w:val="24"/>
          <w:szCs w:val="24"/>
          <w:lang w:val="it-IT"/>
        </w:rPr>
      </w:pPr>
    </w:p>
    <w:p w14:paraId="789CB125" w14:textId="77777777" w:rsidR="00F91711" w:rsidRPr="00C35766" w:rsidRDefault="00F91711" w:rsidP="00F91711">
      <w:pPr>
        <w:rPr>
          <w:rFonts w:ascii="Times New Roman" w:hAnsi="Times New Roman" w:cs="Times New Roman"/>
          <w:lang w:val="it-IT"/>
        </w:rPr>
      </w:pPr>
      <w:r w:rsidRPr="00C35766">
        <w:rPr>
          <w:rFonts w:ascii="Times New Roman" w:hAnsi="Times New Roman" w:cs="Times New Roman"/>
          <w:lang w:val="it-IT"/>
        </w:rPr>
        <w:t>A seguito della somministrazione sottocutanea di una dose di 0,6 mg/kg (massimo 40 mg) a settimane alterne basata sul peso corporeo, in pazienti pediatrici con colite ulcerosa, la concentrazione media minima di adalimumab sierico all’equilibrio è stata di 5,01±3,28 µg/ml alla Settimana 52. Per i pazienti che hanno ricevuto 0,6 mg/kg (massimo 40 mg) ogni settimana, la concentrazione media minima (±DS) di adalimumab sierico all’equilibrio è stata di 15,7±5,60 </w:t>
      </w:r>
      <w:r w:rsidRPr="00C35766">
        <w:rPr>
          <w:rFonts w:ascii="Times New Roman" w:hAnsi="Times New Roman" w:cs="Times New Roman"/>
        </w:rPr>
        <w:t>μ</w:t>
      </w:r>
      <w:r w:rsidRPr="00C35766">
        <w:rPr>
          <w:rFonts w:ascii="Times New Roman" w:hAnsi="Times New Roman" w:cs="Times New Roman"/>
          <w:lang w:val="it-IT"/>
        </w:rPr>
        <w:t>g/ml alla Settimana 52.</w:t>
      </w:r>
    </w:p>
    <w:p w14:paraId="2E44DB0B" w14:textId="77777777" w:rsidR="00F91711" w:rsidRPr="00C35766" w:rsidRDefault="00F91711" w:rsidP="00F91711">
      <w:pPr>
        <w:spacing w:before="14" w:line="240" w:lineRule="exact"/>
        <w:rPr>
          <w:rFonts w:ascii="Times New Roman" w:hAnsi="Times New Roman" w:cs="Times New Roman"/>
          <w:sz w:val="24"/>
          <w:szCs w:val="24"/>
          <w:lang w:val="it-IT"/>
        </w:rPr>
      </w:pPr>
    </w:p>
    <w:p w14:paraId="2293FF8D" w14:textId="77777777" w:rsidR="00F91711" w:rsidRPr="00C35766" w:rsidRDefault="00F91711" w:rsidP="00F91711">
      <w:pPr>
        <w:pStyle w:val="a3"/>
        <w:rPr>
          <w:lang w:val="it-IT"/>
        </w:rPr>
      </w:pPr>
      <w:r w:rsidRPr="00C35766">
        <w:rPr>
          <w:rFonts w:eastAsia="Times New Roman"/>
          <w:spacing w:val="-2"/>
          <w:lang w:val="it-IT"/>
        </w:rPr>
        <w:t xml:space="preserve">Nei pazienti adulti affetti da uveite, una dose di carico di 80 mg di adalimumab alla settimana 0 seguita da 40 mg di adalimumab a settimane alterne a partire dalla settimana 1 ha determinato concentrazioni medie allo </w:t>
      </w:r>
      <w:r w:rsidRPr="00C35766">
        <w:rPr>
          <w:rFonts w:eastAsia="Times New Roman"/>
          <w:spacing w:val="-2"/>
          <w:lang w:val="it-IT"/>
        </w:rPr>
        <w:lastRenderedPageBreak/>
        <w:t xml:space="preserve">stato stazionario di circa 8-10 </w:t>
      </w:r>
      <w:r w:rsidRPr="00C35766">
        <w:rPr>
          <w:rFonts w:eastAsia="Symbol"/>
          <w:spacing w:val="-2"/>
          <w:lang w:val="it-IT"/>
        </w:rPr>
        <w:sym w:font="Symbol" w:char="F06D"/>
      </w:r>
      <w:r w:rsidRPr="00C35766">
        <w:rPr>
          <w:rFonts w:eastAsia="Times New Roman"/>
          <w:spacing w:val="-2"/>
          <w:lang w:val="it-IT"/>
        </w:rPr>
        <w:t>g/ml.</w:t>
      </w:r>
    </w:p>
    <w:p w14:paraId="22BF93CC" w14:textId="77777777" w:rsidR="00F91711" w:rsidRPr="00C35766" w:rsidRDefault="00F91711" w:rsidP="00F91711">
      <w:pPr>
        <w:spacing w:before="13" w:line="240" w:lineRule="exact"/>
        <w:rPr>
          <w:rFonts w:ascii="Times New Roman" w:hAnsi="Times New Roman" w:cs="Times New Roman"/>
          <w:sz w:val="24"/>
          <w:szCs w:val="24"/>
          <w:lang w:val="it-IT"/>
        </w:rPr>
      </w:pPr>
    </w:p>
    <w:p w14:paraId="2A95CF34" w14:textId="77777777" w:rsidR="00F91711" w:rsidRPr="00C35766" w:rsidRDefault="00F91711" w:rsidP="00F91711">
      <w:pPr>
        <w:pStyle w:val="a3"/>
        <w:rPr>
          <w:lang w:val="it-IT"/>
        </w:rPr>
      </w:pPr>
      <w:r w:rsidRPr="00C35766">
        <w:rPr>
          <w:rFonts w:eastAsia="Times New Roman"/>
          <w:lang w:val="it-IT"/>
        </w:rPr>
        <w:t>L’esposizione ad adalimumab nei pazienti pediatrici con uveite è stata predetta usando modelli e simulazione farmacocinetici di popolazione basati sulla farmacocinetica cross-indicazione in altri pazienti pediatrici (psoriasi pediatrica, artrite idiopatica giovanile, malattia di Crohn pediatrica e artrite associata ad entesite). Non sono disponibili dati sull’esposizione clinica relativi all’uso di una dose di carico nei bambini di età inferiore ai 6 anni. Le esposizioni previste indicano che in assenza di metotressato una dose di carico potrebbe causare un aumento iniziale dell’esposizione sistemica.</w:t>
      </w:r>
    </w:p>
    <w:p w14:paraId="503ACC6A" w14:textId="77777777" w:rsidR="00F91711" w:rsidRPr="00C35766" w:rsidRDefault="00F91711" w:rsidP="00F91711">
      <w:pPr>
        <w:spacing w:before="13" w:line="240" w:lineRule="exact"/>
        <w:rPr>
          <w:rFonts w:ascii="Times New Roman" w:hAnsi="Times New Roman" w:cs="Times New Roman"/>
          <w:sz w:val="24"/>
          <w:szCs w:val="24"/>
          <w:lang w:val="it-IT"/>
        </w:rPr>
      </w:pPr>
    </w:p>
    <w:p w14:paraId="7AC0E621" w14:textId="77777777" w:rsidR="00F91711" w:rsidRPr="00C35766" w:rsidRDefault="00F91711" w:rsidP="00F91711">
      <w:pPr>
        <w:pStyle w:val="a3"/>
        <w:rPr>
          <w:lang w:val="it-IT"/>
        </w:rPr>
      </w:pPr>
      <w:r w:rsidRPr="00C35766">
        <w:rPr>
          <w:rFonts w:eastAsia="Times New Roman"/>
          <w:lang w:val="it-IT"/>
        </w:rPr>
        <w:t>Dal modello e dalla simulazione farmacocinetici e farmacocinetici/ farmacodinamici di popolazione è stato previsto che l’esposizione e l'efficacia di adalimumab sono paragonabili in pazienti trattati con 80 mg a settimane alterne e in quelli trattati con 40 mg ogni settimana (compresi i pazienti adulti con AR, HS, CU, MC o Ps, pazienti adolescenti con HS e pazienti pediatrici ≥ 40 kg con MC</w:t>
      </w:r>
      <w:r w:rsidRPr="00C35766">
        <w:rPr>
          <w:color w:val="000000"/>
          <w:lang w:val="it-IT"/>
        </w:rPr>
        <w:t xml:space="preserve"> e CU</w:t>
      </w:r>
      <w:r w:rsidRPr="00C35766">
        <w:rPr>
          <w:rFonts w:eastAsia="Times New Roman"/>
          <w:lang w:val="it-IT"/>
        </w:rPr>
        <w:t xml:space="preserve">). </w:t>
      </w:r>
    </w:p>
    <w:p w14:paraId="55498835" w14:textId="77777777" w:rsidR="00F91711" w:rsidRPr="00C35766" w:rsidRDefault="00F91711" w:rsidP="00F91711">
      <w:pPr>
        <w:spacing w:before="13" w:line="240" w:lineRule="exact"/>
        <w:rPr>
          <w:rFonts w:ascii="Times New Roman" w:hAnsi="Times New Roman" w:cs="Times New Roman"/>
          <w:sz w:val="24"/>
          <w:szCs w:val="24"/>
          <w:lang w:val="it-IT"/>
        </w:rPr>
      </w:pPr>
    </w:p>
    <w:p w14:paraId="00FB3BCA" w14:textId="77777777" w:rsidR="00F91711" w:rsidRPr="00C35766" w:rsidRDefault="00F91711" w:rsidP="00F91711">
      <w:pPr>
        <w:pStyle w:val="a3"/>
        <w:rPr>
          <w:u w:val="single"/>
          <w:lang w:val="it-IT"/>
        </w:rPr>
      </w:pPr>
      <w:r w:rsidRPr="00C35766">
        <w:rPr>
          <w:rFonts w:eastAsia="Times New Roman"/>
          <w:u w:val="single" w:color="000000"/>
          <w:lang w:val="it-IT"/>
        </w:rPr>
        <w:t>Rapporto esposizione-risposta nella popolazione pediatrica</w:t>
      </w:r>
    </w:p>
    <w:p w14:paraId="41316264" w14:textId="77777777" w:rsidR="00F91711" w:rsidRPr="00C35766" w:rsidRDefault="00F91711" w:rsidP="00F91711">
      <w:pPr>
        <w:pStyle w:val="a3"/>
        <w:rPr>
          <w:lang w:val="it-IT"/>
        </w:rPr>
      </w:pPr>
    </w:p>
    <w:p w14:paraId="1E985E0A" w14:textId="77777777" w:rsidR="00F91711" w:rsidRPr="00C35766" w:rsidRDefault="00F91711" w:rsidP="00F91711">
      <w:pPr>
        <w:pStyle w:val="a3"/>
        <w:rPr>
          <w:lang w:val="it-IT"/>
        </w:rPr>
      </w:pPr>
      <w:r w:rsidRPr="00C35766">
        <w:rPr>
          <w:rFonts w:eastAsia="Times New Roman"/>
          <w:lang w:val="it-IT"/>
        </w:rPr>
        <w:t>Sulla base dei risultati degli studi clinici in pazienti con JIA (pJIA e ERA), è stato stabilito un rapporto esposizione-risposta tra le concentrazioni plasmatiche e la risposta PedACR 50.  La concentrazione plasmatica apparente di adalimumab che produce metà della massima probabilità di risposta PedACR 50 (EC50) è stata 3 μg/mL (95% IC: 1-6 μg/ml).</w:t>
      </w:r>
    </w:p>
    <w:p w14:paraId="565C5E0E" w14:textId="77777777" w:rsidR="00F91711" w:rsidRPr="00C35766" w:rsidRDefault="00F91711" w:rsidP="00F91711">
      <w:pPr>
        <w:spacing w:before="13" w:line="240" w:lineRule="exact"/>
        <w:rPr>
          <w:rFonts w:ascii="Times New Roman" w:hAnsi="Times New Roman" w:cs="Times New Roman"/>
          <w:sz w:val="24"/>
          <w:szCs w:val="24"/>
          <w:lang w:val="it-IT"/>
        </w:rPr>
      </w:pPr>
    </w:p>
    <w:p w14:paraId="3091104F" w14:textId="77777777" w:rsidR="00F91711" w:rsidRPr="00C35766" w:rsidRDefault="00F91711" w:rsidP="00F91711">
      <w:pPr>
        <w:pStyle w:val="a3"/>
        <w:rPr>
          <w:lang w:val="it-IT"/>
        </w:rPr>
      </w:pPr>
      <w:r w:rsidRPr="00C35766">
        <w:rPr>
          <w:rFonts w:eastAsia="Times New Roman"/>
          <w:lang w:val="it-IT"/>
        </w:rPr>
        <w:t>I rapporti esposizione-risposta tra la concentrazione di adalimumab e l’efficacia in pazienti pediatrici affetti da psoriasi cronica a placche di grado severo sono stati stabiliti per PASI 75 e PGA corrispondente a remissione totale della malattia o a persistenza di malattia minima rispettivamente. PASI 75 e PGA corrispondente a remissione totale della malattia o a persistenza di malattia minima sono aumentati all’aumentare delle concentrazioni di adalimumab, entrambi con una simile EC50 apparente di circa 4,5 μg/mL (95% IC 0,4-47,6 e 1,9-10,5, rispettivamente).</w:t>
      </w:r>
    </w:p>
    <w:p w14:paraId="482B7CA4" w14:textId="77777777" w:rsidR="00F91711" w:rsidRPr="00C35766" w:rsidRDefault="00F91711" w:rsidP="00F91711">
      <w:pPr>
        <w:spacing w:before="13" w:line="240" w:lineRule="exact"/>
        <w:rPr>
          <w:rFonts w:ascii="Times New Roman" w:hAnsi="Times New Roman" w:cs="Times New Roman"/>
          <w:sz w:val="24"/>
          <w:szCs w:val="24"/>
          <w:lang w:val="it-IT"/>
        </w:rPr>
      </w:pPr>
    </w:p>
    <w:p w14:paraId="47598688" w14:textId="77777777" w:rsidR="00F91711" w:rsidRPr="00C35766" w:rsidRDefault="00F91711" w:rsidP="00F91711">
      <w:pPr>
        <w:pStyle w:val="a3"/>
        <w:rPr>
          <w:u w:val="single"/>
          <w:lang w:val="es-ES"/>
        </w:rPr>
      </w:pPr>
      <w:r w:rsidRPr="00C35766">
        <w:rPr>
          <w:rFonts w:eastAsia="Times New Roman"/>
          <w:u w:val="single" w:color="000000"/>
          <w:lang w:val="it-IT"/>
        </w:rPr>
        <w:t>Eliminazione</w:t>
      </w:r>
    </w:p>
    <w:p w14:paraId="508AD8E9" w14:textId="77777777" w:rsidR="00F91711" w:rsidRPr="00C35766" w:rsidRDefault="00F91711" w:rsidP="00F91711">
      <w:pPr>
        <w:spacing w:before="1" w:line="180" w:lineRule="exact"/>
        <w:rPr>
          <w:rFonts w:ascii="Times New Roman" w:hAnsi="Times New Roman" w:cs="Times New Roman"/>
          <w:sz w:val="18"/>
          <w:szCs w:val="18"/>
          <w:lang w:val="es-ES"/>
        </w:rPr>
      </w:pPr>
    </w:p>
    <w:p w14:paraId="79B043C0" w14:textId="77777777" w:rsidR="00F91711" w:rsidRPr="00C35766" w:rsidRDefault="00F91711" w:rsidP="00F91711">
      <w:pPr>
        <w:pStyle w:val="a3"/>
        <w:rPr>
          <w:lang w:val="it-IT"/>
        </w:rPr>
      </w:pPr>
      <w:r w:rsidRPr="00C35766">
        <w:rPr>
          <w:rFonts w:eastAsia="Times New Roman"/>
          <w:lang w:val="it-IT"/>
        </w:rPr>
        <w:t>Le analisi farmacocinetiche di popolazione, su un campione di più di 1.300 pazienti con AR, hanno evidenziato una tendenza ad un apparente aumento della clearance di adalimumab con l’aumentare del peso corporeo. Dopo correzione per le differenze di peso corporeo, sesso ed età sono risultati avere un effetto minimo sulla clearance di adalimumab. I livelli sierici di adalimumab libero (non legato agli anticorpi anti-adalimumab – AAA) sono stati più bassi nei pazienti con titoli misurabili di AAA.</w:t>
      </w:r>
    </w:p>
    <w:p w14:paraId="7A24062C" w14:textId="77777777" w:rsidR="00F91711" w:rsidRPr="00C35766" w:rsidRDefault="00F91711" w:rsidP="00F91711">
      <w:pPr>
        <w:spacing w:before="13" w:line="240" w:lineRule="exact"/>
        <w:rPr>
          <w:rFonts w:ascii="Times New Roman" w:hAnsi="Times New Roman" w:cs="Times New Roman"/>
          <w:sz w:val="24"/>
          <w:szCs w:val="24"/>
          <w:lang w:val="it-IT"/>
        </w:rPr>
      </w:pPr>
    </w:p>
    <w:p w14:paraId="530DB5B4" w14:textId="77777777" w:rsidR="00F91711" w:rsidRPr="00C35766" w:rsidRDefault="00F91711" w:rsidP="00F91711">
      <w:pPr>
        <w:pStyle w:val="a3"/>
        <w:rPr>
          <w:u w:val="single"/>
          <w:lang w:val="es-ES"/>
        </w:rPr>
      </w:pPr>
      <w:r w:rsidRPr="00C35766">
        <w:rPr>
          <w:rFonts w:eastAsia="Times New Roman"/>
          <w:u w:val="single" w:color="000000"/>
          <w:lang w:val="it-IT"/>
        </w:rPr>
        <w:t>Compromissione epatica o renale</w:t>
      </w:r>
    </w:p>
    <w:p w14:paraId="50008DA3" w14:textId="77777777" w:rsidR="00F91711" w:rsidRPr="00C35766" w:rsidRDefault="00F91711" w:rsidP="00F91711">
      <w:pPr>
        <w:spacing w:before="1" w:line="180" w:lineRule="exact"/>
        <w:rPr>
          <w:rFonts w:ascii="Times New Roman" w:hAnsi="Times New Roman" w:cs="Times New Roman"/>
          <w:sz w:val="18"/>
          <w:szCs w:val="18"/>
          <w:lang w:val="es-ES"/>
        </w:rPr>
      </w:pPr>
    </w:p>
    <w:p w14:paraId="4046787D" w14:textId="77777777" w:rsidR="00F91711" w:rsidRPr="00C35766" w:rsidRDefault="00F91711" w:rsidP="00F91711">
      <w:pPr>
        <w:pStyle w:val="a3"/>
        <w:rPr>
          <w:lang w:val="es-ES"/>
        </w:rPr>
      </w:pPr>
      <w:r w:rsidRPr="00C35766">
        <w:rPr>
          <w:rFonts w:eastAsia="Times New Roman"/>
          <w:lang w:val="it-IT"/>
        </w:rPr>
        <w:t>Adalimumab non è stato studiato in pazienti con compromissione epatica o renale.</w:t>
      </w:r>
    </w:p>
    <w:p w14:paraId="6A8917D1" w14:textId="77777777" w:rsidR="00F91711" w:rsidRPr="00C35766" w:rsidRDefault="00F91711" w:rsidP="00F91711">
      <w:pPr>
        <w:spacing w:before="18" w:line="240" w:lineRule="exact"/>
        <w:rPr>
          <w:rFonts w:ascii="Times New Roman" w:hAnsi="Times New Roman" w:cs="Times New Roman"/>
          <w:sz w:val="24"/>
          <w:szCs w:val="24"/>
          <w:lang w:val="es-ES"/>
        </w:rPr>
      </w:pPr>
    </w:p>
    <w:p w14:paraId="2863A6E9" w14:textId="77777777" w:rsidR="00F91711" w:rsidRPr="00C35766" w:rsidRDefault="00F91711" w:rsidP="00933A6C">
      <w:pPr>
        <w:widowControl/>
        <w:numPr>
          <w:ilvl w:val="1"/>
          <w:numId w:val="5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Dati preclinici di sicurezza</w:t>
      </w:r>
    </w:p>
    <w:p w14:paraId="12070766" w14:textId="77777777" w:rsidR="00F91711" w:rsidRPr="00C35766" w:rsidRDefault="00F91711" w:rsidP="00F91711">
      <w:pPr>
        <w:spacing w:before="6" w:line="240" w:lineRule="exact"/>
        <w:rPr>
          <w:rFonts w:ascii="Times New Roman" w:hAnsi="Times New Roman" w:cs="Times New Roman"/>
          <w:sz w:val="24"/>
          <w:szCs w:val="24"/>
        </w:rPr>
      </w:pPr>
    </w:p>
    <w:p w14:paraId="32B383DC" w14:textId="77777777" w:rsidR="00F91711" w:rsidRPr="00C35766" w:rsidRDefault="00F91711" w:rsidP="00F91711">
      <w:pPr>
        <w:pStyle w:val="a3"/>
        <w:rPr>
          <w:lang w:val="pt-BR"/>
        </w:rPr>
      </w:pPr>
      <w:r w:rsidRPr="00C35766">
        <w:rPr>
          <w:rFonts w:eastAsia="Times New Roman"/>
          <w:lang w:val="it-IT"/>
        </w:rPr>
        <w:t>I dati non clinici non rivelano rischi particolari per l’uomo sulla base di studi di tossicità a dosi singole, tossicità a dosi ripetute e genotossicità.</w:t>
      </w:r>
    </w:p>
    <w:p w14:paraId="2BD6646B" w14:textId="77777777" w:rsidR="00F91711" w:rsidRPr="00C35766" w:rsidRDefault="00F91711" w:rsidP="00F91711">
      <w:pPr>
        <w:spacing w:before="12" w:line="240" w:lineRule="exact"/>
        <w:rPr>
          <w:rFonts w:ascii="Times New Roman" w:hAnsi="Times New Roman" w:cs="Times New Roman"/>
          <w:sz w:val="24"/>
          <w:szCs w:val="24"/>
          <w:lang w:val="pt-BR"/>
        </w:rPr>
      </w:pPr>
    </w:p>
    <w:p w14:paraId="5AD71A03" w14:textId="77777777" w:rsidR="00F91711" w:rsidRPr="00C35766" w:rsidRDefault="00F91711" w:rsidP="00F91711">
      <w:pPr>
        <w:pStyle w:val="a3"/>
        <w:rPr>
          <w:rFonts w:eastAsia="Times New Roman"/>
          <w:lang w:val="it-IT"/>
        </w:rPr>
      </w:pPr>
      <w:r w:rsidRPr="00C35766">
        <w:rPr>
          <w:rFonts w:eastAsia="Times New Roman"/>
          <w:lang w:val="it-IT"/>
        </w:rPr>
        <w:t>È stato condotto uno studio sulla tossicità nello sviluppo embrio-fetale/sviluppo perinatale in scimmie cynomolgus con dosaggi di 0,30 e 100 mg/kg (9-17 scimmie/gruppo); tale studio non ha evidenziato danni fetali provocati da adalimumab. Sia le prove di cancerogenesi che le valutazioni standard sulla fertilità e sulla tossicità postnatale non sono state condotte con adalimumab a causa di mancanza di modelli appropriati per un anticorpo con limitata reattività crociata per il TNF nei roditori e lo sviluppo di anticorpi neutralizzanti nei roditori.</w:t>
      </w:r>
    </w:p>
    <w:p w14:paraId="090DC753" w14:textId="77777777" w:rsidR="00F91711" w:rsidRPr="00C35766" w:rsidRDefault="00F91711" w:rsidP="00F91711">
      <w:pPr>
        <w:pStyle w:val="a3"/>
        <w:rPr>
          <w:rFonts w:eastAsia="Times New Roman"/>
          <w:lang w:val="it-IT"/>
        </w:rPr>
      </w:pPr>
    </w:p>
    <w:p w14:paraId="70A473A5" w14:textId="77777777" w:rsidR="00F91711" w:rsidRPr="00C35766" w:rsidRDefault="00F91711" w:rsidP="00F91711">
      <w:pPr>
        <w:pStyle w:val="a3"/>
        <w:rPr>
          <w:rFonts w:eastAsia="Times New Roman"/>
          <w:lang w:val="it-IT"/>
        </w:rPr>
      </w:pPr>
    </w:p>
    <w:p w14:paraId="6FF57F7E" w14:textId="77777777" w:rsidR="00F91711" w:rsidRPr="00C35766" w:rsidRDefault="00F91711" w:rsidP="00933A6C">
      <w:pPr>
        <w:widowControl/>
        <w:numPr>
          <w:ilvl w:val="0"/>
          <w:numId w:val="5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INFORMAZIONI FARMACEUTICHE</w:t>
      </w:r>
    </w:p>
    <w:p w14:paraId="3828FD09" w14:textId="77777777" w:rsidR="00F91711" w:rsidRPr="00C35766" w:rsidRDefault="00F91711" w:rsidP="00F91711">
      <w:pPr>
        <w:spacing w:before="13" w:line="240" w:lineRule="exact"/>
        <w:rPr>
          <w:rFonts w:ascii="Times New Roman" w:hAnsi="Times New Roman" w:cs="Times New Roman"/>
          <w:sz w:val="24"/>
          <w:szCs w:val="24"/>
        </w:rPr>
      </w:pPr>
    </w:p>
    <w:p w14:paraId="17800A47"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Elenco degli eccipienti</w:t>
      </w:r>
    </w:p>
    <w:p w14:paraId="26170EA0" w14:textId="77777777" w:rsidR="00F91711" w:rsidRPr="00C35766" w:rsidRDefault="00F91711" w:rsidP="00F91711">
      <w:pPr>
        <w:spacing w:line="240" w:lineRule="exact"/>
        <w:rPr>
          <w:rFonts w:ascii="Times New Roman" w:hAnsi="Times New Roman" w:cs="Times New Roman"/>
          <w:sz w:val="24"/>
          <w:szCs w:val="24"/>
        </w:rPr>
      </w:pPr>
    </w:p>
    <w:p w14:paraId="5D98D8E1" w14:textId="77777777" w:rsidR="00F91711" w:rsidRPr="00C35766" w:rsidRDefault="00F91711" w:rsidP="00F91711">
      <w:pPr>
        <w:pStyle w:val="a3"/>
      </w:pPr>
      <w:r w:rsidRPr="00C35766">
        <w:rPr>
          <w:rFonts w:eastAsia="Times New Roman"/>
          <w:lang w:val="it-IT"/>
        </w:rPr>
        <w:t>Acido acetico</w:t>
      </w:r>
    </w:p>
    <w:p w14:paraId="4BC517E3" w14:textId="77777777" w:rsidR="00F91711" w:rsidRPr="00C35766" w:rsidRDefault="00F91711" w:rsidP="00F91711">
      <w:pPr>
        <w:pStyle w:val="a3"/>
      </w:pPr>
      <w:r w:rsidRPr="00C35766">
        <w:rPr>
          <w:rFonts w:eastAsia="Times New Roman"/>
          <w:lang w:val="it-IT"/>
        </w:rPr>
        <w:t>Sodio acetato triidrato</w:t>
      </w:r>
    </w:p>
    <w:p w14:paraId="63324BBC" w14:textId="77777777" w:rsidR="00F91711" w:rsidRPr="00C35766" w:rsidRDefault="00F91711" w:rsidP="00F91711">
      <w:pPr>
        <w:pStyle w:val="a3"/>
      </w:pPr>
      <w:r w:rsidRPr="00C35766">
        <w:rPr>
          <w:rFonts w:eastAsia="Times New Roman"/>
          <w:lang w:val="it-IT"/>
        </w:rPr>
        <w:t>Glicina</w:t>
      </w:r>
    </w:p>
    <w:p w14:paraId="1B905732" w14:textId="77777777" w:rsidR="00F91711" w:rsidRPr="00C35766" w:rsidRDefault="00F91711" w:rsidP="00F91711">
      <w:pPr>
        <w:pStyle w:val="a3"/>
      </w:pPr>
      <w:r w:rsidRPr="00C35766">
        <w:rPr>
          <w:rFonts w:eastAsia="Times New Roman"/>
          <w:lang w:val="it-IT"/>
        </w:rPr>
        <w:t>Polisorbato 80</w:t>
      </w:r>
    </w:p>
    <w:p w14:paraId="0B6DE239" w14:textId="77777777" w:rsidR="00F91711" w:rsidRPr="00C35766" w:rsidRDefault="00F91711" w:rsidP="00F91711">
      <w:pPr>
        <w:pStyle w:val="a3"/>
      </w:pPr>
      <w:r w:rsidRPr="00C35766">
        <w:rPr>
          <w:rFonts w:eastAsia="Times New Roman"/>
          <w:lang w:val="it-IT"/>
        </w:rPr>
        <w:t>Acqua per preparazioni iniettabili</w:t>
      </w:r>
    </w:p>
    <w:p w14:paraId="118C5C02" w14:textId="77777777" w:rsidR="00F91711" w:rsidRPr="00C35766" w:rsidRDefault="00F91711" w:rsidP="00F91711">
      <w:pPr>
        <w:spacing w:line="240" w:lineRule="exact"/>
        <w:rPr>
          <w:rFonts w:ascii="Times New Roman" w:hAnsi="Times New Roman" w:cs="Times New Roman"/>
          <w:sz w:val="24"/>
          <w:szCs w:val="24"/>
        </w:rPr>
      </w:pPr>
    </w:p>
    <w:p w14:paraId="50B26E26"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Incompatibilità</w:t>
      </w:r>
    </w:p>
    <w:p w14:paraId="68389533" w14:textId="77777777" w:rsidR="00F91711" w:rsidRPr="00C35766" w:rsidRDefault="00F91711" w:rsidP="00F91711">
      <w:pPr>
        <w:spacing w:line="240" w:lineRule="exact"/>
        <w:rPr>
          <w:rFonts w:ascii="Times New Roman" w:hAnsi="Times New Roman" w:cs="Times New Roman"/>
          <w:sz w:val="24"/>
          <w:szCs w:val="24"/>
        </w:rPr>
      </w:pPr>
    </w:p>
    <w:p w14:paraId="5DC0A6DC" w14:textId="77777777" w:rsidR="00F91711" w:rsidRPr="00C35766" w:rsidRDefault="00F91711" w:rsidP="00F91711">
      <w:pPr>
        <w:pStyle w:val="a3"/>
        <w:rPr>
          <w:lang w:val="it-IT"/>
        </w:rPr>
      </w:pPr>
      <w:r w:rsidRPr="00C35766">
        <w:rPr>
          <w:rFonts w:eastAsia="Times New Roman"/>
          <w:lang w:val="it-IT"/>
        </w:rPr>
        <w:t>In assenza di studi di compatibilità, questo medicinale non deve essere miscelato con altri medicinali.</w:t>
      </w:r>
    </w:p>
    <w:p w14:paraId="42CE1DE3" w14:textId="77777777" w:rsidR="00F91711" w:rsidRPr="00C35766" w:rsidRDefault="00F91711" w:rsidP="00F91711">
      <w:pPr>
        <w:spacing w:line="240" w:lineRule="exact"/>
        <w:rPr>
          <w:rFonts w:ascii="Times New Roman" w:hAnsi="Times New Roman" w:cs="Times New Roman"/>
          <w:sz w:val="24"/>
          <w:lang w:val="it-IT"/>
        </w:rPr>
      </w:pPr>
    </w:p>
    <w:p w14:paraId="785D70BE"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Periodo di validità</w:t>
      </w:r>
    </w:p>
    <w:p w14:paraId="33BB1CB7" w14:textId="77777777" w:rsidR="00F91711" w:rsidRPr="00C35766" w:rsidRDefault="00F91711" w:rsidP="00F91711">
      <w:pPr>
        <w:spacing w:line="240" w:lineRule="exact"/>
        <w:rPr>
          <w:rFonts w:ascii="Times New Roman" w:hAnsi="Times New Roman" w:cs="Times New Roman"/>
          <w:sz w:val="24"/>
          <w:szCs w:val="24"/>
        </w:rPr>
      </w:pPr>
    </w:p>
    <w:p w14:paraId="2C495D57" w14:textId="6422675F" w:rsidR="00F91711" w:rsidRPr="00C35766" w:rsidRDefault="00A62C62" w:rsidP="00F91711">
      <w:pPr>
        <w:pStyle w:val="a3"/>
      </w:pPr>
      <w:r w:rsidRPr="00C35766">
        <w:rPr>
          <w:rFonts w:eastAsia="Times New Roman"/>
          <w:lang w:val="it-IT"/>
        </w:rPr>
        <w:t>3 anni</w:t>
      </w:r>
    </w:p>
    <w:p w14:paraId="158EA9AD" w14:textId="77777777" w:rsidR="00F91711" w:rsidRPr="00C35766" w:rsidRDefault="00F91711" w:rsidP="00F91711">
      <w:pPr>
        <w:spacing w:line="240" w:lineRule="exact"/>
        <w:rPr>
          <w:rFonts w:ascii="Times New Roman" w:hAnsi="Times New Roman" w:cs="Times New Roman"/>
          <w:sz w:val="24"/>
          <w:szCs w:val="24"/>
        </w:rPr>
      </w:pPr>
    </w:p>
    <w:p w14:paraId="1D1007E0"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la conservazione</w:t>
      </w:r>
    </w:p>
    <w:p w14:paraId="0B0ACE6E" w14:textId="77777777" w:rsidR="00F91711" w:rsidRPr="00C35766" w:rsidRDefault="00F91711" w:rsidP="00F91711">
      <w:pPr>
        <w:spacing w:line="260" w:lineRule="exact"/>
        <w:rPr>
          <w:rFonts w:ascii="Times New Roman" w:hAnsi="Times New Roman" w:cs="Times New Roman"/>
          <w:sz w:val="26"/>
          <w:szCs w:val="26"/>
        </w:rPr>
      </w:pPr>
    </w:p>
    <w:p w14:paraId="389E1253" w14:textId="77777777" w:rsidR="00F91711" w:rsidRPr="00C35766" w:rsidRDefault="00F91711" w:rsidP="00F91711">
      <w:pPr>
        <w:pStyle w:val="a3"/>
        <w:rPr>
          <w:lang w:val="es-ES"/>
        </w:rPr>
      </w:pPr>
      <w:r w:rsidRPr="00C35766">
        <w:rPr>
          <w:rFonts w:eastAsia="Times New Roman"/>
          <w:lang w:val="it-IT"/>
        </w:rPr>
        <w:t>Conservare in frigorifero (2</w:t>
      </w:r>
      <w:r w:rsidRPr="00C35766">
        <w:rPr>
          <w:rFonts w:eastAsia="Symbol"/>
          <w:lang w:val="it-IT"/>
        </w:rPr>
        <w:sym w:font="Symbol" w:char="F0B0"/>
      </w:r>
      <w:r w:rsidRPr="00C35766">
        <w:rPr>
          <w:rFonts w:eastAsia="Times New Roman"/>
          <w:lang w:val="it-IT"/>
        </w:rPr>
        <w:t>C – 8</w:t>
      </w:r>
      <w:r w:rsidRPr="00C35766">
        <w:rPr>
          <w:rFonts w:eastAsia="Symbol"/>
          <w:lang w:val="it-IT"/>
        </w:rPr>
        <w:sym w:font="Symbol" w:char="F0B0"/>
      </w:r>
      <w:r w:rsidRPr="00C35766">
        <w:rPr>
          <w:rFonts w:eastAsia="Times New Roman"/>
          <w:lang w:val="it-IT"/>
        </w:rPr>
        <w:t xml:space="preserve">C). Non congelare. </w:t>
      </w:r>
    </w:p>
    <w:p w14:paraId="2331D51E" w14:textId="69C35223" w:rsidR="00F91711" w:rsidRPr="00C35766" w:rsidRDefault="00F514B6" w:rsidP="00F91711">
      <w:pPr>
        <w:pStyle w:val="a3"/>
        <w:rPr>
          <w:lang w:val="es-ES"/>
        </w:rPr>
      </w:pPr>
      <w:bookmarkStart w:id="11" w:name="_Hlk90574157"/>
      <w:r>
        <w:rPr>
          <w:rFonts w:eastAsia="Times New Roman"/>
          <w:lang w:val="it-IT"/>
        </w:rPr>
        <w:t>Tenere</w:t>
      </w:r>
      <w:bookmarkEnd w:id="11"/>
      <w:r w:rsidR="00F91711" w:rsidRPr="00C35766">
        <w:rPr>
          <w:rFonts w:eastAsia="Times New Roman"/>
          <w:lang w:val="it-IT"/>
        </w:rPr>
        <w:t xml:space="preserve"> la siringa pre-riempita o la penna pre-riempita nell’imballaggio esterno per </w:t>
      </w:r>
      <w:bookmarkStart w:id="12" w:name="_Hlk90574171"/>
      <w:r w:rsidR="007F1E36" w:rsidRPr="00C35766">
        <w:rPr>
          <w:rFonts w:eastAsia="Times New Roman"/>
          <w:lang w:val="it-IT"/>
        </w:rPr>
        <w:t>protegger</w:t>
      </w:r>
      <w:r w:rsidR="007F1E36">
        <w:rPr>
          <w:rFonts w:eastAsia="Times New Roman"/>
          <w:lang w:val="it-IT"/>
        </w:rPr>
        <w:t>e il medicinale</w:t>
      </w:r>
      <w:bookmarkEnd w:id="12"/>
      <w:r w:rsidR="00F91711" w:rsidRPr="00C35766">
        <w:rPr>
          <w:rFonts w:eastAsia="Times New Roman"/>
          <w:lang w:val="it-IT"/>
        </w:rPr>
        <w:t xml:space="preserve"> dalla luce.</w:t>
      </w:r>
    </w:p>
    <w:p w14:paraId="49C9A701" w14:textId="77777777" w:rsidR="00F91711" w:rsidRPr="00C35766" w:rsidRDefault="00F91711" w:rsidP="00F91711">
      <w:pPr>
        <w:spacing w:line="240" w:lineRule="exact"/>
        <w:rPr>
          <w:rFonts w:ascii="Times New Roman" w:hAnsi="Times New Roman" w:cs="Times New Roman"/>
          <w:sz w:val="24"/>
          <w:szCs w:val="24"/>
          <w:lang w:val="es-ES"/>
        </w:rPr>
      </w:pPr>
    </w:p>
    <w:p w14:paraId="5818B9AA" w14:textId="0CB3DF6E" w:rsidR="00F91711" w:rsidRPr="00C35766" w:rsidRDefault="00F91711" w:rsidP="00F91711">
      <w:pPr>
        <w:pStyle w:val="a3"/>
        <w:rPr>
          <w:lang w:val="it-IT"/>
        </w:rPr>
      </w:pPr>
      <w:r w:rsidRPr="00C35766">
        <w:rPr>
          <w:rFonts w:eastAsia="Times New Roman"/>
          <w:lang w:val="it-IT"/>
        </w:rPr>
        <w:t>Una singola siringa pre-riempita o penna pre-riempita di Yuflyma può essere conservata a temperature fino a un massimo di 25°C per un periodo di non oltre 3</w:t>
      </w:r>
      <w:r w:rsidR="00A62C62">
        <w:rPr>
          <w:rFonts w:eastAsia="Times New Roman"/>
          <w:lang w:val="it-IT"/>
        </w:rPr>
        <w:t>1</w:t>
      </w:r>
      <w:r w:rsidRPr="00C35766">
        <w:rPr>
          <w:rFonts w:eastAsia="Times New Roman"/>
          <w:lang w:val="it-IT"/>
        </w:rPr>
        <w:t xml:space="preserve"> giorni. La siringa o penna pre-riempita deve essere protetta dalla luce e gettata se non usata durante il periodo dei 3</w:t>
      </w:r>
      <w:r w:rsidR="00A62C62">
        <w:rPr>
          <w:rFonts w:eastAsia="Times New Roman"/>
          <w:lang w:val="it-IT"/>
        </w:rPr>
        <w:t>1</w:t>
      </w:r>
      <w:r w:rsidRPr="00C35766">
        <w:rPr>
          <w:rFonts w:eastAsia="Times New Roman"/>
          <w:lang w:val="it-IT"/>
        </w:rPr>
        <w:t xml:space="preserve"> giorni.</w:t>
      </w:r>
    </w:p>
    <w:p w14:paraId="4797829A" w14:textId="77777777" w:rsidR="00F91711" w:rsidRPr="00C35766" w:rsidRDefault="00F91711" w:rsidP="00F91711">
      <w:pPr>
        <w:spacing w:line="240" w:lineRule="exact"/>
        <w:rPr>
          <w:rFonts w:ascii="Times New Roman" w:hAnsi="Times New Roman" w:cs="Times New Roman"/>
          <w:sz w:val="24"/>
          <w:szCs w:val="24"/>
          <w:lang w:val="it-IT"/>
        </w:rPr>
      </w:pPr>
    </w:p>
    <w:p w14:paraId="1A7A319A"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Natura e contenuto del contenitore</w:t>
      </w:r>
    </w:p>
    <w:p w14:paraId="5CCDAAC0" w14:textId="77777777" w:rsidR="00F91711" w:rsidRPr="00C35766" w:rsidRDefault="00F91711" w:rsidP="00F91711">
      <w:pPr>
        <w:pStyle w:val="a4"/>
        <w:spacing w:line="240" w:lineRule="exact"/>
        <w:rPr>
          <w:rFonts w:ascii="Times New Roman" w:hAnsi="Times New Roman" w:cs="Times New Roman"/>
          <w:sz w:val="24"/>
          <w:szCs w:val="24"/>
        </w:rPr>
      </w:pPr>
    </w:p>
    <w:p w14:paraId="591C5E5E" w14:textId="11241B8B" w:rsidR="00F91711" w:rsidRPr="00C35766" w:rsidRDefault="00F91711" w:rsidP="00F91711">
      <w:pPr>
        <w:pStyle w:val="a3"/>
        <w:rPr>
          <w:u w:val="single"/>
          <w:lang w:val="it-IT"/>
        </w:rPr>
      </w:pPr>
      <w:r w:rsidRPr="00C35766">
        <w:rPr>
          <w:rFonts w:eastAsia="Times New Roman"/>
          <w:u w:val="single"/>
          <w:lang w:val="it-IT"/>
        </w:rPr>
        <w:t xml:space="preserve">Yuflyma </w:t>
      </w:r>
      <w:r w:rsidR="00BC61E7" w:rsidRPr="00C35766">
        <w:rPr>
          <w:rFonts w:eastAsia="Times New Roman"/>
          <w:u w:val="single"/>
          <w:lang w:val="it-IT"/>
        </w:rPr>
        <w:t>8</w:t>
      </w:r>
      <w:r w:rsidRPr="00C35766">
        <w:rPr>
          <w:rFonts w:eastAsia="Times New Roman"/>
          <w:u w:val="single"/>
          <w:lang w:val="it-IT"/>
        </w:rPr>
        <w:t xml:space="preserve">0 </w:t>
      </w:r>
      <w:r w:rsidR="00943215">
        <w:rPr>
          <w:rFonts w:eastAsia="Times New Roman"/>
          <w:u w:val="single"/>
          <w:lang w:val="it-IT"/>
        </w:rPr>
        <w:t xml:space="preserve">mg </w:t>
      </w:r>
      <w:r w:rsidRPr="00C35766">
        <w:rPr>
          <w:rFonts w:eastAsia="Times New Roman"/>
          <w:u w:val="single"/>
          <w:lang w:val="it-IT"/>
        </w:rPr>
        <w:t>soluzione iniettabile in siringa pre-riempita</w:t>
      </w:r>
    </w:p>
    <w:p w14:paraId="305D1517" w14:textId="77777777" w:rsidR="00F91711" w:rsidRPr="00C35766" w:rsidRDefault="00F91711" w:rsidP="00F91711">
      <w:pPr>
        <w:pStyle w:val="a3"/>
        <w:rPr>
          <w:u w:val="single"/>
          <w:lang w:val="it-IT"/>
        </w:rPr>
      </w:pPr>
    </w:p>
    <w:p w14:paraId="7DFEDE21" w14:textId="77777777" w:rsidR="00F91711" w:rsidRPr="00C35766" w:rsidRDefault="00F91711" w:rsidP="00F91711">
      <w:pPr>
        <w:pStyle w:val="a3"/>
        <w:rPr>
          <w:lang w:val="es-ES"/>
        </w:rPr>
      </w:pPr>
      <w:r w:rsidRPr="00C35766">
        <w:rPr>
          <w:rFonts w:eastAsia="Times New Roman"/>
          <w:lang w:val="it-IT"/>
        </w:rPr>
        <w:t>Soluzione iniettabile in una siringa pre-riempita (vetro tipo I) con un tappo a stantuffo (gomma bromobutilica) e un ago con cappuccio (elastomero termoplastico).</w:t>
      </w:r>
    </w:p>
    <w:p w14:paraId="359CA2D5" w14:textId="77777777" w:rsidR="00F91711" w:rsidRPr="00C35766" w:rsidRDefault="00F91711" w:rsidP="00F91711">
      <w:pPr>
        <w:spacing w:line="240" w:lineRule="exact"/>
        <w:rPr>
          <w:rFonts w:ascii="Times New Roman" w:hAnsi="Times New Roman" w:cs="Times New Roman"/>
          <w:sz w:val="24"/>
          <w:szCs w:val="24"/>
          <w:lang w:val="es-ES"/>
        </w:rPr>
      </w:pPr>
    </w:p>
    <w:p w14:paraId="551F8F2F" w14:textId="77777777" w:rsidR="00F91711" w:rsidRPr="00C35766" w:rsidRDefault="00F91711" w:rsidP="00F91711">
      <w:pPr>
        <w:pStyle w:val="a3"/>
      </w:pPr>
      <w:r w:rsidRPr="00C35766">
        <w:rPr>
          <w:rFonts w:eastAsia="Times New Roman"/>
          <w:lang w:val="it-IT"/>
        </w:rPr>
        <w:t>Confezioni:</w:t>
      </w:r>
    </w:p>
    <w:p w14:paraId="10C0CA74" w14:textId="4607C662" w:rsidR="00F91711" w:rsidRPr="00C35766" w:rsidRDefault="00F91711" w:rsidP="00BC61E7">
      <w:pPr>
        <w:pStyle w:val="a3"/>
        <w:numPr>
          <w:ilvl w:val="0"/>
          <w:numId w:val="15"/>
        </w:numPr>
        <w:ind w:left="660" w:hanging="660"/>
        <w:rPr>
          <w:lang w:val="es-ES"/>
        </w:rPr>
      </w:pPr>
      <w:r w:rsidRPr="00C35766">
        <w:rPr>
          <w:rFonts w:eastAsia="Times New Roman"/>
          <w:lang w:val="it-IT"/>
        </w:rPr>
        <w:t>1 siringa pre-riempita (0,</w:t>
      </w:r>
      <w:r w:rsidR="00BC61E7" w:rsidRPr="00C35766">
        <w:rPr>
          <w:rFonts w:eastAsia="Times New Roman"/>
          <w:lang w:val="it-IT"/>
        </w:rPr>
        <w:t>8</w:t>
      </w:r>
      <w:r w:rsidRPr="00C35766">
        <w:rPr>
          <w:rFonts w:eastAsia="Times New Roman"/>
          <w:lang w:val="it-IT"/>
        </w:rPr>
        <w:t xml:space="preserve"> mL di soluzione sterile) con 2 tamponi imbevuti di alcol.</w:t>
      </w:r>
    </w:p>
    <w:p w14:paraId="4F238DDF" w14:textId="77777777" w:rsidR="00F91711" w:rsidRPr="00C35766" w:rsidRDefault="00F91711" w:rsidP="00F91711">
      <w:pPr>
        <w:spacing w:before="13" w:line="240" w:lineRule="exact"/>
        <w:rPr>
          <w:rFonts w:ascii="Times New Roman" w:hAnsi="Times New Roman" w:cs="Times New Roman"/>
          <w:sz w:val="24"/>
          <w:szCs w:val="24"/>
          <w:lang w:val="es-ES"/>
        </w:rPr>
      </w:pPr>
    </w:p>
    <w:p w14:paraId="220673AA" w14:textId="7F6388B5" w:rsidR="00F91711" w:rsidRPr="00C35766" w:rsidRDefault="00F91711" w:rsidP="00F91711">
      <w:pPr>
        <w:pStyle w:val="a3"/>
        <w:rPr>
          <w:u w:val="single"/>
          <w:lang w:val="es-ES"/>
        </w:rPr>
      </w:pPr>
      <w:r w:rsidRPr="00C35766">
        <w:rPr>
          <w:rFonts w:eastAsia="Times New Roman"/>
          <w:u w:val="single"/>
          <w:lang w:val="it-IT"/>
        </w:rPr>
        <w:t xml:space="preserve">Yuflyma </w:t>
      </w:r>
      <w:r w:rsidR="00BC61E7" w:rsidRPr="00C35766">
        <w:rPr>
          <w:rFonts w:eastAsia="Times New Roman"/>
          <w:u w:val="single"/>
          <w:lang w:val="it-IT"/>
        </w:rPr>
        <w:t>8</w:t>
      </w:r>
      <w:r w:rsidRPr="00C35766">
        <w:rPr>
          <w:rFonts w:eastAsia="Times New Roman"/>
          <w:u w:val="single"/>
          <w:lang w:val="it-IT"/>
        </w:rPr>
        <w:t>0 mg soluzione iniettabile in siringa pre-riempita con dispositivo di sicurezza per l’ago</w:t>
      </w:r>
    </w:p>
    <w:p w14:paraId="6C8FF774" w14:textId="77777777" w:rsidR="00F91711" w:rsidRPr="00C35766" w:rsidRDefault="00F91711" w:rsidP="00F91711">
      <w:pPr>
        <w:pStyle w:val="a3"/>
        <w:rPr>
          <w:u w:val="single"/>
          <w:lang w:val="es-ES"/>
        </w:rPr>
      </w:pPr>
    </w:p>
    <w:p w14:paraId="6A150DE8" w14:textId="77777777" w:rsidR="00F91711" w:rsidRPr="00C35766" w:rsidRDefault="00F91711" w:rsidP="00F91711">
      <w:pPr>
        <w:pStyle w:val="a3"/>
        <w:rPr>
          <w:lang w:val="es-ES"/>
        </w:rPr>
      </w:pPr>
      <w:r w:rsidRPr="00C35766">
        <w:rPr>
          <w:rFonts w:eastAsia="Times New Roman"/>
          <w:lang w:val="it-IT"/>
        </w:rPr>
        <w:t>La siringa è di vetro tipo I con un tappo a stantuffo (gomma bromobutilica) e un ago con cappuccio (elastomero termoplastico).</w:t>
      </w:r>
    </w:p>
    <w:p w14:paraId="44C3655B" w14:textId="77777777" w:rsidR="00F91711" w:rsidRPr="00C35766" w:rsidRDefault="00F91711" w:rsidP="00F91711">
      <w:pPr>
        <w:spacing w:line="240" w:lineRule="exact"/>
        <w:rPr>
          <w:rFonts w:ascii="Times New Roman" w:hAnsi="Times New Roman" w:cs="Times New Roman"/>
          <w:sz w:val="24"/>
          <w:szCs w:val="24"/>
          <w:lang w:val="es-ES"/>
        </w:rPr>
      </w:pPr>
    </w:p>
    <w:p w14:paraId="1714395D" w14:textId="77777777" w:rsidR="00F91711" w:rsidRPr="00C35766" w:rsidRDefault="00F91711" w:rsidP="00F91711">
      <w:pPr>
        <w:pStyle w:val="a3"/>
      </w:pPr>
      <w:r w:rsidRPr="00C35766">
        <w:rPr>
          <w:rFonts w:eastAsia="Times New Roman"/>
          <w:lang w:val="it-IT"/>
        </w:rPr>
        <w:t>Confezioni:</w:t>
      </w:r>
    </w:p>
    <w:p w14:paraId="4C2BC8BE" w14:textId="120F12A8" w:rsidR="00F91711" w:rsidRPr="00C35766" w:rsidRDefault="00F91711" w:rsidP="00BC61E7">
      <w:pPr>
        <w:pStyle w:val="a3"/>
        <w:numPr>
          <w:ilvl w:val="0"/>
          <w:numId w:val="15"/>
        </w:numPr>
        <w:ind w:left="660" w:hanging="660"/>
        <w:rPr>
          <w:lang w:val="es-ES"/>
        </w:rPr>
      </w:pPr>
      <w:r w:rsidRPr="00C35766">
        <w:rPr>
          <w:rFonts w:eastAsia="Times New Roman"/>
          <w:lang w:val="it-IT"/>
        </w:rPr>
        <w:t>1 siringa pre-riempita (0,</w:t>
      </w:r>
      <w:r w:rsidR="00BC61E7" w:rsidRPr="00C35766">
        <w:rPr>
          <w:rFonts w:eastAsia="Times New Roman"/>
          <w:lang w:val="it-IT"/>
        </w:rPr>
        <w:t>8</w:t>
      </w:r>
      <w:r w:rsidRPr="00C35766">
        <w:rPr>
          <w:rFonts w:eastAsia="Times New Roman"/>
          <w:lang w:val="it-IT"/>
        </w:rPr>
        <w:t xml:space="preserve"> mL di soluzione sterile) con dispositivo di sicurezza per l’ago e 2 tamponi imbevuti di alcol.</w:t>
      </w:r>
    </w:p>
    <w:p w14:paraId="46C10B46" w14:textId="77777777" w:rsidR="00F91711" w:rsidRPr="00C35766" w:rsidRDefault="00F91711" w:rsidP="00F91711">
      <w:pPr>
        <w:spacing w:line="252" w:lineRule="exact"/>
        <w:rPr>
          <w:rFonts w:ascii="Times New Roman" w:hAnsi="Times New Roman" w:cs="Times New Roman"/>
          <w:lang w:val="es-ES"/>
        </w:rPr>
      </w:pPr>
    </w:p>
    <w:p w14:paraId="76DA45A2" w14:textId="570D632F" w:rsidR="00F91711" w:rsidRPr="00C35766" w:rsidRDefault="00F91711" w:rsidP="00F91711">
      <w:pPr>
        <w:pStyle w:val="a3"/>
        <w:rPr>
          <w:u w:val="single"/>
          <w:lang w:val="es-ES"/>
        </w:rPr>
      </w:pPr>
      <w:r w:rsidRPr="00C35766">
        <w:rPr>
          <w:rFonts w:eastAsia="Times New Roman"/>
          <w:u w:val="single"/>
          <w:lang w:val="it-IT"/>
        </w:rPr>
        <w:t xml:space="preserve">Yuflyma </w:t>
      </w:r>
      <w:r w:rsidR="00BC61E7" w:rsidRPr="00C35766">
        <w:rPr>
          <w:rFonts w:eastAsia="Times New Roman"/>
          <w:u w:val="single"/>
          <w:lang w:val="it-IT"/>
        </w:rPr>
        <w:t>8</w:t>
      </w:r>
      <w:r w:rsidRPr="00C35766">
        <w:rPr>
          <w:rFonts w:eastAsia="Times New Roman"/>
          <w:u w:val="single"/>
          <w:lang w:val="it-IT"/>
        </w:rPr>
        <w:t>0 mg soluzione iniettabile in penna pre-riempita</w:t>
      </w:r>
    </w:p>
    <w:p w14:paraId="2EAE4373" w14:textId="77777777" w:rsidR="00F91711" w:rsidRPr="00C35766" w:rsidRDefault="00F91711" w:rsidP="00F91711">
      <w:pPr>
        <w:pStyle w:val="a3"/>
        <w:rPr>
          <w:u w:val="single"/>
          <w:lang w:val="es-ES"/>
        </w:rPr>
      </w:pPr>
    </w:p>
    <w:p w14:paraId="6E5E6652" w14:textId="77777777" w:rsidR="00F91711" w:rsidRPr="00C35766" w:rsidRDefault="00F91711" w:rsidP="00F91711">
      <w:pPr>
        <w:pStyle w:val="a3"/>
        <w:rPr>
          <w:lang w:val="es-ES"/>
        </w:rPr>
      </w:pPr>
      <w:r w:rsidRPr="00C35766">
        <w:rPr>
          <w:rFonts w:eastAsia="Times New Roman"/>
          <w:lang w:val="it-IT"/>
        </w:rPr>
        <w:t>Soluzione iniettabile in una penna pre-riempita pronta per l’utilizzo da parte del paziente, contenente una siringa pre-riempita. La siringa all’interno della penna è di vetro tipo I con un tappo a stantuffo (gomma bromobutilica) e un ago con cappuccio (elastomero termoplastico).</w:t>
      </w:r>
    </w:p>
    <w:p w14:paraId="368845EF" w14:textId="77777777" w:rsidR="00F91711" w:rsidRPr="00C35766" w:rsidRDefault="00F91711" w:rsidP="00F91711">
      <w:pPr>
        <w:spacing w:line="240" w:lineRule="exact"/>
        <w:rPr>
          <w:rFonts w:ascii="Times New Roman" w:hAnsi="Times New Roman" w:cs="Times New Roman"/>
          <w:sz w:val="24"/>
          <w:szCs w:val="24"/>
          <w:lang w:val="es-ES"/>
        </w:rPr>
      </w:pPr>
    </w:p>
    <w:p w14:paraId="24EFBC44" w14:textId="77777777" w:rsidR="00F91711" w:rsidRPr="00C35766" w:rsidRDefault="00F91711" w:rsidP="00F91711">
      <w:pPr>
        <w:pStyle w:val="a3"/>
      </w:pPr>
      <w:r w:rsidRPr="00C35766">
        <w:rPr>
          <w:rFonts w:eastAsia="Times New Roman"/>
          <w:lang w:val="it-IT"/>
        </w:rPr>
        <w:t>Confezioni:</w:t>
      </w:r>
    </w:p>
    <w:p w14:paraId="1C163966" w14:textId="0BB93A40" w:rsidR="00F91711" w:rsidRPr="00C35766" w:rsidRDefault="00F91711" w:rsidP="00F91711">
      <w:pPr>
        <w:pStyle w:val="a3"/>
        <w:numPr>
          <w:ilvl w:val="1"/>
          <w:numId w:val="15"/>
        </w:numPr>
        <w:ind w:left="660" w:hanging="660"/>
        <w:rPr>
          <w:lang w:val="es-ES"/>
        </w:rPr>
      </w:pPr>
      <w:r w:rsidRPr="00C35766">
        <w:rPr>
          <w:rFonts w:eastAsia="Times New Roman"/>
          <w:lang w:val="it-IT"/>
        </w:rPr>
        <w:t>1 penna pre-riempita (0,</w:t>
      </w:r>
      <w:r w:rsidR="00BC61E7" w:rsidRPr="00C35766">
        <w:rPr>
          <w:rFonts w:eastAsia="Times New Roman"/>
          <w:lang w:val="it-IT"/>
        </w:rPr>
        <w:t>8</w:t>
      </w:r>
      <w:r w:rsidRPr="00C35766">
        <w:rPr>
          <w:rFonts w:eastAsia="Times New Roman"/>
          <w:lang w:val="it-IT"/>
        </w:rPr>
        <w:t xml:space="preserve"> mL di soluzione sterile), con 2 tamponi imbevuti di alcol.</w:t>
      </w:r>
    </w:p>
    <w:p w14:paraId="2BD4A571" w14:textId="078F61A2" w:rsidR="00F91711" w:rsidRPr="00C35766" w:rsidRDefault="00BC61E7" w:rsidP="00BC61E7">
      <w:pPr>
        <w:pStyle w:val="a3"/>
        <w:numPr>
          <w:ilvl w:val="1"/>
          <w:numId w:val="15"/>
        </w:numPr>
        <w:ind w:left="660" w:hanging="660"/>
        <w:rPr>
          <w:lang w:val="es-ES"/>
        </w:rPr>
      </w:pPr>
      <w:r w:rsidRPr="00C35766">
        <w:rPr>
          <w:rFonts w:eastAsia="Times New Roman"/>
          <w:lang w:val="it-IT"/>
        </w:rPr>
        <w:lastRenderedPageBreak/>
        <w:t>3</w:t>
      </w:r>
      <w:r w:rsidR="00F91711" w:rsidRPr="00C35766">
        <w:rPr>
          <w:rFonts w:eastAsia="Times New Roman"/>
          <w:lang w:val="it-IT"/>
        </w:rPr>
        <w:t xml:space="preserve"> penne pre-riempite (0,</w:t>
      </w:r>
      <w:r w:rsidRPr="00C35766">
        <w:rPr>
          <w:rFonts w:eastAsia="Times New Roman"/>
          <w:lang w:val="it-IT"/>
        </w:rPr>
        <w:t>8</w:t>
      </w:r>
      <w:r w:rsidR="00F91711" w:rsidRPr="00C35766">
        <w:rPr>
          <w:rFonts w:eastAsia="Times New Roman"/>
          <w:lang w:val="it-IT"/>
        </w:rPr>
        <w:t xml:space="preserve"> mL di soluzione sterile), con </w:t>
      </w:r>
      <w:r w:rsidR="0020484D">
        <w:rPr>
          <w:rFonts w:eastAsia="Times New Roman"/>
          <w:lang w:val="it-IT"/>
        </w:rPr>
        <w:t>4</w:t>
      </w:r>
      <w:r w:rsidR="0020484D" w:rsidRPr="00C35766">
        <w:rPr>
          <w:rFonts w:eastAsia="Times New Roman"/>
          <w:lang w:val="it-IT"/>
        </w:rPr>
        <w:t xml:space="preserve"> </w:t>
      </w:r>
      <w:r w:rsidR="00F91711" w:rsidRPr="00C35766">
        <w:rPr>
          <w:rFonts w:eastAsia="Times New Roman"/>
          <w:lang w:val="it-IT"/>
        </w:rPr>
        <w:t>tampon</w:t>
      </w:r>
      <w:r w:rsidR="0020484D" w:rsidRPr="00C35766">
        <w:rPr>
          <w:rFonts w:eastAsia="Times New Roman"/>
          <w:lang w:val="it-IT"/>
        </w:rPr>
        <w:t>i</w:t>
      </w:r>
      <w:r w:rsidR="00F91711" w:rsidRPr="00C35766">
        <w:rPr>
          <w:rFonts w:eastAsia="Times New Roman"/>
          <w:lang w:val="it-IT"/>
        </w:rPr>
        <w:t xml:space="preserve"> imbevut</w:t>
      </w:r>
      <w:r w:rsidR="0020484D" w:rsidRPr="00C35766">
        <w:rPr>
          <w:rFonts w:eastAsia="Times New Roman"/>
          <w:lang w:val="it-IT"/>
        </w:rPr>
        <w:t>i</w:t>
      </w:r>
      <w:r w:rsidR="00F91711" w:rsidRPr="00C35766">
        <w:rPr>
          <w:rFonts w:eastAsia="Times New Roman"/>
          <w:lang w:val="it-IT"/>
        </w:rPr>
        <w:t xml:space="preserve"> di alcol.</w:t>
      </w:r>
    </w:p>
    <w:p w14:paraId="17DBA0A4" w14:textId="77777777" w:rsidR="00F91711" w:rsidRPr="00C35766" w:rsidRDefault="00F91711" w:rsidP="00F91711">
      <w:pPr>
        <w:spacing w:before="10" w:line="240" w:lineRule="exact"/>
        <w:rPr>
          <w:rFonts w:ascii="Times New Roman" w:hAnsi="Times New Roman" w:cs="Times New Roman"/>
          <w:sz w:val="24"/>
          <w:szCs w:val="24"/>
          <w:lang w:val="es-ES"/>
        </w:rPr>
      </w:pPr>
    </w:p>
    <w:p w14:paraId="5FAE7D15" w14:textId="77777777" w:rsidR="00F91711" w:rsidRPr="00C35766" w:rsidRDefault="00F91711" w:rsidP="00F91711">
      <w:pPr>
        <w:pStyle w:val="a3"/>
        <w:rPr>
          <w:lang w:val="fr-FR"/>
        </w:rPr>
      </w:pPr>
      <w:r w:rsidRPr="00C35766">
        <w:rPr>
          <w:rFonts w:eastAsia="Times New Roman"/>
          <w:lang w:val="it-IT"/>
        </w:rPr>
        <w:t>È possibile che non tutte le confezioni siano commercializzate.</w:t>
      </w:r>
    </w:p>
    <w:p w14:paraId="44016FBC" w14:textId="77777777" w:rsidR="00F91711" w:rsidRPr="00C35766" w:rsidRDefault="00F91711" w:rsidP="00F91711">
      <w:pPr>
        <w:widowControl/>
        <w:tabs>
          <w:tab w:val="left" w:pos="567"/>
        </w:tabs>
        <w:spacing w:line="260" w:lineRule="exact"/>
        <w:rPr>
          <w:rFonts w:ascii="Times New Roman" w:eastAsia="Times New Roman" w:hAnsi="Times New Roman" w:cs="Times New Roman"/>
          <w:b/>
          <w:noProof/>
          <w:lang w:val="fr-FR"/>
        </w:rPr>
      </w:pPr>
    </w:p>
    <w:p w14:paraId="062868BA" w14:textId="77777777" w:rsidR="00F91711" w:rsidRPr="00C35766" w:rsidRDefault="00F91711" w:rsidP="00933A6C">
      <w:pPr>
        <w:widowControl/>
        <w:numPr>
          <w:ilvl w:val="1"/>
          <w:numId w:val="5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lo smaltimento</w:t>
      </w:r>
    </w:p>
    <w:p w14:paraId="57464A7C" w14:textId="77777777" w:rsidR="00F91711" w:rsidRPr="00C35766" w:rsidRDefault="00F91711" w:rsidP="00F91711">
      <w:pPr>
        <w:spacing w:before="12" w:line="240" w:lineRule="exact"/>
        <w:rPr>
          <w:rFonts w:ascii="Times New Roman" w:hAnsi="Times New Roman" w:cs="Times New Roman"/>
          <w:sz w:val="24"/>
          <w:szCs w:val="24"/>
        </w:rPr>
      </w:pPr>
    </w:p>
    <w:p w14:paraId="3EA4699D" w14:textId="77777777" w:rsidR="00F91711" w:rsidRPr="00C35766" w:rsidRDefault="00F91711" w:rsidP="00F91711">
      <w:pPr>
        <w:pStyle w:val="a3"/>
        <w:rPr>
          <w:lang w:val="it-IT"/>
        </w:rPr>
      </w:pPr>
      <w:r w:rsidRPr="00C35766">
        <w:rPr>
          <w:rFonts w:eastAsia="Times New Roman"/>
          <w:lang w:val="it-IT"/>
        </w:rPr>
        <w:t xml:space="preserve">Il medicinale non utilizzato e i rifiuti derivati da tale medicinale devono essere smaltiti in conformità alla normativa locale vigente. </w:t>
      </w:r>
    </w:p>
    <w:p w14:paraId="44747B76" w14:textId="77777777" w:rsidR="00F91711" w:rsidRPr="00C35766" w:rsidRDefault="00F91711" w:rsidP="00F91711">
      <w:pPr>
        <w:spacing w:line="200" w:lineRule="exact"/>
        <w:rPr>
          <w:rFonts w:ascii="Times New Roman" w:hAnsi="Times New Roman" w:cs="Times New Roman"/>
          <w:sz w:val="20"/>
          <w:lang w:val="it-IT"/>
        </w:rPr>
      </w:pPr>
    </w:p>
    <w:p w14:paraId="43B12606" w14:textId="77777777" w:rsidR="00F91711" w:rsidRPr="00C35766" w:rsidRDefault="00F91711" w:rsidP="00F91711">
      <w:pPr>
        <w:widowControl/>
        <w:tabs>
          <w:tab w:val="left" w:pos="567"/>
        </w:tabs>
        <w:spacing w:line="260" w:lineRule="exact"/>
        <w:rPr>
          <w:rFonts w:ascii="Times New Roman" w:hAnsi="Times New Roman" w:cs="Times New Roman"/>
          <w:b/>
          <w:lang w:val="it-IT"/>
        </w:rPr>
      </w:pPr>
    </w:p>
    <w:p w14:paraId="7E0C8AF1" w14:textId="77777777" w:rsidR="00F91711" w:rsidRPr="00C35766" w:rsidRDefault="00F91711" w:rsidP="00933A6C">
      <w:pPr>
        <w:widowControl/>
        <w:numPr>
          <w:ilvl w:val="0"/>
          <w:numId w:val="5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TITOLARE DELL’AUTORIZZAZIONE ALL’IMMISSIONE IN COMMERCIO</w:t>
      </w:r>
    </w:p>
    <w:p w14:paraId="423B4CCA" w14:textId="77777777" w:rsidR="00F91711" w:rsidRPr="00C35766" w:rsidRDefault="00F91711" w:rsidP="00F91711">
      <w:pPr>
        <w:spacing w:before="12" w:line="240" w:lineRule="exact"/>
        <w:rPr>
          <w:rFonts w:ascii="Times New Roman" w:hAnsi="Times New Roman" w:cs="Times New Roman"/>
          <w:sz w:val="24"/>
          <w:szCs w:val="24"/>
        </w:rPr>
      </w:pPr>
    </w:p>
    <w:p w14:paraId="77FDCA5B" w14:textId="77777777" w:rsidR="00F91711" w:rsidRPr="00C35766" w:rsidRDefault="00F91711" w:rsidP="00F91711">
      <w:pPr>
        <w:spacing w:before="12" w:line="240" w:lineRule="exact"/>
        <w:rPr>
          <w:rFonts w:ascii="Times New Roman" w:hAnsi="Times New Roman" w:cs="Times New Roman"/>
        </w:rPr>
      </w:pPr>
      <w:r w:rsidRPr="00C35766">
        <w:rPr>
          <w:rFonts w:ascii="Times New Roman" w:hAnsi="Times New Roman" w:cs="Times New Roman"/>
        </w:rPr>
        <w:t xml:space="preserve">Celltrion Healthcare Hungary Kft. </w:t>
      </w:r>
    </w:p>
    <w:p w14:paraId="5E48F141" w14:textId="77777777" w:rsidR="00F91711" w:rsidRPr="00C35766" w:rsidRDefault="00F91711" w:rsidP="00F91711">
      <w:pPr>
        <w:spacing w:before="12" w:line="240" w:lineRule="exact"/>
        <w:rPr>
          <w:rFonts w:ascii="Times New Roman" w:hAnsi="Times New Roman" w:cs="Times New Roman"/>
        </w:rPr>
      </w:pPr>
      <w:r w:rsidRPr="00C35766">
        <w:rPr>
          <w:rFonts w:ascii="Times New Roman" w:hAnsi="Times New Roman" w:cs="Times New Roman"/>
        </w:rPr>
        <w:t>1062 Budapest</w:t>
      </w:r>
    </w:p>
    <w:p w14:paraId="232EEFF4" w14:textId="5EE266FB" w:rsidR="00F91711" w:rsidRPr="00C35766" w:rsidRDefault="00F91711" w:rsidP="00964AEE">
      <w:pPr>
        <w:pStyle w:val="a3"/>
        <w:rPr>
          <w:vanish/>
        </w:rPr>
      </w:pPr>
      <w:r w:rsidRPr="00D95C47">
        <w:t>Váci út 1-3. WestEnd Office Building B torony</w:t>
      </w:r>
    </w:p>
    <w:p w14:paraId="5AB81FE2" w14:textId="77777777" w:rsidR="00F91711" w:rsidRPr="00C35766" w:rsidRDefault="00F91711" w:rsidP="00F91711">
      <w:pPr>
        <w:pStyle w:val="a3"/>
      </w:pPr>
      <w:r w:rsidRPr="00C35766">
        <w:rPr>
          <w:rFonts w:eastAsia="Times New Roman"/>
          <w:lang w:val="it-IT"/>
        </w:rPr>
        <w:t>Ungheria</w:t>
      </w:r>
    </w:p>
    <w:p w14:paraId="64ABFC70" w14:textId="77777777" w:rsidR="00F91711" w:rsidRPr="00C35766" w:rsidRDefault="00F91711" w:rsidP="00F91711">
      <w:pPr>
        <w:spacing w:line="200" w:lineRule="exact"/>
        <w:rPr>
          <w:rFonts w:ascii="Times New Roman" w:hAnsi="Times New Roman" w:cs="Times New Roman"/>
          <w:sz w:val="20"/>
          <w:szCs w:val="20"/>
        </w:rPr>
      </w:pPr>
    </w:p>
    <w:p w14:paraId="35003EA3" w14:textId="77777777" w:rsidR="00F91711" w:rsidRPr="00C35766" w:rsidRDefault="00F91711" w:rsidP="00F91711">
      <w:pPr>
        <w:spacing w:line="200" w:lineRule="exact"/>
        <w:rPr>
          <w:rFonts w:ascii="Times New Roman" w:hAnsi="Times New Roman" w:cs="Times New Roman"/>
          <w:sz w:val="20"/>
          <w:szCs w:val="20"/>
        </w:rPr>
      </w:pPr>
    </w:p>
    <w:p w14:paraId="656FC6E8" w14:textId="77777777" w:rsidR="00F91711" w:rsidRPr="00C35766" w:rsidRDefault="00F91711" w:rsidP="00933A6C">
      <w:pPr>
        <w:widowControl/>
        <w:numPr>
          <w:ilvl w:val="0"/>
          <w:numId w:val="5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NUMERI DELL’AUTORIZZAZIONE ALL’IMMISSIONE IN COMMERCIO</w:t>
      </w:r>
    </w:p>
    <w:p w14:paraId="0C2EAE5E" w14:textId="77777777" w:rsidR="00F91711" w:rsidRPr="00C35766" w:rsidRDefault="00F91711" w:rsidP="00F91711">
      <w:pPr>
        <w:spacing w:before="9" w:line="240" w:lineRule="exact"/>
        <w:rPr>
          <w:rFonts w:ascii="Times New Roman" w:hAnsi="Times New Roman" w:cs="Times New Roman"/>
          <w:sz w:val="24"/>
          <w:szCs w:val="24"/>
        </w:rPr>
      </w:pPr>
    </w:p>
    <w:p w14:paraId="75E3F7D4" w14:textId="41746159" w:rsidR="00F91711" w:rsidRPr="00C35766" w:rsidRDefault="00F91711" w:rsidP="00F91711">
      <w:pPr>
        <w:pStyle w:val="a3"/>
        <w:rPr>
          <w:u w:val="single"/>
          <w:lang w:val="it-IT"/>
        </w:rPr>
      </w:pPr>
      <w:r w:rsidRPr="00C35766">
        <w:rPr>
          <w:rFonts w:eastAsia="Times New Roman"/>
          <w:u w:val="single" w:color="000000"/>
          <w:lang w:val="it-IT"/>
        </w:rPr>
        <w:t xml:space="preserve">Yuflyma </w:t>
      </w:r>
      <w:r w:rsidR="00CA35C0">
        <w:rPr>
          <w:rFonts w:eastAsia="Times New Roman"/>
          <w:u w:val="single" w:color="000000"/>
          <w:lang w:val="it-IT"/>
        </w:rPr>
        <w:t>8</w:t>
      </w:r>
      <w:r w:rsidRPr="00C35766">
        <w:rPr>
          <w:rFonts w:eastAsia="Times New Roman"/>
          <w:u w:val="single" w:color="000000"/>
          <w:lang w:val="it-IT"/>
        </w:rPr>
        <w:t xml:space="preserve">0 </w:t>
      </w:r>
      <w:r w:rsidR="00CA35C0">
        <w:rPr>
          <w:rFonts w:eastAsia="Times New Roman"/>
          <w:u w:val="single" w:color="000000"/>
          <w:lang w:val="it-IT"/>
        </w:rPr>
        <w:t xml:space="preserve">mg </w:t>
      </w:r>
      <w:r w:rsidRPr="00C35766">
        <w:rPr>
          <w:rFonts w:eastAsia="Times New Roman"/>
          <w:u w:val="single" w:color="000000"/>
          <w:lang w:val="it-IT"/>
        </w:rPr>
        <w:t>soluzione iniettabile in siringa pre-riempita</w:t>
      </w:r>
    </w:p>
    <w:p w14:paraId="45A77C3F" w14:textId="77777777" w:rsidR="00F91711" w:rsidRPr="00C35766" w:rsidRDefault="00F91711" w:rsidP="00F91711">
      <w:pPr>
        <w:pStyle w:val="a3"/>
        <w:rPr>
          <w:lang w:val="it-IT"/>
        </w:rPr>
      </w:pPr>
    </w:p>
    <w:p w14:paraId="6CF68E43" w14:textId="53AECAE5" w:rsidR="00F91711" w:rsidRPr="00C35766" w:rsidRDefault="00F91711" w:rsidP="00BC61E7">
      <w:pPr>
        <w:pStyle w:val="a3"/>
        <w:rPr>
          <w:lang w:val="it-IT"/>
        </w:rPr>
      </w:pPr>
      <w:r w:rsidRPr="00C35766">
        <w:rPr>
          <w:rFonts w:eastAsia="Times New Roman"/>
          <w:lang w:val="it-IT"/>
        </w:rPr>
        <w:t>EU/</w:t>
      </w:r>
      <w:r w:rsidRPr="00C35766">
        <w:rPr>
          <w:rFonts w:eastAsia="Times New Roman"/>
          <w:color w:val="000000"/>
          <w:lang w:val="it-IT"/>
        </w:rPr>
        <w:t>1/20/1513/0</w:t>
      </w:r>
      <w:r w:rsidR="00BC61E7" w:rsidRPr="00C35766">
        <w:rPr>
          <w:rFonts w:eastAsia="Times New Roman"/>
          <w:color w:val="000000"/>
          <w:lang w:val="it-IT"/>
        </w:rPr>
        <w:t>13</w:t>
      </w:r>
    </w:p>
    <w:p w14:paraId="49BC9D8B" w14:textId="77777777" w:rsidR="00F91711" w:rsidRPr="00C35766" w:rsidRDefault="00F91711" w:rsidP="00F91711">
      <w:pPr>
        <w:spacing w:before="14" w:line="240" w:lineRule="exact"/>
        <w:rPr>
          <w:rFonts w:ascii="Times New Roman" w:hAnsi="Times New Roman" w:cs="Times New Roman"/>
          <w:sz w:val="24"/>
          <w:lang w:val="it-IT"/>
        </w:rPr>
      </w:pPr>
    </w:p>
    <w:p w14:paraId="63F4CB6A" w14:textId="28C75FD6" w:rsidR="00F91711" w:rsidRPr="00C35766" w:rsidRDefault="00F91711" w:rsidP="00F91711">
      <w:pPr>
        <w:pStyle w:val="a3"/>
        <w:rPr>
          <w:u w:val="single" w:color="000000"/>
          <w:lang w:val="es-ES"/>
        </w:rPr>
      </w:pPr>
      <w:r w:rsidRPr="00C35766">
        <w:rPr>
          <w:rFonts w:eastAsia="Times New Roman"/>
          <w:u w:val="single" w:color="000000"/>
          <w:lang w:val="it-IT"/>
        </w:rPr>
        <w:t xml:space="preserve">Yuflyma </w:t>
      </w:r>
      <w:r w:rsidR="00CA35C0">
        <w:rPr>
          <w:rFonts w:eastAsia="Times New Roman"/>
          <w:u w:val="single" w:color="000000"/>
          <w:lang w:val="it-IT"/>
        </w:rPr>
        <w:t>8</w:t>
      </w:r>
      <w:r w:rsidRPr="00C35766">
        <w:rPr>
          <w:rFonts w:eastAsia="Times New Roman"/>
          <w:u w:val="single" w:color="000000"/>
          <w:lang w:val="it-IT"/>
        </w:rPr>
        <w:t>0 mg soluzione iniettabile in siringa pre-riempita con dispositivo di sicurezza per l’ago</w:t>
      </w:r>
    </w:p>
    <w:p w14:paraId="412C8D41" w14:textId="77777777" w:rsidR="00F91711" w:rsidRPr="00C35766" w:rsidRDefault="00F91711" w:rsidP="00F91711">
      <w:pPr>
        <w:pStyle w:val="a3"/>
        <w:rPr>
          <w:lang w:val="nn-NO"/>
        </w:rPr>
      </w:pPr>
    </w:p>
    <w:p w14:paraId="5B0EE28C" w14:textId="05BC2D2D" w:rsidR="00F91711" w:rsidRPr="00C35766" w:rsidRDefault="00F91711" w:rsidP="00BC61E7">
      <w:pPr>
        <w:pStyle w:val="a3"/>
        <w:rPr>
          <w:lang w:val="nn-NO"/>
        </w:rPr>
      </w:pPr>
      <w:r w:rsidRPr="00C35766">
        <w:rPr>
          <w:rFonts w:eastAsia="Times New Roman"/>
          <w:color w:val="000000"/>
          <w:lang w:val="it-IT"/>
        </w:rPr>
        <w:t>EU/1/20/1513</w:t>
      </w:r>
      <w:r w:rsidRPr="00C35766">
        <w:rPr>
          <w:rFonts w:eastAsia="Times New Roman"/>
          <w:lang w:val="it-IT"/>
        </w:rPr>
        <w:t>/0</w:t>
      </w:r>
      <w:r w:rsidR="00BC61E7" w:rsidRPr="00C35766">
        <w:rPr>
          <w:rFonts w:eastAsia="Times New Roman"/>
          <w:lang w:val="it-IT"/>
        </w:rPr>
        <w:t>14</w:t>
      </w:r>
    </w:p>
    <w:p w14:paraId="6515F909" w14:textId="77777777" w:rsidR="00F91711" w:rsidRPr="00C35766" w:rsidRDefault="00F91711" w:rsidP="00F91711">
      <w:pPr>
        <w:spacing w:before="14" w:line="240" w:lineRule="exact"/>
        <w:rPr>
          <w:rFonts w:ascii="Times New Roman" w:hAnsi="Times New Roman" w:cs="Times New Roman"/>
          <w:sz w:val="24"/>
          <w:szCs w:val="24"/>
          <w:lang w:val="nn-NO"/>
        </w:rPr>
      </w:pPr>
    </w:p>
    <w:p w14:paraId="16FFC8DB" w14:textId="03B459AE" w:rsidR="00F91711" w:rsidRPr="00C35766" w:rsidRDefault="00F91711" w:rsidP="00F91711">
      <w:pPr>
        <w:pStyle w:val="a3"/>
        <w:rPr>
          <w:u w:val="single"/>
          <w:lang w:val="nn-NO"/>
        </w:rPr>
      </w:pPr>
      <w:r w:rsidRPr="00C35766">
        <w:rPr>
          <w:rFonts w:eastAsia="Times New Roman"/>
          <w:u w:val="single" w:color="000000"/>
          <w:lang w:val="it-IT"/>
        </w:rPr>
        <w:t xml:space="preserve">Yuflyma </w:t>
      </w:r>
      <w:r w:rsidR="00CA35C0">
        <w:rPr>
          <w:rFonts w:eastAsia="Times New Roman"/>
          <w:u w:val="single" w:color="000000"/>
          <w:lang w:val="it-IT"/>
        </w:rPr>
        <w:t>8</w:t>
      </w:r>
      <w:r w:rsidRPr="00C35766">
        <w:rPr>
          <w:rFonts w:eastAsia="Times New Roman"/>
          <w:u w:val="single" w:color="000000"/>
          <w:lang w:val="it-IT"/>
        </w:rPr>
        <w:t>0 mg soluzione iniettabile in penna pre-riempita</w:t>
      </w:r>
    </w:p>
    <w:p w14:paraId="6DC93353" w14:textId="77777777" w:rsidR="00F91711" w:rsidRPr="00C35766" w:rsidRDefault="00F91711" w:rsidP="00F91711">
      <w:pPr>
        <w:pStyle w:val="a3"/>
        <w:rPr>
          <w:lang w:val="nn-NO"/>
        </w:rPr>
      </w:pPr>
    </w:p>
    <w:p w14:paraId="5AC2F914" w14:textId="51873B1C" w:rsidR="00F91711" w:rsidRPr="00C35766" w:rsidRDefault="00F91711" w:rsidP="00F91711">
      <w:pPr>
        <w:pStyle w:val="a3"/>
        <w:rPr>
          <w:lang w:val="nn-NO"/>
        </w:rPr>
      </w:pPr>
      <w:r w:rsidRPr="00C35766">
        <w:rPr>
          <w:rFonts w:eastAsia="Times New Roman"/>
          <w:color w:val="000000"/>
          <w:lang w:val="it-IT"/>
        </w:rPr>
        <w:t>EU/1/20/1513</w:t>
      </w:r>
      <w:r w:rsidRPr="00C35766">
        <w:rPr>
          <w:rFonts w:eastAsia="Times New Roman"/>
          <w:lang w:val="it-IT"/>
        </w:rPr>
        <w:t>/0</w:t>
      </w:r>
      <w:r w:rsidR="00BC61E7" w:rsidRPr="00C35766">
        <w:rPr>
          <w:rFonts w:eastAsia="Times New Roman"/>
          <w:lang w:val="it-IT"/>
        </w:rPr>
        <w:t>15</w:t>
      </w:r>
    </w:p>
    <w:p w14:paraId="39A430D3" w14:textId="58B9FD21" w:rsidR="00F91711" w:rsidRPr="00C35766" w:rsidRDefault="00F91711" w:rsidP="00BC61E7">
      <w:pPr>
        <w:pStyle w:val="a3"/>
        <w:rPr>
          <w:lang w:val="fr-FR"/>
        </w:rPr>
      </w:pPr>
      <w:r w:rsidRPr="00C35766">
        <w:rPr>
          <w:rFonts w:eastAsia="Times New Roman"/>
          <w:color w:val="000000"/>
          <w:lang w:val="it-IT"/>
        </w:rPr>
        <w:t>EU/1/20/1513/</w:t>
      </w:r>
      <w:r w:rsidRPr="00C35766">
        <w:rPr>
          <w:rFonts w:eastAsia="Times New Roman"/>
          <w:lang w:val="it-IT"/>
        </w:rPr>
        <w:t>01</w:t>
      </w:r>
      <w:r w:rsidR="00BC61E7" w:rsidRPr="00C35766">
        <w:rPr>
          <w:rFonts w:eastAsia="Times New Roman"/>
          <w:lang w:val="it-IT"/>
        </w:rPr>
        <w:t>6</w:t>
      </w:r>
    </w:p>
    <w:p w14:paraId="6AF1D6E2" w14:textId="77777777" w:rsidR="00F91711" w:rsidRPr="00C35766" w:rsidRDefault="00F91711" w:rsidP="00F91711">
      <w:pPr>
        <w:pStyle w:val="a3"/>
        <w:rPr>
          <w:lang w:val="fr-FR"/>
        </w:rPr>
      </w:pPr>
    </w:p>
    <w:p w14:paraId="5ACD79D6" w14:textId="77777777" w:rsidR="00F91711" w:rsidRPr="00C35766" w:rsidRDefault="00F91711" w:rsidP="00F91711">
      <w:pPr>
        <w:spacing w:line="200" w:lineRule="exact"/>
        <w:rPr>
          <w:rFonts w:ascii="Times New Roman" w:hAnsi="Times New Roman" w:cs="Times New Roman"/>
          <w:sz w:val="20"/>
          <w:szCs w:val="20"/>
          <w:lang w:val="fr-FR"/>
        </w:rPr>
      </w:pPr>
    </w:p>
    <w:p w14:paraId="17C7E993" w14:textId="77777777" w:rsidR="00F91711" w:rsidRPr="00C35766" w:rsidRDefault="00F91711" w:rsidP="00933A6C">
      <w:pPr>
        <w:widowControl/>
        <w:numPr>
          <w:ilvl w:val="0"/>
          <w:numId w:val="52"/>
        </w:numPr>
        <w:tabs>
          <w:tab w:val="left" w:pos="567"/>
        </w:tabs>
        <w:spacing w:line="260" w:lineRule="exact"/>
        <w:ind w:left="0" w:firstLine="0"/>
        <w:rPr>
          <w:rFonts w:ascii="Times New Roman" w:hAnsi="Times New Roman" w:cs="Times New Roman"/>
          <w:b/>
          <w:lang w:val="it-IT"/>
        </w:rPr>
      </w:pPr>
      <w:r w:rsidRPr="00C35766">
        <w:rPr>
          <w:rFonts w:ascii="Times New Roman" w:eastAsia="Times New Roman" w:hAnsi="Times New Roman" w:cs="Times New Roman"/>
          <w:b/>
          <w:bCs/>
          <w:noProof/>
          <w:lang w:val="it-IT"/>
        </w:rPr>
        <w:t>DATA DELLA PRIMA AUTORIZZAZIONE/RINNOVO DELL’AUTORIZZAZIONE</w:t>
      </w:r>
    </w:p>
    <w:p w14:paraId="6B587648" w14:textId="77777777" w:rsidR="00F91711" w:rsidRPr="00C35766" w:rsidRDefault="00F91711" w:rsidP="00F91711">
      <w:pPr>
        <w:widowControl/>
        <w:tabs>
          <w:tab w:val="left" w:pos="567"/>
        </w:tabs>
        <w:spacing w:line="260" w:lineRule="exact"/>
        <w:rPr>
          <w:rFonts w:ascii="Times New Roman" w:hAnsi="Times New Roman" w:cs="Times New Roman"/>
          <w:b/>
          <w:lang w:val="it-IT"/>
        </w:rPr>
      </w:pPr>
    </w:p>
    <w:p w14:paraId="3BBE85BE" w14:textId="77777777" w:rsidR="00F91711" w:rsidRPr="00824699" w:rsidRDefault="00F91711" w:rsidP="00F91711">
      <w:pPr>
        <w:widowControl/>
        <w:tabs>
          <w:tab w:val="left" w:pos="567"/>
        </w:tabs>
        <w:spacing w:line="260" w:lineRule="exact"/>
        <w:rPr>
          <w:rFonts w:ascii="Times New Roman" w:eastAsia="Times New Roman" w:hAnsi="Times New Roman" w:cs="Times New Roman"/>
          <w:bCs/>
          <w:noProof/>
          <w:lang w:val="it-IT"/>
        </w:rPr>
      </w:pPr>
      <w:r w:rsidRPr="00C35766">
        <w:rPr>
          <w:rFonts w:ascii="Times New Roman" w:eastAsia="Times New Roman" w:hAnsi="Times New Roman" w:cs="Times New Roman"/>
          <w:bCs/>
          <w:noProof/>
          <w:lang w:val="it-IT"/>
        </w:rPr>
        <w:t>Data della prima autorizzazione: 11 febbraio 2021</w:t>
      </w:r>
    </w:p>
    <w:p w14:paraId="171D9EEC" w14:textId="77777777" w:rsidR="00F91711" w:rsidRPr="00824699" w:rsidRDefault="00F91711" w:rsidP="00F91711">
      <w:pPr>
        <w:widowControl/>
        <w:tabs>
          <w:tab w:val="left" w:pos="567"/>
        </w:tabs>
        <w:spacing w:line="260" w:lineRule="exact"/>
        <w:rPr>
          <w:rFonts w:ascii="Times New Roman" w:eastAsia="Times New Roman" w:hAnsi="Times New Roman" w:cs="Times New Roman"/>
          <w:b/>
          <w:noProof/>
          <w:lang w:val="it-IT"/>
        </w:rPr>
      </w:pPr>
    </w:p>
    <w:p w14:paraId="66666F7E" w14:textId="77777777" w:rsidR="00F91711" w:rsidRPr="00824699" w:rsidRDefault="00F91711" w:rsidP="00F91711">
      <w:pPr>
        <w:widowControl/>
        <w:tabs>
          <w:tab w:val="left" w:pos="567"/>
        </w:tabs>
        <w:spacing w:line="260" w:lineRule="exact"/>
        <w:rPr>
          <w:rFonts w:ascii="Times New Roman" w:eastAsia="Times New Roman" w:hAnsi="Times New Roman" w:cs="Times New Roman"/>
          <w:b/>
          <w:noProof/>
          <w:lang w:val="it-IT"/>
        </w:rPr>
      </w:pPr>
    </w:p>
    <w:p w14:paraId="02D0119D" w14:textId="77777777" w:rsidR="00F91711" w:rsidRPr="00C35766" w:rsidRDefault="00F91711" w:rsidP="00933A6C">
      <w:pPr>
        <w:widowControl/>
        <w:numPr>
          <w:ilvl w:val="0"/>
          <w:numId w:val="5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DATA DI REVISIONE DEL TESTO</w:t>
      </w:r>
    </w:p>
    <w:p w14:paraId="0340698A" w14:textId="77777777" w:rsidR="00F91711" w:rsidRPr="00C35766" w:rsidRDefault="00F91711" w:rsidP="00F91711">
      <w:pPr>
        <w:spacing w:before="12" w:line="240" w:lineRule="exact"/>
        <w:rPr>
          <w:rFonts w:ascii="Times New Roman" w:hAnsi="Times New Roman" w:cs="Times New Roman"/>
          <w:sz w:val="24"/>
          <w:szCs w:val="24"/>
        </w:rPr>
      </w:pPr>
    </w:p>
    <w:p w14:paraId="591D7AC5" w14:textId="77777777" w:rsidR="00F91711" w:rsidRPr="00C35766" w:rsidRDefault="00F91711" w:rsidP="00F91711">
      <w:pPr>
        <w:pStyle w:val="a3"/>
        <w:rPr>
          <w:lang w:val="pt-BR"/>
        </w:rPr>
      </w:pPr>
      <w:r w:rsidRPr="00C35766">
        <w:rPr>
          <w:rFonts w:eastAsia="Times New Roman"/>
          <w:lang w:val="it-IT"/>
        </w:rPr>
        <w:t xml:space="preserve">Informazioni più dettagliate su questo medicinale sono disponibili sul sito web dell’Agenzia europea dei medicinali, </w:t>
      </w:r>
      <w:hyperlink r:id="rId26" w:history="1">
        <w:r w:rsidRPr="00C35766">
          <w:rPr>
            <w:rFonts w:eastAsia="Times New Roman"/>
            <w:color w:val="0000FF"/>
            <w:u w:val="single"/>
            <w:lang w:val="it-IT"/>
          </w:rPr>
          <w:t>http://www.ema.europa.eu</w:t>
        </w:r>
      </w:hyperlink>
    </w:p>
    <w:p w14:paraId="066F980E" w14:textId="77777777" w:rsidR="00953B2E" w:rsidRPr="00C35766" w:rsidRDefault="00953B2E">
      <w:pPr>
        <w:spacing w:line="252" w:lineRule="exact"/>
        <w:rPr>
          <w:rFonts w:ascii="Times New Roman" w:hAnsi="Times New Roman" w:cs="Times New Roman"/>
          <w:lang w:val="pt-BR"/>
        </w:rPr>
      </w:pPr>
    </w:p>
    <w:p w14:paraId="0228F834" w14:textId="77777777" w:rsidR="00953B2E" w:rsidRPr="00C35766" w:rsidRDefault="00953B2E">
      <w:pPr>
        <w:spacing w:line="252" w:lineRule="exact"/>
        <w:rPr>
          <w:rFonts w:ascii="Times New Roman" w:hAnsi="Times New Roman" w:cs="Times New Roman"/>
          <w:lang w:val="pt-BR"/>
        </w:rPr>
        <w:sectPr w:rsidR="00953B2E" w:rsidRPr="00C35766" w:rsidSect="00491CE0">
          <w:footerReference w:type="default" r:id="rId27"/>
          <w:pgSz w:w="12240" w:h="15840"/>
          <w:pgMar w:top="1060" w:right="1440" w:bottom="880" w:left="1300" w:header="737" w:footer="737" w:gutter="0"/>
          <w:cols w:space="720"/>
          <w:docGrid w:linePitch="299"/>
        </w:sectPr>
      </w:pPr>
    </w:p>
    <w:p w14:paraId="43CCE83B" w14:textId="4430E2D8" w:rsidR="0075524C" w:rsidRPr="00C35766" w:rsidRDefault="0075524C" w:rsidP="0075524C">
      <w:pPr>
        <w:rPr>
          <w:rFonts w:ascii="Times New Roman" w:eastAsia="맑은 고딕" w:hAnsi="Times New Roman" w:cs="Times New Roman"/>
          <w:lang w:val="it-IT" w:eastAsia="ko-KR"/>
        </w:rPr>
      </w:pPr>
      <w:r>
        <w:rPr>
          <w:rFonts w:ascii="Times New Roman" w:hAnsi="Times New Roman" w:cs="Times New Roman"/>
          <w:noProof/>
          <w:lang w:eastAsia="ko-KR"/>
        </w:rPr>
        <w:lastRenderedPageBreak/>
        <w:drawing>
          <wp:inline distT="0" distB="0" distL="0" distR="0" wp14:anchorId="1B14286E" wp14:editId="14B378E0">
            <wp:extent cx="200025" cy="180975"/>
            <wp:effectExtent l="0" t="0" r="9525" b="9525"/>
            <wp:docPr id="3978" name="그림 397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T_1000x858px"/>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C35766">
        <w:rPr>
          <w:rFonts w:ascii="Times New Roman" w:hAnsi="Times New Roman" w:cs="Times New Roman"/>
          <w:lang w:val="it-IT"/>
        </w:rPr>
        <w:t xml:space="preserve"> Medicinale sottoposto a monitoraggio addizionale. Ciò permetterà la rapida identificazione di nuove informazioni sulla sicurezza. Agli operatori sanitari è richiesto di segnalare qualsiasi reazione avversa sospetta. Vedere paragrafo 4.8 per informazioni sulle modalità di segnalazione delle reazioni avverse.</w:t>
      </w:r>
    </w:p>
    <w:p w14:paraId="26F5FCB9" w14:textId="77777777" w:rsidR="0075524C" w:rsidRPr="00C35766" w:rsidRDefault="0075524C" w:rsidP="0075524C">
      <w:pPr>
        <w:widowControl/>
        <w:tabs>
          <w:tab w:val="left" w:pos="567"/>
        </w:tabs>
        <w:rPr>
          <w:rFonts w:ascii="Times New Roman" w:eastAsia="Times New Roman" w:hAnsi="Times New Roman" w:cs="Times New Roman"/>
          <w:lang w:val="it-IT"/>
        </w:rPr>
      </w:pPr>
    </w:p>
    <w:p w14:paraId="45ECFE27" w14:textId="77777777" w:rsidR="0075524C" w:rsidRPr="00C35766" w:rsidRDefault="0075524C" w:rsidP="0075524C">
      <w:pPr>
        <w:widowControl/>
        <w:tabs>
          <w:tab w:val="left" w:pos="567"/>
        </w:tabs>
        <w:rPr>
          <w:rFonts w:ascii="Times New Roman" w:eastAsia="Times New Roman" w:hAnsi="Times New Roman" w:cs="Times New Roman"/>
          <w:lang w:val="it-IT"/>
        </w:rPr>
      </w:pPr>
    </w:p>
    <w:p w14:paraId="2FDEF9CE" w14:textId="77777777" w:rsidR="0075524C" w:rsidRPr="00C35766" w:rsidRDefault="0075524C" w:rsidP="005C2D5B">
      <w:pPr>
        <w:widowControl/>
        <w:numPr>
          <w:ilvl w:val="0"/>
          <w:numId w:val="72"/>
        </w:numPr>
        <w:tabs>
          <w:tab w:val="left" w:pos="567"/>
        </w:tabs>
        <w:spacing w:line="260" w:lineRule="exact"/>
        <w:ind w:left="0" w:firstLine="0"/>
        <w:rPr>
          <w:rFonts w:ascii="Times New Roman" w:hAnsi="Times New Roman" w:cs="Times New Roman"/>
          <w:noProof/>
          <w:lang w:val="en-GB"/>
        </w:rPr>
      </w:pPr>
      <w:r w:rsidRPr="00C35766">
        <w:rPr>
          <w:rFonts w:ascii="Times New Roman" w:eastAsia="Times New Roman" w:hAnsi="Times New Roman" w:cs="Times New Roman"/>
          <w:b/>
          <w:bCs/>
          <w:noProof/>
          <w:lang w:val="it-IT"/>
        </w:rPr>
        <w:t>DENOMINAZIONE DEL MEDICINALE</w:t>
      </w:r>
    </w:p>
    <w:p w14:paraId="1822334C" w14:textId="77777777" w:rsidR="0075524C" w:rsidRPr="00C35766" w:rsidRDefault="0075524C" w:rsidP="0075524C">
      <w:pPr>
        <w:spacing w:line="240" w:lineRule="exact"/>
        <w:rPr>
          <w:rFonts w:ascii="Times New Roman" w:hAnsi="Times New Roman" w:cs="Times New Roman"/>
        </w:rPr>
      </w:pPr>
    </w:p>
    <w:p w14:paraId="7316ADD1" w14:textId="2A8DA121" w:rsidR="0075524C" w:rsidRPr="00C35766" w:rsidRDefault="0075524C" w:rsidP="0075524C">
      <w:pPr>
        <w:widowControl/>
        <w:tabs>
          <w:tab w:val="left" w:pos="567"/>
        </w:tabs>
        <w:rPr>
          <w:rFonts w:ascii="Times New Roman" w:hAnsi="Times New Roman" w:cs="Times New Roman"/>
          <w:lang w:val="it-IT"/>
        </w:rPr>
      </w:pPr>
      <w:r w:rsidRPr="00C35766">
        <w:rPr>
          <w:rFonts w:ascii="Times New Roman" w:eastAsia="Times New Roman" w:hAnsi="Times New Roman" w:cs="Times New Roman"/>
          <w:lang w:val="it-IT"/>
        </w:rPr>
        <w:t xml:space="preserve">Yuflyma </w:t>
      </w:r>
      <w:r w:rsidR="00603A86">
        <w:rPr>
          <w:rFonts w:ascii="Times New Roman" w:eastAsia="Times New Roman" w:hAnsi="Times New Roman" w:cs="Times New Roman"/>
          <w:lang w:val="it-IT"/>
        </w:rPr>
        <w:t>20</w:t>
      </w:r>
      <w:r w:rsidRPr="00C35766">
        <w:rPr>
          <w:rFonts w:ascii="Times New Roman" w:eastAsia="Times New Roman" w:hAnsi="Times New Roman" w:cs="Times New Roman"/>
          <w:lang w:val="it-IT"/>
        </w:rPr>
        <w:t> mg soluzione iniettabile in siringa pre-riempita</w:t>
      </w:r>
    </w:p>
    <w:p w14:paraId="75139307" w14:textId="77777777" w:rsidR="00603A86" w:rsidRPr="005C2D5B" w:rsidRDefault="00603A86" w:rsidP="0075524C">
      <w:pPr>
        <w:widowControl/>
        <w:tabs>
          <w:tab w:val="left" w:pos="567"/>
        </w:tabs>
        <w:rPr>
          <w:rFonts w:ascii="Times New Roman" w:hAnsi="Times New Roman" w:cs="Times New Roman"/>
          <w:lang w:val="it-IT"/>
        </w:rPr>
      </w:pPr>
    </w:p>
    <w:p w14:paraId="7D16E425" w14:textId="77777777" w:rsidR="0075524C" w:rsidRPr="00C35766" w:rsidRDefault="0075524C" w:rsidP="0075524C">
      <w:pPr>
        <w:widowControl/>
        <w:tabs>
          <w:tab w:val="left" w:pos="567"/>
        </w:tabs>
        <w:spacing w:line="260" w:lineRule="exact"/>
        <w:rPr>
          <w:rFonts w:ascii="Times New Roman" w:hAnsi="Times New Roman" w:cs="Times New Roman"/>
          <w:b/>
          <w:lang w:val="it-IT"/>
        </w:rPr>
      </w:pPr>
    </w:p>
    <w:p w14:paraId="723B59B9" w14:textId="77777777" w:rsidR="0075524C" w:rsidRPr="00C35766" w:rsidRDefault="0075524C" w:rsidP="005C2D5B">
      <w:pPr>
        <w:widowControl/>
        <w:numPr>
          <w:ilvl w:val="0"/>
          <w:numId w:val="72"/>
        </w:numPr>
        <w:tabs>
          <w:tab w:val="left" w:pos="567"/>
        </w:tabs>
        <w:spacing w:line="260" w:lineRule="exact"/>
        <w:ind w:left="0" w:firstLine="0"/>
        <w:rPr>
          <w:rFonts w:ascii="Times New Roman" w:hAnsi="Times New Roman" w:cs="Times New Roman"/>
          <w:b/>
          <w:bCs/>
          <w:spacing w:val="-1"/>
        </w:rPr>
      </w:pPr>
      <w:r w:rsidRPr="00C35766">
        <w:rPr>
          <w:rFonts w:ascii="Times New Roman" w:eastAsia="Times New Roman" w:hAnsi="Times New Roman" w:cs="Times New Roman"/>
          <w:b/>
          <w:bCs/>
          <w:noProof/>
          <w:lang w:val="it-IT"/>
        </w:rPr>
        <w:t>COMPOSIZIONE QUALITATIVA E QUANTITATIVA</w:t>
      </w:r>
    </w:p>
    <w:p w14:paraId="69EDF8D4" w14:textId="77777777" w:rsidR="0075524C" w:rsidRPr="00C35766" w:rsidRDefault="0075524C" w:rsidP="0075524C">
      <w:pPr>
        <w:widowControl/>
        <w:tabs>
          <w:tab w:val="left" w:pos="567"/>
        </w:tabs>
        <w:rPr>
          <w:rFonts w:ascii="Times New Roman" w:eastAsia="Times New Roman" w:hAnsi="Times New Roman" w:cs="Times New Roman"/>
          <w:u w:val="single"/>
          <w:lang w:val="en-GB"/>
        </w:rPr>
      </w:pPr>
    </w:p>
    <w:p w14:paraId="696FC923" w14:textId="2E4042B2" w:rsidR="0075524C" w:rsidRPr="00C35766" w:rsidRDefault="0075524C" w:rsidP="0075524C">
      <w:pPr>
        <w:widowControl/>
        <w:tabs>
          <w:tab w:val="left" w:pos="567"/>
        </w:tabs>
        <w:rPr>
          <w:rFonts w:ascii="Times New Roman" w:hAnsi="Times New Roman" w:cs="Times New Roman"/>
          <w:u w:val="single"/>
          <w:lang w:val="it-IT"/>
        </w:rPr>
      </w:pPr>
      <w:r w:rsidRPr="00C35766">
        <w:rPr>
          <w:rFonts w:ascii="Times New Roman" w:eastAsia="Times New Roman" w:hAnsi="Times New Roman" w:cs="Times New Roman"/>
          <w:u w:val="single"/>
          <w:lang w:val="it-IT"/>
        </w:rPr>
        <w:t xml:space="preserve">Yuflyma </w:t>
      </w:r>
      <w:r w:rsidR="00603A86">
        <w:rPr>
          <w:rFonts w:ascii="Times New Roman" w:eastAsia="Times New Roman" w:hAnsi="Times New Roman" w:cs="Times New Roman"/>
          <w:u w:val="single"/>
          <w:lang w:val="it-IT"/>
        </w:rPr>
        <w:t>20</w:t>
      </w:r>
      <w:r w:rsidRPr="00C35766">
        <w:rPr>
          <w:rFonts w:ascii="Times New Roman" w:eastAsia="Times New Roman" w:hAnsi="Times New Roman" w:cs="Times New Roman"/>
          <w:u w:val="single"/>
          <w:lang w:val="it-IT"/>
        </w:rPr>
        <w:t> mg soluzione iniettabile in siringa pre-riempita</w:t>
      </w:r>
    </w:p>
    <w:p w14:paraId="008421AE" w14:textId="77777777" w:rsidR="0075524C" w:rsidRPr="00C35766" w:rsidRDefault="0075524C" w:rsidP="0075524C">
      <w:pPr>
        <w:widowControl/>
        <w:tabs>
          <w:tab w:val="left" w:pos="567"/>
        </w:tabs>
        <w:adjustRightInd w:val="0"/>
        <w:rPr>
          <w:rFonts w:ascii="Times New Roman" w:hAnsi="Times New Roman" w:cs="Times New Roman"/>
          <w:lang w:val="it-IT"/>
        </w:rPr>
      </w:pPr>
    </w:p>
    <w:p w14:paraId="680CBB25" w14:textId="07DA21E8" w:rsidR="0075524C" w:rsidRPr="00C35766" w:rsidRDefault="0075524C" w:rsidP="0075524C">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 xml:space="preserve">Ciascuna siringa pre-riempita monodose da </w:t>
      </w:r>
      <w:r w:rsidR="00603A86">
        <w:rPr>
          <w:rFonts w:ascii="Times New Roman" w:eastAsia="Times New Roman" w:hAnsi="Times New Roman" w:cs="Times New Roman"/>
          <w:lang w:val="it-IT"/>
        </w:rPr>
        <w:t>0,2</w:t>
      </w:r>
      <w:r w:rsidRPr="00C35766">
        <w:rPr>
          <w:rFonts w:ascii="Times New Roman" w:eastAsia="Times New Roman" w:hAnsi="Times New Roman" w:cs="Times New Roman"/>
          <w:lang w:val="it-IT"/>
        </w:rPr>
        <w:t xml:space="preserve"> mL contiene </w:t>
      </w:r>
      <w:r w:rsidR="00603A86">
        <w:rPr>
          <w:rFonts w:ascii="Times New Roman" w:eastAsia="Times New Roman" w:hAnsi="Times New Roman" w:cs="Times New Roman"/>
          <w:lang w:val="it-IT"/>
        </w:rPr>
        <w:t>20</w:t>
      </w:r>
      <w:r w:rsidRPr="00C35766">
        <w:rPr>
          <w:rFonts w:ascii="Times New Roman" w:eastAsia="Times New Roman" w:hAnsi="Times New Roman" w:cs="Times New Roman"/>
          <w:lang w:val="it-IT"/>
        </w:rPr>
        <w:t xml:space="preserve"> mg di adalimumab.</w:t>
      </w:r>
    </w:p>
    <w:p w14:paraId="4B74575A" w14:textId="77777777" w:rsidR="0075524C" w:rsidRPr="00C35766" w:rsidRDefault="0075524C" w:rsidP="0075524C">
      <w:pPr>
        <w:spacing w:line="240" w:lineRule="exact"/>
        <w:rPr>
          <w:rFonts w:ascii="Times New Roman" w:hAnsi="Times New Roman" w:cs="Times New Roman"/>
          <w:lang w:val="it-IT"/>
        </w:rPr>
      </w:pPr>
    </w:p>
    <w:p w14:paraId="456A0A19" w14:textId="77777777" w:rsidR="0075524C" w:rsidRPr="00C35766" w:rsidRDefault="0075524C" w:rsidP="0075524C">
      <w:pPr>
        <w:widowControl/>
        <w:tabs>
          <w:tab w:val="left" w:pos="567"/>
        </w:tabs>
        <w:adjustRightInd w:val="0"/>
        <w:rPr>
          <w:rFonts w:ascii="Times New Roman" w:eastAsia="Times New Roman" w:hAnsi="Times New Roman" w:cs="Times New Roman"/>
          <w:lang w:val="es-ES"/>
        </w:rPr>
      </w:pPr>
      <w:r w:rsidRPr="00C35766">
        <w:rPr>
          <w:rFonts w:ascii="Times New Roman" w:eastAsia="Times New Roman" w:hAnsi="Times New Roman" w:cs="Times New Roman"/>
          <w:lang w:val="it-IT"/>
        </w:rPr>
        <w:t>Adalimumab è un anticorpo monoclonale umano ricombinante prodotto in cellule ovariche di criceto cinese (Chinese Hamster Ovary).</w:t>
      </w:r>
    </w:p>
    <w:p w14:paraId="10123A06" w14:textId="77777777" w:rsidR="0075524C" w:rsidRPr="00C35766" w:rsidRDefault="0075524C" w:rsidP="0075524C">
      <w:pPr>
        <w:widowControl/>
        <w:tabs>
          <w:tab w:val="left" w:pos="567"/>
        </w:tabs>
        <w:adjustRightInd w:val="0"/>
        <w:rPr>
          <w:rFonts w:ascii="Times New Roman" w:eastAsia="Times New Roman" w:hAnsi="Times New Roman" w:cs="Times New Roman"/>
          <w:lang w:val="es-ES"/>
        </w:rPr>
      </w:pPr>
    </w:p>
    <w:p w14:paraId="2648C2F6" w14:textId="77777777" w:rsidR="0075524C" w:rsidRPr="00C35766" w:rsidRDefault="0075524C" w:rsidP="0075524C">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Per l’elenco completo degli eccipienti, vedere paragrafo 6.1.</w:t>
      </w:r>
    </w:p>
    <w:p w14:paraId="506C157B" w14:textId="77777777" w:rsidR="0075524C" w:rsidRPr="00C35766" w:rsidRDefault="0075524C" w:rsidP="0075524C">
      <w:pPr>
        <w:spacing w:line="260" w:lineRule="exact"/>
        <w:rPr>
          <w:rFonts w:ascii="Times New Roman" w:hAnsi="Times New Roman" w:cs="Times New Roman"/>
          <w:lang w:val="it-IT"/>
        </w:rPr>
      </w:pPr>
    </w:p>
    <w:p w14:paraId="5D80FFC6" w14:textId="77777777" w:rsidR="0075524C" w:rsidRPr="00C35766" w:rsidRDefault="0075524C" w:rsidP="0075524C">
      <w:pPr>
        <w:spacing w:line="260" w:lineRule="exact"/>
        <w:rPr>
          <w:rFonts w:ascii="Times New Roman" w:hAnsi="Times New Roman" w:cs="Times New Roman"/>
          <w:lang w:val="it-IT"/>
        </w:rPr>
      </w:pPr>
    </w:p>
    <w:p w14:paraId="38E144F1" w14:textId="77777777" w:rsidR="0075524C" w:rsidRPr="00C35766" w:rsidRDefault="0075524C" w:rsidP="005C2D5B">
      <w:pPr>
        <w:widowControl/>
        <w:numPr>
          <w:ilvl w:val="0"/>
          <w:numId w:val="72"/>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FORMA FARMACEUTICA</w:t>
      </w:r>
    </w:p>
    <w:p w14:paraId="351EAE9D" w14:textId="77777777" w:rsidR="0075524C" w:rsidRPr="00C35766" w:rsidRDefault="0075524C" w:rsidP="0075524C">
      <w:pPr>
        <w:spacing w:line="240" w:lineRule="exact"/>
        <w:rPr>
          <w:rFonts w:ascii="Times New Roman" w:hAnsi="Times New Roman" w:cs="Times New Roman"/>
        </w:rPr>
      </w:pPr>
    </w:p>
    <w:p w14:paraId="751D8770" w14:textId="77777777" w:rsidR="0075524C" w:rsidRPr="00C35766" w:rsidRDefault="0075524C" w:rsidP="0075524C">
      <w:pPr>
        <w:widowControl/>
        <w:tabs>
          <w:tab w:val="left" w:pos="567"/>
        </w:tabs>
        <w:adjustRightInd w:val="0"/>
        <w:rPr>
          <w:rFonts w:ascii="Times New Roman" w:eastAsia="Times New Roman" w:hAnsi="Times New Roman" w:cs="Times New Roman"/>
          <w:lang w:val="en-GB"/>
        </w:rPr>
      </w:pPr>
      <w:r w:rsidRPr="00C35766">
        <w:rPr>
          <w:rFonts w:ascii="Times New Roman" w:eastAsia="Times New Roman" w:hAnsi="Times New Roman" w:cs="Times New Roman"/>
          <w:lang w:val="it-IT"/>
        </w:rPr>
        <w:t xml:space="preserve">Soluzione iniettabile (per iniezione) </w:t>
      </w:r>
    </w:p>
    <w:p w14:paraId="08E1BBB1" w14:textId="77777777" w:rsidR="0075524C" w:rsidRPr="00C35766" w:rsidRDefault="0075524C" w:rsidP="0075524C">
      <w:pPr>
        <w:widowControl/>
        <w:tabs>
          <w:tab w:val="left" w:pos="567"/>
        </w:tabs>
        <w:adjustRightInd w:val="0"/>
        <w:rPr>
          <w:rFonts w:ascii="Times New Roman" w:eastAsia="Times New Roman" w:hAnsi="Times New Roman" w:cs="Times New Roman"/>
          <w:lang w:val="en-GB"/>
        </w:rPr>
      </w:pPr>
    </w:p>
    <w:p w14:paraId="56EA2D45" w14:textId="77777777" w:rsidR="0075524C" w:rsidRPr="00C35766" w:rsidRDefault="0075524C" w:rsidP="0075524C">
      <w:pPr>
        <w:widowControl/>
        <w:tabs>
          <w:tab w:val="left" w:pos="567"/>
        </w:tabs>
        <w:adjustRightInd w:val="0"/>
        <w:rPr>
          <w:rFonts w:ascii="Times New Roman" w:hAnsi="Times New Roman" w:cs="Times New Roman"/>
          <w:lang w:val="it-IT"/>
        </w:rPr>
      </w:pPr>
      <w:r w:rsidRPr="00C35766">
        <w:rPr>
          <w:rFonts w:ascii="Times New Roman" w:eastAsia="Times New Roman" w:hAnsi="Times New Roman" w:cs="Times New Roman"/>
          <w:lang w:val="it-IT"/>
        </w:rPr>
        <w:t>Soluzione di aspetto da limpido a opalescente, da incolore a tendente al marrone chiaro-giallastro.</w:t>
      </w:r>
    </w:p>
    <w:p w14:paraId="70D7A434" w14:textId="77777777" w:rsidR="0075524C" w:rsidRPr="00C35766" w:rsidRDefault="0075524C" w:rsidP="0075524C">
      <w:pPr>
        <w:spacing w:line="260" w:lineRule="exact"/>
        <w:rPr>
          <w:rFonts w:ascii="Times New Roman" w:hAnsi="Times New Roman" w:cs="Times New Roman"/>
          <w:lang w:val="it-IT"/>
        </w:rPr>
      </w:pPr>
    </w:p>
    <w:p w14:paraId="1BC34D90" w14:textId="77777777" w:rsidR="0075524C" w:rsidRPr="00C35766" w:rsidRDefault="0075524C" w:rsidP="0075524C">
      <w:pPr>
        <w:spacing w:line="260" w:lineRule="exact"/>
        <w:rPr>
          <w:rFonts w:ascii="Times New Roman" w:hAnsi="Times New Roman" w:cs="Times New Roman"/>
          <w:lang w:val="it-IT"/>
        </w:rPr>
      </w:pPr>
    </w:p>
    <w:p w14:paraId="2E834BBB" w14:textId="77777777" w:rsidR="0075524C" w:rsidRPr="00C35766" w:rsidRDefault="0075524C" w:rsidP="005C2D5B">
      <w:pPr>
        <w:widowControl/>
        <w:numPr>
          <w:ilvl w:val="0"/>
          <w:numId w:val="72"/>
        </w:numPr>
        <w:tabs>
          <w:tab w:val="left" w:pos="567"/>
        </w:tabs>
        <w:spacing w:line="260" w:lineRule="exact"/>
        <w:ind w:left="0" w:firstLine="0"/>
        <w:rPr>
          <w:rFonts w:ascii="Times New Roman" w:hAnsi="Times New Roman" w:cs="Times New Roman"/>
          <w:b/>
          <w:spacing w:val="-1"/>
        </w:rPr>
      </w:pPr>
      <w:r w:rsidRPr="00C35766">
        <w:rPr>
          <w:rFonts w:ascii="Times New Roman" w:eastAsia="Times New Roman" w:hAnsi="Times New Roman" w:cs="Times New Roman"/>
          <w:b/>
          <w:bCs/>
          <w:noProof/>
          <w:lang w:val="it-IT"/>
        </w:rPr>
        <w:t>INFORMAZIONI CLINICHE</w:t>
      </w:r>
    </w:p>
    <w:p w14:paraId="7DFD042B" w14:textId="77777777" w:rsidR="0075524C" w:rsidRPr="00C35766" w:rsidRDefault="0075524C" w:rsidP="0075524C">
      <w:pPr>
        <w:pStyle w:val="a4"/>
        <w:tabs>
          <w:tab w:val="left" w:pos="672"/>
        </w:tabs>
        <w:rPr>
          <w:rFonts w:ascii="Times New Roman" w:eastAsia="Times New Roman" w:hAnsi="Times New Roman" w:cs="Times New Roman"/>
          <w:b/>
          <w:noProof/>
          <w:lang w:val="en-GB"/>
        </w:rPr>
      </w:pPr>
    </w:p>
    <w:p w14:paraId="6E95F182"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rPr>
      </w:pPr>
      <w:r w:rsidRPr="00C35766">
        <w:rPr>
          <w:rFonts w:ascii="Times New Roman" w:eastAsia="Times New Roman" w:hAnsi="Times New Roman" w:cs="Times New Roman"/>
          <w:b/>
          <w:bCs/>
          <w:noProof/>
          <w:lang w:val="it-IT"/>
        </w:rPr>
        <w:t>Indicazioni terapeutiche</w:t>
      </w:r>
    </w:p>
    <w:p w14:paraId="095F0D3A" w14:textId="77777777" w:rsidR="0075524C" w:rsidRPr="00C35766" w:rsidRDefault="0075524C" w:rsidP="0075524C">
      <w:pPr>
        <w:spacing w:line="240" w:lineRule="exact"/>
        <w:rPr>
          <w:rFonts w:ascii="Times New Roman" w:hAnsi="Times New Roman" w:cs="Times New Roman"/>
        </w:rPr>
      </w:pPr>
    </w:p>
    <w:p w14:paraId="45C8D3AA" w14:textId="77777777" w:rsidR="0075524C" w:rsidRPr="00C35766" w:rsidRDefault="0075524C" w:rsidP="0075524C">
      <w:pPr>
        <w:pStyle w:val="a3"/>
        <w:rPr>
          <w:u w:val="single" w:color="000000"/>
          <w:lang w:val="it-IT"/>
        </w:rPr>
      </w:pPr>
      <w:r w:rsidRPr="00C35766">
        <w:rPr>
          <w:rFonts w:eastAsia="Times New Roman"/>
          <w:u w:val="single" w:color="000000"/>
          <w:lang w:val="it-IT"/>
        </w:rPr>
        <w:t>Artrite idiopatica giovanile</w:t>
      </w:r>
    </w:p>
    <w:p w14:paraId="446CE88A" w14:textId="77777777" w:rsidR="0075524C" w:rsidRPr="00C35766" w:rsidRDefault="0075524C" w:rsidP="0075524C">
      <w:pPr>
        <w:spacing w:line="180" w:lineRule="exact"/>
        <w:rPr>
          <w:rFonts w:ascii="Times New Roman" w:hAnsi="Times New Roman" w:cs="Times New Roman"/>
          <w:lang w:val="it-IT"/>
        </w:rPr>
      </w:pPr>
    </w:p>
    <w:p w14:paraId="2121D06C" w14:textId="77777777" w:rsidR="0075524C" w:rsidRPr="00C35766" w:rsidRDefault="0075524C" w:rsidP="0075524C">
      <w:pPr>
        <w:rPr>
          <w:rFonts w:ascii="Times New Roman" w:hAnsi="Times New Roman" w:cs="Times New Roman"/>
          <w:lang w:val="it-IT"/>
        </w:rPr>
      </w:pPr>
      <w:r w:rsidRPr="00C35766">
        <w:rPr>
          <w:rFonts w:ascii="Times New Roman" w:eastAsia="Times New Roman" w:hAnsi="Times New Roman" w:cs="Times New Roman"/>
          <w:i/>
          <w:iCs/>
          <w:spacing w:val="-1"/>
          <w:lang w:val="it-IT"/>
        </w:rPr>
        <w:t>Artrite idiopatica giovanile poliarticolare</w:t>
      </w:r>
    </w:p>
    <w:p w14:paraId="2945945B" w14:textId="77777777" w:rsidR="0075524C" w:rsidRPr="00C35766" w:rsidRDefault="0075524C" w:rsidP="0075524C">
      <w:pPr>
        <w:spacing w:line="240" w:lineRule="exact"/>
        <w:rPr>
          <w:rFonts w:ascii="Times New Roman" w:hAnsi="Times New Roman" w:cs="Times New Roman"/>
          <w:lang w:val="it-IT"/>
        </w:rPr>
      </w:pPr>
    </w:p>
    <w:p w14:paraId="6D5927B8" w14:textId="77777777" w:rsidR="0075524C" w:rsidRPr="00C35766" w:rsidRDefault="0075524C" w:rsidP="0075524C">
      <w:pPr>
        <w:pStyle w:val="a3"/>
        <w:rPr>
          <w:lang w:val="it-IT"/>
        </w:rPr>
      </w:pPr>
      <w:r w:rsidRPr="00C35766">
        <w:rPr>
          <w:rFonts w:eastAsia="Times New Roman"/>
          <w:lang w:val="it-IT"/>
        </w:rPr>
        <w:t>Yuflyma in associazione con metotressato è indicato per il trattamento dell’artrite idiopatica giovanile poliarticolare attiva, nei pazienti dai 2 anni di età, che hanno avuto una risposta inadeguata ad uno o più farmaci anti-reumatici modificanti la malattia (DMARD). Yuflyma può essere somministrato come monoterapia in caso di intolleranza al metotressato o quando il trattamento continuato con metotressato non è appropriato (per l’efficacia in monoterapia vedere paragrafo 5.1). Adalimumab non è stato studiato in pazienti di età inferiore a 2 anni.</w:t>
      </w:r>
    </w:p>
    <w:p w14:paraId="1055B4AF" w14:textId="77777777" w:rsidR="0075524C" w:rsidRPr="00C35766" w:rsidRDefault="0075524C" w:rsidP="0075524C">
      <w:pPr>
        <w:spacing w:line="240" w:lineRule="exact"/>
        <w:rPr>
          <w:rFonts w:ascii="Times New Roman" w:hAnsi="Times New Roman" w:cs="Times New Roman"/>
          <w:lang w:val="it-IT"/>
        </w:rPr>
      </w:pPr>
    </w:p>
    <w:p w14:paraId="43015459" w14:textId="77777777" w:rsidR="0075524C" w:rsidRPr="00C35766" w:rsidRDefault="0075524C" w:rsidP="0075524C">
      <w:pPr>
        <w:rPr>
          <w:rFonts w:ascii="Times New Roman" w:hAnsi="Times New Roman" w:cs="Times New Roman"/>
          <w:lang w:val="it-IT"/>
        </w:rPr>
      </w:pPr>
      <w:r w:rsidRPr="00C35766">
        <w:rPr>
          <w:rFonts w:ascii="Times New Roman" w:eastAsia="Times New Roman" w:hAnsi="Times New Roman" w:cs="Times New Roman"/>
          <w:i/>
          <w:iCs/>
          <w:lang w:val="it-IT"/>
        </w:rPr>
        <w:t>Artrite associata ad entesite</w:t>
      </w:r>
    </w:p>
    <w:p w14:paraId="250DABB5" w14:textId="77777777" w:rsidR="0075524C" w:rsidRPr="00C35766" w:rsidRDefault="0075524C" w:rsidP="0075524C">
      <w:pPr>
        <w:spacing w:line="240" w:lineRule="exact"/>
        <w:rPr>
          <w:rFonts w:ascii="Times New Roman" w:hAnsi="Times New Roman" w:cs="Times New Roman"/>
          <w:lang w:val="it-IT"/>
        </w:rPr>
      </w:pPr>
    </w:p>
    <w:p w14:paraId="1880FC46" w14:textId="77777777" w:rsidR="0075524C" w:rsidRPr="00C35766" w:rsidRDefault="0075524C" w:rsidP="0075524C">
      <w:pPr>
        <w:pStyle w:val="a3"/>
        <w:rPr>
          <w:lang w:val="it-IT"/>
        </w:rPr>
      </w:pPr>
      <w:r w:rsidRPr="00C35766">
        <w:rPr>
          <w:rFonts w:eastAsia="Times New Roman"/>
          <w:lang w:val="it-IT"/>
        </w:rPr>
        <w:t>Yuflyma è indicato per il trattamento delle forme attive di artrite associata a entesite, nei pazienti dai 6 anni di età che hanno avuto una risposta inadeguata o che sono intolleranti alla terapia convenzionale (vedere paragrafo 5.1).</w:t>
      </w:r>
    </w:p>
    <w:p w14:paraId="275AC1C7" w14:textId="77777777" w:rsidR="0075524C" w:rsidRPr="00C35766" w:rsidRDefault="0075524C" w:rsidP="0075524C">
      <w:pPr>
        <w:spacing w:line="240" w:lineRule="exact"/>
        <w:rPr>
          <w:rFonts w:ascii="Times New Roman" w:hAnsi="Times New Roman" w:cs="Times New Roman"/>
          <w:lang w:val="it-IT"/>
        </w:rPr>
      </w:pPr>
    </w:p>
    <w:p w14:paraId="4FC983C6" w14:textId="77777777" w:rsidR="0075524C" w:rsidRPr="006501B3" w:rsidRDefault="0075524C" w:rsidP="0075524C">
      <w:pPr>
        <w:pStyle w:val="a3"/>
        <w:rPr>
          <w:u w:val="single"/>
          <w:lang w:val="it-IT"/>
        </w:rPr>
      </w:pPr>
      <w:r w:rsidRPr="00C35766">
        <w:rPr>
          <w:rFonts w:eastAsia="Times New Roman"/>
          <w:u w:val="single" w:color="000000"/>
          <w:lang w:val="it-IT"/>
        </w:rPr>
        <w:t>Psoriasi a placche pediatrica</w:t>
      </w:r>
    </w:p>
    <w:p w14:paraId="00D11701" w14:textId="77777777" w:rsidR="0075524C" w:rsidRPr="006501B3" w:rsidRDefault="0075524C" w:rsidP="0075524C">
      <w:pPr>
        <w:spacing w:line="180" w:lineRule="exact"/>
        <w:rPr>
          <w:rFonts w:ascii="Times New Roman" w:hAnsi="Times New Roman" w:cs="Times New Roman"/>
          <w:lang w:val="it-IT"/>
        </w:rPr>
      </w:pPr>
    </w:p>
    <w:p w14:paraId="706C2D32" w14:textId="77777777" w:rsidR="0075524C" w:rsidRPr="006501B3" w:rsidRDefault="0075524C" w:rsidP="0075524C">
      <w:pPr>
        <w:pStyle w:val="a3"/>
        <w:rPr>
          <w:lang w:val="it-IT"/>
        </w:rPr>
      </w:pPr>
      <w:r w:rsidRPr="00C35766">
        <w:rPr>
          <w:rFonts w:eastAsia="Times New Roman"/>
          <w:lang w:val="it-IT"/>
        </w:rPr>
        <w:t>Yuflyma è indicato per il trattamento della psoriasi cronica a placche severa in bambini e adolescenti dai 4 anni di età che abbiano avuto una risposta inadeguata, o siano candidati inappropriati alla terapia topica e alle fototerapie.</w:t>
      </w:r>
    </w:p>
    <w:p w14:paraId="010EBAF9" w14:textId="77777777" w:rsidR="0075524C" w:rsidRPr="006501B3" w:rsidRDefault="0075524C" w:rsidP="0075524C">
      <w:pPr>
        <w:spacing w:line="240" w:lineRule="exact"/>
        <w:rPr>
          <w:rFonts w:ascii="Times New Roman" w:hAnsi="Times New Roman" w:cs="Times New Roman"/>
          <w:lang w:val="it-IT"/>
        </w:rPr>
      </w:pPr>
    </w:p>
    <w:p w14:paraId="3A662B6C" w14:textId="77777777" w:rsidR="0075524C" w:rsidRPr="006501B3" w:rsidRDefault="0075524C" w:rsidP="0075524C">
      <w:pPr>
        <w:pStyle w:val="a3"/>
        <w:rPr>
          <w:u w:val="single"/>
          <w:lang w:val="it-IT"/>
        </w:rPr>
      </w:pPr>
      <w:r w:rsidRPr="00C35766">
        <w:rPr>
          <w:rFonts w:eastAsia="Times New Roman"/>
          <w:u w:val="single" w:color="000000"/>
          <w:lang w:val="it-IT"/>
        </w:rPr>
        <w:t>Malattia di Crohn in pazienti pediatrici</w:t>
      </w:r>
    </w:p>
    <w:p w14:paraId="7C9CA60C" w14:textId="77777777" w:rsidR="0075524C" w:rsidRPr="006501B3" w:rsidRDefault="0075524C" w:rsidP="0075524C">
      <w:pPr>
        <w:spacing w:line="170" w:lineRule="exact"/>
        <w:rPr>
          <w:rFonts w:ascii="Times New Roman" w:hAnsi="Times New Roman" w:cs="Times New Roman"/>
          <w:lang w:val="it-IT"/>
        </w:rPr>
      </w:pPr>
    </w:p>
    <w:p w14:paraId="209B1611" w14:textId="77777777" w:rsidR="0075524C" w:rsidRPr="006501B3" w:rsidRDefault="0075524C" w:rsidP="0075524C">
      <w:pPr>
        <w:pStyle w:val="a3"/>
        <w:rPr>
          <w:lang w:val="it-IT"/>
        </w:rPr>
      </w:pPr>
      <w:r w:rsidRPr="00C35766">
        <w:rPr>
          <w:rFonts w:eastAsia="Times New Roman"/>
          <w:lang w:val="it-IT"/>
        </w:rPr>
        <w:t>Yuflyma è indicato nel trattamento della malattia di Crohn attiva di grado da moderato a severo nei pazienti pediatrici (dai 6 anni di età) che hanno avuto una risposta inadeguata alla terapia convenzionale, inclusa la terapia nutrizionale primaria e a una terapia a base di un corticosteroide e/o di un immunomodulatore, o che sono intolleranti o hanno controindicazioni a tali terapie.</w:t>
      </w:r>
    </w:p>
    <w:p w14:paraId="78AA5FD1" w14:textId="77777777" w:rsidR="0075524C" w:rsidRPr="006501B3" w:rsidRDefault="0075524C" w:rsidP="0075524C">
      <w:pPr>
        <w:spacing w:line="240" w:lineRule="exact"/>
        <w:rPr>
          <w:rFonts w:ascii="Times New Roman" w:hAnsi="Times New Roman" w:cs="Times New Roman"/>
          <w:lang w:val="it-IT"/>
        </w:rPr>
      </w:pPr>
    </w:p>
    <w:p w14:paraId="3399D7BA" w14:textId="77777777" w:rsidR="0075524C" w:rsidRPr="006501B3" w:rsidRDefault="0075524C" w:rsidP="0075524C">
      <w:pPr>
        <w:pStyle w:val="a3"/>
        <w:rPr>
          <w:u w:val="single"/>
          <w:lang w:val="it-IT"/>
        </w:rPr>
      </w:pPr>
      <w:r w:rsidRPr="00C35766">
        <w:rPr>
          <w:rFonts w:eastAsia="Times New Roman"/>
          <w:u w:val="single" w:color="000000"/>
          <w:lang w:val="it-IT"/>
        </w:rPr>
        <w:t>Uveite pediatrica</w:t>
      </w:r>
    </w:p>
    <w:p w14:paraId="2FF5C07B" w14:textId="77777777" w:rsidR="0075524C" w:rsidRPr="006501B3" w:rsidRDefault="0075524C" w:rsidP="0075524C">
      <w:pPr>
        <w:spacing w:line="180" w:lineRule="exact"/>
        <w:rPr>
          <w:rFonts w:ascii="Times New Roman" w:hAnsi="Times New Roman" w:cs="Times New Roman"/>
          <w:lang w:val="it-IT"/>
        </w:rPr>
      </w:pPr>
    </w:p>
    <w:p w14:paraId="01E5F439" w14:textId="77777777" w:rsidR="0075524C" w:rsidRPr="006501B3" w:rsidRDefault="0075524C" w:rsidP="0075524C">
      <w:pPr>
        <w:pStyle w:val="a3"/>
        <w:rPr>
          <w:lang w:val="it-IT"/>
        </w:rPr>
      </w:pPr>
      <w:r w:rsidRPr="00C35766">
        <w:rPr>
          <w:rFonts w:eastAsia="Times New Roman"/>
          <w:lang w:val="it-IT"/>
        </w:rPr>
        <w:t>Yuflyma è indicato per il trattamento dell’uveite anteriore pediatrica cronica non infettiva nei pazienti dai 2 anni di età che hanno avuto una risposta inadeguata o sono intolleranti alla terapia convenzionale o per i quali la terapia convenzionale non è appropriata.</w:t>
      </w:r>
    </w:p>
    <w:p w14:paraId="6DD6D165" w14:textId="77777777" w:rsidR="0075524C" w:rsidRPr="006501B3" w:rsidRDefault="0075524C" w:rsidP="0075524C">
      <w:pPr>
        <w:spacing w:before="15" w:line="240" w:lineRule="exact"/>
        <w:rPr>
          <w:rFonts w:ascii="Times New Roman" w:hAnsi="Times New Roman" w:cs="Times New Roman"/>
          <w:lang w:val="it-IT"/>
        </w:rPr>
      </w:pPr>
    </w:p>
    <w:p w14:paraId="652C13B7"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Posologia e modo di somministrazione</w:t>
      </w:r>
    </w:p>
    <w:p w14:paraId="66FD4658" w14:textId="77777777" w:rsidR="0075524C" w:rsidRPr="00C35766" w:rsidRDefault="0075524C" w:rsidP="0075524C">
      <w:pPr>
        <w:spacing w:before="9" w:line="240" w:lineRule="exact"/>
        <w:rPr>
          <w:rFonts w:ascii="Times New Roman" w:hAnsi="Times New Roman" w:cs="Times New Roman"/>
        </w:rPr>
      </w:pPr>
    </w:p>
    <w:p w14:paraId="1D808945" w14:textId="77777777" w:rsidR="0075524C" w:rsidRPr="00C35766" w:rsidRDefault="0075524C" w:rsidP="0075524C">
      <w:pPr>
        <w:pStyle w:val="a3"/>
        <w:rPr>
          <w:lang w:val="it-IT"/>
        </w:rPr>
      </w:pPr>
      <w:r w:rsidRPr="00C35766">
        <w:rPr>
          <w:rFonts w:eastAsia="Times New Roman"/>
          <w:lang w:val="it-IT"/>
        </w:rPr>
        <w:t>La terapia con Yuflyma deve essere iniziata e monitorata da medici specialisti con esperienza nella diagnosi e nel trattamento delle patologie per cui Yuflyma è indicato. Gli oculisti sono invitati a consultare uno specialista appropriato prima di iniziare il trattamento con Yuflyma (vedere paragrafo 4.4). Ai pazienti trattati con Yuflyma deve essere consegnata una Scheda Promemoria per il Paziente.</w:t>
      </w:r>
    </w:p>
    <w:p w14:paraId="671ED3BC" w14:textId="77777777" w:rsidR="0075524C" w:rsidRPr="00C35766" w:rsidRDefault="0075524C" w:rsidP="0075524C">
      <w:pPr>
        <w:spacing w:line="240" w:lineRule="exact"/>
        <w:rPr>
          <w:rFonts w:ascii="Times New Roman" w:hAnsi="Times New Roman" w:cs="Times New Roman"/>
          <w:lang w:val="it-IT"/>
        </w:rPr>
      </w:pPr>
    </w:p>
    <w:p w14:paraId="24ADD1ED" w14:textId="77777777" w:rsidR="0075524C" w:rsidRPr="00C35766" w:rsidRDefault="0075524C" w:rsidP="0075524C">
      <w:pPr>
        <w:pStyle w:val="a3"/>
        <w:rPr>
          <w:lang w:val="it-IT"/>
        </w:rPr>
      </w:pPr>
      <w:r w:rsidRPr="00C35766">
        <w:rPr>
          <w:rFonts w:eastAsia="Times New Roman"/>
          <w:lang w:val="it-IT"/>
        </w:rPr>
        <w:t>Dopo adeguate istruzioni sulla tecnica di iniezione di Yuflyma, i pazienti possono eseguire da soli l’iniezione, se il medico lo ritiene opportuno, e con controlli medici periodici, secondo necessità.</w:t>
      </w:r>
    </w:p>
    <w:p w14:paraId="3B5B49E3" w14:textId="77777777" w:rsidR="0075524C" w:rsidRPr="00C35766" w:rsidRDefault="0075524C" w:rsidP="0075524C">
      <w:pPr>
        <w:spacing w:line="240" w:lineRule="exact"/>
        <w:rPr>
          <w:rFonts w:ascii="Times New Roman" w:hAnsi="Times New Roman" w:cs="Times New Roman"/>
          <w:lang w:val="it-IT"/>
        </w:rPr>
      </w:pPr>
    </w:p>
    <w:p w14:paraId="382E6CAC" w14:textId="77777777" w:rsidR="0075524C" w:rsidRPr="00C35766" w:rsidRDefault="0075524C" w:rsidP="0075524C">
      <w:pPr>
        <w:pStyle w:val="a3"/>
        <w:rPr>
          <w:lang w:val="pt-BR"/>
        </w:rPr>
      </w:pPr>
      <w:r w:rsidRPr="00C35766">
        <w:rPr>
          <w:rFonts w:eastAsia="Times New Roman"/>
          <w:lang w:val="it-IT"/>
        </w:rPr>
        <w:t>Durante il trattamento con Yuflyma, le altre terapie concomitanti (per esempio i corticosteroidi e/o gli agenti immunomodulatori) devono essere ottimizzate.</w:t>
      </w:r>
    </w:p>
    <w:p w14:paraId="680BC8D7" w14:textId="77777777" w:rsidR="0075524C" w:rsidRPr="00C35766" w:rsidRDefault="0075524C" w:rsidP="0075524C">
      <w:pPr>
        <w:pStyle w:val="a3"/>
        <w:rPr>
          <w:lang w:val="pt-BR"/>
        </w:rPr>
      </w:pPr>
    </w:p>
    <w:p w14:paraId="182DD786" w14:textId="056009FE" w:rsidR="0075524C" w:rsidRDefault="0075524C" w:rsidP="005C2D5B">
      <w:pPr>
        <w:pStyle w:val="a3"/>
        <w:rPr>
          <w:lang w:val="it-IT"/>
        </w:rPr>
      </w:pPr>
      <w:r w:rsidRPr="00C35766">
        <w:rPr>
          <w:rFonts w:eastAsia="Times New Roman"/>
          <w:u w:val="single" w:color="000000"/>
          <w:lang w:val="it-IT"/>
        </w:rPr>
        <w:t>Posologia</w:t>
      </w:r>
    </w:p>
    <w:p w14:paraId="0248F26A" w14:textId="77777777" w:rsidR="006C75A1" w:rsidRPr="00C35766" w:rsidRDefault="006C75A1" w:rsidP="005C2D5B">
      <w:pPr>
        <w:spacing w:line="240" w:lineRule="exact"/>
        <w:rPr>
          <w:rFonts w:ascii="Times New Roman" w:hAnsi="Times New Roman" w:cs="Times New Roman"/>
          <w:lang w:val="it-IT"/>
        </w:rPr>
      </w:pPr>
    </w:p>
    <w:p w14:paraId="6F167742" w14:textId="77777777" w:rsidR="0075524C" w:rsidRPr="00824699" w:rsidRDefault="0075524C" w:rsidP="0075524C">
      <w:pPr>
        <w:pStyle w:val="a3"/>
        <w:rPr>
          <w:lang w:val="it-IT"/>
        </w:rPr>
      </w:pPr>
      <w:r w:rsidRPr="00824699">
        <w:rPr>
          <w:rFonts w:eastAsia="Times New Roman"/>
          <w:lang w:val="it-IT"/>
        </w:rPr>
        <w:t>Popolazione pediatrica</w:t>
      </w:r>
    </w:p>
    <w:p w14:paraId="0B0AB1B3" w14:textId="77777777" w:rsidR="0075524C" w:rsidRPr="00C35766" w:rsidRDefault="0075524C" w:rsidP="0075524C">
      <w:pPr>
        <w:pStyle w:val="a3"/>
        <w:rPr>
          <w:lang w:val="it-IT"/>
        </w:rPr>
      </w:pPr>
    </w:p>
    <w:p w14:paraId="344FE530" w14:textId="77777777" w:rsidR="0075524C" w:rsidRPr="00C35766" w:rsidRDefault="0075524C" w:rsidP="0075524C">
      <w:pPr>
        <w:spacing w:line="480" w:lineRule="auto"/>
        <w:rPr>
          <w:rFonts w:ascii="Times New Roman" w:eastAsia="Times New Roman" w:hAnsi="Times New Roman" w:cs="Times New Roman"/>
          <w:i/>
          <w:spacing w:val="-1"/>
          <w:lang w:val="it-IT"/>
        </w:rPr>
      </w:pPr>
      <w:r w:rsidRPr="00C35766">
        <w:rPr>
          <w:rFonts w:ascii="Times New Roman" w:eastAsia="Times New Roman" w:hAnsi="Times New Roman" w:cs="Times New Roman"/>
          <w:i/>
          <w:iCs/>
          <w:spacing w:val="-1"/>
          <w:lang w:val="it-IT"/>
        </w:rPr>
        <w:t>Artrite idiopatica giovanile</w:t>
      </w:r>
    </w:p>
    <w:p w14:paraId="78182F03" w14:textId="77777777" w:rsidR="0075524C" w:rsidRPr="00C35766" w:rsidRDefault="0075524C" w:rsidP="0075524C">
      <w:pPr>
        <w:spacing w:line="480" w:lineRule="auto"/>
        <w:rPr>
          <w:rFonts w:ascii="Times New Roman" w:eastAsia="Times New Roman" w:hAnsi="Times New Roman" w:cs="Times New Roman"/>
          <w:lang w:val="pt-BR"/>
        </w:rPr>
      </w:pPr>
      <w:r w:rsidRPr="00C35766">
        <w:rPr>
          <w:rFonts w:ascii="Times New Roman" w:eastAsia="Times New Roman" w:hAnsi="Times New Roman" w:cs="Times New Roman"/>
          <w:i/>
          <w:iCs/>
          <w:spacing w:val="-1"/>
          <w:u w:val="single" w:color="000000"/>
          <w:lang w:val="it-IT"/>
        </w:rPr>
        <w:t>Artrite idiopatica giovanile poliarticolare da 2 anni di età</w:t>
      </w:r>
    </w:p>
    <w:p w14:paraId="52D0785B" w14:textId="77777777" w:rsidR="0075524C" w:rsidRPr="00C35766" w:rsidRDefault="0075524C" w:rsidP="0075524C">
      <w:pPr>
        <w:pStyle w:val="a3"/>
        <w:rPr>
          <w:lang w:val="it-IT"/>
        </w:rPr>
      </w:pPr>
      <w:r w:rsidRPr="00C35766">
        <w:rPr>
          <w:rFonts w:eastAsia="Times New Roman"/>
          <w:lang w:val="it-IT"/>
        </w:rPr>
        <w:t>La dose raccomandata di Yuflyma per pazienti con artrite idiopatica giovanile poliarticolare da 2 anni di età è basata sul peso corporeo (Tabella 1). Yuflyma è somministrato a settimane alterne tramite iniezione sottocutanea.</w:t>
      </w:r>
    </w:p>
    <w:p w14:paraId="22A6150D" w14:textId="77777777" w:rsidR="0075524C" w:rsidRPr="00C35766" w:rsidRDefault="0075524C" w:rsidP="0075524C">
      <w:pPr>
        <w:pStyle w:val="a3"/>
        <w:rPr>
          <w:lang w:val="it-IT"/>
        </w:rPr>
      </w:pPr>
    </w:p>
    <w:p w14:paraId="58824CF7" w14:textId="77777777" w:rsidR="0075524C" w:rsidRPr="00C35766" w:rsidRDefault="0075524C" w:rsidP="0075524C">
      <w:pPr>
        <w:pStyle w:val="a3"/>
        <w:keepNext/>
        <w:jc w:val="center"/>
        <w:rPr>
          <w:b/>
          <w:lang w:val="it-IT"/>
        </w:rPr>
      </w:pPr>
      <w:r w:rsidRPr="00C35766">
        <w:rPr>
          <w:rFonts w:eastAsia="Times New Roman"/>
          <w:b/>
          <w:bCs/>
          <w:lang w:val="it-IT"/>
        </w:rPr>
        <w:t>Tabella 1 Dose di Yuflyma per pazienti con artrite idiopatica giovanile poliarticolare</w:t>
      </w:r>
    </w:p>
    <w:p w14:paraId="19CF973E" w14:textId="77777777" w:rsidR="0075524C" w:rsidRPr="00C35766" w:rsidRDefault="0075524C" w:rsidP="0075524C">
      <w:pPr>
        <w:pStyle w:val="a3"/>
        <w:keepNext/>
        <w:rPr>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75524C" w:rsidRPr="00C35766" w14:paraId="1396BBC0" w14:textId="77777777" w:rsidTr="00603A86">
        <w:trPr>
          <w:trHeight w:val="388"/>
          <w:jc w:val="center"/>
        </w:trPr>
        <w:tc>
          <w:tcPr>
            <w:tcW w:w="3271" w:type="dxa"/>
            <w:tcBorders>
              <w:top w:val="single" w:sz="4" w:space="0" w:color="auto"/>
              <w:bottom w:val="single" w:sz="4" w:space="0" w:color="auto"/>
            </w:tcBorders>
            <w:vAlign w:val="center"/>
          </w:tcPr>
          <w:p w14:paraId="4BE9F47F" w14:textId="77777777" w:rsidR="0075524C" w:rsidRPr="00C35766" w:rsidRDefault="0075524C" w:rsidP="00603A86">
            <w:pPr>
              <w:pStyle w:val="a3"/>
              <w:jc w:val="center"/>
              <w:rPr>
                <w:b/>
              </w:rPr>
            </w:pPr>
            <w:r w:rsidRPr="00C35766">
              <w:rPr>
                <w:rFonts w:eastAsia="Times New Roman"/>
                <w:b/>
                <w:bCs/>
                <w:lang w:val="it-IT"/>
              </w:rPr>
              <w:t>Peso del paziente</w:t>
            </w:r>
          </w:p>
        </w:tc>
        <w:tc>
          <w:tcPr>
            <w:tcW w:w="3271" w:type="dxa"/>
            <w:tcBorders>
              <w:top w:val="single" w:sz="4" w:space="0" w:color="auto"/>
              <w:bottom w:val="single" w:sz="4" w:space="0" w:color="auto"/>
            </w:tcBorders>
            <w:vAlign w:val="center"/>
          </w:tcPr>
          <w:p w14:paraId="69559735" w14:textId="77777777" w:rsidR="0075524C" w:rsidRPr="00C35766" w:rsidRDefault="0075524C" w:rsidP="00603A86">
            <w:pPr>
              <w:pStyle w:val="a3"/>
              <w:jc w:val="center"/>
              <w:rPr>
                <w:b/>
              </w:rPr>
            </w:pPr>
            <w:r w:rsidRPr="00C35766">
              <w:rPr>
                <w:rFonts w:eastAsia="Times New Roman"/>
                <w:b/>
                <w:bCs/>
                <w:lang w:val="it-IT"/>
              </w:rPr>
              <w:t>Schema posologico</w:t>
            </w:r>
          </w:p>
        </w:tc>
      </w:tr>
      <w:tr w:rsidR="006C75A1" w:rsidRPr="00C35766" w14:paraId="28CFC4AC" w14:textId="77777777" w:rsidTr="00603A86">
        <w:trPr>
          <w:trHeight w:val="403"/>
          <w:jc w:val="center"/>
        </w:trPr>
        <w:tc>
          <w:tcPr>
            <w:tcW w:w="3271" w:type="dxa"/>
            <w:tcBorders>
              <w:top w:val="single" w:sz="4" w:space="0" w:color="auto"/>
              <w:bottom w:val="single" w:sz="4" w:space="0" w:color="auto"/>
            </w:tcBorders>
            <w:vAlign w:val="center"/>
          </w:tcPr>
          <w:p w14:paraId="18AD7305" w14:textId="77777777" w:rsidR="006C75A1" w:rsidRPr="00C35766" w:rsidRDefault="006C75A1" w:rsidP="006C75A1">
            <w:pPr>
              <w:pStyle w:val="a3"/>
              <w:jc w:val="center"/>
            </w:pPr>
            <w:r w:rsidRPr="00C35766">
              <w:rPr>
                <w:rFonts w:eastAsia="Times New Roman"/>
                <w:lang w:val="it-IT"/>
              </w:rPr>
              <w:t>10 kg fino a &lt; 30 kg</w:t>
            </w:r>
          </w:p>
        </w:tc>
        <w:tc>
          <w:tcPr>
            <w:tcW w:w="3271" w:type="dxa"/>
            <w:tcBorders>
              <w:top w:val="single" w:sz="4" w:space="0" w:color="auto"/>
              <w:bottom w:val="single" w:sz="4" w:space="0" w:color="auto"/>
            </w:tcBorders>
            <w:vAlign w:val="center"/>
          </w:tcPr>
          <w:p w14:paraId="5122381E" w14:textId="3B06F621" w:rsidR="006C75A1" w:rsidRPr="00C35766" w:rsidRDefault="006C75A1" w:rsidP="006C75A1">
            <w:pPr>
              <w:pStyle w:val="a3"/>
              <w:jc w:val="center"/>
            </w:pPr>
            <w:r>
              <w:rPr>
                <w:rFonts w:eastAsia="Times New Roman"/>
                <w:lang w:val="it-IT"/>
              </w:rPr>
              <w:t>20</w:t>
            </w:r>
            <w:r w:rsidRPr="00C35766">
              <w:rPr>
                <w:rFonts w:eastAsia="Times New Roman"/>
                <w:lang w:val="it-IT"/>
              </w:rPr>
              <w:t xml:space="preserve"> mg a settimane alterne</w:t>
            </w:r>
          </w:p>
        </w:tc>
      </w:tr>
      <w:tr w:rsidR="006C75A1" w:rsidRPr="00C35766" w14:paraId="5961AD3A" w14:textId="77777777" w:rsidTr="00603A86">
        <w:trPr>
          <w:trHeight w:val="388"/>
          <w:jc w:val="center"/>
        </w:trPr>
        <w:tc>
          <w:tcPr>
            <w:tcW w:w="3271" w:type="dxa"/>
            <w:tcBorders>
              <w:top w:val="single" w:sz="4" w:space="0" w:color="auto"/>
              <w:bottom w:val="single" w:sz="4" w:space="0" w:color="auto"/>
            </w:tcBorders>
            <w:vAlign w:val="center"/>
          </w:tcPr>
          <w:p w14:paraId="45B8B1EE" w14:textId="77777777" w:rsidR="006C75A1" w:rsidRPr="00C35766" w:rsidRDefault="006C75A1" w:rsidP="006C75A1">
            <w:pPr>
              <w:pStyle w:val="a3"/>
              <w:jc w:val="center"/>
            </w:pPr>
            <w:r w:rsidRPr="00C35766">
              <w:rPr>
                <w:rFonts w:eastAsia="Times New Roman"/>
                <w:lang w:val="it-IT"/>
              </w:rPr>
              <w:t>≥ 30 kg</w:t>
            </w:r>
          </w:p>
        </w:tc>
        <w:tc>
          <w:tcPr>
            <w:tcW w:w="3271" w:type="dxa"/>
            <w:tcBorders>
              <w:top w:val="single" w:sz="4" w:space="0" w:color="auto"/>
              <w:bottom w:val="single" w:sz="4" w:space="0" w:color="auto"/>
            </w:tcBorders>
            <w:vAlign w:val="center"/>
          </w:tcPr>
          <w:p w14:paraId="598EE12F" w14:textId="77777777" w:rsidR="006C75A1" w:rsidRPr="00C35766" w:rsidRDefault="006C75A1" w:rsidP="006C75A1">
            <w:pPr>
              <w:pStyle w:val="a3"/>
              <w:jc w:val="center"/>
            </w:pPr>
            <w:r w:rsidRPr="00C35766">
              <w:rPr>
                <w:rFonts w:eastAsia="Times New Roman"/>
                <w:lang w:val="it-IT"/>
              </w:rPr>
              <w:t>40 mg a settimane alterne</w:t>
            </w:r>
          </w:p>
        </w:tc>
      </w:tr>
    </w:tbl>
    <w:p w14:paraId="0324E518" w14:textId="77777777" w:rsidR="0075524C" w:rsidRPr="00C35766" w:rsidRDefault="0075524C" w:rsidP="0075524C">
      <w:pPr>
        <w:pStyle w:val="a3"/>
        <w:rPr>
          <w:lang w:val="pt-BR"/>
        </w:rPr>
      </w:pPr>
    </w:p>
    <w:p w14:paraId="397583CA" w14:textId="6CC318D5" w:rsidR="0075524C" w:rsidRPr="00C35766" w:rsidRDefault="0075524C" w:rsidP="0075524C">
      <w:pPr>
        <w:pStyle w:val="a3"/>
        <w:rPr>
          <w:lang w:val="pt-BR"/>
        </w:rPr>
      </w:pPr>
      <w:r w:rsidRPr="00C35766">
        <w:rPr>
          <w:rFonts w:eastAsia="Times New Roman"/>
          <w:lang w:val="it-IT"/>
        </w:rPr>
        <w:t xml:space="preserve">I dati disponibili suggeriscono che la risposta clinica viene di solito ottenuta entro 12 settimane di trattamento. Il proseguimento della terapia deve essere attentamente valutato </w:t>
      </w:r>
      <w:r w:rsidR="0076212A">
        <w:rPr>
          <w:rFonts w:eastAsia="Times New Roman"/>
          <w:lang w:val="it-IT"/>
        </w:rPr>
        <w:t>ne</w:t>
      </w:r>
      <w:r w:rsidRPr="00C35766">
        <w:rPr>
          <w:rFonts w:eastAsia="Times New Roman"/>
          <w:lang w:val="it-IT"/>
        </w:rPr>
        <w:t xml:space="preserve">i pazienti </w:t>
      </w:r>
      <w:r w:rsidR="0076212A">
        <w:rPr>
          <w:rFonts w:eastAsia="Times New Roman"/>
          <w:lang w:val="it-IT"/>
        </w:rPr>
        <w:t xml:space="preserve">che </w:t>
      </w:r>
      <w:r w:rsidRPr="00C35766">
        <w:rPr>
          <w:rFonts w:eastAsia="Times New Roman"/>
          <w:lang w:val="it-IT"/>
        </w:rPr>
        <w:t>non rispond</w:t>
      </w:r>
      <w:r w:rsidR="0076212A">
        <w:rPr>
          <w:rFonts w:eastAsia="Times New Roman"/>
          <w:lang w:val="it-IT"/>
        </w:rPr>
        <w:t>o</w:t>
      </w:r>
      <w:r w:rsidRPr="00C35766">
        <w:rPr>
          <w:rFonts w:eastAsia="Times New Roman"/>
          <w:lang w:val="it-IT"/>
        </w:rPr>
        <w:t>no in modo soddisfacente entro tale periodo.</w:t>
      </w:r>
    </w:p>
    <w:p w14:paraId="6C4DAD75" w14:textId="77777777" w:rsidR="0075524C" w:rsidRPr="00C35766" w:rsidRDefault="0075524C" w:rsidP="0075524C">
      <w:pPr>
        <w:pStyle w:val="a3"/>
        <w:rPr>
          <w:lang w:val="pt-BR"/>
        </w:rPr>
      </w:pPr>
    </w:p>
    <w:p w14:paraId="7B044082" w14:textId="77777777" w:rsidR="0075524C" w:rsidRPr="00C35766" w:rsidRDefault="0075524C" w:rsidP="0075524C">
      <w:pPr>
        <w:pStyle w:val="a3"/>
        <w:rPr>
          <w:lang w:val="pt-BR"/>
        </w:rPr>
      </w:pPr>
      <w:r w:rsidRPr="00C35766">
        <w:rPr>
          <w:rFonts w:eastAsia="Times New Roman"/>
          <w:lang w:val="it-IT"/>
        </w:rPr>
        <w:t>Non c’è un uso rilevante di adalimumab nei pazienti di età inferiore ai 2 anni per questa indicazione.</w:t>
      </w:r>
    </w:p>
    <w:p w14:paraId="6D2BC7B7" w14:textId="38729641" w:rsidR="0075524C" w:rsidRDefault="0075524C" w:rsidP="0075524C">
      <w:pPr>
        <w:pStyle w:val="a3"/>
        <w:ind w:right="203"/>
        <w:rPr>
          <w:lang w:val="pt-BR"/>
        </w:rPr>
      </w:pPr>
    </w:p>
    <w:p w14:paraId="1EFB06D8" w14:textId="7B255DE8" w:rsidR="006C75A1" w:rsidRDefault="005C2D5B" w:rsidP="0075524C">
      <w:pPr>
        <w:pStyle w:val="a3"/>
        <w:ind w:right="203"/>
        <w:rPr>
          <w:lang w:val="pt-BR"/>
        </w:rPr>
      </w:pPr>
      <w:r w:rsidRPr="00824699">
        <w:rPr>
          <w:lang w:val="it-IT"/>
        </w:rPr>
        <w:t>Yuflyma</w:t>
      </w:r>
      <w:r w:rsidR="006C75A1" w:rsidRPr="00824699">
        <w:rPr>
          <w:lang w:val="it-IT"/>
        </w:rPr>
        <w:t xml:space="preserve"> può essere disponibile in altr</w:t>
      </w:r>
      <w:r w:rsidR="0076212A">
        <w:rPr>
          <w:lang w:val="it-IT"/>
        </w:rPr>
        <w:t>i</w:t>
      </w:r>
      <w:r w:rsidR="006C75A1" w:rsidRPr="00824699">
        <w:rPr>
          <w:lang w:val="it-IT"/>
        </w:rPr>
        <w:t xml:space="preserve"> </w:t>
      </w:r>
      <w:r w:rsidR="0076212A">
        <w:rPr>
          <w:lang w:val="it-IT"/>
        </w:rPr>
        <w:t xml:space="preserve">dosaggi </w:t>
      </w:r>
      <w:r w:rsidR="006C75A1" w:rsidRPr="00824699">
        <w:rPr>
          <w:lang w:val="it-IT"/>
        </w:rPr>
        <w:t>e/o presentazioni a seconda delle necessità individuali di trattamento.</w:t>
      </w:r>
    </w:p>
    <w:p w14:paraId="4185454C" w14:textId="77777777" w:rsidR="006C75A1" w:rsidRPr="00C35766" w:rsidRDefault="006C75A1" w:rsidP="0075524C">
      <w:pPr>
        <w:pStyle w:val="a3"/>
        <w:ind w:right="203"/>
        <w:rPr>
          <w:lang w:val="pt-BR"/>
        </w:rPr>
      </w:pPr>
    </w:p>
    <w:p w14:paraId="4399A780" w14:textId="77777777" w:rsidR="0075524C" w:rsidRPr="00C35766" w:rsidRDefault="0075524C" w:rsidP="0075524C">
      <w:pPr>
        <w:rPr>
          <w:rFonts w:ascii="Times New Roman" w:eastAsia="Times New Roman" w:hAnsi="Times New Roman" w:cs="Times New Roman"/>
          <w:lang w:val="pt-BR"/>
        </w:rPr>
      </w:pPr>
      <w:r w:rsidRPr="00C35766">
        <w:rPr>
          <w:rFonts w:ascii="Times New Roman" w:eastAsia="Times New Roman" w:hAnsi="Times New Roman" w:cs="Times New Roman"/>
          <w:i/>
          <w:iCs/>
          <w:u w:val="single" w:color="000000"/>
          <w:lang w:val="it-IT"/>
        </w:rPr>
        <w:t>Artrite associata ad entesite</w:t>
      </w:r>
    </w:p>
    <w:p w14:paraId="78BBA241" w14:textId="77777777" w:rsidR="0075524C" w:rsidRPr="00C35766" w:rsidRDefault="0075524C" w:rsidP="0075524C">
      <w:pPr>
        <w:spacing w:before="9" w:line="170" w:lineRule="exact"/>
        <w:rPr>
          <w:rFonts w:ascii="Times New Roman" w:hAnsi="Times New Roman" w:cs="Times New Roman"/>
          <w:sz w:val="17"/>
          <w:szCs w:val="17"/>
          <w:lang w:val="pt-BR"/>
        </w:rPr>
      </w:pPr>
    </w:p>
    <w:p w14:paraId="514C7FC3" w14:textId="77777777" w:rsidR="0075524C" w:rsidRPr="00C35766" w:rsidRDefault="0075524C" w:rsidP="0075524C">
      <w:pPr>
        <w:pStyle w:val="a3"/>
        <w:rPr>
          <w:lang w:val="it-IT"/>
        </w:rPr>
      </w:pPr>
      <w:r w:rsidRPr="00C35766">
        <w:rPr>
          <w:rFonts w:eastAsia="Times New Roman"/>
          <w:lang w:val="it-IT"/>
        </w:rPr>
        <w:t>La dose raccomandata di Yuflyma nei pazienti con artrite associata ad entesite, dai 6 anni in poi, è basata sul peso corporeo (Tabella 2). Yuflyma è somministrato a settimane alterne tramite iniezione sottocutanea.</w:t>
      </w:r>
    </w:p>
    <w:p w14:paraId="7ECE4842" w14:textId="77777777" w:rsidR="0075524C" w:rsidRPr="00C35766" w:rsidRDefault="0075524C" w:rsidP="0075524C">
      <w:pPr>
        <w:pStyle w:val="a3"/>
        <w:rPr>
          <w:lang w:val="it-IT"/>
        </w:rPr>
      </w:pPr>
    </w:p>
    <w:p w14:paraId="4AB705CF" w14:textId="77777777" w:rsidR="0075524C" w:rsidRPr="00C35766" w:rsidRDefault="0075524C" w:rsidP="0075524C">
      <w:pPr>
        <w:pStyle w:val="a3"/>
        <w:jc w:val="center"/>
        <w:rPr>
          <w:b/>
          <w:lang w:val="it-IT"/>
        </w:rPr>
      </w:pPr>
      <w:r w:rsidRPr="00C35766">
        <w:rPr>
          <w:rFonts w:eastAsia="Times New Roman"/>
          <w:b/>
          <w:bCs/>
          <w:lang w:val="it-IT"/>
        </w:rPr>
        <w:t>Tabella 2 Dose di Yuflyma per pazienti con artrite associata ad entesite</w:t>
      </w:r>
    </w:p>
    <w:p w14:paraId="6A66BD86" w14:textId="77777777" w:rsidR="0075524C" w:rsidRPr="00C35766" w:rsidRDefault="0075524C" w:rsidP="0075524C">
      <w:pPr>
        <w:spacing w:before="7" w:line="220" w:lineRule="exact"/>
        <w:rPr>
          <w:rFonts w:ascii="Times New Roman" w:hAnsi="Times New Roman" w:cs="Times New Roman"/>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5524C" w:rsidRPr="00C35766" w14:paraId="059CE04D" w14:textId="77777777" w:rsidTr="00603A86">
        <w:trPr>
          <w:trHeight w:val="374"/>
          <w:jc w:val="center"/>
        </w:trPr>
        <w:tc>
          <w:tcPr>
            <w:tcW w:w="3572" w:type="dxa"/>
            <w:tcBorders>
              <w:top w:val="single" w:sz="4" w:space="0" w:color="auto"/>
              <w:bottom w:val="single" w:sz="4" w:space="0" w:color="auto"/>
            </w:tcBorders>
            <w:vAlign w:val="center"/>
          </w:tcPr>
          <w:p w14:paraId="0281AA08" w14:textId="77777777" w:rsidR="0075524C" w:rsidRPr="00C35766" w:rsidRDefault="0075524C" w:rsidP="00603A86">
            <w:pPr>
              <w:pStyle w:val="a3"/>
              <w:jc w:val="center"/>
              <w:rPr>
                <w:b/>
              </w:rPr>
            </w:pPr>
            <w:r w:rsidRPr="00C35766">
              <w:rPr>
                <w:rFonts w:eastAsia="Times New Roman"/>
                <w:b/>
                <w:bCs/>
                <w:lang w:val="it-IT"/>
              </w:rPr>
              <w:t>Peso del paziente</w:t>
            </w:r>
          </w:p>
        </w:tc>
        <w:tc>
          <w:tcPr>
            <w:tcW w:w="3572" w:type="dxa"/>
            <w:tcBorders>
              <w:top w:val="single" w:sz="4" w:space="0" w:color="auto"/>
              <w:bottom w:val="single" w:sz="4" w:space="0" w:color="auto"/>
            </w:tcBorders>
            <w:vAlign w:val="center"/>
          </w:tcPr>
          <w:p w14:paraId="43649B0B" w14:textId="77777777" w:rsidR="0075524C" w:rsidRPr="00C35766" w:rsidRDefault="0075524C" w:rsidP="00603A86">
            <w:pPr>
              <w:pStyle w:val="a3"/>
              <w:jc w:val="center"/>
              <w:rPr>
                <w:b/>
              </w:rPr>
            </w:pPr>
            <w:r w:rsidRPr="00C35766">
              <w:rPr>
                <w:rFonts w:eastAsia="Times New Roman"/>
                <w:b/>
                <w:bCs/>
                <w:lang w:val="it-IT"/>
              </w:rPr>
              <w:t>Schema posologico</w:t>
            </w:r>
          </w:p>
        </w:tc>
      </w:tr>
      <w:tr w:rsidR="003D659C" w:rsidRPr="00C35766" w14:paraId="351C7189" w14:textId="77777777" w:rsidTr="00603A86">
        <w:trPr>
          <w:trHeight w:val="388"/>
          <w:jc w:val="center"/>
        </w:trPr>
        <w:tc>
          <w:tcPr>
            <w:tcW w:w="3572" w:type="dxa"/>
            <w:tcBorders>
              <w:top w:val="single" w:sz="4" w:space="0" w:color="auto"/>
              <w:bottom w:val="single" w:sz="4" w:space="0" w:color="auto"/>
            </w:tcBorders>
            <w:vAlign w:val="center"/>
          </w:tcPr>
          <w:p w14:paraId="6E559248" w14:textId="77777777" w:rsidR="003D659C" w:rsidRPr="00C35766" w:rsidRDefault="003D659C" w:rsidP="003D659C">
            <w:pPr>
              <w:pStyle w:val="a3"/>
              <w:jc w:val="center"/>
            </w:pPr>
            <w:r w:rsidRPr="00C35766">
              <w:rPr>
                <w:rFonts w:eastAsia="Times New Roman"/>
                <w:lang w:val="it-IT"/>
              </w:rPr>
              <w:t>15 kg fino a &lt; 30 kg</w:t>
            </w:r>
          </w:p>
        </w:tc>
        <w:tc>
          <w:tcPr>
            <w:tcW w:w="3572" w:type="dxa"/>
            <w:tcBorders>
              <w:top w:val="single" w:sz="4" w:space="0" w:color="auto"/>
              <w:bottom w:val="single" w:sz="4" w:space="0" w:color="auto"/>
            </w:tcBorders>
            <w:vAlign w:val="center"/>
          </w:tcPr>
          <w:p w14:paraId="63D9C9B8" w14:textId="1C82BA4A" w:rsidR="003D659C" w:rsidRPr="00C35766" w:rsidRDefault="003D659C" w:rsidP="003D659C">
            <w:pPr>
              <w:pStyle w:val="a3"/>
              <w:jc w:val="center"/>
            </w:pPr>
            <w:r>
              <w:rPr>
                <w:rFonts w:eastAsia="Times New Roman"/>
                <w:lang w:val="it-IT"/>
              </w:rPr>
              <w:t>20</w:t>
            </w:r>
            <w:r w:rsidRPr="00C35766">
              <w:rPr>
                <w:rFonts w:eastAsia="Times New Roman"/>
                <w:lang w:val="it-IT"/>
              </w:rPr>
              <w:t xml:space="preserve"> mg a settimane alterne</w:t>
            </w:r>
          </w:p>
        </w:tc>
      </w:tr>
      <w:tr w:rsidR="003D659C" w:rsidRPr="00C35766" w14:paraId="79308B9C" w14:textId="77777777" w:rsidTr="00603A86">
        <w:trPr>
          <w:trHeight w:val="374"/>
          <w:jc w:val="center"/>
        </w:trPr>
        <w:tc>
          <w:tcPr>
            <w:tcW w:w="3572" w:type="dxa"/>
            <w:tcBorders>
              <w:top w:val="single" w:sz="4" w:space="0" w:color="auto"/>
              <w:bottom w:val="single" w:sz="4" w:space="0" w:color="auto"/>
            </w:tcBorders>
            <w:vAlign w:val="center"/>
          </w:tcPr>
          <w:p w14:paraId="1F3C5882" w14:textId="77777777" w:rsidR="003D659C" w:rsidRPr="00C35766" w:rsidRDefault="003D659C" w:rsidP="003D659C">
            <w:pPr>
              <w:pStyle w:val="a3"/>
              <w:jc w:val="center"/>
            </w:pPr>
            <w:r w:rsidRPr="00C35766">
              <w:rPr>
                <w:rFonts w:eastAsia="Times New Roman"/>
                <w:lang w:val="it-IT"/>
              </w:rPr>
              <w:t>≥ 30 kg</w:t>
            </w:r>
          </w:p>
        </w:tc>
        <w:tc>
          <w:tcPr>
            <w:tcW w:w="3572" w:type="dxa"/>
            <w:tcBorders>
              <w:top w:val="single" w:sz="4" w:space="0" w:color="auto"/>
              <w:bottom w:val="single" w:sz="4" w:space="0" w:color="auto"/>
            </w:tcBorders>
            <w:vAlign w:val="center"/>
          </w:tcPr>
          <w:p w14:paraId="691C2E7E" w14:textId="77777777" w:rsidR="003D659C" w:rsidRPr="00C35766" w:rsidRDefault="003D659C" w:rsidP="003D659C">
            <w:pPr>
              <w:pStyle w:val="a3"/>
              <w:jc w:val="center"/>
            </w:pPr>
            <w:r w:rsidRPr="00C35766">
              <w:rPr>
                <w:rFonts w:eastAsia="Times New Roman"/>
                <w:lang w:val="it-IT"/>
              </w:rPr>
              <w:t>40 mg a settimane alterne</w:t>
            </w:r>
          </w:p>
        </w:tc>
      </w:tr>
    </w:tbl>
    <w:p w14:paraId="0F533248" w14:textId="77777777" w:rsidR="0075524C" w:rsidRPr="00C35766" w:rsidRDefault="0075524C" w:rsidP="0075524C">
      <w:pPr>
        <w:pStyle w:val="a3"/>
        <w:rPr>
          <w:lang w:val="pt-BR"/>
        </w:rPr>
      </w:pPr>
    </w:p>
    <w:p w14:paraId="05BCB1E7" w14:textId="1B88FB9E" w:rsidR="0075524C" w:rsidRDefault="0075524C" w:rsidP="0075524C">
      <w:pPr>
        <w:pStyle w:val="a3"/>
        <w:rPr>
          <w:rFonts w:eastAsia="Times New Roman"/>
          <w:lang w:val="it-IT"/>
        </w:rPr>
      </w:pPr>
      <w:r w:rsidRPr="00C35766">
        <w:rPr>
          <w:rFonts w:eastAsia="Times New Roman"/>
          <w:lang w:val="it-IT"/>
        </w:rPr>
        <w:t>Adalimumab non è stato studiato in pazienti di età inferiore ai 6 anni con artrite associata ad entesite.</w:t>
      </w:r>
    </w:p>
    <w:p w14:paraId="7129AE98" w14:textId="30DEA34D" w:rsidR="003D659C" w:rsidRDefault="003D659C" w:rsidP="0075524C">
      <w:pPr>
        <w:pStyle w:val="a3"/>
        <w:rPr>
          <w:rFonts w:eastAsia="Times New Roman"/>
          <w:lang w:val="it-IT"/>
        </w:rPr>
      </w:pPr>
    </w:p>
    <w:p w14:paraId="682B9B09" w14:textId="3BBBBDEE" w:rsidR="003D659C" w:rsidRDefault="005C2D5B" w:rsidP="0075524C">
      <w:pPr>
        <w:pStyle w:val="a3"/>
        <w:rPr>
          <w:rFonts w:eastAsia="Times New Roman"/>
          <w:lang w:val="it-IT"/>
        </w:rPr>
      </w:pPr>
      <w:r w:rsidRPr="00824699">
        <w:rPr>
          <w:lang w:val="it-IT"/>
        </w:rPr>
        <w:t>Yuflyma</w:t>
      </w:r>
      <w:r w:rsidR="003D659C" w:rsidRPr="00824699">
        <w:rPr>
          <w:lang w:val="it-IT"/>
        </w:rPr>
        <w:t xml:space="preserve"> può essere disponibile in altr</w:t>
      </w:r>
      <w:r w:rsidR="0076212A">
        <w:rPr>
          <w:lang w:val="it-IT"/>
        </w:rPr>
        <w:t>i</w:t>
      </w:r>
      <w:r w:rsidR="003D659C" w:rsidRPr="00824699">
        <w:rPr>
          <w:lang w:val="it-IT"/>
        </w:rPr>
        <w:t xml:space="preserve"> </w:t>
      </w:r>
      <w:r w:rsidR="0076212A">
        <w:rPr>
          <w:lang w:val="it-IT"/>
        </w:rPr>
        <w:t>dosaggi</w:t>
      </w:r>
      <w:r w:rsidR="003D659C" w:rsidRPr="00824699">
        <w:rPr>
          <w:lang w:val="it-IT"/>
        </w:rPr>
        <w:t xml:space="preserve"> e/o presentazioni a seconda delle necessità di trattamento individuali.</w:t>
      </w:r>
    </w:p>
    <w:p w14:paraId="08F3EC2B" w14:textId="77777777" w:rsidR="0075524C" w:rsidRPr="00C35766" w:rsidRDefault="0075524C" w:rsidP="0075524C">
      <w:pPr>
        <w:pStyle w:val="a3"/>
        <w:rPr>
          <w:lang w:val="it-IT"/>
        </w:rPr>
      </w:pPr>
    </w:p>
    <w:p w14:paraId="10B7DC3B" w14:textId="77777777" w:rsidR="0075524C" w:rsidRPr="00C35766" w:rsidRDefault="0075524C" w:rsidP="0075524C">
      <w:pPr>
        <w:rPr>
          <w:rFonts w:ascii="Times New Roman" w:eastAsia="Times New Roman" w:hAnsi="Times New Roman" w:cs="Times New Roman"/>
          <w:u w:val="single"/>
          <w:lang w:val="pt-BR"/>
        </w:rPr>
      </w:pPr>
      <w:r w:rsidRPr="00C35766">
        <w:rPr>
          <w:rFonts w:ascii="Times New Roman" w:eastAsia="Times New Roman" w:hAnsi="Times New Roman" w:cs="Times New Roman"/>
          <w:i/>
          <w:iCs/>
          <w:spacing w:val="-1"/>
          <w:u w:val="single"/>
          <w:lang w:val="it-IT"/>
        </w:rPr>
        <w:t>Psoriasi a placche pediatrica</w:t>
      </w:r>
    </w:p>
    <w:p w14:paraId="78887628" w14:textId="77777777" w:rsidR="0075524C" w:rsidRPr="00C35766" w:rsidRDefault="0075524C" w:rsidP="0075524C">
      <w:pPr>
        <w:spacing w:line="240" w:lineRule="exact"/>
        <w:rPr>
          <w:rFonts w:ascii="Times New Roman" w:hAnsi="Times New Roman" w:cs="Times New Roman"/>
          <w:sz w:val="24"/>
          <w:szCs w:val="24"/>
          <w:lang w:val="pt-BR"/>
        </w:rPr>
      </w:pPr>
    </w:p>
    <w:p w14:paraId="2629DB9D" w14:textId="77777777" w:rsidR="0075524C" w:rsidRPr="00C35766" w:rsidRDefault="0075524C" w:rsidP="0075524C">
      <w:pPr>
        <w:pStyle w:val="a3"/>
        <w:rPr>
          <w:lang w:val="it-IT"/>
        </w:rPr>
      </w:pPr>
      <w:r w:rsidRPr="00C35766">
        <w:rPr>
          <w:rFonts w:eastAsia="Times New Roman"/>
          <w:lang w:val="it-IT"/>
        </w:rPr>
        <w:t>La dose raccomandata di Yuflyma per pazienti con psoriasi a placche dai 4 ai 17 anni di età è basata sul peso corporeo (Tabella 3). Yuflyma è somministrato tramite iniezione sottocutanea.</w:t>
      </w:r>
    </w:p>
    <w:p w14:paraId="2EDACBE9" w14:textId="77777777" w:rsidR="0075524C" w:rsidRPr="00C35766" w:rsidRDefault="0075524C" w:rsidP="0075524C">
      <w:pPr>
        <w:pStyle w:val="a3"/>
        <w:rPr>
          <w:lang w:val="it-IT"/>
        </w:rPr>
      </w:pPr>
    </w:p>
    <w:p w14:paraId="1ACD7420" w14:textId="77777777" w:rsidR="0075524C" w:rsidRPr="00C35766" w:rsidRDefault="0075524C" w:rsidP="0075524C">
      <w:pPr>
        <w:pStyle w:val="a3"/>
        <w:jc w:val="center"/>
        <w:rPr>
          <w:b/>
          <w:lang w:val="it-IT"/>
        </w:rPr>
      </w:pPr>
      <w:r w:rsidRPr="00C35766">
        <w:rPr>
          <w:rFonts w:eastAsia="Times New Roman"/>
          <w:b/>
          <w:bCs/>
          <w:lang w:val="it-IT"/>
        </w:rPr>
        <w:t>Tabella 3</w:t>
      </w:r>
      <w:r>
        <w:rPr>
          <w:rFonts w:eastAsia="Times New Roman"/>
          <w:b/>
          <w:bCs/>
          <w:lang w:val="it-IT"/>
        </w:rPr>
        <w:t xml:space="preserve">. </w:t>
      </w:r>
      <w:r w:rsidRPr="00C35766">
        <w:rPr>
          <w:rFonts w:eastAsia="Times New Roman"/>
          <w:b/>
          <w:bCs/>
          <w:lang w:val="it-IT"/>
        </w:rPr>
        <w:t xml:space="preserve"> Dose di Yuflyma per pazienti pediatrici con psoriasi a placche</w:t>
      </w:r>
    </w:p>
    <w:p w14:paraId="56ECB83B" w14:textId="77777777" w:rsidR="0075524C" w:rsidRPr="00C35766" w:rsidRDefault="0075524C" w:rsidP="0075524C">
      <w:pPr>
        <w:spacing w:before="7" w:line="220" w:lineRule="exact"/>
        <w:jc w:val="center"/>
        <w:rPr>
          <w:rFonts w:ascii="Times New Roman" w:hAnsi="Times New Roman" w:cs="Times New Roman"/>
          <w:b/>
          <w:lang w:val="it-IT"/>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4225"/>
      </w:tblGrid>
      <w:tr w:rsidR="0075524C" w:rsidRPr="00C35766" w14:paraId="30B7144A" w14:textId="77777777" w:rsidTr="00603A86">
        <w:trPr>
          <w:trHeight w:val="374"/>
          <w:jc w:val="center"/>
        </w:trPr>
        <w:tc>
          <w:tcPr>
            <w:tcW w:w="3572" w:type="dxa"/>
            <w:tcBorders>
              <w:top w:val="single" w:sz="4" w:space="0" w:color="auto"/>
              <w:bottom w:val="single" w:sz="4" w:space="0" w:color="auto"/>
            </w:tcBorders>
            <w:vAlign w:val="center"/>
          </w:tcPr>
          <w:p w14:paraId="526489A5" w14:textId="77777777" w:rsidR="0075524C" w:rsidRPr="00C35766" w:rsidRDefault="0075524C" w:rsidP="00603A86">
            <w:pPr>
              <w:pStyle w:val="a3"/>
              <w:jc w:val="center"/>
              <w:rPr>
                <w:b/>
              </w:rPr>
            </w:pPr>
            <w:r w:rsidRPr="00C35766">
              <w:rPr>
                <w:rFonts w:eastAsia="Times New Roman"/>
                <w:b/>
                <w:bCs/>
                <w:lang w:val="it-IT"/>
              </w:rPr>
              <w:t>Peso del paziente</w:t>
            </w:r>
          </w:p>
        </w:tc>
        <w:tc>
          <w:tcPr>
            <w:tcW w:w="4225" w:type="dxa"/>
            <w:tcBorders>
              <w:top w:val="single" w:sz="4" w:space="0" w:color="auto"/>
              <w:bottom w:val="single" w:sz="4" w:space="0" w:color="auto"/>
            </w:tcBorders>
            <w:vAlign w:val="center"/>
          </w:tcPr>
          <w:p w14:paraId="76017374" w14:textId="77777777" w:rsidR="0075524C" w:rsidRPr="00C35766" w:rsidRDefault="0075524C" w:rsidP="00603A86">
            <w:pPr>
              <w:pStyle w:val="a3"/>
              <w:jc w:val="center"/>
              <w:rPr>
                <w:b/>
              </w:rPr>
            </w:pPr>
            <w:r w:rsidRPr="00C35766">
              <w:rPr>
                <w:rFonts w:eastAsia="Times New Roman"/>
                <w:b/>
                <w:bCs/>
                <w:lang w:val="it-IT"/>
              </w:rPr>
              <w:t>Schema posologico</w:t>
            </w:r>
          </w:p>
        </w:tc>
      </w:tr>
      <w:tr w:rsidR="003D659C" w:rsidRPr="00494E69" w14:paraId="535E9546" w14:textId="77777777" w:rsidTr="00603A86">
        <w:trPr>
          <w:trHeight w:val="388"/>
          <w:jc w:val="center"/>
        </w:trPr>
        <w:tc>
          <w:tcPr>
            <w:tcW w:w="3572" w:type="dxa"/>
            <w:tcBorders>
              <w:top w:val="single" w:sz="4" w:space="0" w:color="auto"/>
              <w:bottom w:val="single" w:sz="4" w:space="0" w:color="auto"/>
            </w:tcBorders>
            <w:vAlign w:val="center"/>
          </w:tcPr>
          <w:p w14:paraId="7A922B21" w14:textId="77777777" w:rsidR="003D659C" w:rsidRPr="00C35766" w:rsidRDefault="003D659C" w:rsidP="003D659C">
            <w:pPr>
              <w:pStyle w:val="a3"/>
              <w:jc w:val="center"/>
            </w:pPr>
            <w:r w:rsidRPr="00C35766">
              <w:rPr>
                <w:rFonts w:eastAsia="Times New Roman"/>
                <w:lang w:val="it-IT"/>
              </w:rPr>
              <w:t>15 kg fino a &lt; 30 kg</w:t>
            </w:r>
          </w:p>
        </w:tc>
        <w:tc>
          <w:tcPr>
            <w:tcW w:w="4225" w:type="dxa"/>
            <w:tcBorders>
              <w:top w:val="single" w:sz="4" w:space="0" w:color="auto"/>
              <w:bottom w:val="single" w:sz="4" w:space="0" w:color="auto"/>
            </w:tcBorders>
            <w:vAlign w:val="center"/>
          </w:tcPr>
          <w:p w14:paraId="548D7F6F" w14:textId="17E50B7F" w:rsidR="003D659C" w:rsidRPr="00824699" w:rsidRDefault="003D659C" w:rsidP="005C2D5B">
            <w:pPr>
              <w:pStyle w:val="a3"/>
              <w:jc w:val="center"/>
              <w:rPr>
                <w:lang w:val="it-IT"/>
              </w:rPr>
            </w:pPr>
            <w:r w:rsidRPr="00C35766">
              <w:rPr>
                <w:rFonts w:eastAsia="Times New Roman"/>
                <w:lang w:val="it-IT"/>
              </w:rPr>
              <w:t xml:space="preserve">Dose iniziale di </w:t>
            </w:r>
            <w:r>
              <w:rPr>
                <w:rFonts w:eastAsia="Times New Roman"/>
                <w:lang w:val="it-IT"/>
              </w:rPr>
              <w:t>20</w:t>
            </w:r>
            <w:r w:rsidRPr="00C35766">
              <w:rPr>
                <w:rFonts w:eastAsia="Times New Roman"/>
                <w:lang w:val="it-IT"/>
              </w:rPr>
              <w:t xml:space="preserve"> mg, seguita da </w:t>
            </w:r>
            <w:r>
              <w:rPr>
                <w:rFonts w:eastAsia="Times New Roman"/>
                <w:lang w:val="it-IT"/>
              </w:rPr>
              <w:t>20</w:t>
            </w:r>
            <w:r w:rsidRPr="00C35766">
              <w:rPr>
                <w:rFonts w:eastAsia="Times New Roman"/>
                <w:lang w:val="it-IT"/>
              </w:rPr>
              <w:t xml:space="preserve"> mg somministrati a settimane alterne iniziando una settimana dopo la dose iniziale</w:t>
            </w:r>
          </w:p>
        </w:tc>
      </w:tr>
      <w:tr w:rsidR="003D659C" w:rsidRPr="00494E69" w14:paraId="57A3CCBB" w14:textId="77777777" w:rsidTr="00603A86">
        <w:trPr>
          <w:trHeight w:val="374"/>
          <w:jc w:val="center"/>
        </w:trPr>
        <w:tc>
          <w:tcPr>
            <w:tcW w:w="3572" w:type="dxa"/>
            <w:tcBorders>
              <w:top w:val="single" w:sz="4" w:space="0" w:color="auto"/>
              <w:bottom w:val="single" w:sz="4" w:space="0" w:color="auto"/>
            </w:tcBorders>
            <w:vAlign w:val="center"/>
          </w:tcPr>
          <w:p w14:paraId="6E917100" w14:textId="77777777" w:rsidR="003D659C" w:rsidRPr="00C35766" w:rsidRDefault="003D659C" w:rsidP="003D659C">
            <w:pPr>
              <w:pStyle w:val="a3"/>
              <w:jc w:val="center"/>
            </w:pPr>
            <w:r w:rsidRPr="00C35766">
              <w:rPr>
                <w:rFonts w:eastAsia="Times New Roman"/>
                <w:lang w:val="it-IT"/>
              </w:rPr>
              <w:t>≥ 30 kg</w:t>
            </w:r>
          </w:p>
        </w:tc>
        <w:tc>
          <w:tcPr>
            <w:tcW w:w="4225" w:type="dxa"/>
            <w:tcBorders>
              <w:top w:val="single" w:sz="4" w:space="0" w:color="auto"/>
              <w:bottom w:val="single" w:sz="4" w:space="0" w:color="auto"/>
            </w:tcBorders>
            <w:vAlign w:val="center"/>
          </w:tcPr>
          <w:p w14:paraId="5CA8ED48" w14:textId="4D5357DF" w:rsidR="003D659C" w:rsidRPr="00C35766" w:rsidRDefault="003D659C" w:rsidP="003D659C">
            <w:pPr>
              <w:pStyle w:val="a3"/>
              <w:jc w:val="center"/>
              <w:rPr>
                <w:lang w:val="it-IT"/>
              </w:rPr>
            </w:pPr>
            <w:r w:rsidRPr="00C35766">
              <w:rPr>
                <w:rFonts w:eastAsia="Times New Roman"/>
                <w:lang w:val="it-IT"/>
              </w:rPr>
              <w:t>Dose iniziale di 40 mg, seguita da 40 mg somministrati a settimane alterne iniziando una settimana dopo la dose iniziale</w:t>
            </w:r>
          </w:p>
        </w:tc>
      </w:tr>
    </w:tbl>
    <w:p w14:paraId="7AF01120" w14:textId="77777777" w:rsidR="0075524C" w:rsidRPr="00C35766" w:rsidRDefault="0075524C" w:rsidP="0075524C">
      <w:pPr>
        <w:pStyle w:val="a3"/>
        <w:rPr>
          <w:lang w:val="pt-BR"/>
        </w:rPr>
      </w:pPr>
    </w:p>
    <w:p w14:paraId="66CDEF29" w14:textId="2C722356" w:rsidR="0075524C" w:rsidRPr="00C35766" w:rsidRDefault="0075524C" w:rsidP="0075524C">
      <w:pPr>
        <w:pStyle w:val="a3"/>
        <w:rPr>
          <w:lang w:val="pt-BR"/>
        </w:rPr>
      </w:pPr>
      <w:r w:rsidRPr="00C35766">
        <w:rPr>
          <w:rFonts w:eastAsia="Times New Roman"/>
          <w:lang w:val="it-IT"/>
        </w:rPr>
        <w:t>Il proseguimento della terapia oltre le 16 settimane d</w:t>
      </w:r>
      <w:r w:rsidR="0076212A">
        <w:rPr>
          <w:rFonts w:eastAsia="Times New Roman"/>
          <w:lang w:val="it-IT"/>
        </w:rPr>
        <w:t>eve</w:t>
      </w:r>
      <w:r w:rsidRPr="00C35766">
        <w:rPr>
          <w:rFonts w:eastAsia="Times New Roman"/>
          <w:lang w:val="it-IT"/>
        </w:rPr>
        <w:t xml:space="preserve"> essere attentamente valutato in pazienti che non rispondono entro questo periodo di tempo.</w:t>
      </w:r>
    </w:p>
    <w:p w14:paraId="055CDF86" w14:textId="77777777" w:rsidR="0075524C" w:rsidRPr="00C35766" w:rsidRDefault="0075524C" w:rsidP="0075524C">
      <w:pPr>
        <w:spacing w:line="240" w:lineRule="exact"/>
        <w:rPr>
          <w:rFonts w:ascii="Times New Roman" w:hAnsi="Times New Roman" w:cs="Times New Roman"/>
          <w:sz w:val="24"/>
          <w:szCs w:val="24"/>
          <w:lang w:val="pt-BR"/>
        </w:rPr>
      </w:pPr>
    </w:p>
    <w:p w14:paraId="56F7D32C" w14:textId="77777777" w:rsidR="0075524C" w:rsidRPr="00C35766" w:rsidRDefault="0075524C" w:rsidP="0075524C">
      <w:pPr>
        <w:pStyle w:val="a3"/>
        <w:rPr>
          <w:lang w:val="es-ES"/>
        </w:rPr>
      </w:pPr>
      <w:r w:rsidRPr="00C35766">
        <w:rPr>
          <w:rFonts w:eastAsia="Times New Roman"/>
          <w:lang w:val="it-IT"/>
        </w:rPr>
        <w:t>Laddove sia indicato il ri-trattamento con adalimumab, occorre seguire le indicazioni sopra riportate riguardo la dose e la durata del trattamento.</w:t>
      </w:r>
    </w:p>
    <w:p w14:paraId="7C6D215D" w14:textId="77777777" w:rsidR="0075524C" w:rsidRPr="00C35766" w:rsidRDefault="0075524C" w:rsidP="0075524C">
      <w:pPr>
        <w:spacing w:line="240" w:lineRule="exact"/>
        <w:rPr>
          <w:rFonts w:ascii="Times New Roman" w:hAnsi="Times New Roman" w:cs="Times New Roman"/>
          <w:sz w:val="24"/>
          <w:szCs w:val="24"/>
          <w:lang w:val="es-ES"/>
        </w:rPr>
      </w:pPr>
    </w:p>
    <w:p w14:paraId="01A5D996" w14:textId="77777777" w:rsidR="0075524C" w:rsidRPr="00C35766" w:rsidRDefault="0075524C" w:rsidP="0075524C">
      <w:pPr>
        <w:pStyle w:val="a3"/>
        <w:rPr>
          <w:lang w:val="es-ES"/>
        </w:rPr>
      </w:pPr>
      <w:r w:rsidRPr="00C35766">
        <w:rPr>
          <w:rFonts w:eastAsia="Times New Roman"/>
          <w:lang w:val="it-IT"/>
        </w:rPr>
        <w:t>La sicurezza di adalimumab nei pazienti pediatrici con psoriasi a placche è stata valutata per un periodo medio di 13 mesi.</w:t>
      </w:r>
    </w:p>
    <w:p w14:paraId="5298F914" w14:textId="77777777" w:rsidR="0075524C" w:rsidRPr="00C35766" w:rsidRDefault="0075524C" w:rsidP="0075524C">
      <w:pPr>
        <w:spacing w:line="240" w:lineRule="exact"/>
        <w:rPr>
          <w:rFonts w:ascii="Times New Roman" w:hAnsi="Times New Roman" w:cs="Times New Roman"/>
          <w:sz w:val="24"/>
          <w:szCs w:val="24"/>
          <w:lang w:val="es-ES"/>
        </w:rPr>
      </w:pPr>
    </w:p>
    <w:p w14:paraId="519846D6" w14:textId="77777777" w:rsidR="0075524C" w:rsidRPr="00C35766" w:rsidRDefault="0075524C" w:rsidP="0075524C">
      <w:pPr>
        <w:pStyle w:val="a3"/>
        <w:rPr>
          <w:lang w:val="es-ES"/>
        </w:rPr>
      </w:pPr>
      <w:r w:rsidRPr="00C35766">
        <w:rPr>
          <w:rFonts w:eastAsia="Times New Roman"/>
          <w:lang w:val="it-IT"/>
        </w:rPr>
        <w:t>Non c’è un uso rilevante di adalimumab nei bambini di età inferiore ai 4 anni per questa indicazione.</w:t>
      </w:r>
    </w:p>
    <w:p w14:paraId="59E26B7D" w14:textId="17526775" w:rsidR="0075524C" w:rsidRDefault="0075524C" w:rsidP="0075524C">
      <w:pPr>
        <w:pStyle w:val="a3"/>
        <w:rPr>
          <w:lang w:val="es-ES"/>
        </w:rPr>
      </w:pPr>
    </w:p>
    <w:p w14:paraId="4F57B24B" w14:textId="09C9F3E0" w:rsidR="003D659C" w:rsidRDefault="005C2D5B" w:rsidP="0075524C">
      <w:pPr>
        <w:pStyle w:val="a3"/>
        <w:rPr>
          <w:lang w:val="es-ES"/>
        </w:rPr>
      </w:pPr>
      <w:r w:rsidRPr="00824699">
        <w:rPr>
          <w:lang w:val="it-IT"/>
        </w:rPr>
        <w:t>Yuflyma</w:t>
      </w:r>
      <w:r w:rsidR="003D659C" w:rsidRPr="00824699">
        <w:rPr>
          <w:lang w:val="it-IT"/>
        </w:rPr>
        <w:t xml:space="preserve"> può essere disponibile in altr</w:t>
      </w:r>
      <w:r w:rsidR="0076212A">
        <w:rPr>
          <w:lang w:val="it-IT"/>
        </w:rPr>
        <w:t>i</w:t>
      </w:r>
      <w:r w:rsidR="003D659C" w:rsidRPr="00824699">
        <w:rPr>
          <w:lang w:val="it-IT"/>
        </w:rPr>
        <w:t xml:space="preserve"> </w:t>
      </w:r>
      <w:r w:rsidR="0076212A">
        <w:rPr>
          <w:lang w:val="it-IT"/>
        </w:rPr>
        <w:t xml:space="preserve"> dosaggi</w:t>
      </w:r>
      <w:r w:rsidR="003D659C" w:rsidRPr="00824699">
        <w:rPr>
          <w:lang w:val="it-IT"/>
        </w:rPr>
        <w:t xml:space="preserve"> e/o presentazioni a seconda delle necessità individuali di trattamento.</w:t>
      </w:r>
    </w:p>
    <w:p w14:paraId="1C9172E2" w14:textId="77777777" w:rsidR="003D659C" w:rsidRPr="00C35766" w:rsidRDefault="003D659C" w:rsidP="0075524C">
      <w:pPr>
        <w:pStyle w:val="a3"/>
        <w:rPr>
          <w:lang w:val="es-ES"/>
        </w:rPr>
      </w:pPr>
    </w:p>
    <w:p w14:paraId="2272D148" w14:textId="77777777" w:rsidR="0075524C" w:rsidRPr="00C35766" w:rsidRDefault="0075524C" w:rsidP="0075524C">
      <w:pPr>
        <w:jc w:val="both"/>
        <w:rPr>
          <w:rFonts w:ascii="Times New Roman" w:eastAsia="Times New Roman" w:hAnsi="Times New Roman" w:cs="Times New Roman"/>
          <w:u w:val="single"/>
          <w:lang w:val="pt-BR"/>
        </w:rPr>
      </w:pPr>
      <w:r w:rsidRPr="00C35766">
        <w:rPr>
          <w:rFonts w:ascii="Times New Roman" w:eastAsia="Times New Roman" w:hAnsi="Times New Roman" w:cs="Times New Roman"/>
          <w:i/>
          <w:iCs/>
          <w:spacing w:val="-1"/>
          <w:u w:val="single"/>
          <w:lang w:val="it-IT"/>
        </w:rPr>
        <w:t>Malattia di Crohn in pazienti pediatrici</w:t>
      </w:r>
    </w:p>
    <w:p w14:paraId="29D38E60" w14:textId="77777777" w:rsidR="0075524C" w:rsidRPr="00C35766" w:rsidRDefault="0075524C" w:rsidP="0075524C">
      <w:pPr>
        <w:spacing w:line="240" w:lineRule="exact"/>
        <w:rPr>
          <w:rFonts w:ascii="Times New Roman" w:hAnsi="Times New Roman" w:cs="Times New Roman"/>
          <w:sz w:val="24"/>
          <w:szCs w:val="24"/>
          <w:lang w:val="pt-BR"/>
        </w:rPr>
      </w:pPr>
    </w:p>
    <w:p w14:paraId="3409BCD6" w14:textId="77777777" w:rsidR="0075524C" w:rsidRPr="00C35766" w:rsidRDefault="0075524C" w:rsidP="0075524C">
      <w:pPr>
        <w:pStyle w:val="a3"/>
        <w:rPr>
          <w:lang w:val="it-IT"/>
        </w:rPr>
      </w:pPr>
      <w:r w:rsidRPr="00C35766">
        <w:rPr>
          <w:rFonts w:eastAsia="Times New Roman"/>
          <w:lang w:val="it-IT"/>
        </w:rPr>
        <w:t>La dose raccomandata di Yuflyma per pazienti con malattia di Crohn di età compresa tra 6 e 17 anni è basata sul peso corporeo (Tabella 4). Yuflyma è somministrato tramite iniezione sottocutanea.</w:t>
      </w:r>
    </w:p>
    <w:p w14:paraId="749E2DEA" w14:textId="77777777" w:rsidR="0075524C" w:rsidRPr="00C35766" w:rsidRDefault="0075524C" w:rsidP="0075524C">
      <w:pPr>
        <w:pStyle w:val="a3"/>
        <w:rPr>
          <w:lang w:val="it-IT"/>
        </w:rPr>
      </w:pPr>
    </w:p>
    <w:p w14:paraId="7354517B" w14:textId="77777777" w:rsidR="0075524C" w:rsidRPr="00C35766" w:rsidRDefault="0075524C" w:rsidP="0075524C">
      <w:pPr>
        <w:pStyle w:val="a3"/>
        <w:jc w:val="center"/>
        <w:rPr>
          <w:b/>
          <w:lang w:val="it-IT"/>
        </w:rPr>
      </w:pPr>
      <w:r w:rsidRPr="00C35766">
        <w:rPr>
          <w:rFonts w:eastAsia="Times New Roman"/>
          <w:b/>
          <w:bCs/>
          <w:lang w:val="it-IT"/>
        </w:rPr>
        <w:t>Tabella 4 Dose di adalimumab per pazienti pediatrici con malattia di Crohn</w:t>
      </w:r>
    </w:p>
    <w:p w14:paraId="04C6D60C" w14:textId="77777777" w:rsidR="0075524C" w:rsidRPr="00C35766" w:rsidRDefault="0075524C" w:rsidP="0075524C">
      <w:pPr>
        <w:spacing w:before="14" w:line="240" w:lineRule="exact"/>
        <w:rPr>
          <w:rFonts w:ascii="Times New Roman" w:hAnsi="Times New Roman" w:cs="Times New Roman"/>
          <w:sz w:val="24"/>
          <w:szCs w:val="24"/>
          <w:lang w:val="it-IT"/>
        </w:rPr>
      </w:pPr>
    </w:p>
    <w:tbl>
      <w:tblPr>
        <w:tblStyle w:val="TableNormal1"/>
        <w:tblpPr w:leftFromText="180" w:rightFromText="180" w:vertAnchor="text" w:tblpX="110" w:tblpY="1"/>
        <w:tblOverlap w:val="never"/>
        <w:tblW w:w="0" w:type="auto"/>
        <w:tblLayout w:type="fixed"/>
        <w:tblLook w:val="01E0" w:firstRow="1" w:lastRow="1" w:firstColumn="1" w:lastColumn="1" w:noHBand="0" w:noVBand="0"/>
      </w:tblPr>
      <w:tblGrid>
        <w:gridCol w:w="1271"/>
        <w:gridCol w:w="5812"/>
        <w:gridCol w:w="2320"/>
      </w:tblGrid>
      <w:tr w:rsidR="0075524C" w:rsidRPr="00494E69" w14:paraId="3D50D972" w14:textId="77777777" w:rsidTr="00603A86">
        <w:tc>
          <w:tcPr>
            <w:tcW w:w="1271" w:type="dxa"/>
            <w:tcBorders>
              <w:top w:val="single" w:sz="4" w:space="0" w:color="auto"/>
              <w:left w:val="single" w:sz="4" w:space="0" w:color="auto"/>
              <w:bottom w:val="single" w:sz="4" w:space="0" w:color="auto"/>
              <w:right w:val="single" w:sz="4" w:space="0" w:color="auto"/>
            </w:tcBorders>
            <w:vAlign w:val="center"/>
          </w:tcPr>
          <w:p w14:paraId="5B0E2F4C" w14:textId="77777777" w:rsidR="0075524C" w:rsidRPr="00C35766" w:rsidRDefault="0075524C" w:rsidP="00603A86">
            <w:pPr>
              <w:pStyle w:val="TableParagraph"/>
              <w:spacing w:line="252" w:lineRule="exact"/>
              <w:ind w:firstLine="4"/>
              <w:jc w:val="center"/>
              <w:rPr>
                <w:rFonts w:ascii="Times New Roman" w:eastAsia="Times New Roman" w:hAnsi="Times New Roman" w:cs="Times New Roman"/>
              </w:rPr>
            </w:pPr>
            <w:r w:rsidRPr="00C35766">
              <w:rPr>
                <w:rFonts w:ascii="Times New Roman" w:eastAsia="Times New Roman" w:hAnsi="Times New Roman" w:cs="Times New Roman"/>
                <w:b/>
                <w:bCs/>
                <w:lang w:val="it-IT"/>
              </w:rPr>
              <w:lastRenderedPageBreak/>
              <w:t>Peso del paziente</w:t>
            </w:r>
          </w:p>
        </w:tc>
        <w:tc>
          <w:tcPr>
            <w:tcW w:w="5812" w:type="dxa"/>
            <w:tcBorders>
              <w:top w:val="single" w:sz="4" w:space="0" w:color="auto"/>
              <w:left w:val="single" w:sz="4" w:space="0" w:color="auto"/>
              <w:bottom w:val="single" w:sz="4" w:space="0" w:color="auto"/>
              <w:right w:val="single" w:sz="4" w:space="0" w:color="auto"/>
            </w:tcBorders>
            <w:vAlign w:val="center"/>
          </w:tcPr>
          <w:p w14:paraId="4A396581" w14:textId="77777777" w:rsidR="0075524C" w:rsidRPr="00C35766" w:rsidRDefault="0075524C" w:rsidP="00603A86">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Dose di induzione</w:t>
            </w:r>
          </w:p>
        </w:tc>
        <w:tc>
          <w:tcPr>
            <w:tcW w:w="2320" w:type="dxa"/>
            <w:tcBorders>
              <w:top w:val="single" w:sz="4" w:space="0" w:color="auto"/>
              <w:left w:val="single" w:sz="4" w:space="0" w:color="auto"/>
              <w:bottom w:val="single" w:sz="4" w:space="0" w:color="auto"/>
              <w:right w:val="single" w:sz="4" w:space="0" w:color="auto"/>
            </w:tcBorders>
            <w:vAlign w:val="center"/>
          </w:tcPr>
          <w:p w14:paraId="16F7D91D" w14:textId="77777777" w:rsidR="0075524C" w:rsidRPr="00C35766" w:rsidRDefault="0075524C" w:rsidP="00603A86">
            <w:pPr>
              <w:pStyle w:val="TableParagraph"/>
              <w:spacing w:line="239" w:lineRule="auto"/>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di mantenimento a partire dalla settimana 4</w:t>
            </w:r>
          </w:p>
        </w:tc>
      </w:tr>
      <w:tr w:rsidR="003D659C" w:rsidRPr="00C35766" w14:paraId="3653566B" w14:textId="77777777" w:rsidTr="008A6AF4">
        <w:tc>
          <w:tcPr>
            <w:tcW w:w="1271" w:type="dxa"/>
            <w:tcBorders>
              <w:top w:val="single" w:sz="4" w:space="0" w:color="auto"/>
              <w:left w:val="single" w:sz="7" w:space="0" w:color="000000"/>
              <w:bottom w:val="single" w:sz="7" w:space="0" w:color="000000"/>
              <w:right w:val="single" w:sz="7" w:space="0" w:color="000000"/>
            </w:tcBorders>
          </w:tcPr>
          <w:p w14:paraId="61B2AED2" w14:textId="77777777" w:rsidR="003D659C" w:rsidRPr="00C35766" w:rsidRDefault="003D659C" w:rsidP="003D659C">
            <w:pPr>
              <w:pStyle w:val="TableParagraph"/>
              <w:spacing w:before="9"/>
              <w:ind w:left="140"/>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5812" w:type="dxa"/>
            <w:tcBorders>
              <w:top w:val="single" w:sz="4" w:space="0" w:color="auto"/>
              <w:left w:val="single" w:sz="7" w:space="0" w:color="000000"/>
              <w:bottom w:val="single" w:sz="7" w:space="0" w:color="000000"/>
              <w:right w:val="single" w:sz="7" w:space="0" w:color="000000"/>
            </w:tcBorders>
          </w:tcPr>
          <w:p w14:paraId="1EE9A846" w14:textId="79C51CD2" w:rsidR="003D659C" w:rsidRPr="00C35766" w:rsidRDefault="003D659C" w:rsidP="003D659C">
            <w:pPr>
              <w:pStyle w:val="a4"/>
              <w:numPr>
                <w:ilvl w:val="0"/>
                <w:numId w:val="12"/>
              </w:numPr>
              <w:tabs>
                <w:tab w:val="left" w:pos="315"/>
              </w:tabs>
              <w:spacing w:before="10"/>
              <w:ind w:left="315"/>
              <w:rPr>
                <w:rFonts w:ascii="Times New Roman" w:hAnsi="Times New Roman" w:cs="Times New Roman"/>
                <w:lang w:val="it-IT"/>
              </w:rPr>
            </w:pPr>
            <w:r w:rsidRPr="00C35766">
              <w:rPr>
                <w:rFonts w:ascii="Times New Roman" w:eastAsia="Times New Roman" w:hAnsi="Times New Roman" w:cs="Times New Roman"/>
                <w:spacing w:val="-1"/>
                <w:lang w:val="it-IT"/>
              </w:rPr>
              <w:t>40 mg alla settimana 0 e 20 mg alla settimana 2</w:t>
            </w:r>
          </w:p>
          <w:p w14:paraId="04E9542F" w14:textId="77777777" w:rsidR="003D659C" w:rsidRPr="00C35766" w:rsidRDefault="003D659C" w:rsidP="003D659C">
            <w:pPr>
              <w:pStyle w:val="TableParagraph"/>
              <w:spacing w:before="10" w:line="240" w:lineRule="exact"/>
              <w:rPr>
                <w:rFonts w:ascii="Times New Roman" w:hAnsi="Times New Roman" w:cs="Times New Roman"/>
                <w:sz w:val="24"/>
                <w:lang w:val="it-IT"/>
              </w:rPr>
            </w:pPr>
          </w:p>
          <w:p w14:paraId="064F3EE2" w14:textId="77777777" w:rsidR="003D659C" w:rsidRPr="00C35766" w:rsidRDefault="003D659C" w:rsidP="003D659C">
            <w:pPr>
              <w:pStyle w:val="TableParagraph"/>
              <w:ind w:left="159"/>
              <w:rPr>
                <w:rFonts w:ascii="Times New Roman" w:hAnsi="Times New Roman" w:cs="Times New Roman"/>
                <w:lang w:val="it-IT"/>
              </w:rPr>
            </w:pPr>
            <w:r w:rsidRPr="00C35766">
              <w:rPr>
                <w:rFonts w:ascii="Times New Roman" w:eastAsia="Times New Roman" w:hAnsi="Times New Roman" w:cs="Times New Roman"/>
                <w:spacing w:val="-1"/>
                <w:lang w:val="it-IT"/>
              </w:rPr>
              <w:t>Nel caso sia necessaria una risposta più rapida alla terapia, con la consapevolezza che il rischio di eventi avversi potrebbe aumentare con l’utilizzo della dose di induzione più alta, può essere somministrata la seguente dose:</w:t>
            </w:r>
          </w:p>
          <w:p w14:paraId="292C133C" w14:textId="77777777" w:rsidR="003D659C" w:rsidRPr="00C35766" w:rsidRDefault="003D659C" w:rsidP="003D659C">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tc>
        <w:tc>
          <w:tcPr>
            <w:tcW w:w="2320" w:type="dxa"/>
            <w:tcBorders>
              <w:top w:val="single" w:sz="4" w:space="0" w:color="auto"/>
              <w:left w:val="single" w:sz="7" w:space="0" w:color="000000"/>
              <w:bottom w:val="single" w:sz="7" w:space="0" w:color="000000"/>
              <w:right w:val="single" w:sz="7" w:space="0" w:color="000000"/>
            </w:tcBorders>
            <w:vAlign w:val="center"/>
          </w:tcPr>
          <w:p w14:paraId="1AEAA1F1" w14:textId="36B3716C" w:rsidR="003D659C" w:rsidRPr="00C35766" w:rsidRDefault="003D659C" w:rsidP="008220D7">
            <w:pPr>
              <w:pStyle w:val="TableParagraph"/>
              <w:spacing w:before="7" w:line="241" w:lineRule="auto"/>
              <w:ind w:left="301" w:hanging="63"/>
              <w:jc w:val="center"/>
              <w:rPr>
                <w:rFonts w:ascii="Times New Roman" w:eastAsia="Times New Roman" w:hAnsi="Times New Roman" w:cs="Times New Roman"/>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r>
      <w:tr w:rsidR="003D659C" w:rsidRPr="00C35766" w14:paraId="7D35645D" w14:textId="77777777" w:rsidTr="00603A86">
        <w:tc>
          <w:tcPr>
            <w:tcW w:w="1271" w:type="dxa"/>
            <w:tcBorders>
              <w:top w:val="single" w:sz="7" w:space="0" w:color="000000"/>
              <w:left w:val="single" w:sz="7" w:space="0" w:color="000000"/>
              <w:bottom w:val="single" w:sz="7" w:space="0" w:color="000000"/>
              <w:right w:val="single" w:sz="7" w:space="0" w:color="000000"/>
            </w:tcBorders>
          </w:tcPr>
          <w:p w14:paraId="362725BB" w14:textId="77777777" w:rsidR="003D659C" w:rsidRPr="00C35766" w:rsidRDefault="003D659C" w:rsidP="003D659C">
            <w:pPr>
              <w:pStyle w:val="TableParagraph"/>
              <w:spacing w:before="7"/>
              <w:ind w:left="143"/>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5812" w:type="dxa"/>
            <w:tcBorders>
              <w:top w:val="single" w:sz="7" w:space="0" w:color="000000"/>
              <w:left w:val="single" w:sz="7" w:space="0" w:color="000000"/>
              <w:bottom w:val="single" w:sz="7" w:space="0" w:color="000000"/>
              <w:right w:val="single" w:sz="7" w:space="0" w:color="000000"/>
            </w:tcBorders>
          </w:tcPr>
          <w:p w14:paraId="16DF4F21" w14:textId="77777777" w:rsidR="003D659C" w:rsidRPr="00C35766" w:rsidRDefault="003D659C" w:rsidP="003D659C">
            <w:pPr>
              <w:pStyle w:val="a4"/>
              <w:numPr>
                <w:ilvl w:val="0"/>
                <w:numId w:val="11"/>
              </w:numPr>
              <w:tabs>
                <w:tab w:val="left" w:pos="315"/>
              </w:tabs>
              <w:spacing w:before="8"/>
              <w:ind w:left="315"/>
              <w:rPr>
                <w:rFonts w:ascii="Times New Roman" w:hAnsi="Times New Roman" w:cs="Times New Roman"/>
                <w:lang w:val="it-IT"/>
              </w:rPr>
            </w:pPr>
            <w:r w:rsidRPr="00C35766">
              <w:rPr>
                <w:rFonts w:ascii="Times New Roman" w:eastAsia="Times New Roman" w:hAnsi="Times New Roman" w:cs="Times New Roman"/>
                <w:spacing w:val="-1"/>
                <w:lang w:val="it-IT"/>
              </w:rPr>
              <w:t>80 mg alla settimana 0 e 40 mg alla settimana 2</w:t>
            </w:r>
          </w:p>
          <w:p w14:paraId="0FEB5073" w14:textId="77777777" w:rsidR="003D659C" w:rsidRPr="00C35766" w:rsidRDefault="003D659C" w:rsidP="003D659C">
            <w:pPr>
              <w:tabs>
                <w:tab w:val="left" w:pos="315"/>
              </w:tabs>
              <w:spacing w:before="8"/>
              <w:rPr>
                <w:rFonts w:ascii="Times New Roman" w:hAnsi="Times New Roman" w:cs="Times New Roman"/>
                <w:lang w:val="it-IT"/>
              </w:rPr>
            </w:pPr>
          </w:p>
          <w:p w14:paraId="517A0CBD" w14:textId="77777777" w:rsidR="003D659C" w:rsidRPr="00C35766" w:rsidRDefault="003D659C" w:rsidP="003D659C">
            <w:pPr>
              <w:pStyle w:val="TableParagraph"/>
              <w:spacing w:before="7"/>
              <w:ind w:left="159" w:right="353"/>
              <w:rPr>
                <w:rFonts w:ascii="Times New Roman" w:hAnsi="Times New Roman" w:cs="Times New Roman"/>
                <w:lang w:val="it-IT"/>
              </w:rPr>
            </w:pPr>
            <w:r w:rsidRPr="00C35766">
              <w:rPr>
                <w:rFonts w:ascii="Times New Roman" w:eastAsia="Times New Roman" w:hAnsi="Times New Roman" w:cs="Times New Roman"/>
                <w:spacing w:val="-1"/>
                <w:lang w:val="it-IT"/>
              </w:rPr>
              <w:t>Nel caso sia necessaria una risposta più rapida alla terapia, con la consapevolezza che il rischio di eventi avversi potrebbe aumentare con l’utilizzo della dose di induzione più alta, può essere somministrata la seguente dose:</w:t>
            </w:r>
          </w:p>
          <w:p w14:paraId="52479B01" w14:textId="77777777" w:rsidR="003D659C" w:rsidRPr="00C35766" w:rsidRDefault="003D659C" w:rsidP="003D659C">
            <w:pPr>
              <w:pStyle w:val="a4"/>
              <w:numPr>
                <w:ilvl w:val="0"/>
                <w:numId w:val="12"/>
              </w:numPr>
              <w:tabs>
                <w:tab w:val="left" w:pos="315"/>
              </w:tabs>
              <w:spacing w:before="2"/>
              <w:ind w:left="315"/>
              <w:rPr>
                <w:rFonts w:ascii="Times New Roman" w:hAnsi="Times New Roman" w:cs="Times New Roman"/>
                <w:lang w:val="it-IT"/>
              </w:rPr>
            </w:pPr>
            <w:r w:rsidRPr="00C35766">
              <w:rPr>
                <w:rFonts w:ascii="Times New Roman" w:eastAsia="Times New Roman" w:hAnsi="Times New Roman" w:cs="Times New Roman"/>
                <w:spacing w:val="-1"/>
                <w:lang w:val="it-IT"/>
              </w:rPr>
              <w:t>160 mg alla settimana 0 e 80 mg alla settimana 2</w:t>
            </w:r>
          </w:p>
        </w:tc>
        <w:tc>
          <w:tcPr>
            <w:tcW w:w="2320" w:type="dxa"/>
            <w:tcBorders>
              <w:top w:val="single" w:sz="7" w:space="0" w:color="000000"/>
              <w:left w:val="single" w:sz="7" w:space="0" w:color="000000"/>
              <w:bottom w:val="single" w:sz="7" w:space="0" w:color="000000"/>
              <w:right w:val="single" w:sz="7" w:space="0" w:color="000000"/>
            </w:tcBorders>
          </w:tcPr>
          <w:p w14:paraId="2012683B" w14:textId="26C8B67C" w:rsidR="003D659C" w:rsidRPr="00C35766" w:rsidRDefault="003D659C" w:rsidP="003D659C">
            <w:pPr>
              <w:pStyle w:val="TableParagraph"/>
              <w:spacing w:before="7" w:line="241" w:lineRule="auto"/>
              <w:ind w:left="301" w:hanging="6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w:t>
            </w:r>
            <w:r>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alterne</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75524C" w:rsidRPr="00C35766" w14:paraId="49D60B6A" w14:textId="77777777" w:rsidTr="00603A86">
        <w:trPr>
          <w:trHeight w:val="147"/>
        </w:trPr>
        <w:tc>
          <w:tcPr>
            <w:tcW w:w="9635" w:type="dxa"/>
          </w:tcPr>
          <w:p w14:paraId="04584830" w14:textId="236677D2" w:rsidR="0075524C" w:rsidRPr="00C35766" w:rsidRDefault="0075524C" w:rsidP="00603A86">
            <w:pPr>
              <w:pStyle w:val="a3"/>
              <w:rPr>
                <w:color w:val="000000"/>
                <w:lang w:val="pt-BR"/>
              </w:rPr>
            </w:pPr>
          </w:p>
        </w:tc>
      </w:tr>
    </w:tbl>
    <w:p w14:paraId="5C5A081D" w14:textId="22130D74" w:rsidR="0075524C" w:rsidRPr="00C35766" w:rsidRDefault="0075524C" w:rsidP="005C2D5B">
      <w:pPr>
        <w:pStyle w:val="a3"/>
        <w:rPr>
          <w:lang w:val="it-IT"/>
        </w:rPr>
      </w:pPr>
      <w:r w:rsidRPr="00C35766">
        <w:rPr>
          <w:rFonts w:eastAsia="Times New Roman"/>
          <w:lang w:val="it-IT"/>
        </w:rPr>
        <w:t>I pazienti che manifestano una risposta insufficiente possono beneficiare di un incremento del dosaggio:</w:t>
      </w:r>
    </w:p>
    <w:p w14:paraId="18B95343" w14:textId="5A19AA1A" w:rsidR="003D659C" w:rsidRPr="005C2D5B" w:rsidRDefault="003D659C" w:rsidP="008A6AF4">
      <w:pPr>
        <w:pStyle w:val="a4"/>
        <w:numPr>
          <w:ilvl w:val="0"/>
          <w:numId w:val="11"/>
        </w:numPr>
        <w:spacing w:before="8"/>
        <w:ind w:left="567" w:hanging="567"/>
        <w:rPr>
          <w:rFonts w:ascii="Times New Roman" w:eastAsia="Calibri" w:hAnsi="Times New Roman" w:cs="Times New Roman"/>
          <w:spacing w:val="-1"/>
          <w:lang w:val="it-IT"/>
        </w:rPr>
      </w:pPr>
      <w:r w:rsidRPr="005C2D5B">
        <w:rPr>
          <w:rFonts w:ascii="Times New Roman" w:eastAsia="Calibri" w:hAnsi="Times New Roman" w:cs="Times New Roman"/>
          <w:spacing w:val="-1"/>
          <w:lang w:val="it-IT"/>
        </w:rPr>
        <w:t>&lt; 40 kg: 20 mg ogni settimana</w:t>
      </w:r>
    </w:p>
    <w:p w14:paraId="04F62C5C" w14:textId="24E8F986" w:rsidR="0075524C" w:rsidRPr="00C35766" w:rsidRDefault="0075524C" w:rsidP="008A6AF4">
      <w:pPr>
        <w:pStyle w:val="a4"/>
        <w:numPr>
          <w:ilvl w:val="0"/>
          <w:numId w:val="11"/>
        </w:numPr>
        <w:spacing w:before="8"/>
        <w:ind w:left="567" w:hanging="567"/>
        <w:rPr>
          <w:rFonts w:ascii="Times New Roman" w:eastAsia="Times New Roman" w:hAnsi="Times New Roman" w:cs="Times New Roman"/>
          <w:spacing w:val="-1"/>
          <w:lang w:val="pt-BR"/>
        </w:rPr>
      </w:pPr>
      <w:r w:rsidRPr="00C35766">
        <w:rPr>
          <w:rFonts w:ascii="Times New Roman" w:eastAsia="Calibri" w:hAnsi="Times New Roman" w:cs="Times New Roman"/>
          <w:spacing w:val="-1"/>
          <w:lang w:val="it-IT"/>
        </w:rPr>
        <w:t xml:space="preserve">≥ 40 kg: </w:t>
      </w:r>
      <w:r w:rsidRPr="00C35766">
        <w:rPr>
          <w:rFonts w:ascii="Times New Roman" w:eastAsia="Times New Roman" w:hAnsi="Times New Roman" w:cs="Times New Roman"/>
          <w:spacing w:val="-1"/>
          <w:lang w:val="it-IT"/>
        </w:rPr>
        <w:t>40 mg ogni settimana o 80 mg a settimane alterne</w:t>
      </w:r>
    </w:p>
    <w:p w14:paraId="73108781" w14:textId="77777777" w:rsidR="0075524C" w:rsidRPr="00C35766" w:rsidRDefault="0075524C" w:rsidP="0075524C">
      <w:pPr>
        <w:spacing w:line="240" w:lineRule="exact"/>
        <w:rPr>
          <w:rFonts w:ascii="Times New Roman" w:hAnsi="Times New Roman" w:cs="Times New Roman"/>
          <w:sz w:val="24"/>
          <w:szCs w:val="24"/>
          <w:lang w:val="pt-BR"/>
        </w:rPr>
      </w:pPr>
    </w:p>
    <w:p w14:paraId="5C2B6802" w14:textId="77777777" w:rsidR="0075524C" w:rsidRPr="00C35766" w:rsidRDefault="0075524C" w:rsidP="0075524C">
      <w:pPr>
        <w:pStyle w:val="a3"/>
        <w:rPr>
          <w:lang w:val="pt-BR"/>
        </w:rPr>
      </w:pPr>
      <w:r w:rsidRPr="00C35766">
        <w:rPr>
          <w:rFonts w:eastAsia="Times New Roman"/>
          <w:lang w:val="it-IT"/>
        </w:rPr>
        <w:t>La continuazione della terapia deve essere attentamente considerata in un soggetto che non risponde alla settimana 12.</w:t>
      </w:r>
    </w:p>
    <w:p w14:paraId="0841F038" w14:textId="77777777" w:rsidR="0075524C" w:rsidRPr="00C35766" w:rsidRDefault="0075524C" w:rsidP="0075524C">
      <w:pPr>
        <w:pStyle w:val="a3"/>
        <w:rPr>
          <w:lang w:val="pt-BR"/>
        </w:rPr>
      </w:pPr>
    </w:p>
    <w:p w14:paraId="64A93F80" w14:textId="624EACD0" w:rsidR="0075524C" w:rsidRDefault="0075524C" w:rsidP="0075524C">
      <w:pPr>
        <w:pStyle w:val="a3"/>
        <w:rPr>
          <w:rFonts w:eastAsia="Times New Roman"/>
          <w:lang w:val="it-IT"/>
        </w:rPr>
      </w:pPr>
      <w:r w:rsidRPr="00C35766">
        <w:rPr>
          <w:rFonts w:eastAsia="Times New Roman"/>
          <w:lang w:val="it-IT"/>
        </w:rPr>
        <w:t>Non c’è un uso rilevante di adalimumab nei bambini di età inferiore ai 6 anni per questa indicazione.</w:t>
      </w:r>
    </w:p>
    <w:p w14:paraId="7F4897CD" w14:textId="184D31E2" w:rsidR="003D659C" w:rsidRDefault="003D659C" w:rsidP="0075524C">
      <w:pPr>
        <w:pStyle w:val="a3"/>
        <w:rPr>
          <w:rFonts w:eastAsia="Times New Roman"/>
          <w:lang w:val="it-IT"/>
        </w:rPr>
      </w:pPr>
    </w:p>
    <w:p w14:paraId="647F7940" w14:textId="7055617B" w:rsidR="003D659C" w:rsidRPr="00C35766" w:rsidRDefault="005C2D5B" w:rsidP="0075524C">
      <w:pPr>
        <w:pStyle w:val="a3"/>
        <w:rPr>
          <w:lang w:val="pt-BR"/>
        </w:rPr>
      </w:pPr>
      <w:r w:rsidRPr="00824699">
        <w:rPr>
          <w:lang w:val="it-IT"/>
        </w:rPr>
        <w:t>Yuflyma</w:t>
      </w:r>
      <w:r w:rsidR="003D659C" w:rsidRPr="00824699">
        <w:rPr>
          <w:lang w:val="it-IT"/>
        </w:rPr>
        <w:t xml:space="preserve"> può essere disponibile in altr</w:t>
      </w:r>
      <w:r w:rsidR="00475A78">
        <w:rPr>
          <w:lang w:val="it-IT"/>
        </w:rPr>
        <w:t xml:space="preserve">i dosaggi </w:t>
      </w:r>
      <w:r w:rsidR="003D659C" w:rsidRPr="00824699">
        <w:rPr>
          <w:lang w:val="it-IT"/>
        </w:rPr>
        <w:t xml:space="preserve"> e/o presentazioni a seconda delle necessità individuali di trattamento.</w:t>
      </w:r>
    </w:p>
    <w:p w14:paraId="4BF60351" w14:textId="77777777" w:rsidR="0075524C" w:rsidRPr="00C35766" w:rsidRDefault="0075524C" w:rsidP="0075524C">
      <w:pPr>
        <w:rPr>
          <w:rFonts w:ascii="Times New Roman" w:eastAsia="Times New Roman" w:hAnsi="Times New Roman" w:cs="Times New Roman"/>
          <w:i/>
          <w:spacing w:val="-1"/>
          <w:u w:val="single" w:color="000000"/>
          <w:lang w:val="pt-BR"/>
        </w:rPr>
      </w:pPr>
    </w:p>
    <w:p w14:paraId="64676872" w14:textId="77777777" w:rsidR="0075524C" w:rsidRPr="00C35766" w:rsidRDefault="0075524C" w:rsidP="0075524C">
      <w:pPr>
        <w:rPr>
          <w:rFonts w:ascii="Times New Roman" w:eastAsia="Times New Roman" w:hAnsi="Times New Roman" w:cs="Times New Roman"/>
          <w:i/>
          <w:spacing w:val="-1"/>
          <w:u w:val="single" w:color="000000"/>
          <w:lang w:val="pt-BR"/>
        </w:rPr>
      </w:pPr>
      <w:r w:rsidRPr="00C35766">
        <w:rPr>
          <w:rFonts w:ascii="Times New Roman" w:eastAsia="Times New Roman" w:hAnsi="Times New Roman" w:cs="Times New Roman"/>
          <w:i/>
          <w:iCs/>
          <w:spacing w:val="-1"/>
          <w:u w:val="single" w:color="000000"/>
          <w:lang w:val="it-IT"/>
        </w:rPr>
        <w:t>Uveite pediatrica</w:t>
      </w:r>
    </w:p>
    <w:p w14:paraId="6E1EC9E8" w14:textId="77777777" w:rsidR="0075524C" w:rsidRPr="00C35766" w:rsidRDefault="0075524C" w:rsidP="0075524C">
      <w:pPr>
        <w:rPr>
          <w:rFonts w:ascii="Times New Roman" w:eastAsia="Times New Roman" w:hAnsi="Times New Roman" w:cs="Times New Roman"/>
          <w:lang w:val="pt-BR"/>
        </w:rPr>
      </w:pPr>
    </w:p>
    <w:p w14:paraId="2E34CA16" w14:textId="317C49DD" w:rsidR="0075524C" w:rsidRPr="00C35766" w:rsidRDefault="0075524C" w:rsidP="0075524C">
      <w:pPr>
        <w:pStyle w:val="a3"/>
        <w:rPr>
          <w:lang w:val="it-IT"/>
        </w:rPr>
      </w:pPr>
      <w:r w:rsidRPr="00C35766">
        <w:rPr>
          <w:rFonts w:eastAsia="Times New Roman"/>
          <w:lang w:val="it-IT"/>
        </w:rPr>
        <w:t xml:space="preserve">La dose raccomandata di Yuflyma nei pazienti pediatrici con uveite dai 2 anni di età è basata sul peso corporeo (Tabella </w:t>
      </w:r>
      <w:r w:rsidR="003D659C">
        <w:rPr>
          <w:rFonts w:eastAsia="Times New Roman"/>
          <w:lang w:val="it-IT"/>
        </w:rPr>
        <w:t>5</w:t>
      </w:r>
      <w:r w:rsidRPr="00C35766">
        <w:rPr>
          <w:rFonts w:eastAsia="Times New Roman"/>
          <w:lang w:val="it-IT"/>
        </w:rPr>
        <w:t>). Yuflyma è somministrato tramite iniezione sottocutanea.</w:t>
      </w:r>
    </w:p>
    <w:p w14:paraId="3A396AC2" w14:textId="77777777" w:rsidR="0075524C" w:rsidRPr="00C35766" w:rsidRDefault="0075524C" w:rsidP="0075524C">
      <w:pPr>
        <w:rPr>
          <w:rFonts w:ascii="Times New Roman" w:hAnsi="Times New Roman" w:cs="Times New Roman"/>
          <w:sz w:val="24"/>
          <w:szCs w:val="24"/>
          <w:lang w:val="it-IT"/>
        </w:rPr>
      </w:pPr>
    </w:p>
    <w:p w14:paraId="47C17A3B" w14:textId="77777777" w:rsidR="0075524C" w:rsidRPr="00C35766" w:rsidRDefault="0075524C" w:rsidP="0075524C">
      <w:pPr>
        <w:pStyle w:val="a3"/>
        <w:rPr>
          <w:lang w:val="it-IT"/>
        </w:rPr>
      </w:pPr>
      <w:r w:rsidRPr="00C35766">
        <w:rPr>
          <w:rFonts w:eastAsia="Times New Roman"/>
          <w:lang w:val="it-IT"/>
        </w:rPr>
        <w:t>Nell’uveite pediatrica, non c’è esperienza nel trattamento con adalimumab senza terapia concomitante con metotressato.</w:t>
      </w:r>
    </w:p>
    <w:p w14:paraId="647AF688" w14:textId="77777777" w:rsidR="0075524C" w:rsidRPr="00C35766" w:rsidRDefault="0075524C" w:rsidP="0075524C">
      <w:pPr>
        <w:pStyle w:val="a3"/>
        <w:rPr>
          <w:lang w:val="it-IT"/>
        </w:rPr>
      </w:pPr>
    </w:p>
    <w:p w14:paraId="5C50BC16" w14:textId="4D560F34" w:rsidR="0075524C" w:rsidRPr="00C35766" w:rsidRDefault="0075524C" w:rsidP="0075524C">
      <w:pPr>
        <w:pStyle w:val="a3"/>
        <w:jc w:val="center"/>
        <w:rPr>
          <w:b/>
          <w:lang w:val="es-ES"/>
        </w:rPr>
      </w:pPr>
      <w:r w:rsidRPr="00C35766">
        <w:rPr>
          <w:rFonts w:eastAsia="Times New Roman"/>
          <w:b/>
          <w:bCs/>
          <w:lang w:val="it-IT"/>
        </w:rPr>
        <w:t xml:space="preserve">Tabella </w:t>
      </w:r>
      <w:r w:rsidR="003D659C">
        <w:rPr>
          <w:rFonts w:eastAsia="Times New Roman"/>
          <w:b/>
          <w:bCs/>
          <w:lang w:val="it-IT"/>
        </w:rPr>
        <w:t>5</w:t>
      </w:r>
      <w:r>
        <w:rPr>
          <w:rFonts w:eastAsia="Times New Roman"/>
          <w:b/>
          <w:bCs/>
          <w:lang w:val="it-IT"/>
        </w:rPr>
        <w:t>.</w:t>
      </w:r>
      <w:r w:rsidRPr="00C35766">
        <w:rPr>
          <w:rFonts w:eastAsia="Times New Roman"/>
          <w:b/>
          <w:bCs/>
          <w:lang w:val="it-IT"/>
        </w:rPr>
        <w:t xml:space="preserve"> Dose di Yuflyma per pazienti pediatrici con uveite</w:t>
      </w:r>
    </w:p>
    <w:p w14:paraId="204C7B6D" w14:textId="77777777" w:rsidR="0075524C" w:rsidRPr="00C35766" w:rsidRDefault="0075524C" w:rsidP="0075524C">
      <w:pPr>
        <w:spacing w:before="4" w:line="220" w:lineRule="exact"/>
        <w:rPr>
          <w:rFonts w:ascii="Times New Roman" w:hAnsi="Times New Roman" w:cs="Times New Roman"/>
          <w:lang w:val="es-ES"/>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5524C" w:rsidRPr="00C35766" w14:paraId="2550F6B7" w14:textId="77777777" w:rsidTr="00603A86">
        <w:trPr>
          <w:trHeight w:val="374"/>
          <w:jc w:val="center"/>
        </w:trPr>
        <w:tc>
          <w:tcPr>
            <w:tcW w:w="3572" w:type="dxa"/>
            <w:tcBorders>
              <w:top w:val="single" w:sz="4" w:space="0" w:color="auto"/>
              <w:bottom w:val="single" w:sz="4" w:space="0" w:color="auto"/>
            </w:tcBorders>
            <w:vAlign w:val="center"/>
          </w:tcPr>
          <w:p w14:paraId="3127B980" w14:textId="77777777" w:rsidR="0075524C" w:rsidRPr="00C35766" w:rsidRDefault="0075524C" w:rsidP="00603A86">
            <w:pPr>
              <w:pStyle w:val="a3"/>
              <w:jc w:val="center"/>
              <w:rPr>
                <w:b/>
              </w:rPr>
            </w:pPr>
            <w:r w:rsidRPr="00C35766">
              <w:rPr>
                <w:rFonts w:eastAsia="Times New Roman"/>
                <w:b/>
                <w:bCs/>
                <w:lang w:val="it-IT"/>
              </w:rPr>
              <w:t>Peso del paziente</w:t>
            </w:r>
          </w:p>
        </w:tc>
        <w:tc>
          <w:tcPr>
            <w:tcW w:w="3572" w:type="dxa"/>
            <w:tcBorders>
              <w:top w:val="single" w:sz="4" w:space="0" w:color="auto"/>
              <w:bottom w:val="single" w:sz="4" w:space="0" w:color="auto"/>
            </w:tcBorders>
            <w:vAlign w:val="center"/>
          </w:tcPr>
          <w:p w14:paraId="5C04201E" w14:textId="77777777" w:rsidR="0075524C" w:rsidRPr="00C35766" w:rsidRDefault="0075524C" w:rsidP="00603A86">
            <w:pPr>
              <w:pStyle w:val="a3"/>
              <w:jc w:val="center"/>
              <w:rPr>
                <w:b/>
              </w:rPr>
            </w:pPr>
            <w:r w:rsidRPr="00C35766">
              <w:rPr>
                <w:rFonts w:eastAsia="Times New Roman"/>
                <w:b/>
                <w:bCs/>
                <w:lang w:val="it-IT"/>
              </w:rPr>
              <w:t>Schema posologico</w:t>
            </w:r>
          </w:p>
        </w:tc>
      </w:tr>
      <w:tr w:rsidR="003D659C" w:rsidRPr="00494E69" w14:paraId="59D049D1" w14:textId="77777777" w:rsidTr="00603A86">
        <w:trPr>
          <w:trHeight w:val="388"/>
          <w:jc w:val="center"/>
        </w:trPr>
        <w:tc>
          <w:tcPr>
            <w:tcW w:w="3572" w:type="dxa"/>
            <w:tcBorders>
              <w:top w:val="single" w:sz="4" w:space="0" w:color="auto"/>
              <w:bottom w:val="single" w:sz="4" w:space="0" w:color="auto"/>
            </w:tcBorders>
            <w:vAlign w:val="center"/>
          </w:tcPr>
          <w:p w14:paraId="2E159FD3" w14:textId="77777777" w:rsidR="003D659C" w:rsidRPr="00C35766" w:rsidRDefault="003D659C" w:rsidP="003D659C">
            <w:pPr>
              <w:pStyle w:val="a3"/>
              <w:jc w:val="center"/>
            </w:pPr>
            <w:r w:rsidRPr="00C35766">
              <w:rPr>
                <w:rFonts w:eastAsia="Times New Roman"/>
                <w:lang w:val="it-IT"/>
              </w:rPr>
              <w:t>&lt; 30 kg</w:t>
            </w:r>
          </w:p>
        </w:tc>
        <w:tc>
          <w:tcPr>
            <w:tcW w:w="3572" w:type="dxa"/>
            <w:tcBorders>
              <w:top w:val="single" w:sz="4" w:space="0" w:color="auto"/>
              <w:bottom w:val="single" w:sz="4" w:space="0" w:color="auto"/>
            </w:tcBorders>
            <w:vAlign w:val="center"/>
          </w:tcPr>
          <w:p w14:paraId="0EA13739" w14:textId="2AE77ACC" w:rsidR="003D659C" w:rsidRPr="00824699" w:rsidRDefault="003D659C" w:rsidP="003D659C">
            <w:pPr>
              <w:pStyle w:val="a3"/>
              <w:jc w:val="center"/>
              <w:rPr>
                <w:lang w:val="it-IT"/>
              </w:rPr>
            </w:pPr>
            <w:r>
              <w:rPr>
                <w:rFonts w:eastAsia="Times New Roman"/>
                <w:lang w:val="it-IT"/>
              </w:rPr>
              <w:t>20</w:t>
            </w:r>
            <w:r w:rsidRPr="00C35766">
              <w:rPr>
                <w:rFonts w:eastAsia="Times New Roman"/>
                <w:lang w:val="it-IT"/>
              </w:rPr>
              <w:t xml:space="preserve"> mg a settimane alterne in associazione con metotressato</w:t>
            </w:r>
          </w:p>
        </w:tc>
      </w:tr>
      <w:tr w:rsidR="003D659C" w:rsidRPr="00494E69" w14:paraId="75D59E87" w14:textId="77777777" w:rsidTr="00603A86">
        <w:trPr>
          <w:trHeight w:val="374"/>
          <w:jc w:val="center"/>
        </w:trPr>
        <w:tc>
          <w:tcPr>
            <w:tcW w:w="3572" w:type="dxa"/>
            <w:tcBorders>
              <w:top w:val="single" w:sz="4" w:space="0" w:color="auto"/>
              <w:bottom w:val="single" w:sz="4" w:space="0" w:color="auto"/>
            </w:tcBorders>
            <w:vAlign w:val="center"/>
          </w:tcPr>
          <w:p w14:paraId="26ACB50A" w14:textId="77777777" w:rsidR="003D659C" w:rsidRPr="00C35766" w:rsidRDefault="003D659C" w:rsidP="003D659C">
            <w:pPr>
              <w:pStyle w:val="a3"/>
              <w:jc w:val="center"/>
            </w:pPr>
            <w:r w:rsidRPr="00C35766">
              <w:rPr>
                <w:rFonts w:eastAsia="Times New Roman"/>
                <w:lang w:val="it-IT"/>
              </w:rPr>
              <w:t>≥ 30 kg</w:t>
            </w:r>
          </w:p>
        </w:tc>
        <w:tc>
          <w:tcPr>
            <w:tcW w:w="3572" w:type="dxa"/>
            <w:tcBorders>
              <w:top w:val="single" w:sz="4" w:space="0" w:color="auto"/>
              <w:bottom w:val="single" w:sz="4" w:space="0" w:color="auto"/>
            </w:tcBorders>
            <w:vAlign w:val="center"/>
          </w:tcPr>
          <w:p w14:paraId="4AA9F981" w14:textId="77777777" w:rsidR="003D659C" w:rsidRPr="00C35766" w:rsidRDefault="003D659C" w:rsidP="003D659C">
            <w:pPr>
              <w:pStyle w:val="a3"/>
              <w:jc w:val="center"/>
              <w:rPr>
                <w:lang w:val="it-IT"/>
              </w:rPr>
            </w:pPr>
            <w:r w:rsidRPr="00C35766">
              <w:rPr>
                <w:rFonts w:eastAsia="Times New Roman"/>
                <w:lang w:val="it-IT"/>
              </w:rPr>
              <w:t>40 mg a settimane alterne in associazione con metotressato</w:t>
            </w:r>
          </w:p>
        </w:tc>
      </w:tr>
    </w:tbl>
    <w:p w14:paraId="02BF6ED3" w14:textId="77777777" w:rsidR="0075524C" w:rsidRPr="00C35766" w:rsidRDefault="0075524C" w:rsidP="0075524C">
      <w:pPr>
        <w:pStyle w:val="a3"/>
        <w:rPr>
          <w:lang w:val="pt-BR"/>
        </w:rPr>
      </w:pPr>
    </w:p>
    <w:p w14:paraId="050B5000" w14:textId="77777777" w:rsidR="0075524C" w:rsidRPr="00C35766" w:rsidRDefault="0075524C" w:rsidP="0075524C">
      <w:pPr>
        <w:pStyle w:val="a3"/>
        <w:rPr>
          <w:lang w:val="it-IT"/>
        </w:rPr>
      </w:pPr>
      <w:r w:rsidRPr="00C35766">
        <w:rPr>
          <w:rFonts w:eastAsia="Times New Roman"/>
          <w:lang w:val="it-IT"/>
        </w:rPr>
        <w:t xml:space="preserve">Quando si inizia la terapia con Yuflyma, è possibile somministrare una dose di carico da 40 mg per i pazienti con peso &lt; 30 kg o 80 mg per i pazienti </w:t>
      </w:r>
      <w:r w:rsidRPr="00C35766">
        <w:rPr>
          <w:rFonts w:eastAsia="Times New Roman"/>
          <w:lang w:val="it-IT"/>
        </w:rPr>
        <w:tab/>
        <w:t>con peso ≥ 30 kg una settimana prima dell’inizio della terapia di mantenimento. Non sono disponibili dati clinici sull’uso della dose di carico di adalimumab nei bambini di età inferiore ai 6 anni (vedere paragrafo 5.2).</w:t>
      </w:r>
    </w:p>
    <w:p w14:paraId="1E08BE16" w14:textId="77777777" w:rsidR="0075524C" w:rsidRPr="00C35766" w:rsidRDefault="0075524C" w:rsidP="0075524C">
      <w:pPr>
        <w:spacing w:before="10" w:line="240" w:lineRule="exact"/>
        <w:rPr>
          <w:rFonts w:ascii="Times New Roman" w:hAnsi="Times New Roman" w:cs="Times New Roman"/>
          <w:sz w:val="24"/>
          <w:szCs w:val="24"/>
          <w:lang w:val="it-IT"/>
        </w:rPr>
      </w:pPr>
    </w:p>
    <w:p w14:paraId="5071114C" w14:textId="77777777" w:rsidR="0075524C" w:rsidRPr="00C35766" w:rsidRDefault="0075524C" w:rsidP="0075524C">
      <w:pPr>
        <w:pStyle w:val="a3"/>
        <w:rPr>
          <w:lang w:val="it-IT"/>
        </w:rPr>
      </w:pPr>
      <w:r w:rsidRPr="00C35766">
        <w:rPr>
          <w:rFonts w:eastAsia="Times New Roman"/>
          <w:lang w:val="it-IT"/>
        </w:rPr>
        <w:t xml:space="preserve">Non c’è un uso rilevante di </w:t>
      </w:r>
      <w:r>
        <w:rPr>
          <w:rFonts w:eastAsia="Times New Roman"/>
          <w:lang w:val="it-IT"/>
        </w:rPr>
        <w:t>adalimumab</w:t>
      </w:r>
      <w:r w:rsidRPr="00C35766">
        <w:rPr>
          <w:rFonts w:eastAsia="Times New Roman"/>
          <w:lang w:val="it-IT"/>
        </w:rPr>
        <w:t xml:space="preserve"> nei bambini di età inferiore ai 2 anni per questa indicazione.</w:t>
      </w:r>
    </w:p>
    <w:p w14:paraId="1CB16DDC" w14:textId="77777777" w:rsidR="0075524C" w:rsidRPr="00C35766" w:rsidRDefault="0075524C" w:rsidP="0075524C">
      <w:pPr>
        <w:spacing w:before="11" w:line="240" w:lineRule="exact"/>
        <w:rPr>
          <w:rFonts w:ascii="Times New Roman" w:hAnsi="Times New Roman" w:cs="Times New Roman"/>
          <w:sz w:val="24"/>
          <w:szCs w:val="24"/>
          <w:lang w:val="it-IT"/>
        </w:rPr>
      </w:pPr>
    </w:p>
    <w:p w14:paraId="5DD0599A" w14:textId="77777777" w:rsidR="0075524C" w:rsidRPr="00C35766" w:rsidRDefault="0075524C" w:rsidP="0075524C">
      <w:pPr>
        <w:pStyle w:val="a3"/>
        <w:rPr>
          <w:lang w:val="it-IT"/>
        </w:rPr>
      </w:pPr>
      <w:r w:rsidRPr="00C35766">
        <w:rPr>
          <w:rFonts w:eastAsia="Times New Roman"/>
          <w:spacing w:val="-4"/>
          <w:lang w:val="it-IT"/>
        </w:rPr>
        <w:t xml:space="preserve">Si raccomanda che i benefici e i rischi del trattamento continuato a lungo termine siano valutati annualmente </w:t>
      </w:r>
      <w:r w:rsidRPr="00C35766">
        <w:rPr>
          <w:rFonts w:eastAsia="Times New Roman"/>
          <w:spacing w:val="-4"/>
          <w:lang w:val="it-IT"/>
        </w:rPr>
        <w:lastRenderedPageBreak/>
        <w:t>(vedere paragrafo 5.1).</w:t>
      </w:r>
    </w:p>
    <w:p w14:paraId="1D0A4A21" w14:textId="6C5DE6E8" w:rsidR="0075524C" w:rsidRDefault="0075524C" w:rsidP="0075524C">
      <w:pPr>
        <w:spacing w:before="16" w:line="240" w:lineRule="exact"/>
        <w:rPr>
          <w:rFonts w:ascii="Times New Roman" w:hAnsi="Times New Roman" w:cs="Times New Roman"/>
          <w:sz w:val="24"/>
          <w:szCs w:val="24"/>
          <w:lang w:val="it-IT"/>
        </w:rPr>
      </w:pPr>
    </w:p>
    <w:p w14:paraId="69703436" w14:textId="1689AEBC" w:rsidR="003D659C" w:rsidRPr="005C2D5B" w:rsidRDefault="005C2D5B" w:rsidP="005C2D5B">
      <w:pPr>
        <w:pStyle w:val="a3"/>
        <w:rPr>
          <w:rFonts w:eastAsia="Times New Roman"/>
          <w:lang w:val="it-IT"/>
        </w:rPr>
      </w:pPr>
      <w:r>
        <w:rPr>
          <w:rFonts w:eastAsia="Times New Roman"/>
          <w:lang w:val="it-IT"/>
        </w:rPr>
        <w:t>Yuflyma</w:t>
      </w:r>
      <w:r w:rsidR="00E66A7E" w:rsidRPr="005C2D5B">
        <w:rPr>
          <w:rFonts w:eastAsia="Times New Roman"/>
          <w:lang w:val="it-IT"/>
        </w:rPr>
        <w:t xml:space="preserve"> può essere disponibile in altr</w:t>
      </w:r>
      <w:r w:rsidR="00475A78">
        <w:rPr>
          <w:rFonts w:eastAsia="Times New Roman"/>
          <w:lang w:val="it-IT"/>
        </w:rPr>
        <w:t xml:space="preserve">i dosaggi </w:t>
      </w:r>
      <w:r w:rsidR="00E66A7E" w:rsidRPr="005C2D5B">
        <w:rPr>
          <w:rFonts w:eastAsia="Times New Roman"/>
          <w:lang w:val="it-IT"/>
        </w:rPr>
        <w:t xml:space="preserve"> e/o presentazioni a seconda delle necessità individuali di trattamento.</w:t>
      </w:r>
    </w:p>
    <w:p w14:paraId="1060F280" w14:textId="242D3473" w:rsidR="003D659C" w:rsidRDefault="003D659C" w:rsidP="0075524C">
      <w:pPr>
        <w:spacing w:before="16" w:line="240" w:lineRule="exact"/>
        <w:rPr>
          <w:rFonts w:ascii="Times New Roman" w:hAnsi="Times New Roman" w:cs="Times New Roman"/>
          <w:sz w:val="24"/>
          <w:szCs w:val="24"/>
          <w:lang w:val="it-IT"/>
        </w:rPr>
      </w:pPr>
    </w:p>
    <w:p w14:paraId="3FC5947A" w14:textId="3B01304C" w:rsidR="00E66A7E" w:rsidRPr="005C2D5B" w:rsidRDefault="00D83486" w:rsidP="005C2D5B">
      <w:pPr>
        <w:pStyle w:val="a3"/>
        <w:rPr>
          <w:rFonts w:eastAsia="Times New Roman"/>
          <w:u w:val="single" w:color="000000"/>
          <w:lang w:val="it-IT"/>
        </w:rPr>
      </w:pPr>
      <w:r>
        <w:rPr>
          <w:rFonts w:eastAsia="Times New Roman"/>
          <w:u w:val="single" w:color="000000"/>
          <w:lang w:val="it-IT"/>
        </w:rPr>
        <w:t>Compromissione</w:t>
      </w:r>
      <w:r w:rsidR="00E66A7E" w:rsidRPr="005C2D5B">
        <w:rPr>
          <w:rFonts w:eastAsia="Times New Roman"/>
          <w:u w:val="single" w:color="000000"/>
          <w:lang w:val="it-IT"/>
        </w:rPr>
        <w:t xml:space="preserve"> renale e/o epatica</w:t>
      </w:r>
    </w:p>
    <w:p w14:paraId="7BAAE507" w14:textId="77777777" w:rsidR="00E66A7E" w:rsidRPr="005C2D5B" w:rsidRDefault="00E66A7E" w:rsidP="005C2D5B">
      <w:pPr>
        <w:pStyle w:val="a3"/>
        <w:rPr>
          <w:rFonts w:eastAsia="Times New Roman"/>
          <w:lang w:val="it-IT"/>
        </w:rPr>
      </w:pPr>
    </w:p>
    <w:p w14:paraId="7541EFB9" w14:textId="37A6B0D2" w:rsidR="003D659C" w:rsidRPr="005C2D5B" w:rsidRDefault="00FF1D3B" w:rsidP="005C2D5B">
      <w:pPr>
        <w:pStyle w:val="a3"/>
        <w:rPr>
          <w:rFonts w:eastAsia="Times New Roman"/>
          <w:lang w:val="it-IT"/>
        </w:rPr>
      </w:pPr>
      <w:r>
        <w:rPr>
          <w:rFonts w:eastAsia="Times New Roman"/>
          <w:lang w:val="it-IT"/>
        </w:rPr>
        <w:t>Adalimumab</w:t>
      </w:r>
      <w:r w:rsidR="00E66A7E" w:rsidRPr="005C2D5B">
        <w:rPr>
          <w:rFonts w:eastAsia="Times New Roman"/>
          <w:lang w:val="it-IT"/>
        </w:rPr>
        <w:t xml:space="preserve"> non è stato studiato in queste popolazioni di pazienti. Non possono essere fornite raccomandazioni posologiche.</w:t>
      </w:r>
    </w:p>
    <w:p w14:paraId="2027BEC4" w14:textId="77777777" w:rsidR="003D659C" w:rsidRPr="00C35766" w:rsidRDefault="003D659C" w:rsidP="0075524C">
      <w:pPr>
        <w:spacing w:before="16" w:line="240" w:lineRule="exact"/>
        <w:rPr>
          <w:rFonts w:ascii="Times New Roman" w:hAnsi="Times New Roman" w:cs="Times New Roman"/>
          <w:sz w:val="24"/>
          <w:szCs w:val="24"/>
          <w:lang w:val="it-IT"/>
        </w:rPr>
      </w:pPr>
    </w:p>
    <w:p w14:paraId="2ECA9E05" w14:textId="77777777" w:rsidR="0075524C" w:rsidRPr="00C35766" w:rsidRDefault="0075524C" w:rsidP="0075524C">
      <w:pPr>
        <w:pStyle w:val="a3"/>
        <w:rPr>
          <w:u w:val="single"/>
          <w:lang w:val="it-IT"/>
        </w:rPr>
      </w:pPr>
      <w:r w:rsidRPr="00C35766">
        <w:rPr>
          <w:rFonts w:eastAsia="Times New Roman"/>
          <w:u w:val="single" w:color="000000"/>
          <w:lang w:val="it-IT"/>
        </w:rPr>
        <w:t>Modo di somministrazione</w:t>
      </w:r>
    </w:p>
    <w:p w14:paraId="2E1CEAFA" w14:textId="77777777" w:rsidR="0075524C" w:rsidRPr="00C35766" w:rsidRDefault="0075524C" w:rsidP="0075524C">
      <w:pPr>
        <w:spacing w:before="9" w:line="170" w:lineRule="exact"/>
        <w:rPr>
          <w:rFonts w:ascii="Times New Roman" w:hAnsi="Times New Roman" w:cs="Times New Roman"/>
          <w:lang w:val="it-IT"/>
        </w:rPr>
      </w:pPr>
    </w:p>
    <w:p w14:paraId="6DAB01EA" w14:textId="1BEF1240" w:rsidR="0075524C" w:rsidRPr="00C35766" w:rsidRDefault="0075524C" w:rsidP="0075524C">
      <w:pPr>
        <w:pStyle w:val="a3"/>
        <w:rPr>
          <w:lang w:val="it-IT"/>
        </w:rPr>
      </w:pPr>
      <w:r w:rsidRPr="00C35766">
        <w:rPr>
          <w:rFonts w:eastAsia="Times New Roman"/>
          <w:lang w:val="it-IT"/>
        </w:rPr>
        <w:t>Yuflyma è somministrato tramite iniezione sottocutanea.</w:t>
      </w:r>
      <w:r w:rsidR="00E66A7E">
        <w:rPr>
          <w:rFonts w:eastAsia="Times New Roman"/>
          <w:lang w:val="it-IT"/>
        </w:rPr>
        <w:t xml:space="preserve"> </w:t>
      </w:r>
      <w:r w:rsidRPr="00C35766">
        <w:rPr>
          <w:rFonts w:eastAsia="Times New Roman"/>
          <w:lang w:val="it-IT"/>
        </w:rPr>
        <w:t>Istruzioni complete per l’uso sono fornite nel foglio illustrativo.</w:t>
      </w:r>
    </w:p>
    <w:p w14:paraId="54756D03" w14:textId="77777777" w:rsidR="0075524C" w:rsidRPr="00C35766" w:rsidRDefault="0075524C" w:rsidP="0075524C">
      <w:pPr>
        <w:spacing w:before="12" w:line="240" w:lineRule="exact"/>
        <w:rPr>
          <w:rFonts w:ascii="Times New Roman" w:hAnsi="Times New Roman" w:cs="Times New Roman"/>
          <w:lang w:val="it-IT"/>
        </w:rPr>
      </w:pPr>
    </w:p>
    <w:p w14:paraId="37E3E16F" w14:textId="10DA40A2" w:rsidR="0075524C" w:rsidRPr="00C35766" w:rsidRDefault="005C2D5B" w:rsidP="0075524C">
      <w:pPr>
        <w:pStyle w:val="a3"/>
        <w:rPr>
          <w:lang w:val="it-IT"/>
        </w:rPr>
      </w:pPr>
      <w:r w:rsidRPr="00824699">
        <w:rPr>
          <w:lang w:val="it-IT"/>
        </w:rPr>
        <w:t>Yuflyma</w:t>
      </w:r>
      <w:r w:rsidR="00E66A7E" w:rsidRPr="00824699">
        <w:rPr>
          <w:lang w:val="it-IT"/>
        </w:rPr>
        <w:t xml:space="preserve"> è disponibile in altr</w:t>
      </w:r>
      <w:r w:rsidR="00FF1D3B">
        <w:rPr>
          <w:lang w:val="it-IT"/>
        </w:rPr>
        <w:t xml:space="preserve">i dosaggi </w:t>
      </w:r>
      <w:r w:rsidR="00E66A7E" w:rsidRPr="00824699">
        <w:rPr>
          <w:lang w:val="it-IT"/>
        </w:rPr>
        <w:t>e presentazioni</w:t>
      </w:r>
      <w:r w:rsidR="0075524C" w:rsidRPr="00C35766">
        <w:rPr>
          <w:rFonts w:eastAsia="Times New Roman"/>
          <w:lang w:val="it-IT"/>
        </w:rPr>
        <w:t>.</w:t>
      </w:r>
    </w:p>
    <w:p w14:paraId="3C4C34E5" w14:textId="77777777" w:rsidR="0075524C" w:rsidRPr="00C35766" w:rsidRDefault="0075524C" w:rsidP="0075524C">
      <w:pPr>
        <w:spacing w:before="16" w:line="240" w:lineRule="exact"/>
        <w:rPr>
          <w:rFonts w:ascii="Times New Roman" w:hAnsi="Times New Roman" w:cs="Times New Roman"/>
          <w:lang w:val="it-IT"/>
        </w:rPr>
      </w:pPr>
    </w:p>
    <w:p w14:paraId="5295F94D"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Controindicazioni</w:t>
      </w:r>
    </w:p>
    <w:p w14:paraId="5E89DD15" w14:textId="77777777" w:rsidR="0075524C" w:rsidRPr="00C35766" w:rsidRDefault="0075524C" w:rsidP="0075524C">
      <w:pPr>
        <w:spacing w:before="9" w:line="240" w:lineRule="exact"/>
        <w:rPr>
          <w:rFonts w:ascii="Times New Roman" w:hAnsi="Times New Roman" w:cs="Times New Roman"/>
        </w:rPr>
      </w:pPr>
    </w:p>
    <w:p w14:paraId="69F34DDC" w14:textId="77777777" w:rsidR="0075524C" w:rsidRPr="00C35766" w:rsidRDefault="0075524C" w:rsidP="0075524C">
      <w:pPr>
        <w:pStyle w:val="a3"/>
        <w:rPr>
          <w:lang w:val="es-ES"/>
        </w:rPr>
      </w:pPr>
      <w:r w:rsidRPr="00C35766">
        <w:rPr>
          <w:rFonts w:eastAsia="Times New Roman"/>
          <w:lang w:val="it-IT"/>
        </w:rPr>
        <w:t>Ipersensibilità al principio attivo o ad uno qualsiasi degli eccipienti elencati al paragrafo 6.1.</w:t>
      </w:r>
    </w:p>
    <w:p w14:paraId="35FEEBF4" w14:textId="77777777" w:rsidR="0075524C" w:rsidRPr="00C35766" w:rsidRDefault="0075524C" w:rsidP="0075524C">
      <w:pPr>
        <w:spacing w:before="13" w:line="240" w:lineRule="exact"/>
        <w:rPr>
          <w:rFonts w:ascii="Times New Roman" w:hAnsi="Times New Roman" w:cs="Times New Roman"/>
          <w:lang w:val="es-ES"/>
        </w:rPr>
      </w:pPr>
    </w:p>
    <w:p w14:paraId="0FAED339" w14:textId="77777777" w:rsidR="0075524C" w:rsidRPr="00C35766" w:rsidRDefault="0075524C" w:rsidP="0075524C">
      <w:pPr>
        <w:pStyle w:val="a3"/>
        <w:rPr>
          <w:lang w:val="pt-BR"/>
        </w:rPr>
      </w:pPr>
      <w:r w:rsidRPr="00C35766">
        <w:rPr>
          <w:rFonts w:eastAsia="Times New Roman"/>
          <w:lang w:val="it-IT"/>
        </w:rPr>
        <w:t xml:space="preserve">Tubercolosi attiva o altre infezioni severe come sepsi e infezioni opportunistiche (vedere paragrafo 4.4). </w:t>
      </w:r>
    </w:p>
    <w:p w14:paraId="40E9F48B" w14:textId="77777777" w:rsidR="0075524C" w:rsidRPr="00C35766" w:rsidRDefault="0075524C" w:rsidP="0075524C">
      <w:pPr>
        <w:pStyle w:val="a3"/>
        <w:rPr>
          <w:lang w:val="pt-BR"/>
        </w:rPr>
      </w:pPr>
    </w:p>
    <w:p w14:paraId="6A57533B" w14:textId="77777777" w:rsidR="0075524C" w:rsidRPr="00C35766" w:rsidRDefault="0075524C" w:rsidP="0075524C">
      <w:pPr>
        <w:pStyle w:val="a3"/>
        <w:rPr>
          <w:lang w:val="pt-BR"/>
        </w:rPr>
      </w:pPr>
      <w:r w:rsidRPr="00C35766">
        <w:rPr>
          <w:rFonts w:eastAsia="Times New Roman"/>
          <w:lang w:val="it-IT"/>
        </w:rPr>
        <w:t>Insufficienza cardiaca da moderata a severa (classe III/IV NYHA) (vedere paragrafo 4.4).</w:t>
      </w:r>
    </w:p>
    <w:p w14:paraId="3320FD5D" w14:textId="77777777" w:rsidR="0075524C" w:rsidRPr="00C35766" w:rsidRDefault="0075524C" w:rsidP="0075524C">
      <w:pPr>
        <w:pStyle w:val="a3"/>
        <w:rPr>
          <w:lang w:val="pt-BR"/>
        </w:rPr>
      </w:pPr>
    </w:p>
    <w:p w14:paraId="13A4A717"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Avvertenze speciali e precauzioni d’impiego</w:t>
      </w:r>
    </w:p>
    <w:p w14:paraId="2EAAC9B7" w14:textId="77777777" w:rsidR="0075524C" w:rsidRPr="00C35766" w:rsidRDefault="0075524C" w:rsidP="0075524C">
      <w:pPr>
        <w:spacing w:before="9" w:line="240" w:lineRule="exact"/>
        <w:rPr>
          <w:rFonts w:ascii="Times New Roman" w:hAnsi="Times New Roman" w:cs="Times New Roman"/>
        </w:rPr>
      </w:pPr>
    </w:p>
    <w:p w14:paraId="69093956" w14:textId="77777777" w:rsidR="0075524C" w:rsidRPr="00C35766" w:rsidRDefault="0075524C" w:rsidP="0075524C">
      <w:pPr>
        <w:pStyle w:val="a3"/>
        <w:rPr>
          <w:u w:val="single"/>
        </w:rPr>
      </w:pPr>
      <w:r w:rsidRPr="00C35766">
        <w:rPr>
          <w:rFonts w:eastAsia="Times New Roman"/>
          <w:spacing w:val="1"/>
          <w:u w:val="single" w:color="000000"/>
          <w:lang w:val="it-IT"/>
        </w:rPr>
        <w:t>Tracciabilità</w:t>
      </w:r>
    </w:p>
    <w:p w14:paraId="21E97980" w14:textId="77777777" w:rsidR="0075524C" w:rsidRPr="00C35766" w:rsidRDefault="0075524C" w:rsidP="0075524C">
      <w:pPr>
        <w:spacing w:before="1" w:line="180" w:lineRule="exact"/>
        <w:rPr>
          <w:rFonts w:ascii="Times New Roman" w:hAnsi="Times New Roman" w:cs="Times New Roman"/>
        </w:rPr>
      </w:pPr>
    </w:p>
    <w:p w14:paraId="14E6F480" w14:textId="77777777" w:rsidR="0075524C" w:rsidRPr="00C35766" w:rsidRDefault="0075524C" w:rsidP="0075524C">
      <w:pPr>
        <w:pStyle w:val="a3"/>
        <w:rPr>
          <w:lang w:val="pt-BR"/>
        </w:rPr>
      </w:pPr>
      <w:r w:rsidRPr="00C35766">
        <w:rPr>
          <w:rFonts w:eastAsia="Times New Roman"/>
          <w:lang w:val="it-IT"/>
        </w:rPr>
        <w:t>Al fine di migliorare la tracciabilità dei medicinali biologici, il nome e il numero di lotto del prodotto somministrato devono essere chiaramente registrati.</w:t>
      </w:r>
    </w:p>
    <w:p w14:paraId="7B3E9389" w14:textId="77777777" w:rsidR="0075524C" w:rsidRPr="00C35766" w:rsidRDefault="0075524C" w:rsidP="0075524C">
      <w:pPr>
        <w:spacing w:before="11" w:line="240" w:lineRule="exact"/>
        <w:rPr>
          <w:rFonts w:ascii="Times New Roman" w:hAnsi="Times New Roman" w:cs="Times New Roman"/>
          <w:lang w:val="pt-BR"/>
        </w:rPr>
      </w:pPr>
    </w:p>
    <w:p w14:paraId="2AAEE216" w14:textId="77777777" w:rsidR="0075524C" w:rsidRPr="00C35766" w:rsidRDefault="0075524C" w:rsidP="0075524C">
      <w:pPr>
        <w:pStyle w:val="a3"/>
        <w:rPr>
          <w:u w:val="single"/>
          <w:lang w:val="pt-BR"/>
        </w:rPr>
      </w:pPr>
      <w:r w:rsidRPr="00C35766">
        <w:rPr>
          <w:rFonts w:eastAsia="Times New Roman"/>
          <w:u w:val="single" w:color="000000"/>
          <w:lang w:val="it-IT"/>
        </w:rPr>
        <w:t>Infezioni</w:t>
      </w:r>
    </w:p>
    <w:p w14:paraId="12242E73" w14:textId="77777777" w:rsidR="0075524C" w:rsidRPr="00C35766" w:rsidRDefault="0075524C" w:rsidP="0075524C">
      <w:pPr>
        <w:spacing w:before="1" w:line="180" w:lineRule="exact"/>
        <w:rPr>
          <w:rFonts w:ascii="Times New Roman" w:hAnsi="Times New Roman" w:cs="Times New Roman"/>
          <w:lang w:val="pt-BR"/>
        </w:rPr>
      </w:pPr>
    </w:p>
    <w:p w14:paraId="1116BE0F" w14:textId="77777777" w:rsidR="0075524C" w:rsidRPr="00C35766" w:rsidRDefault="0075524C" w:rsidP="0075524C">
      <w:pPr>
        <w:pStyle w:val="a3"/>
        <w:rPr>
          <w:lang w:val="it-IT"/>
        </w:rPr>
      </w:pPr>
      <w:r w:rsidRPr="00C35766">
        <w:rPr>
          <w:rFonts w:eastAsia="Times New Roman"/>
          <w:lang w:val="it-IT"/>
        </w:rPr>
        <w:t>I pazienti in trattamento con antagonisti del TNF sono più suscettibili alle infezioni gravi. Una funzione polmonare compromessa può aumentare il rischio di sviluppare infezioni. I pazienti devono pertanto essere attentamente esaminati per la valutazione di infezioni, compresa la tubercolosi, prima, durante e dopo il trattamento con Yuflyma.  Poichè l’eliminazione di adalimumab può richiedere fino a quattro mesi, il controllo deve essere continuato durante tale periodo.</w:t>
      </w:r>
    </w:p>
    <w:p w14:paraId="3085F57B" w14:textId="77777777" w:rsidR="0075524C" w:rsidRPr="00C35766" w:rsidRDefault="0075524C" w:rsidP="0075524C">
      <w:pPr>
        <w:spacing w:before="14" w:line="240" w:lineRule="exact"/>
        <w:rPr>
          <w:rFonts w:ascii="Times New Roman" w:hAnsi="Times New Roman" w:cs="Times New Roman"/>
          <w:lang w:val="it-IT"/>
        </w:rPr>
      </w:pPr>
    </w:p>
    <w:p w14:paraId="1E2733B9" w14:textId="77777777" w:rsidR="0075524C" w:rsidRPr="00C35766" w:rsidRDefault="0075524C" w:rsidP="0075524C">
      <w:pPr>
        <w:pStyle w:val="a3"/>
        <w:rPr>
          <w:lang w:val="it-IT"/>
        </w:rPr>
      </w:pPr>
      <w:r w:rsidRPr="00C35766">
        <w:rPr>
          <w:rFonts w:eastAsia="Times New Roman"/>
          <w:lang w:val="it-IT"/>
        </w:rPr>
        <w:t xml:space="preserve">La terapia con Yuflyma non va iniziata in pazienti con infezioni attive, incluse le infezioni croniche o localizzate, fino a che queste non siano sotto controllo. In pazienti che sono stati esposti alla tubercolosi ed in pazienti che hanno viaggiato in aree ad alto rischio di tubercolosi o di micosi endemiche, quali istoplasmosi, coccidioidomicosi o blastomicosi, il rischio ed i benefici del trattamento con Yuflyma devono essere considerati prima di iniziare la terapia (vedere </w:t>
      </w:r>
      <w:r w:rsidRPr="00C35766">
        <w:rPr>
          <w:rFonts w:eastAsia="Times New Roman"/>
          <w:i/>
          <w:iCs/>
          <w:lang w:val="it-IT"/>
        </w:rPr>
        <w:t>Altre infezioni opportunistiche</w:t>
      </w:r>
      <w:r w:rsidRPr="00C35766">
        <w:rPr>
          <w:rFonts w:eastAsia="Times New Roman"/>
          <w:lang w:val="it-IT"/>
        </w:rPr>
        <w:t>).</w:t>
      </w:r>
    </w:p>
    <w:p w14:paraId="60F7F0FC" w14:textId="77777777" w:rsidR="0075524C" w:rsidRPr="00C35766" w:rsidRDefault="0075524C" w:rsidP="0075524C">
      <w:pPr>
        <w:spacing w:before="13" w:line="240" w:lineRule="exact"/>
        <w:rPr>
          <w:rFonts w:ascii="Times New Roman" w:hAnsi="Times New Roman" w:cs="Times New Roman"/>
          <w:lang w:val="it-IT"/>
        </w:rPr>
      </w:pPr>
    </w:p>
    <w:p w14:paraId="22E4D6E7" w14:textId="77777777" w:rsidR="0075524C" w:rsidRPr="00C35766" w:rsidRDefault="0075524C" w:rsidP="0075524C">
      <w:pPr>
        <w:pStyle w:val="a3"/>
        <w:rPr>
          <w:lang w:val="it-IT"/>
        </w:rPr>
      </w:pPr>
      <w:r w:rsidRPr="00C35766">
        <w:rPr>
          <w:rFonts w:eastAsia="Times New Roman"/>
          <w:lang w:val="it-IT"/>
        </w:rPr>
        <w:t>I pazienti che sviluppano una nuova infezione durante la terapia con Yuflyma devono essere attentamente seguiti ed essere sottoposti ad una valutazione diagnostica completa.  In caso di insorgenza di una nuova infezione grave o di sepsi, la somministrazione di Yuflyma deve essere interrotta e deve essere istituita una idonea terapia antimicrobica o antifungina fino a quando l’infezione non sia sotto controllo. I medici devono porre cautela nell’usare Yuflyma in pazienti con storia di infezioni recidivanti o con patologie concomitanti che possano predisporre i pazienti alle infezioni, incluso l’uso concomitante di farmaci immunosoppressivi.</w:t>
      </w:r>
    </w:p>
    <w:p w14:paraId="40153036" w14:textId="77777777" w:rsidR="0075524C" w:rsidRPr="00C35766" w:rsidRDefault="0075524C" w:rsidP="0075524C">
      <w:pPr>
        <w:pStyle w:val="a3"/>
        <w:rPr>
          <w:lang w:val="it-IT"/>
        </w:rPr>
      </w:pPr>
    </w:p>
    <w:p w14:paraId="07E76EB9" w14:textId="77777777" w:rsidR="0075524C" w:rsidRPr="00C35766" w:rsidRDefault="0075524C" w:rsidP="0075524C">
      <w:pPr>
        <w:keepNext/>
        <w:widowControl/>
        <w:tabs>
          <w:tab w:val="left" w:pos="567"/>
        </w:tabs>
        <w:autoSpaceDE w:val="0"/>
        <w:autoSpaceDN w:val="0"/>
        <w:adjustRightInd w:val="0"/>
        <w:jc w:val="both"/>
        <w:rPr>
          <w:rFonts w:ascii="Times New Roman" w:eastAsia="바탕" w:hAnsi="Times New Roman" w:cs="Times New Roman"/>
          <w:color w:val="000000"/>
          <w:lang w:val="it-IT" w:eastAsia="it-IT"/>
        </w:rPr>
      </w:pPr>
      <w:r w:rsidRPr="00C35766">
        <w:rPr>
          <w:rFonts w:ascii="Times New Roman" w:eastAsia="바탕" w:hAnsi="Times New Roman" w:cs="Times New Roman"/>
          <w:i/>
          <w:iCs/>
          <w:color w:val="000000"/>
          <w:lang w:val="it-IT" w:eastAsia="it-IT"/>
        </w:rPr>
        <w:t>Gravi infezioni</w:t>
      </w:r>
    </w:p>
    <w:p w14:paraId="548F6049" w14:textId="77777777" w:rsidR="0075524C" w:rsidRPr="00C35766" w:rsidRDefault="0075524C" w:rsidP="0075524C">
      <w:pPr>
        <w:spacing w:line="240" w:lineRule="exact"/>
        <w:rPr>
          <w:rFonts w:ascii="Times New Roman" w:hAnsi="Times New Roman" w:cs="Times New Roman"/>
          <w:lang w:val="it-IT"/>
        </w:rPr>
      </w:pPr>
    </w:p>
    <w:p w14:paraId="1B6DA963" w14:textId="77777777" w:rsidR="0075524C" w:rsidRPr="00C35766" w:rsidRDefault="0075524C" w:rsidP="0075524C">
      <w:pPr>
        <w:pStyle w:val="a3"/>
        <w:rPr>
          <w:lang w:val="it-IT"/>
        </w:rPr>
      </w:pPr>
      <w:r w:rsidRPr="00C35766">
        <w:rPr>
          <w:rFonts w:eastAsia="Times New Roman"/>
          <w:lang w:val="it-IT"/>
        </w:rPr>
        <w:lastRenderedPageBreak/>
        <w:t>Sono stati riportati casi di infezioni gravi, inclusa sepsi, causate da batteri, micobatteri, funghi invasivi, parassiti, virus o altre infezioni opportunistiche, quali listeriosi, legionellosi e pneumocistosi in pazienti trattati con adalimumab.</w:t>
      </w:r>
    </w:p>
    <w:p w14:paraId="5907FEC6" w14:textId="77777777" w:rsidR="0075524C" w:rsidRPr="00C35766" w:rsidRDefault="0075524C" w:rsidP="0075524C">
      <w:pPr>
        <w:spacing w:line="240" w:lineRule="exact"/>
        <w:rPr>
          <w:rFonts w:ascii="Times New Roman" w:hAnsi="Times New Roman" w:cs="Times New Roman"/>
          <w:lang w:val="it-IT"/>
        </w:rPr>
      </w:pPr>
    </w:p>
    <w:p w14:paraId="22C5DA88" w14:textId="77777777" w:rsidR="0075524C" w:rsidRPr="00C35766" w:rsidRDefault="0075524C" w:rsidP="0075524C">
      <w:pPr>
        <w:pStyle w:val="a3"/>
        <w:rPr>
          <w:lang w:val="pt-BR"/>
        </w:rPr>
      </w:pPr>
      <w:r w:rsidRPr="00C35766">
        <w:rPr>
          <w:rFonts w:eastAsia="Times New Roman"/>
          <w:lang w:val="it-IT"/>
        </w:rPr>
        <w:t>Altre infezioni gravi osservate nel corso di studi clinici includono polmonite, pielonefrite, artrite settica e setticemia. Sono stati riportati casi di ospedalizzazione o di eventi fatali associati alle infezioni.</w:t>
      </w:r>
    </w:p>
    <w:p w14:paraId="1B5D5CC3" w14:textId="77777777" w:rsidR="0075524C" w:rsidRPr="00C35766" w:rsidRDefault="0075524C" w:rsidP="0075524C">
      <w:pPr>
        <w:spacing w:line="240" w:lineRule="exact"/>
        <w:rPr>
          <w:rFonts w:ascii="Times New Roman" w:hAnsi="Times New Roman" w:cs="Times New Roman"/>
          <w:lang w:val="pt-BR"/>
        </w:rPr>
      </w:pPr>
    </w:p>
    <w:p w14:paraId="67BC7802" w14:textId="77777777" w:rsidR="0075524C" w:rsidRPr="00C35766" w:rsidRDefault="0075524C" w:rsidP="0075524C">
      <w:pPr>
        <w:rPr>
          <w:rFonts w:ascii="Times New Roman" w:eastAsia="Times New Roman" w:hAnsi="Times New Roman" w:cs="Times New Roman"/>
          <w:lang w:val="pt-BR"/>
        </w:rPr>
      </w:pPr>
      <w:r w:rsidRPr="00C35766">
        <w:rPr>
          <w:rFonts w:ascii="Times New Roman" w:eastAsia="Times New Roman" w:hAnsi="Times New Roman" w:cs="Times New Roman"/>
          <w:i/>
          <w:iCs/>
          <w:spacing w:val="-1"/>
          <w:lang w:val="it-IT"/>
        </w:rPr>
        <w:t>Tubercolosi</w:t>
      </w:r>
    </w:p>
    <w:p w14:paraId="4454D665" w14:textId="77777777" w:rsidR="0075524C" w:rsidRPr="00C35766" w:rsidRDefault="0075524C" w:rsidP="0075524C">
      <w:pPr>
        <w:spacing w:line="240" w:lineRule="exact"/>
        <w:rPr>
          <w:rFonts w:ascii="Times New Roman" w:hAnsi="Times New Roman" w:cs="Times New Roman"/>
          <w:lang w:val="pt-BR"/>
        </w:rPr>
      </w:pPr>
    </w:p>
    <w:p w14:paraId="05B1A93A" w14:textId="77777777" w:rsidR="0075524C" w:rsidRPr="00C35766" w:rsidRDefault="0075524C" w:rsidP="0075524C">
      <w:pPr>
        <w:pStyle w:val="a3"/>
        <w:rPr>
          <w:lang w:val="it-IT"/>
        </w:rPr>
      </w:pPr>
      <w:r w:rsidRPr="00C35766">
        <w:rPr>
          <w:rFonts w:eastAsia="Times New Roman"/>
          <w:lang w:val="it-IT"/>
        </w:rPr>
        <w:t>È stata riportata tubercolosi, inclusa riattivazione e nuova manifestazione di tubercolosi, in pazienti che utilizzano adalimumab. Sono stati riportati casi di tubercolosi polmonare ed extra-polmonare (ovvero disseminata).</w:t>
      </w:r>
    </w:p>
    <w:p w14:paraId="0BB5C2F5" w14:textId="77777777" w:rsidR="0075524C" w:rsidRPr="00C35766" w:rsidRDefault="0075524C" w:rsidP="0075524C">
      <w:pPr>
        <w:spacing w:line="240" w:lineRule="exact"/>
        <w:rPr>
          <w:rFonts w:ascii="Times New Roman" w:hAnsi="Times New Roman" w:cs="Times New Roman"/>
          <w:lang w:val="it-IT"/>
        </w:rPr>
      </w:pPr>
    </w:p>
    <w:p w14:paraId="5704DCE9" w14:textId="77777777" w:rsidR="0075524C" w:rsidRPr="00C35766" w:rsidRDefault="0075524C" w:rsidP="0075524C">
      <w:pPr>
        <w:pStyle w:val="a3"/>
        <w:rPr>
          <w:lang w:val="it-IT"/>
        </w:rPr>
      </w:pPr>
      <w:r w:rsidRPr="00C35766">
        <w:rPr>
          <w:rFonts w:eastAsia="Times New Roman"/>
          <w:lang w:val="it-IT"/>
        </w:rPr>
        <w:t>Prima di iniziare la terapia con Yuflyma, tutti i pazienti devono essere esaminati per valutare la presenza di tubercolosi attiva o inattiva (“latente”). Tale valutazione deve includere un’anamnesi clinica dettagliata dei pazienti con una storia pregressa di tubercolosi o eventuali contatti con persone affette da tubercolosi attiva, e con terapie immunosoppressive precedenti e/o concomitanti. Devono essere eseguiti appropriati esami di screening (ovvero il test cutaneo alla tubercolina e la radiografia toracica) in tutti i pazienti (possono essere seguite le linee guida locali). Si raccomanda che l’esecuzione e i risultati di tali test vengano registrati nella Scheda Promemoria per il Paziente. I medici devono porre attenzione al rischio di falsi negativi al test cutaneo alla tubercolina, soprattutto in pazienti gravemente ammalati o immunocompromessi.</w:t>
      </w:r>
    </w:p>
    <w:p w14:paraId="709BC16A" w14:textId="77777777" w:rsidR="0075524C" w:rsidRPr="00C35766" w:rsidRDefault="0075524C" w:rsidP="0075524C">
      <w:pPr>
        <w:spacing w:before="13" w:line="240" w:lineRule="exact"/>
        <w:rPr>
          <w:rFonts w:ascii="Times New Roman" w:hAnsi="Times New Roman" w:cs="Times New Roman"/>
          <w:lang w:val="it-IT"/>
        </w:rPr>
      </w:pPr>
    </w:p>
    <w:p w14:paraId="2257F97E" w14:textId="77777777" w:rsidR="0075524C" w:rsidRPr="00C35766" w:rsidRDefault="0075524C" w:rsidP="0075524C">
      <w:pPr>
        <w:pStyle w:val="a3"/>
        <w:rPr>
          <w:lang w:val="es-ES"/>
        </w:rPr>
      </w:pPr>
      <w:r w:rsidRPr="00C35766">
        <w:rPr>
          <w:rFonts w:eastAsia="Times New Roman"/>
          <w:lang w:val="it-IT"/>
        </w:rPr>
        <w:t>Se si diagnostica una tubercolosi attiva, la terapia con Yuflyma non deve essere iniziata (vedere paragrafo 4.3).</w:t>
      </w:r>
    </w:p>
    <w:p w14:paraId="240B2586" w14:textId="77777777" w:rsidR="0075524C" w:rsidRPr="00C35766" w:rsidRDefault="0075524C" w:rsidP="0075524C">
      <w:pPr>
        <w:pStyle w:val="a3"/>
        <w:rPr>
          <w:lang w:val="es-ES"/>
        </w:rPr>
      </w:pPr>
    </w:p>
    <w:p w14:paraId="5AAB5BD9" w14:textId="77777777" w:rsidR="0075524C" w:rsidRPr="00C35766" w:rsidRDefault="0075524C" w:rsidP="0075524C">
      <w:pPr>
        <w:pStyle w:val="a3"/>
        <w:rPr>
          <w:lang w:val="es-ES"/>
        </w:rPr>
      </w:pPr>
      <w:r w:rsidRPr="00C35766">
        <w:rPr>
          <w:rFonts w:eastAsia="Times New Roman"/>
          <w:lang w:val="it-IT"/>
        </w:rPr>
        <w:t xml:space="preserve">In tutte le situazioni di seguito descritte è opportuno effettuare un’attenta valutazione del rapporto beneficio/rischio della terapia. </w:t>
      </w:r>
    </w:p>
    <w:p w14:paraId="7AEF6952" w14:textId="77777777" w:rsidR="0075524C" w:rsidRPr="00C35766" w:rsidRDefault="0075524C" w:rsidP="0075524C">
      <w:pPr>
        <w:pStyle w:val="a3"/>
        <w:rPr>
          <w:lang w:val="es-ES"/>
        </w:rPr>
      </w:pPr>
    </w:p>
    <w:p w14:paraId="4DA878A8" w14:textId="77777777" w:rsidR="0075524C" w:rsidRPr="00C35766" w:rsidRDefault="0075524C" w:rsidP="0075524C">
      <w:pPr>
        <w:pStyle w:val="a3"/>
        <w:rPr>
          <w:lang w:val="es-ES"/>
        </w:rPr>
      </w:pPr>
      <w:r w:rsidRPr="00C35766">
        <w:rPr>
          <w:rFonts w:eastAsia="Times New Roman"/>
          <w:lang w:val="it-IT"/>
        </w:rPr>
        <w:t>Se si sospetta una tubercolosi latente, è consigliabile consultare un medico specializzato nel trattamento della tubercolosi.</w:t>
      </w:r>
    </w:p>
    <w:p w14:paraId="5329A743" w14:textId="77777777" w:rsidR="0075524C" w:rsidRPr="00C35766" w:rsidRDefault="0075524C" w:rsidP="0075524C">
      <w:pPr>
        <w:spacing w:before="11" w:line="240" w:lineRule="exact"/>
        <w:rPr>
          <w:rFonts w:ascii="Times New Roman" w:hAnsi="Times New Roman" w:cs="Times New Roman"/>
          <w:lang w:val="es-ES"/>
        </w:rPr>
      </w:pPr>
    </w:p>
    <w:p w14:paraId="00029434" w14:textId="77777777" w:rsidR="0075524C" w:rsidRPr="00C35766" w:rsidRDefault="0075524C" w:rsidP="0075524C">
      <w:pPr>
        <w:pStyle w:val="a3"/>
        <w:rPr>
          <w:lang w:val="es-ES"/>
        </w:rPr>
      </w:pPr>
      <w:r w:rsidRPr="00C35766">
        <w:rPr>
          <w:rFonts w:eastAsia="Times New Roman"/>
          <w:lang w:val="it-IT"/>
        </w:rPr>
        <w:t>In caso di diagnosi positiva di tubercolosi latente, prima di iniziare la terapia con Yuflyma deve essere istituito il trattamento di profilassi anti-tubercolare in accordo alle raccomandazioni locali.</w:t>
      </w:r>
    </w:p>
    <w:p w14:paraId="7DFC40B7" w14:textId="77777777" w:rsidR="0075524C" w:rsidRPr="00C35766" w:rsidRDefault="0075524C" w:rsidP="0075524C">
      <w:pPr>
        <w:spacing w:before="12" w:line="240" w:lineRule="exact"/>
        <w:rPr>
          <w:rFonts w:ascii="Times New Roman" w:hAnsi="Times New Roman" w:cs="Times New Roman"/>
          <w:lang w:val="es-ES"/>
        </w:rPr>
      </w:pPr>
    </w:p>
    <w:p w14:paraId="514BA4AB" w14:textId="77777777" w:rsidR="0075524C" w:rsidRPr="00C35766" w:rsidRDefault="0075524C" w:rsidP="0075524C">
      <w:pPr>
        <w:pStyle w:val="a3"/>
        <w:rPr>
          <w:lang w:val="es-ES"/>
        </w:rPr>
      </w:pPr>
      <w:r w:rsidRPr="00C35766">
        <w:rPr>
          <w:rFonts w:eastAsia="Times New Roman"/>
          <w:lang w:val="it-IT"/>
        </w:rPr>
        <w:t>L’istituzione di un trattamento di profilassi anti-tubercolare deve essere presa in considerazione anche prima di iniziare il trattamento a base di Yuflyma in pazienti con diversi o significativi fattori di rischio per la tubercolosi nonostante un test negativo per la tubercolosi e in quei pazienti che all’anamnesi presentano una storia personale di tubercolosi latente o attiva nei quali non sia possibile confermare se il ciclo di trattamento cui sono stati sottoposti sia risultato adeguato.</w:t>
      </w:r>
    </w:p>
    <w:p w14:paraId="5DF90305" w14:textId="77777777" w:rsidR="0075524C" w:rsidRPr="00C35766" w:rsidRDefault="0075524C" w:rsidP="0075524C">
      <w:pPr>
        <w:spacing w:before="17" w:line="240" w:lineRule="exact"/>
        <w:rPr>
          <w:rFonts w:ascii="Times New Roman" w:hAnsi="Times New Roman" w:cs="Times New Roman"/>
          <w:lang w:val="es-ES"/>
        </w:rPr>
      </w:pPr>
    </w:p>
    <w:p w14:paraId="34F5BAEC" w14:textId="77777777" w:rsidR="0075524C" w:rsidRPr="00C35766" w:rsidRDefault="0075524C" w:rsidP="0075524C">
      <w:pPr>
        <w:pStyle w:val="a3"/>
        <w:rPr>
          <w:lang w:val="es-ES"/>
        </w:rPr>
      </w:pPr>
      <w:r w:rsidRPr="00C35766">
        <w:rPr>
          <w:rFonts w:eastAsia="Times New Roman"/>
          <w:lang w:val="it-IT"/>
        </w:rPr>
        <w:t>Nonostante il trattamento di profilassi per la tubercolosi, si sono verificati casi di riattivazione di tubercolosi in pazienti trattati con adalimumab. Nel corso del trattamento con adalimumab, alcuni pazienti trattati con successo per la tubercolosi attiva hanno manifestato nuovamente la comparsa di tubercolosi.</w:t>
      </w:r>
    </w:p>
    <w:p w14:paraId="5210BCFC" w14:textId="77777777" w:rsidR="0075524C" w:rsidRPr="00C35766" w:rsidRDefault="0075524C" w:rsidP="0075524C">
      <w:pPr>
        <w:spacing w:before="11" w:line="240" w:lineRule="exact"/>
        <w:rPr>
          <w:rFonts w:ascii="Times New Roman" w:hAnsi="Times New Roman" w:cs="Times New Roman"/>
          <w:lang w:val="es-ES"/>
        </w:rPr>
      </w:pPr>
    </w:p>
    <w:p w14:paraId="672EF3CD" w14:textId="77777777" w:rsidR="0075524C" w:rsidRPr="00C35766" w:rsidRDefault="0075524C" w:rsidP="0075524C">
      <w:pPr>
        <w:pStyle w:val="a3"/>
        <w:rPr>
          <w:lang w:val="es-ES"/>
        </w:rPr>
      </w:pPr>
      <w:r w:rsidRPr="00C35766">
        <w:rPr>
          <w:rFonts w:eastAsia="Times New Roman"/>
          <w:lang w:val="it-IT"/>
        </w:rPr>
        <w:t>I pazienti devono essere avvisati di rivolgersi al medico se, durante o dopo la terapia con Yuflyma, si manifestano segni/sintomi indicativi di possibile infezione tubercolare (per es. tosse persistente, deperimento</w:t>
      </w:r>
      <w:r>
        <w:rPr>
          <w:rFonts w:eastAsia="Times New Roman"/>
          <w:lang w:val="it-IT"/>
        </w:rPr>
        <w:t>/</w:t>
      </w:r>
      <w:r w:rsidRPr="00C35766">
        <w:rPr>
          <w:rFonts w:eastAsia="Times New Roman"/>
          <w:lang w:val="it-IT"/>
        </w:rPr>
        <w:t>perdita di peso, febbre moderata, svogliatezza).</w:t>
      </w:r>
    </w:p>
    <w:p w14:paraId="0F4BDAAA" w14:textId="77777777" w:rsidR="0075524C" w:rsidRPr="00C35766" w:rsidRDefault="0075524C" w:rsidP="0075524C">
      <w:pPr>
        <w:ind w:left="111"/>
        <w:rPr>
          <w:rFonts w:ascii="Times New Roman" w:hAnsi="Times New Roman" w:cs="Times New Roman"/>
          <w:lang w:val="es-ES"/>
        </w:rPr>
      </w:pPr>
    </w:p>
    <w:p w14:paraId="6C106167" w14:textId="77777777" w:rsidR="0075524C" w:rsidRPr="00C35766" w:rsidRDefault="0075524C" w:rsidP="0075524C">
      <w:pPr>
        <w:rPr>
          <w:rFonts w:ascii="Times New Roman" w:eastAsia="Times New Roman" w:hAnsi="Times New Roman" w:cs="Times New Roman"/>
          <w:lang w:val="es-ES"/>
        </w:rPr>
      </w:pPr>
      <w:r w:rsidRPr="00C35766">
        <w:rPr>
          <w:rFonts w:ascii="Times New Roman" w:eastAsia="Times New Roman" w:hAnsi="Times New Roman" w:cs="Times New Roman"/>
          <w:i/>
          <w:iCs/>
          <w:spacing w:val="-1"/>
          <w:lang w:val="it-IT"/>
        </w:rPr>
        <w:t>Altre infezioni opportunistiche</w:t>
      </w:r>
    </w:p>
    <w:p w14:paraId="4B75AEB8" w14:textId="77777777" w:rsidR="0075524C" w:rsidRPr="00C35766" w:rsidRDefault="0075524C" w:rsidP="0075524C">
      <w:pPr>
        <w:spacing w:before="13" w:line="240" w:lineRule="exact"/>
        <w:rPr>
          <w:rFonts w:ascii="Times New Roman" w:hAnsi="Times New Roman" w:cs="Times New Roman"/>
          <w:lang w:val="es-ES"/>
        </w:rPr>
      </w:pPr>
    </w:p>
    <w:p w14:paraId="7CBC9DE2" w14:textId="77777777" w:rsidR="0075524C" w:rsidRPr="00C35766" w:rsidRDefault="0075524C" w:rsidP="0075524C">
      <w:pPr>
        <w:pStyle w:val="a3"/>
        <w:rPr>
          <w:lang w:val="it-IT"/>
        </w:rPr>
      </w:pPr>
      <w:r w:rsidRPr="00C35766">
        <w:rPr>
          <w:rFonts w:eastAsia="Times New Roman"/>
          <w:lang w:val="it-IT"/>
        </w:rPr>
        <w:t>In pazienti che hanno assunto adalimumab sono stati osservati casi di infezioni opportunistiche, incluse infezioni fungine invasive. Queste infezioni non sono state correttamente diagnosticate in pazienti che assumevano antagonisti del TNF e ciò ha comportato un ritardo nel trattamento appropriato, talvolta con esito fatale.</w:t>
      </w:r>
    </w:p>
    <w:p w14:paraId="6B01ED85" w14:textId="77777777" w:rsidR="0075524C" w:rsidRPr="00C35766" w:rsidRDefault="0075524C" w:rsidP="0075524C">
      <w:pPr>
        <w:pStyle w:val="a3"/>
        <w:rPr>
          <w:lang w:val="it-IT"/>
        </w:rPr>
      </w:pPr>
    </w:p>
    <w:p w14:paraId="4402026C" w14:textId="1FEE4040" w:rsidR="0075524C" w:rsidRPr="00C35766" w:rsidRDefault="0075524C" w:rsidP="0075524C">
      <w:pPr>
        <w:pStyle w:val="a3"/>
        <w:rPr>
          <w:lang w:val="it-IT"/>
        </w:rPr>
      </w:pPr>
      <w:r w:rsidRPr="00C35766">
        <w:rPr>
          <w:rFonts w:eastAsia="Times New Roman"/>
          <w:lang w:val="it-IT"/>
        </w:rPr>
        <w:t xml:space="preserve">In pazienti che sviluppano segni e sintomi quali febbre, malessere, perdita di peso, sudorazione, tosse, dispnea e/o infiltrato polmonare o altre malattie sistemiche gravi con o senza shock concomitante si deve sospettare un’infezione fungina invasiva e deve essere prontamente interrotta la somministrazione di Yuflyma. La diagnosi e la somministrazione di terapia antifungina empirica in questi pazienti </w:t>
      </w:r>
      <w:r w:rsidR="001A10F9">
        <w:rPr>
          <w:rFonts w:eastAsia="Times New Roman"/>
          <w:lang w:val="it-IT"/>
        </w:rPr>
        <w:t>devono</w:t>
      </w:r>
      <w:r w:rsidRPr="00C35766">
        <w:rPr>
          <w:rFonts w:eastAsia="Times New Roman"/>
          <w:lang w:val="it-IT"/>
        </w:rPr>
        <w:t xml:space="preserve"> essere effettuate consultando un medico specializzato nella cura di pazienti con infezioni fungine invasive.</w:t>
      </w:r>
    </w:p>
    <w:p w14:paraId="1C23D3DC" w14:textId="77777777" w:rsidR="0075524C" w:rsidRPr="00C35766" w:rsidRDefault="0075524C" w:rsidP="0075524C">
      <w:pPr>
        <w:spacing w:before="13" w:line="240" w:lineRule="exact"/>
        <w:rPr>
          <w:rFonts w:ascii="Times New Roman" w:hAnsi="Times New Roman" w:cs="Times New Roman"/>
          <w:lang w:val="it-IT"/>
        </w:rPr>
      </w:pPr>
    </w:p>
    <w:p w14:paraId="2583649B" w14:textId="77777777" w:rsidR="0075524C" w:rsidRPr="00C35766" w:rsidRDefault="0075524C" w:rsidP="0075524C">
      <w:pPr>
        <w:pStyle w:val="a3"/>
        <w:rPr>
          <w:u w:val="single"/>
          <w:lang w:val="it-IT"/>
        </w:rPr>
      </w:pPr>
      <w:r w:rsidRPr="00C35766">
        <w:rPr>
          <w:rFonts w:eastAsia="Times New Roman"/>
          <w:u w:val="single" w:color="000000"/>
          <w:lang w:val="it-IT"/>
        </w:rPr>
        <w:t>Riattivazione dell’epatite B</w:t>
      </w:r>
    </w:p>
    <w:p w14:paraId="3CB7654D" w14:textId="77777777" w:rsidR="0075524C" w:rsidRPr="00C35766" w:rsidRDefault="0075524C" w:rsidP="0075524C">
      <w:pPr>
        <w:spacing w:before="9" w:line="170" w:lineRule="exact"/>
        <w:rPr>
          <w:rFonts w:ascii="Times New Roman" w:hAnsi="Times New Roman" w:cs="Times New Roman"/>
          <w:lang w:val="it-IT"/>
        </w:rPr>
      </w:pPr>
    </w:p>
    <w:p w14:paraId="62B61064" w14:textId="77777777" w:rsidR="0075524C" w:rsidRPr="00C35766" w:rsidRDefault="0075524C" w:rsidP="0075524C">
      <w:pPr>
        <w:pStyle w:val="a3"/>
        <w:rPr>
          <w:lang w:val="it-IT"/>
        </w:rPr>
      </w:pPr>
      <w:r w:rsidRPr="00C35766">
        <w:rPr>
          <w:rFonts w:eastAsia="Times New Roman"/>
          <w:lang w:val="it-IT"/>
        </w:rPr>
        <w:t>In pazienti portatori cronici del virus dell’epatite B (ad es. antigene di superficie positivo) sottoposti a trattamento con antagonisti del TNF incluso adalimumab, si è verificata una riattivazione dell’epatite B. Alcuni casi hanno avuto un esito fatale. Prima di iniziare il trattamento con Yuflyma, i pazienti devono essere testati per l’infezione da virus dell’epatite B. Si raccomanda la consultazione di un medico con esperienza nel trattamento dell’epatite B per quei pazienti che risultano positivi al test per l’epatite B.</w:t>
      </w:r>
    </w:p>
    <w:p w14:paraId="7D9FA8DC" w14:textId="77777777" w:rsidR="0075524C" w:rsidRPr="00C35766" w:rsidRDefault="0075524C" w:rsidP="0075524C">
      <w:pPr>
        <w:spacing w:before="13" w:line="240" w:lineRule="exact"/>
        <w:rPr>
          <w:rFonts w:ascii="Times New Roman" w:hAnsi="Times New Roman" w:cs="Times New Roman"/>
          <w:lang w:val="it-IT"/>
        </w:rPr>
      </w:pPr>
    </w:p>
    <w:p w14:paraId="711E0CA2" w14:textId="1B2EBF43" w:rsidR="0075524C" w:rsidRPr="00C35766" w:rsidRDefault="0075524C" w:rsidP="0075524C">
      <w:pPr>
        <w:pStyle w:val="a3"/>
        <w:rPr>
          <w:lang w:val="it-IT"/>
        </w:rPr>
      </w:pPr>
      <w:r w:rsidRPr="00C35766">
        <w:rPr>
          <w:rFonts w:eastAsia="Times New Roman"/>
          <w:lang w:val="it-IT"/>
        </w:rPr>
        <w:t xml:space="preserve">I portatori del virus dell’epatite B che necessitano di un trattamento con Yuflyma devono essere attentamente monitorati allo scopo di rilevare la comparsa dei segni e sintomi dell’infezione attiva da virus dell’epatite B non solo nel corso di tutta la terapia, ma anche durante i mesi successivi alla sospensione della terapia. Non sono disponibili dati adeguati derivanti dal trattamento di pazienti portatori del virus dell’epatite B, sottoposti a terapia anti-virale </w:t>
      </w:r>
      <w:r w:rsidR="002C123E">
        <w:rPr>
          <w:rFonts w:eastAsia="Times New Roman"/>
          <w:lang w:val="it-IT"/>
        </w:rPr>
        <w:t xml:space="preserve">in associazione a </w:t>
      </w:r>
      <w:r w:rsidR="002C123E" w:rsidRPr="00C35766">
        <w:rPr>
          <w:rFonts w:eastAsia="Times New Roman"/>
          <w:lang w:val="it-IT"/>
        </w:rPr>
        <w:t>terapia con antagonisti del TNF</w:t>
      </w:r>
      <w:r w:rsidR="002C123E">
        <w:rPr>
          <w:rFonts w:eastAsia="Times New Roman"/>
          <w:lang w:val="it-IT"/>
        </w:rPr>
        <w:t>,</w:t>
      </w:r>
      <w:r w:rsidR="002C123E" w:rsidRPr="00C35766">
        <w:rPr>
          <w:rFonts w:eastAsia="Times New Roman"/>
          <w:lang w:val="it-IT"/>
        </w:rPr>
        <w:t xml:space="preserve"> </w:t>
      </w:r>
      <w:r w:rsidRPr="00C35766">
        <w:rPr>
          <w:rFonts w:eastAsia="Times New Roman"/>
          <w:lang w:val="it-IT"/>
        </w:rPr>
        <w:t>al fine di evitare la riattivazione del virus dell’epatite B</w:t>
      </w:r>
      <w:r w:rsidR="002C123E">
        <w:rPr>
          <w:rFonts w:eastAsia="Times New Roman"/>
          <w:lang w:val="it-IT"/>
        </w:rPr>
        <w:t>.</w:t>
      </w:r>
      <w:r w:rsidRPr="00C35766">
        <w:rPr>
          <w:rFonts w:eastAsia="Times New Roman"/>
          <w:lang w:val="it-IT"/>
        </w:rPr>
        <w:t xml:space="preserve"> Nei pazienti che sviluppano una riattivazione del virus dell’epatite B, la somministrazione di Yuflyma deve essere interrotta e deve essere istituita un’efficace terapia anti-virale accompagnata da un adeguato trattamento di supporto.</w:t>
      </w:r>
    </w:p>
    <w:p w14:paraId="28D7A7DA" w14:textId="77777777" w:rsidR="0075524C" w:rsidRPr="00C35766" w:rsidRDefault="0075524C" w:rsidP="0075524C">
      <w:pPr>
        <w:spacing w:before="13" w:line="240" w:lineRule="exact"/>
        <w:rPr>
          <w:rFonts w:ascii="Times New Roman" w:hAnsi="Times New Roman" w:cs="Times New Roman"/>
          <w:lang w:val="it-IT"/>
        </w:rPr>
      </w:pPr>
    </w:p>
    <w:p w14:paraId="744F198E" w14:textId="77777777" w:rsidR="0075524C" w:rsidRPr="00C35766" w:rsidRDefault="0075524C" w:rsidP="0075524C">
      <w:pPr>
        <w:pStyle w:val="a3"/>
        <w:rPr>
          <w:u w:val="single"/>
          <w:lang w:val="it-IT"/>
        </w:rPr>
      </w:pPr>
      <w:r w:rsidRPr="00C35766">
        <w:rPr>
          <w:rFonts w:eastAsia="Times New Roman"/>
          <w:u w:val="single" w:color="000000"/>
          <w:lang w:val="it-IT"/>
        </w:rPr>
        <w:t>Eventi neurologici</w:t>
      </w:r>
    </w:p>
    <w:p w14:paraId="199441BE" w14:textId="77777777" w:rsidR="0075524C" w:rsidRPr="00C35766" w:rsidRDefault="0075524C" w:rsidP="0075524C">
      <w:pPr>
        <w:spacing w:before="1" w:line="180" w:lineRule="exact"/>
        <w:rPr>
          <w:rFonts w:ascii="Times New Roman" w:hAnsi="Times New Roman" w:cs="Times New Roman"/>
          <w:lang w:val="it-IT"/>
        </w:rPr>
      </w:pPr>
    </w:p>
    <w:p w14:paraId="67AAD1E4" w14:textId="77777777" w:rsidR="0075524C" w:rsidRPr="00C35766" w:rsidRDefault="0075524C" w:rsidP="0075524C">
      <w:pPr>
        <w:pStyle w:val="a3"/>
        <w:rPr>
          <w:lang w:val="it-IT"/>
        </w:rPr>
      </w:pPr>
      <w:r w:rsidRPr="00C35766">
        <w:rPr>
          <w:rFonts w:eastAsia="Times New Roman"/>
          <w:lang w:val="it-IT"/>
        </w:rPr>
        <w:t>I farmaci anti-TNF, compreso adalimumab, sono stati correlati, in rari casi, con la nuova insorgenza o con l’esacerbazione di sintomi clinici e/o evidenze radiografiche di malattie demielinizzanti del sistema nervoso centrale, inclusa la sclerosi multipla, la neurite ottica e le malattie demielinizzanti periferiche, compresa la sindrome di Guillain-Barrè. Deve essere usata cautela nell’uso di Yuflyma in quei pazienti con patologie demielinizzanti del sistema nervoso centrale o periferico pregresse o di recente insorgenza; deve essere presa in considerazione l’interruzione di Yuflyma nel caso in cui si sviluppi una qualsiasi di queste patologie. Sussiste una nota associazione tra l’uveite intermedia e le patologie demielinizzanti del sistema nervoso centrale. La valutazione neurologica deve essere effettuata sui pazienti con uveite intermedia non infettiva prima di iniziare la terapia con Yuflyma e a intervalli regolari durante il trattamento al fine di valutare le patologie demielinizzanti del sistema nervoso centrale pregresse o in fase di sviluppo.</w:t>
      </w:r>
    </w:p>
    <w:p w14:paraId="1F42F6B1" w14:textId="77777777" w:rsidR="0075524C" w:rsidRPr="00C35766" w:rsidRDefault="0075524C" w:rsidP="0075524C">
      <w:pPr>
        <w:spacing w:before="13" w:line="240" w:lineRule="exact"/>
        <w:rPr>
          <w:rFonts w:ascii="Times New Roman" w:hAnsi="Times New Roman" w:cs="Times New Roman"/>
          <w:lang w:val="it-IT"/>
        </w:rPr>
      </w:pPr>
    </w:p>
    <w:p w14:paraId="66FE9620" w14:textId="77777777" w:rsidR="0075524C" w:rsidRPr="00C35766" w:rsidRDefault="0075524C" w:rsidP="0075524C">
      <w:pPr>
        <w:pStyle w:val="a3"/>
        <w:rPr>
          <w:u w:val="single"/>
          <w:lang w:val="it-IT"/>
        </w:rPr>
      </w:pPr>
      <w:r w:rsidRPr="00C35766">
        <w:rPr>
          <w:rFonts w:eastAsia="Times New Roman"/>
          <w:u w:val="single" w:color="000000"/>
          <w:lang w:val="it-IT"/>
        </w:rPr>
        <w:t>Reazioni allergiche</w:t>
      </w:r>
    </w:p>
    <w:p w14:paraId="4FD241CF" w14:textId="77777777" w:rsidR="0075524C" w:rsidRPr="00C35766" w:rsidRDefault="0075524C" w:rsidP="0075524C">
      <w:pPr>
        <w:spacing w:before="9" w:line="170" w:lineRule="exact"/>
        <w:rPr>
          <w:rFonts w:ascii="Times New Roman" w:hAnsi="Times New Roman" w:cs="Times New Roman"/>
          <w:lang w:val="it-IT"/>
        </w:rPr>
      </w:pPr>
    </w:p>
    <w:p w14:paraId="50338986" w14:textId="77777777" w:rsidR="0075524C" w:rsidRPr="00C35766" w:rsidRDefault="0075524C" w:rsidP="0075524C">
      <w:pPr>
        <w:pStyle w:val="a3"/>
        <w:rPr>
          <w:lang w:val="it-IT"/>
        </w:rPr>
      </w:pPr>
      <w:r w:rsidRPr="00C35766">
        <w:rPr>
          <w:rFonts w:eastAsia="Times New Roman"/>
          <w:lang w:val="it-IT"/>
        </w:rPr>
        <w:t>Nel corso degli studi clinici, reazioni allergiche gravi associate con adalimumab sono state rare. Le reazioni allergiche non gravi associate con adalimumab durante gli studi clinici sono state non comuni. Sono state ricevute segnalazioni di reazioni allergiche gravi inclusa l’anafilassi a seguito della somministrazione di adalimumab. Se si verificano reazioni anafilattiche o altre gravi manifestazioni allergiche, la somministrazione di Yuflyma deve essere immediatamente interrotta e deve essere iniziata una terapia appropriata.</w:t>
      </w:r>
    </w:p>
    <w:p w14:paraId="642FC606" w14:textId="77777777" w:rsidR="0075524C" w:rsidRPr="00C35766" w:rsidRDefault="0075524C" w:rsidP="0075524C">
      <w:pPr>
        <w:spacing w:before="13" w:line="240" w:lineRule="exact"/>
        <w:rPr>
          <w:rFonts w:ascii="Times New Roman" w:hAnsi="Times New Roman" w:cs="Times New Roman"/>
          <w:lang w:val="it-IT"/>
        </w:rPr>
      </w:pPr>
    </w:p>
    <w:p w14:paraId="17CCC70C" w14:textId="77777777" w:rsidR="0075524C" w:rsidRPr="00C35766" w:rsidRDefault="0075524C" w:rsidP="0075524C">
      <w:pPr>
        <w:pStyle w:val="a3"/>
        <w:rPr>
          <w:u w:val="single"/>
          <w:lang w:val="it-IT"/>
        </w:rPr>
      </w:pPr>
      <w:r w:rsidRPr="00C35766">
        <w:rPr>
          <w:rFonts w:eastAsia="Times New Roman"/>
          <w:u w:val="single" w:color="000000"/>
          <w:lang w:val="it-IT"/>
        </w:rPr>
        <w:t>Immunosoppressione</w:t>
      </w:r>
    </w:p>
    <w:p w14:paraId="25FCDC4C" w14:textId="77777777" w:rsidR="0075524C" w:rsidRPr="00C35766" w:rsidRDefault="0075524C" w:rsidP="0075524C">
      <w:pPr>
        <w:spacing w:before="1" w:line="180" w:lineRule="exact"/>
        <w:rPr>
          <w:rFonts w:ascii="Times New Roman" w:hAnsi="Times New Roman" w:cs="Times New Roman"/>
          <w:lang w:val="it-IT"/>
        </w:rPr>
      </w:pPr>
    </w:p>
    <w:p w14:paraId="709C0747" w14:textId="77777777" w:rsidR="0075524C" w:rsidRPr="00C35766" w:rsidRDefault="0075524C" w:rsidP="0075524C">
      <w:pPr>
        <w:pStyle w:val="a3"/>
        <w:rPr>
          <w:lang w:val="it-IT"/>
        </w:rPr>
      </w:pPr>
      <w:r w:rsidRPr="00C35766">
        <w:rPr>
          <w:rFonts w:eastAsia="Times New Roman"/>
          <w:lang w:val="it-IT"/>
        </w:rPr>
        <w:t>In uno studio su 64 pazienti con artrite reumatoide, sottoposti a trattamento con adalimumab, non è stata evidenziata alcuna inibizione dell’ipersensibilità ritardata, né riduzione dei livelli delle immunoglobuline o cambiamenti nel numero dei linfociti T, B, delle cellule NK, dei monociti/macrofagi e dei neutrofili.</w:t>
      </w:r>
    </w:p>
    <w:p w14:paraId="2CD02D6C" w14:textId="77777777" w:rsidR="0075524C" w:rsidRPr="00C35766" w:rsidRDefault="0075524C" w:rsidP="0075524C">
      <w:pPr>
        <w:spacing w:before="11" w:line="240" w:lineRule="exact"/>
        <w:rPr>
          <w:rFonts w:ascii="Times New Roman" w:hAnsi="Times New Roman" w:cs="Times New Roman"/>
          <w:lang w:val="it-IT"/>
        </w:rPr>
      </w:pPr>
    </w:p>
    <w:p w14:paraId="496B612D" w14:textId="77777777" w:rsidR="0075524C" w:rsidRPr="00C35766" w:rsidRDefault="0075524C" w:rsidP="0075524C">
      <w:pPr>
        <w:pStyle w:val="a3"/>
        <w:keepNext/>
        <w:rPr>
          <w:u w:val="single"/>
          <w:lang w:val="it-IT"/>
        </w:rPr>
      </w:pPr>
      <w:r w:rsidRPr="00C35766">
        <w:rPr>
          <w:rFonts w:eastAsia="Times New Roman"/>
          <w:u w:val="single" w:color="000000"/>
          <w:lang w:val="it-IT"/>
        </w:rPr>
        <w:t>Neoplasie e malattie linfoproliferative</w:t>
      </w:r>
    </w:p>
    <w:p w14:paraId="377BC620" w14:textId="77777777" w:rsidR="0075524C" w:rsidRPr="00C35766" w:rsidRDefault="0075524C" w:rsidP="0075524C">
      <w:pPr>
        <w:spacing w:before="1" w:line="180" w:lineRule="exact"/>
        <w:rPr>
          <w:rFonts w:ascii="Times New Roman" w:hAnsi="Times New Roman" w:cs="Times New Roman"/>
          <w:lang w:val="it-IT"/>
        </w:rPr>
      </w:pPr>
    </w:p>
    <w:p w14:paraId="226C9E1B" w14:textId="77777777" w:rsidR="0075524C" w:rsidRPr="00C35766" w:rsidRDefault="0075524C" w:rsidP="0075524C">
      <w:pPr>
        <w:pStyle w:val="a3"/>
        <w:rPr>
          <w:lang w:val="it-IT"/>
        </w:rPr>
      </w:pPr>
      <w:r w:rsidRPr="00C35766">
        <w:rPr>
          <w:rFonts w:eastAsia="Times New Roman"/>
          <w:lang w:val="it-IT"/>
        </w:rPr>
        <w:t xml:space="preserve">Nelle sezioni controllate degli studi clinici con farmaci anti-TNF, sono stati osservati più casi di neoplasie, incluso linfoma, nei pazienti che ricevevano un anti-TNF rispetto al gruppo di controllo. Tuttavia, i casi sono </w:t>
      </w:r>
      <w:r w:rsidRPr="00C35766">
        <w:rPr>
          <w:rFonts w:eastAsia="Times New Roman"/>
          <w:lang w:val="it-IT"/>
        </w:rPr>
        <w:lastRenderedPageBreak/>
        <w:t>stati rari. In studi postmarketing, sono stati riportati casi di leucemia in pazienti trattati con un antagonista-TNF. C’è un maggiore rischio di sviluppare linfomi e leucemia per i pazienti con artrite reumatoide con malattia infiammatoria, gravemente attiva e di lunga durata, che complica la valutazione del rischio. Con le attuali conoscenze, non è possibile escludere il possibile rischio di sviluppo di linfomi, leucemia e altre neoplasie in pazienti trattati con farmaci anti-TNF.</w:t>
      </w:r>
    </w:p>
    <w:p w14:paraId="3BFA3B8A" w14:textId="77777777" w:rsidR="0075524C" w:rsidRPr="00C35766" w:rsidRDefault="0075524C" w:rsidP="0075524C">
      <w:pPr>
        <w:spacing w:before="13" w:line="240" w:lineRule="exact"/>
        <w:rPr>
          <w:rFonts w:ascii="Times New Roman" w:hAnsi="Times New Roman" w:cs="Times New Roman"/>
          <w:lang w:val="it-IT"/>
        </w:rPr>
      </w:pPr>
    </w:p>
    <w:p w14:paraId="09CAECC9" w14:textId="77777777" w:rsidR="0075524C" w:rsidRPr="00C35766" w:rsidRDefault="0075524C" w:rsidP="0075524C">
      <w:pPr>
        <w:pStyle w:val="a3"/>
        <w:rPr>
          <w:lang w:val="es-ES"/>
        </w:rPr>
      </w:pPr>
      <w:r w:rsidRPr="00C35766">
        <w:rPr>
          <w:rFonts w:eastAsia="Times New Roman"/>
          <w:lang w:val="it-IT"/>
        </w:rPr>
        <w:t>Casi di tumori, alcuni fatali, sono stati riportati in bambini, adolescenti e adulti di giovane età (fino all’età di 22 anni) trattati con agenti antagonisti del TNF (inizio della terapia ≤ 18 anni), compreso adalimumab, negli studi postmarketing. Circa metà dei casi sono stati linfomi. Gli altri casi hanno rappresentato una molteplicità di differenti tumori e hanno incluso rari tumori solitamente associati con immunosoppressione. Non può essere escluso un rischio per lo sviluppo di tumori in bambini ed adolescenti trattati con antagonisti del TNF.</w:t>
      </w:r>
    </w:p>
    <w:p w14:paraId="48EA91B8" w14:textId="77777777" w:rsidR="0075524C" w:rsidRPr="00C35766" w:rsidRDefault="0075524C" w:rsidP="0075524C">
      <w:pPr>
        <w:spacing w:before="11" w:line="240" w:lineRule="exact"/>
        <w:rPr>
          <w:rFonts w:ascii="Times New Roman" w:hAnsi="Times New Roman" w:cs="Times New Roman"/>
          <w:lang w:val="es-ES"/>
        </w:rPr>
      </w:pPr>
    </w:p>
    <w:p w14:paraId="69E50A3F" w14:textId="77777777" w:rsidR="0075524C" w:rsidRPr="00C35766" w:rsidRDefault="0075524C" w:rsidP="0075524C">
      <w:pPr>
        <w:pStyle w:val="a3"/>
        <w:rPr>
          <w:lang w:val="it-IT"/>
        </w:rPr>
      </w:pPr>
      <w:r w:rsidRPr="00C35766">
        <w:rPr>
          <w:rFonts w:eastAsia="Times New Roman"/>
          <w:lang w:val="it-IT"/>
        </w:rPr>
        <w:t>Nei pazienti trattati con adalimumab sono stati osservati rari casi postmarketing di linfoma epatosplenico a cellule T. Questo raro tipo di linfoma a cellule T ha un decorso clinico molto aggressivo ed è spesso fatale. Alcuni di questi casi di linfoma epatosplenico a cellule T si sono manifestati in giovani pazienti adulti trattati con adalimumab e sottoposti a terapia concomitante con azatioprina o 6-mercaptopurina, farmaci utilizzati per il trattamento delle malattie infiammatorie intestinali. Deve essere attentamente considerato il rischio potenziale derivante dall’associazione di azatioprina o 6-mercaptopurina e Yuflyma. Nei pazienti trattati con Yuflyma non può essere escluso il rischio di sviluppo del linfoma epatosplenico a cellule T (vedere paragrafo 4.8).</w:t>
      </w:r>
    </w:p>
    <w:p w14:paraId="12C6FAE4" w14:textId="77777777" w:rsidR="0075524C" w:rsidRPr="00C35766" w:rsidRDefault="0075524C" w:rsidP="0075524C">
      <w:pPr>
        <w:spacing w:before="11" w:line="240" w:lineRule="exact"/>
        <w:rPr>
          <w:rFonts w:ascii="Times New Roman" w:hAnsi="Times New Roman" w:cs="Times New Roman"/>
          <w:lang w:val="it-IT"/>
        </w:rPr>
      </w:pPr>
    </w:p>
    <w:p w14:paraId="7693B4CC" w14:textId="77777777" w:rsidR="0075524C" w:rsidRPr="00C35766" w:rsidRDefault="0075524C" w:rsidP="0075524C">
      <w:pPr>
        <w:pStyle w:val="a3"/>
        <w:rPr>
          <w:lang w:val="it-IT"/>
        </w:rPr>
      </w:pPr>
      <w:r w:rsidRPr="00C35766">
        <w:rPr>
          <w:rFonts w:eastAsia="Times New Roman"/>
          <w:lang w:val="it-IT"/>
        </w:rPr>
        <w:t>Non sono stati condotti studi clinici su pazienti con anamnesi positiva per neoplasie o su pazienti nei quali il trattamento con adalimumab è continuato dopo lo sviluppo di neoplasia. Pertanto, il trattamento con Yuflyma in questa tipologia di pazienti deve essere considerato con ulteriore cautela (vedere paragrafo 4.8).</w:t>
      </w:r>
    </w:p>
    <w:p w14:paraId="1B8BEA40" w14:textId="77777777" w:rsidR="0075524C" w:rsidRPr="00C35766" w:rsidRDefault="0075524C" w:rsidP="0075524C">
      <w:pPr>
        <w:spacing w:before="13" w:line="240" w:lineRule="exact"/>
        <w:rPr>
          <w:rFonts w:ascii="Times New Roman" w:hAnsi="Times New Roman" w:cs="Times New Roman"/>
          <w:lang w:val="it-IT"/>
        </w:rPr>
      </w:pPr>
    </w:p>
    <w:p w14:paraId="61A661B4" w14:textId="77777777" w:rsidR="0075524C" w:rsidRPr="00C35766" w:rsidRDefault="0075524C" w:rsidP="0075524C">
      <w:pPr>
        <w:pStyle w:val="a3"/>
        <w:rPr>
          <w:lang w:val="it-IT"/>
        </w:rPr>
      </w:pPr>
      <w:r w:rsidRPr="00C35766">
        <w:rPr>
          <w:rFonts w:eastAsia="Times New Roman"/>
          <w:lang w:val="it-IT"/>
        </w:rPr>
        <w:t>Prima e durante il trattamento con Yuflyma, tutti i pazienti, in particolare i soggetti che presentano una storia clinica da cui risultino massicce terapie immunosoppressive o soggetti affetti da psoriasi che presentano storia clinica di trattamento con PUVA, devono essere esaminati per valutare la presenza di un eventuale tumore della pelle non melanotico. Nei pazienti trattati con antagonisti del TNF, incluso adalimumab, sono stati anche riportati melanoma e carcinoma a cellule di Merkel (vedere paragrafo 4.8).</w:t>
      </w:r>
    </w:p>
    <w:p w14:paraId="46FF2908" w14:textId="77777777" w:rsidR="0075524C" w:rsidRPr="00C35766" w:rsidRDefault="0075524C" w:rsidP="0075524C">
      <w:pPr>
        <w:spacing w:before="13" w:line="240" w:lineRule="exact"/>
        <w:rPr>
          <w:rFonts w:ascii="Times New Roman" w:hAnsi="Times New Roman" w:cs="Times New Roman"/>
          <w:lang w:val="it-IT"/>
        </w:rPr>
      </w:pPr>
    </w:p>
    <w:p w14:paraId="45D5EE4C" w14:textId="77777777" w:rsidR="0075524C" w:rsidRPr="00C35766" w:rsidRDefault="0075524C" w:rsidP="0075524C">
      <w:pPr>
        <w:pStyle w:val="a3"/>
        <w:rPr>
          <w:lang w:val="it-IT"/>
        </w:rPr>
      </w:pPr>
      <w:r w:rsidRPr="00C35766">
        <w:rPr>
          <w:rFonts w:eastAsia="Times New Roman"/>
          <w:lang w:val="it-IT"/>
        </w:rPr>
        <w:t>In uno studio clinico esplorativo sulla valutazione dell’uso di un altro agente antagonista del TNF, infliximab, in pazienti con malattia polmonare cronica ostruttiva (COPD) da moderata a severa, furono riportate, nei pazienti trattati con infliximab rispetto ai pazienti controllo, più neoplasie, soprattutto al polmone o alla testa ed al collo. Tutti i pazienti avevano una storia di grandi fumatori. Pertanto, deve essere usata cautela quando si utilizza qualsiasi antagonista-TNF in pazienti affetti da COPD, così come in pazienti con aumentato rischio di neoplasia dovuto al fumo eccessivo.</w:t>
      </w:r>
    </w:p>
    <w:p w14:paraId="3B23C402" w14:textId="77777777" w:rsidR="0075524C" w:rsidRPr="00C35766" w:rsidRDefault="0075524C" w:rsidP="0075524C">
      <w:pPr>
        <w:spacing w:before="11" w:line="240" w:lineRule="exact"/>
        <w:rPr>
          <w:rFonts w:ascii="Times New Roman" w:hAnsi="Times New Roman" w:cs="Times New Roman"/>
          <w:lang w:val="it-IT"/>
        </w:rPr>
      </w:pPr>
    </w:p>
    <w:p w14:paraId="662357DE" w14:textId="77777777" w:rsidR="0075524C" w:rsidRPr="00C35766" w:rsidRDefault="0075524C" w:rsidP="0075524C">
      <w:pPr>
        <w:pStyle w:val="a3"/>
        <w:rPr>
          <w:lang w:val="it-IT"/>
        </w:rPr>
      </w:pPr>
      <w:r w:rsidRPr="00C35766">
        <w:rPr>
          <w:rFonts w:eastAsia="Times New Roman"/>
          <w:lang w:val="it-IT"/>
        </w:rPr>
        <w:t>In base ai dati attuali non è noto se il trattamento con adalimumab influenzi il rischio di sviluppare displasia o cancro del colon. Tutti i pazienti affetti da colite ulcerosa che sono ad aumentato rischio di displasia o carcinoma del colon (per esempio, pazienti affetti da colite ulcerosa da lunga data o da colangite sclerosante primaria), o che hanno avuto una precedente anamnesi di displasia o di carcinoma al colon devono essere sottoposti a screening regolari per displasia prima della terapia e durante tutto il corso della malattia. Questa valutazione deve includere colonscopie e biopsie in base alle raccomandazioni locali.</w:t>
      </w:r>
    </w:p>
    <w:p w14:paraId="74EEC300" w14:textId="77777777" w:rsidR="0075524C" w:rsidRPr="00C35766" w:rsidRDefault="0075524C" w:rsidP="0075524C">
      <w:pPr>
        <w:spacing w:before="13" w:line="240" w:lineRule="exact"/>
        <w:rPr>
          <w:rFonts w:ascii="Times New Roman" w:hAnsi="Times New Roman" w:cs="Times New Roman"/>
          <w:lang w:val="it-IT"/>
        </w:rPr>
      </w:pPr>
    </w:p>
    <w:p w14:paraId="06BBD1A9" w14:textId="77777777" w:rsidR="0075524C" w:rsidRPr="00C35766" w:rsidRDefault="0075524C" w:rsidP="0075524C">
      <w:pPr>
        <w:pStyle w:val="a3"/>
        <w:rPr>
          <w:u w:val="single"/>
          <w:lang w:val="it-IT"/>
        </w:rPr>
      </w:pPr>
      <w:r w:rsidRPr="00C35766">
        <w:rPr>
          <w:rFonts w:eastAsia="Times New Roman"/>
          <w:u w:val="single" w:color="000000"/>
          <w:lang w:val="it-IT"/>
        </w:rPr>
        <w:t>Reazioni a carico del sistema emopoietico</w:t>
      </w:r>
    </w:p>
    <w:p w14:paraId="6E670134" w14:textId="77777777" w:rsidR="0075524C" w:rsidRPr="00C35766" w:rsidRDefault="0075524C" w:rsidP="0075524C">
      <w:pPr>
        <w:spacing w:before="1" w:line="180" w:lineRule="exact"/>
        <w:rPr>
          <w:rFonts w:ascii="Times New Roman" w:hAnsi="Times New Roman" w:cs="Times New Roman"/>
          <w:lang w:val="it-IT"/>
        </w:rPr>
      </w:pPr>
    </w:p>
    <w:p w14:paraId="00A62CAB" w14:textId="77777777" w:rsidR="0075524C" w:rsidRPr="00C35766" w:rsidRDefault="0075524C" w:rsidP="0075524C">
      <w:pPr>
        <w:pStyle w:val="a3"/>
        <w:rPr>
          <w:lang w:val="it-IT"/>
        </w:rPr>
      </w:pPr>
      <w:r w:rsidRPr="00C35766">
        <w:rPr>
          <w:rFonts w:eastAsia="Times New Roman"/>
          <w:lang w:val="it-IT"/>
        </w:rPr>
        <w:t xml:space="preserve">In seguito all’uso di farmaci anti-TNF, sono stati segnalati rari casi di pancitopenia, tra cui la comparsa di anemia aplastica. Nei pazienti sottoposti a trattamento con adalimumab, sono stati segnalati eventi avversi a carico del sistema emopoietico, tra cui citopenie significative dal punto di vista medico (per esempio, trombocitopenia, leucopenia). Durante il trattamento con Yuflyma tutti i pazienti devono essere avvisati della necessità di consultare immediatamente un medico per ottenere adeguata assistenza nel caso in cui si manifestino segni e sintomi che suggeriscano la presenza di discrasia ematica (per esempio, febbre persistente, lividi, sanguinamento, pallore). Nel caso di pazienti che presentino significative alterazioni a </w:t>
      </w:r>
      <w:r w:rsidRPr="00C35766">
        <w:rPr>
          <w:rFonts w:eastAsia="Times New Roman"/>
          <w:lang w:val="it-IT"/>
        </w:rPr>
        <w:lastRenderedPageBreak/>
        <w:t>carico del sistema emopoietico confermate, si deve prendere in considerazione la necessità di interrompere la terapia a base di Yuflyma.</w:t>
      </w:r>
    </w:p>
    <w:p w14:paraId="020C4A81" w14:textId="77777777" w:rsidR="0075524C" w:rsidRPr="00C35766" w:rsidRDefault="0075524C" w:rsidP="0075524C">
      <w:pPr>
        <w:pStyle w:val="a3"/>
        <w:rPr>
          <w:lang w:val="it-IT"/>
        </w:rPr>
      </w:pPr>
    </w:p>
    <w:p w14:paraId="2C92FB0D" w14:textId="77777777" w:rsidR="0075524C" w:rsidRPr="00C35766" w:rsidRDefault="0075524C" w:rsidP="0075524C">
      <w:pPr>
        <w:pStyle w:val="a3"/>
        <w:rPr>
          <w:u w:val="single"/>
          <w:lang w:val="it-IT"/>
        </w:rPr>
      </w:pPr>
      <w:r w:rsidRPr="00C35766">
        <w:rPr>
          <w:rFonts w:eastAsia="Times New Roman"/>
          <w:u w:val="single" w:color="000000"/>
          <w:lang w:val="it-IT"/>
        </w:rPr>
        <w:t>Vaccinazioni</w:t>
      </w:r>
    </w:p>
    <w:p w14:paraId="1DB5EBF0" w14:textId="77777777" w:rsidR="0075524C" w:rsidRPr="00C35766" w:rsidRDefault="0075524C" w:rsidP="0075524C">
      <w:pPr>
        <w:spacing w:before="1" w:line="180" w:lineRule="exact"/>
        <w:rPr>
          <w:rFonts w:ascii="Times New Roman" w:hAnsi="Times New Roman" w:cs="Times New Roman"/>
          <w:lang w:val="it-IT"/>
        </w:rPr>
      </w:pPr>
    </w:p>
    <w:p w14:paraId="672928F2" w14:textId="77777777" w:rsidR="0075524C" w:rsidRPr="00C35766" w:rsidRDefault="0075524C" w:rsidP="0075524C">
      <w:pPr>
        <w:pStyle w:val="a3"/>
        <w:rPr>
          <w:lang w:val="it-IT"/>
        </w:rPr>
      </w:pPr>
      <w:r w:rsidRPr="00C35766">
        <w:rPr>
          <w:rFonts w:eastAsia="Times New Roman"/>
          <w:lang w:val="it-IT"/>
        </w:rPr>
        <w:t>Sono state osservate risposte anticorpali simili al vaccino standard 23-valente pneumococcico ed al vaccino trivalente per il virus dell’influenza in uno studio condotto su 226 soggetti adulti affetti da artrite reumatoide che sono stati trattati con adalimumab o con placebo. Non ci sono dati disponibili sulla trasmissione secondaria di infezione da vaccini vivi in pazienti che stanno assumendo adalimumab.</w:t>
      </w:r>
    </w:p>
    <w:p w14:paraId="3114AA70" w14:textId="77777777" w:rsidR="0075524C" w:rsidRPr="00C35766" w:rsidRDefault="0075524C" w:rsidP="0075524C">
      <w:pPr>
        <w:spacing w:before="17" w:line="240" w:lineRule="exact"/>
        <w:rPr>
          <w:rFonts w:ascii="Times New Roman" w:hAnsi="Times New Roman" w:cs="Times New Roman"/>
          <w:lang w:val="it-IT"/>
        </w:rPr>
      </w:pPr>
    </w:p>
    <w:p w14:paraId="00DB56AB" w14:textId="77777777" w:rsidR="0075524C" w:rsidRPr="00C35766" w:rsidRDefault="0075524C" w:rsidP="0075524C">
      <w:pPr>
        <w:pStyle w:val="a3"/>
        <w:rPr>
          <w:lang w:val="it-IT"/>
        </w:rPr>
      </w:pPr>
      <w:r w:rsidRPr="00C35766">
        <w:rPr>
          <w:rFonts w:eastAsia="Times New Roman"/>
          <w:spacing w:val="-4"/>
          <w:lang w:val="it-IT"/>
        </w:rPr>
        <w:t>Nei pazienti pediatrici, prima di iniziare la terapia a base di Yuflyma si raccomanda, se possibile, di attuare il programma di vaccinazioni previsto, in ottemperanza alle linee guida in vigore sulle vaccinazioni.</w:t>
      </w:r>
    </w:p>
    <w:p w14:paraId="799898A3" w14:textId="77777777" w:rsidR="0075524C" w:rsidRPr="00C35766" w:rsidRDefault="0075524C" w:rsidP="0075524C">
      <w:pPr>
        <w:spacing w:before="11" w:line="240" w:lineRule="exact"/>
        <w:rPr>
          <w:rFonts w:ascii="Times New Roman" w:hAnsi="Times New Roman" w:cs="Times New Roman"/>
          <w:lang w:val="it-IT"/>
        </w:rPr>
      </w:pPr>
    </w:p>
    <w:p w14:paraId="6E24A019" w14:textId="77777777" w:rsidR="0075524C" w:rsidRPr="00C35766" w:rsidRDefault="0075524C" w:rsidP="0075524C">
      <w:pPr>
        <w:pStyle w:val="a3"/>
        <w:rPr>
          <w:lang w:val="it-IT"/>
        </w:rPr>
      </w:pPr>
      <w:r w:rsidRPr="00C35766">
        <w:rPr>
          <w:rFonts w:eastAsia="Times New Roman"/>
          <w:lang w:val="it-IT"/>
        </w:rPr>
        <w:t>Pazienti trattati con Yuflyma possono ricevere vaccinazioni simultanee, ad eccezione dei vaccini vivi. La somministrazione di vaccini vivi (ad es. vaccino BCG) a bambini esposti ad adalimumab nell’utero non è raccomandata fino a 5 mesi dall’ultima iniezione di adalimumab alla madre durante la gravidanza.</w:t>
      </w:r>
    </w:p>
    <w:p w14:paraId="0E1EC044" w14:textId="77777777" w:rsidR="0075524C" w:rsidRPr="00C35766" w:rsidRDefault="0075524C" w:rsidP="0075524C">
      <w:pPr>
        <w:spacing w:before="13" w:line="240" w:lineRule="exact"/>
        <w:rPr>
          <w:rFonts w:ascii="Times New Roman" w:hAnsi="Times New Roman" w:cs="Times New Roman"/>
          <w:lang w:val="it-IT"/>
        </w:rPr>
      </w:pPr>
    </w:p>
    <w:p w14:paraId="4CC2BACF" w14:textId="77777777" w:rsidR="0075524C" w:rsidRPr="00C35766" w:rsidRDefault="0075524C" w:rsidP="0075524C">
      <w:pPr>
        <w:pStyle w:val="a3"/>
        <w:rPr>
          <w:u w:val="single"/>
          <w:lang w:val="it-IT"/>
        </w:rPr>
      </w:pPr>
      <w:r w:rsidRPr="00C35766">
        <w:rPr>
          <w:rFonts w:eastAsia="Times New Roman"/>
          <w:u w:val="single" w:color="000000"/>
          <w:lang w:val="it-IT"/>
        </w:rPr>
        <w:t>Insufficienza cardiaca congestizia</w:t>
      </w:r>
    </w:p>
    <w:p w14:paraId="65856353" w14:textId="77777777" w:rsidR="0075524C" w:rsidRPr="00C35766" w:rsidRDefault="0075524C" w:rsidP="0075524C">
      <w:pPr>
        <w:spacing w:before="1" w:line="180" w:lineRule="exact"/>
        <w:rPr>
          <w:rFonts w:ascii="Times New Roman" w:hAnsi="Times New Roman" w:cs="Times New Roman"/>
          <w:lang w:val="it-IT"/>
        </w:rPr>
      </w:pPr>
    </w:p>
    <w:p w14:paraId="494055F9" w14:textId="77777777" w:rsidR="0075524C" w:rsidRPr="00C35766" w:rsidRDefault="0075524C" w:rsidP="0075524C">
      <w:pPr>
        <w:pStyle w:val="a3"/>
        <w:rPr>
          <w:lang w:val="pt-BR"/>
        </w:rPr>
      </w:pPr>
      <w:r w:rsidRPr="00C35766">
        <w:rPr>
          <w:rFonts w:eastAsia="Times New Roman"/>
          <w:lang w:val="it-IT"/>
        </w:rPr>
        <w:t>In uno studio clinico con un altro farmaco anti-TNF sono stati osservati il peggioramento dell’insufficienza cardiaca congestizia e l’aumento di mortalità ad essa correlata. Anche in pazienti trattati con adalimumab sono stati osservati casi di peggioramento di insufficienza cardiaca congestizia. Yuflyma deve essere usato con cautela in pazienti con lieve insufficienza cardiaca (classe I/II NYHA). Yuflyma è controindicato nell’insufficienza cardiaca moderata o severa (vedere paragrafo 4.3). Il trattamento con Yuflyma deve essere interrotto nei pazienti che presentino peggioramento o insorgenza di nuovi sintomi dell’insufficienza cardiaca congestizia.</w:t>
      </w:r>
    </w:p>
    <w:p w14:paraId="442EFDBC" w14:textId="77777777" w:rsidR="0075524C" w:rsidRPr="00C35766" w:rsidRDefault="0075524C" w:rsidP="0075524C">
      <w:pPr>
        <w:spacing w:before="13" w:line="240" w:lineRule="exact"/>
        <w:rPr>
          <w:rFonts w:ascii="Times New Roman" w:hAnsi="Times New Roman" w:cs="Times New Roman"/>
          <w:lang w:val="pt-BR"/>
        </w:rPr>
      </w:pPr>
    </w:p>
    <w:p w14:paraId="59C8EBB0" w14:textId="77777777" w:rsidR="0075524C" w:rsidRPr="00C35766" w:rsidRDefault="0075524C" w:rsidP="0075524C">
      <w:pPr>
        <w:pStyle w:val="a3"/>
        <w:rPr>
          <w:u w:val="single"/>
          <w:lang w:val="fr-FR"/>
        </w:rPr>
      </w:pPr>
      <w:r w:rsidRPr="00C35766">
        <w:rPr>
          <w:rFonts w:eastAsia="Times New Roman"/>
          <w:u w:val="single" w:color="000000"/>
          <w:lang w:val="it-IT"/>
        </w:rPr>
        <w:t>Processi autoimmuni</w:t>
      </w:r>
    </w:p>
    <w:p w14:paraId="0C06A957" w14:textId="77777777" w:rsidR="0075524C" w:rsidRPr="00C35766" w:rsidRDefault="0075524C" w:rsidP="0075524C">
      <w:pPr>
        <w:spacing w:before="9" w:line="170" w:lineRule="exact"/>
        <w:rPr>
          <w:rFonts w:ascii="Times New Roman" w:hAnsi="Times New Roman" w:cs="Times New Roman"/>
          <w:lang w:val="fr-FR"/>
        </w:rPr>
      </w:pPr>
    </w:p>
    <w:p w14:paraId="769B1F61" w14:textId="77777777" w:rsidR="0075524C" w:rsidRPr="00C35766" w:rsidRDefault="0075524C" w:rsidP="0075524C">
      <w:pPr>
        <w:pStyle w:val="a3"/>
        <w:rPr>
          <w:lang w:val="it-IT"/>
        </w:rPr>
      </w:pPr>
      <w:r w:rsidRPr="00C35766">
        <w:rPr>
          <w:rFonts w:eastAsia="Times New Roman"/>
          <w:lang w:val="it-IT"/>
        </w:rPr>
        <w:t>Il trattamento con Yuflyma può indurre la formazione di anticorpi autoimmuni. Non è noto l’impatto del trattamento a lungo termine con adalimumab sullo sviluppo di malattie autoimmuni. Se un paziente sviluppa sintomi indicativi di sindrome simile al lupus a seguito di trattamento con Yuflyma e risulta positivo per gli anticorpi contro il DNA a doppia catena, non deve essere somministrato un ulteriore trattamento con Yuflyma (vedere paragrafo 4.8).</w:t>
      </w:r>
    </w:p>
    <w:p w14:paraId="380FD5F5" w14:textId="77777777" w:rsidR="0075524C" w:rsidRPr="00C35766" w:rsidRDefault="0075524C" w:rsidP="0075524C">
      <w:pPr>
        <w:spacing w:before="13" w:line="240" w:lineRule="exact"/>
        <w:rPr>
          <w:rFonts w:ascii="Times New Roman" w:hAnsi="Times New Roman" w:cs="Times New Roman"/>
          <w:u w:val="single"/>
          <w:lang w:val="it-IT"/>
        </w:rPr>
      </w:pPr>
    </w:p>
    <w:p w14:paraId="528FEC73" w14:textId="77777777" w:rsidR="0075524C" w:rsidRPr="00C35766" w:rsidRDefault="0075524C" w:rsidP="0075524C">
      <w:pPr>
        <w:pStyle w:val="a3"/>
        <w:rPr>
          <w:u w:val="single"/>
          <w:lang w:val="it-IT"/>
        </w:rPr>
      </w:pPr>
      <w:r w:rsidRPr="00C35766">
        <w:rPr>
          <w:rFonts w:eastAsia="Times New Roman"/>
          <w:u w:val="single" w:color="000000"/>
          <w:lang w:val="it-IT"/>
        </w:rPr>
        <w:t>Somministrazione concomitante di DMARD biologici o antagonisti del TNF</w:t>
      </w:r>
    </w:p>
    <w:p w14:paraId="766EC673" w14:textId="77777777" w:rsidR="0075524C" w:rsidRPr="00C35766" w:rsidRDefault="0075524C" w:rsidP="0075524C">
      <w:pPr>
        <w:spacing w:before="1" w:line="180" w:lineRule="exact"/>
        <w:rPr>
          <w:rFonts w:ascii="Times New Roman" w:hAnsi="Times New Roman" w:cs="Times New Roman"/>
          <w:lang w:val="it-IT"/>
        </w:rPr>
      </w:pPr>
    </w:p>
    <w:p w14:paraId="12C01F58" w14:textId="77777777" w:rsidR="0075524C" w:rsidRPr="00C35766" w:rsidRDefault="0075524C" w:rsidP="0075524C">
      <w:pPr>
        <w:pStyle w:val="a3"/>
        <w:rPr>
          <w:lang w:val="it-IT"/>
        </w:rPr>
      </w:pPr>
      <w:r w:rsidRPr="00C35766">
        <w:rPr>
          <w:rFonts w:eastAsia="Times New Roman"/>
          <w:lang w:val="it-IT"/>
        </w:rPr>
        <w:t>Nel corso di studi clinici condotti sulla terapia di associazione con anakinra ed un altro</w:t>
      </w:r>
    </w:p>
    <w:p w14:paraId="6F7F264B" w14:textId="77777777" w:rsidR="0075524C" w:rsidRPr="00C35766" w:rsidRDefault="0075524C" w:rsidP="0075524C">
      <w:pPr>
        <w:pStyle w:val="a3"/>
        <w:rPr>
          <w:lang w:val="es-ES"/>
        </w:rPr>
      </w:pPr>
      <w:r w:rsidRPr="00C35766">
        <w:rPr>
          <w:rFonts w:eastAsia="Times New Roman"/>
          <w:lang w:val="it-IT"/>
        </w:rPr>
        <w:t>farmaco anti-TNF, etanercept, sono state osservate infezioni gravi senza alcun beneficio clinico rispetto ad etanercept in monoterapia. Considerata la tipologia degli eventi avversi osservati con l’associazione di anakinra ed etanercept, potrebbero manifestarsi effetti indesiderati simili in seguito all’associazione di anakinra ed un altro farmaco anti-TNF. Pertanto, l’associazione di adalimumab con anakinra non è raccomandata (vedere paragrafo 4.5).</w:t>
      </w:r>
    </w:p>
    <w:p w14:paraId="7BECF557" w14:textId="77777777" w:rsidR="0075524C" w:rsidRPr="00C35766" w:rsidRDefault="0075524C" w:rsidP="0075524C">
      <w:pPr>
        <w:spacing w:before="14" w:line="240" w:lineRule="exact"/>
        <w:rPr>
          <w:rFonts w:ascii="Times New Roman" w:hAnsi="Times New Roman" w:cs="Times New Roman"/>
          <w:lang w:val="es-ES"/>
        </w:rPr>
      </w:pPr>
    </w:p>
    <w:p w14:paraId="4C8D129A" w14:textId="77777777" w:rsidR="0075524C" w:rsidRPr="00C35766" w:rsidRDefault="0075524C" w:rsidP="0075524C">
      <w:pPr>
        <w:pStyle w:val="a3"/>
        <w:rPr>
          <w:lang w:val="es-ES"/>
        </w:rPr>
      </w:pPr>
      <w:r w:rsidRPr="00C35766">
        <w:rPr>
          <w:rFonts w:eastAsia="Times New Roman"/>
          <w:lang w:val="it-IT"/>
        </w:rPr>
        <w:t>La somministrazione concomitante di adalimumab con altri DMARD biologici (per es. anakinra e abatacept) o altri antagonisti del TNF non è raccomandata sulla base di un possibile aumento del rischio di infezioni, incluse infezioni gravi e altre potenziali interazioni farmacologiche (vedere paragrafo 4.5).</w:t>
      </w:r>
    </w:p>
    <w:p w14:paraId="5B0F6B7F" w14:textId="77777777" w:rsidR="0075524C" w:rsidRPr="00C35766" w:rsidRDefault="0075524C" w:rsidP="0075524C">
      <w:pPr>
        <w:spacing w:before="13" w:line="240" w:lineRule="exact"/>
        <w:rPr>
          <w:rFonts w:ascii="Times New Roman" w:hAnsi="Times New Roman" w:cs="Times New Roman"/>
          <w:lang w:val="es-ES"/>
        </w:rPr>
      </w:pPr>
    </w:p>
    <w:p w14:paraId="799BC0E6" w14:textId="77777777" w:rsidR="0075524C" w:rsidRPr="00C35766" w:rsidRDefault="0075524C" w:rsidP="0075524C">
      <w:pPr>
        <w:pStyle w:val="a3"/>
        <w:keepNext/>
        <w:rPr>
          <w:u w:val="single"/>
          <w:lang w:val="es-ES"/>
        </w:rPr>
      </w:pPr>
      <w:r w:rsidRPr="00C35766">
        <w:rPr>
          <w:rFonts w:eastAsia="Times New Roman"/>
          <w:u w:val="single" w:color="000000"/>
          <w:lang w:val="it-IT"/>
        </w:rPr>
        <w:t>Intervento chirurgico</w:t>
      </w:r>
    </w:p>
    <w:p w14:paraId="6744289F" w14:textId="77777777" w:rsidR="0075524C" w:rsidRPr="00C35766" w:rsidRDefault="0075524C" w:rsidP="0075524C">
      <w:pPr>
        <w:keepNext/>
        <w:rPr>
          <w:rFonts w:ascii="Times New Roman" w:hAnsi="Times New Roman" w:cs="Times New Roman"/>
          <w:lang w:val="es-ES"/>
        </w:rPr>
      </w:pPr>
    </w:p>
    <w:p w14:paraId="3CD73959" w14:textId="77777777" w:rsidR="0075524C" w:rsidRPr="00C35766" w:rsidRDefault="0075524C" w:rsidP="0075524C">
      <w:pPr>
        <w:pStyle w:val="a3"/>
        <w:rPr>
          <w:lang w:val="es-ES"/>
        </w:rPr>
      </w:pPr>
      <w:r w:rsidRPr="00C35766">
        <w:rPr>
          <w:rFonts w:eastAsia="Times New Roman"/>
          <w:lang w:val="it-IT"/>
        </w:rPr>
        <w:t xml:space="preserve">Nei pazienti trattati con adalimumab c’è un’esperienza limitata, relativa alla sicurezza di procedure chirurgiche. Nel caso in cui si pianifichi un intervento chirurgico si deve considerare la lunga emivita di adalimumab. Un paziente che dovesse essere sottoposto ad intervento chirurgico, durante il trattamento con Yuflyma, deve essere attentamente seguito per lo sviluppo di infezioni, nel qual caso andrebbero intraprese opportune azioni. C’è un’esperienza limitata per quanto riguarda la sicurezza in pazienti sottoposti ad </w:t>
      </w:r>
      <w:r w:rsidRPr="00C35766">
        <w:rPr>
          <w:rFonts w:eastAsia="Times New Roman"/>
          <w:lang w:val="it-IT"/>
        </w:rPr>
        <w:lastRenderedPageBreak/>
        <w:t>interventi di artroplastica in corso di trattamento con adalimumab.</w:t>
      </w:r>
    </w:p>
    <w:p w14:paraId="27BFE027" w14:textId="77777777" w:rsidR="0075524C" w:rsidRPr="00C35766" w:rsidRDefault="0075524C" w:rsidP="0075524C">
      <w:pPr>
        <w:pStyle w:val="a3"/>
        <w:rPr>
          <w:u w:color="000000"/>
          <w:lang w:val="es-ES"/>
        </w:rPr>
      </w:pPr>
    </w:p>
    <w:p w14:paraId="07070353" w14:textId="77777777" w:rsidR="0075524C" w:rsidRPr="00C35766" w:rsidRDefault="0075524C" w:rsidP="0075524C">
      <w:pPr>
        <w:pStyle w:val="a3"/>
        <w:rPr>
          <w:u w:val="single"/>
          <w:lang w:val="es-ES"/>
        </w:rPr>
      </w:pPr>
      <w:r w:rsidRPr="00C35766">
        <w:rPr>
          <w:rFonts w:eastAsia="Times New Roman"/>
          <w:u w:val="single" w:color="000000"/>
          <w:lang w:val="it-IT"/>
        </w:rPr>
        <w:t>Ostruzione dell'intestino tenue</w:t>
      </w:r>
    </w:p>
    <w:p w14:paraId="331741BF" w14:textId="77777777" w:rsidR="0075524C" w:rsidRPr="00C35766" w:rsidRDefault="0075524C" w:rsidP="0075524C">
      <w:pPr>
        <w:pStyle w:val="a3"/>
        <w:rPr>
          <w:lang w:val="es-ES"/>
        </w:rPr>
      </w:pPr>
    </w:p>
    <w:p w14:paraId="1E4217E0" w14:textId="77777777" w:rsidR="0075524C" w:rsidRPr="00C35766" w:rsidRDefault="0075524C" w:rsidP="0075524C">
      <w:pPr>
        <w:pStyle w:val="a3"/>
        <w:rPr>
          <w:lang w:val="pt-BR"/>
        </w:rPr>
      </w:pPr>
      <w:r w:rsidRPr="00C35766">
        <w:rPr>
          <w:rFonts w:eastAsia="Times New Roman"/>
          <w:lang w:val="it-IT"/>
        </w:rPr>
        <w:t>La mancata risposta al trattamento per la malattia di Crohn può indicare la presenza di stenosi rigida fibrotica che può richiedere un intervento chirurgico. I dati disponibili suggeriscono che adalimumab non peggiora o causa stenosi.</w:t>
      </w:r>
    </w:p>
    <w:p w14:paraId="689ABDE5" w14:textId="77777777" w:rsidR="0075524C" w:rsidRPr="00C35766" w:rsidRDefault="0075524C" w:rsidP="0075524C">
      <w:pPr>
        <w:spacing w:before="13" w:line="240" w:lineRule="exact"/>
        <w:rPr>
          <w:rFonts w:ascii="Times New Roman" w:hAnsi="Times New Roman" w:cs="Times New Roman"/>
          <w:lang w:val="pt-BR"/>
        </w:rPr>
      </w:pPr>
    </w:p>
    <w:p w14:paraId="1373EC03" w14:textId="77777777" w:rsidR="0075524C" w:rsidRPr="00C35766" w:rsidRDefault="0075524C" w:rsidP="0075524C">
      <w:pPr>
        <w:pStyle w:val="a3"/>
        <w:rPr>
          <w:u w:val="single"/>
          <w:lang w:val="pt-BR"/>
        </w:rPr>
      </w:pPr>
      <w:r w:rsidRPr="00C35766">
        <w:rPr>
          <w:rFonts w:eastAsia="Times New Roman"/>
          <w:u w:val="single" w:color="000000"/>
          <w:lang w:val="it-IT"/>
        </w:rPr>
        <w:t>Anziani</w:t>
      </w:r>
    </w:p>
    <w:p w14:paraId="6131DF31" w14:textId="77777777" w:rsidR="0075524C" w:rsidRPr="00C35766" w:rsidRDefault="0075524C" w:rsidP="0075524C">
      <w:pPr>
        <w:spacing w:before="9" w:line="170" w:lineRule="exact"/>
        <w:rPr>
          <w:rFonts w:ascii="Times New Roman" w:hAnsi="Times New Roman" w:cs="Times New Roman"/>
          <w:lang w:val="pt-BR"/>
        </w:rPr>
      </w:pPr>
    </w:p>
    <w:p w14:paraId="514C4C2B" w14:textId="77777777" w:rsidR="0075524C" w:rsidRPr="00C35766" w:rsidRDefault="0075524C" w:rsidP="0075524C">
      <w:pPr>
        <w:pStyle w:val="a3"/>
        <w:rPr>
          <w:lang w:val="pt-BR"/>
        </w:rPr>
      </w:pPr>
      <w:r w:rsidRPr="00C35766">
        <w:rPr>
          <w:rFonts w:eastAsia="Times New Roman"/>
          <w:lang w:val="it-IT"/>
        </w:rPr>
        <w:t>La frequenza di infezioni gravi tra i pazienti di età superiore ai 65 anni (3,7%) trattati con adalimumab è stata superiore rispetto a quelli di età inferiore ai 65 anni (1,5%). Alcuni di questi hanno avuto un esito fatale. Deve essere prestata particolare attenzione nel trattamento dei pazienti anziani per il rischio di infezione.</w:t>
      </w:r>
    </w:p>
    <w:p w14:paraId="7712E0A3" w14:textId="77777777" w:rsidR="0075524C" w:rsidRPr="00C35766" w:rsidRDefault="0075524C" w:rsidP="0075524C">
      <w:pPr>
        <w:spacing w:before="11" w:line="240" w:lineRule="exact"/>
        <w:rPr>
          <w:rFonts w:ascii="Times New Roman" w:hAnsi="Times New Roman" w:cs="Times New Roman"/>
          <w:lang w:val="pt-BR"/>
        </w:rPr>
      </w:pPr>
    </w:p>
    <w:p w14:paraId="2A40D74F" w14:textId="77777777" w:rsidR="0075524C" w:rsidRPr="00C35766" w:rsidRDefault="0075524C" w:rsidP="0075524C">
      <w:pPr>
        <w:pStyle w:val="a3"/>
        <w:rPr>
          <w:u w:val="single"/>
          <w:lang w:val="pt-BR"/>
        </w:rPr>
      </w:pPr>
      <w:r w:rsidRPr="00C35766">
        <w:rPr>
          <w:rFonts w:eastAsia="Times New Roman"/>
          <w:u w:val="single" w:color="000000"/>
          <w:lang w:val="it-IT"/>
        </w:rPr>
        <w:t>Popolazione pediatrica</w:t>
      </w:r>
    </w:p>
    <w:p w14:paraId="1490C28D" w14:textId="77777777" w:rsidR="0075524C" w:rsidRPr="00C35766" w:rsidRDefault="0075524C" w:rsidP="0075524C">
      <w:pPr>
        <w:spacing w:before="1" w:line="180" w:lineRule="exact"/>
        <w:rPr>
          <w:rFonts w:ascii="Times New Roman" w:hAnsi="Times New Roman" w:cs="Times New Roman"/>
          <w:lang w:val="pt-BR"/>
        </w:rPr>
      </w:pPr>
    </w:p>
    <w:p w14:paraId="10844E54" w14:textId="77777777" w:rsidR="0075524C" w:rsidRPr="00C35766" w:rsidRDefault="0075524C" w:rsidP="0075524C">
      <w:pPr>
        <w:pStyle w:val="a3"/>
        <w:rPr>
          <w:lang w:val="pt-BR"/>
        </w:rPr>
      </w:pPr>
      <w:r w:rsidRPr="00C35766">
        <w:rPr>
          <w:rFonts w:eastAsia="Times New Roman"/>
          <w:lang w:val="it-IT"/>
        </w:rPr>
        <w:t>Vedere Vaccinazioni sopra.</w:t>
      </w:r>
    </w:p>
    <w:p w14:paraId="3EBD9B59" w14:textId="77777777" w:rsidR="0075524C" w:rsidRPr="00C35766" w:rsidRDefault="0075524C" w:rsidP="0075524C">
      <w:pPr>
        <w:pStyle w:val="a3"/>
        <w:rPr>
          <w:lang w:val="pt-BR"/>
        </w:rPr>
      </w:pPr>
    </w:p>
    <w:p w14:paraId="0AFD6CF8" w14:textId="77777777" w:rsidR="0075524C" w:rsidRPr="00C35766" w:rsidRDefault="0075524C" w:rsidP="0075524C">
      <w:pPr>
        <w:pStyle w:val="a3"/>
        <w:rPr>
          <w:u w:val="single"/>
          <w:lang w:val="pt-BR"/>
        </w:rPr>
      </w:pPr>
      <w:r w:rsidRPr="00C35766">
        <w:rPr>
          <w:rFonts w:eastAsia="Times New Roman"/>
          <w:u w:val="single" w:color="000000"/>
          <w:lang w:val="it-IT"/>
        </w:rPr>
        <w:t>Contenuto di sodio</w:t>
      </w:r>
    </w:p>
    <w:p w14:paraId="374A0C15" w14:textId="77777777" w:rsidR="0075524C" w:rsidRPr="00C35766" w:rsidRDefault="0075524C" w:rsidP="0075524C">
      <w:pPr>
        <w:pStyle w:val="a3"/>
        <w:rPr>
          <w:lang w:val="pt-BR"/>
        </w:rPr>
      </w:pPr>
    </w:p>
    <w:p w14:paraId="2EBE5EFE" w14:textId="4D2F4153" w:rsidR="0075524C" w:rsidRPr="00C35766" w:rsidRDefault="0075524C" w:rsidP="0075524C">
      <w:pPr>
        <w:pStyle w:val="a3"/>
        <w:rPr>
          <w:lang w:val="pt-BR"/>
        </w:rPr>
      </w:pPr>
      <w:r w:rsidRPr="00C35766">
        <w:rPr>
          <w:rFonts w:eastAsia="Times New Roman"/>
          <w:lang w:val="it-IT"/>
        </w:rPr>
        <w:t xml:space="preserve">Questo medicinale contiene meno di 1 mmol (23 mg) di sodio per dose di </w:t>
      </w:r>
      <w:r w:rsidR="00E66A7E">
        <w:rPr>
          <w:rFonts w:eastAsia="Times New Roman"/>
          <w:lang w:val="it-IT"/>
        </w:rPr>
        <w:t>0,2</w:t>
      </w:r>
      <w:r w:rsidRPr="00C35766">
        <w:rPr>
          <w:rFonts w:eastAsia="Times New Roman"/>
          <w:lang w:val="it-IT"/>
        </w:rPr>
        <w:t xml:space="preserve"> mL, cioè essenzialmente "senza sodio".</w:t>
      </w:r>
    </w:p>
    <w:p w14:paraId="584EF630" w14:textId="77777777" w:rsidR="0075524C" w:rsidRPr="00C35766" w:rsidRDefault="0075524C" w:rsidP="0075524C">
      <w:pPr>
        <w:spacing w:before="18" w:line="240" w:lineRule="exact"/>
        <w:rPr>
          <w:rFonts w:ascii="Times New Roman" w:hAnsi="Times New Roman" w:cs="Times New Roman"/>
          <w:sz w:val="24"/>
          <w:szCs w:val="24"/>
          <w:lang w:val="pt-BR"/>
        </w:rPr>
      </w:pPr>
    </w:p>
    <w:p w14:paraId="684766F4" w14:textId="77777777" w:rsidR="0075524C" w:rsidRPr="00C35766" w:rsidRDefault="0075524C" w:rsidP="005C2D5B">
      <w:pPr>
        <w:widowControl/>
        <w:numPr>
          <w:ilvl w:val="1"/>
          <w:numId w:val="7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Interazioni con altri medicinali ed altre forme d’interazione</w:t>
      </w:r>
    </w:p>
    <w:p w14:paraId="16457E7A" w14:textId="77777777" w:rsidR="0075524C" w:rsidRPr="00C35766" w:rsidRDefault="0075524C" w:rsidP="0075524C">
      <w:pPr>
        <w:spacing w:before="9" w:line="240" w:lineRule="exact"/>
        <w:rPr>
          <w:rFonts w:ascii="Times New Roman" w:hAnsi="Times New Roman" w:cs="Times New Roman"/>
          <w:sz w:val="24"/>
          <w:lang w:val="it-IT"/>
        </w:rPr>
      </w:pPr>
    </w:p>
    <w:p w14:paraId="0311CE03" w14:textId="77777777" w:rsidR="0075524C" w:rsidRPr="00C35766" w:rsidRDefault="0075524C" w:rsidP="0075524C">
      <w:pPr>
        <w:pStyle w:val="a3"/>
        <w:rPr>
          <w:lang w:val="it-IT"/>
        </w:rPr>
      </w:pPr>
      <w:r w:rsidRPr="00C35766">
        <w:rPr>
          <w:rFonts w:eastAsia="Times New Roman"/>
          <w:lang w:val="it-IT"/>
        </w:rPr>
        <w:t>Adalimumab è stato studiato in monoterapia e in associazione con metotressato in pazienti affetti da artrite reumatoide, artrite idiopatica giovanile poliarticolare e artrite psoriasica. Quando adalimumab è stato somministrato in associazione con metotressato, la formazione di anticorpi è stata inferiore rispetto alla monoterapia. La somministrazione di adalimumab senza metotressato ha determinato un aumento della formazione di anticorpi, un aumento della clearance ed una riduzione dell’efficacia di adalimumab (vedere paragrafo 5.1).</w:t>
      </w:r>
    </w:p>
    <w:p w14:paraId="5D190BB3" w14:textId="77777777" w:rsidR="0075524C" w:rsidRPr="00C35766" w:rsidRDefault="0075524C" w:rsidP="0075524C">
      <w:pPr>
        <w:spacing w:before="17" w:line="240" w:lineRule="exact"/>
        <w:rPr>
          <w:rFonts w:ascii="Times New Roman" w:hAnsi="Times New Roman" w:cs="Times New Roman"/>
          <w:sz w:val="24"/>
          <w:szCs w:val="24"/>
          <w:lang w:val="it-IT"/>
        </w:rPr>
      </w:pPr>
    </w:p>
    <w:p w14:paraId="24E2BE3A" w14:textId="77777777" w:rsidR="0075524C" w:rsidRPr="00C35766" w:rsidRDefault="0075524C" w:rsidP="0075524C">
      <w:pPr>
        <w:pStyle w:val="a3"/>
        <w:rPr>
          <w:lang w:val="it-IT"/>
        </w:rPr>
      </w:pPr>
      <w:r w:rsidRPr="00C35766">
        <w:rPr>
          <w:rFonts w:eastAsia="Times New Roman"/>
          <w:lang w:val="it-IT"/>
        </w:rPr>
        <w:t>L‘associazione di adalimumab e anakinra non è raccomandata (vedere paragrafo 4.4 “Somministrazione concomitante di DMARD biologici o antagonisti del TNF”).</w:t>
      </w:r>
    </w:p>
    <w:p w14:paraId="29A88CA4" w14:textId="77777777" w:rsidR="0075524C" w:rsidRPr="00C35766" w:rsidRDefault="0075524C" w:rsidP="0075524C">
      <w:pPr>
        <w:spacing w:before="11" w:line="240" w:lineRule="exact"/>
        <w:rPr>
          <w:rFonts w:ascii="Times New Roman" w:hAnsi="Times New Roman" w:cs="Times New Roman"/>
          <w:sz w:val="24"/>
          <w:szCs w:val="24"/>
          <w:lang w:val="it-IT"/>
        </w:rPr>
      </w:pPr>
    </w:p>
    <w:p w14:paraId="422833B0" w14:textId="77777777" w:rsidR="0075524C" w:rsidRPr="00C35766" w:rsidRDefault="0075524C" w:rsidP="0075524C">
      <w:pPr>
        <w:pStyle w:val="a3"/>
        <w:rPr>
          <w:lang w:val="it-IT"/>
        </w:rPr>
      </w:pPr>
      <w:r w:rsidRPr="00C35766">
        <w:rPr>
          <w:rFonts w:eastAsia="Times New Roman"/>
          <w:lang w:val="it-IT"/>
        </w:rPr>
        <w:t>L’associazione di adalimumab e abatacept non è raccomandata (vedere paragrafo 4.4 “Somministrazione concomitante di DMARD biologici o antagonisti del TNF”).</w:t>
      </w:r>
    </w:p>
    <w:p w14:paraId="1B53C50D" w14:textId="77777777" w:rsidR="0075524C" w:rsidRPr="00C35766" w:rsidRDefault="0075524C" w:rsidP="0075524C">
      <w:pPr>
        <w:spacing w:before="14" w:line="240" w:lineRule="exact"/>
        <w:rPr>
          <w:rFonts w:ascii="Times New Roman" w:hAnsi="Times New Roman" w:cs="Times New Roman"/>
          <w:sz w:val="24"/>
          <w:szCs w:val="24"/>
          <w:lang w:val="it-IT"/>
        </w:rPr>
      </w:pPr>
    </w:p>
    <w:p w14:paraId="77BB3C97"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Fertilità, gravidanza e allattamento</w:t>
      </w:r>
    </w:p>
    <w:p w14:paraId="651067E3" w14:textId="77777777" w:rsidR="0075524C" w:rsidRPr="00C35766" w:rsidRDefault="0075524C" w:rsidP="0075524C">
      <w:pPr>
        <w:spacing w:before="9" w:line="240" w:lineRule="exact"/>
        <w:rPr>
          <w:rFonts w:ascii="Times New Roman" w:hAnsi="Times New Roman" w:cs="Times New Roman"/>
        </w:rPr>
      </w:pPr>
    </w:p>
    <w:p w14:paraId="416E5332" w14:textId="77777777" w:rsidR="0075524C" w:rsidRPr="00C35766" w:rsidRDefault="0075524C" w:rsidP="0075524C">
      <w:pPr>
        <w:pStyle w:val="a3"/>
        <w:rPr>
          <w:u w:val="single"/>
        </w:rPr>
      </w:pPr>
      <w:r w:rsidRPr="00C35766">
        <w:rPr>
          <w:rFonts w:eastAsia="Times New Roman"/>
          <w:u w:val="single" w:color="000000"/>
          <w:lang w:val="it-IT"/>
        </w:rPr>
        <w:t>Donne in età fertile</w:t>
      </w:r>
    </w:p>
    <w:p w14:paraId="407A75F0" w14:textId="77777777" w:rsidR="0075524C" w:rsidRPr="00C35766" w:rsidRDefault="0075524C" w:rsidP="0075524C">
      <w:pPr>
        <w:spacing w:before="1" w:line="180" w:lineRule="exact"/>
        <w:rPr>
          <w:rFonts w:ascii="Times New Roman" w:hAnsi="Times New Roman" w:cs="Times New Roman"/>
        </w:rPr>
      </w:pPr>
    </w:p>
    <w:p w14:paraId="350B4AAF" w14:textId="77777777" w:rsidR="0075524C" w:rsidRPr="00C35766" w:rsidRDefault="0075524C" w:rsidP="0075524C">
      <w:pPr>
        <w:pStyle w:val="a3"/>
        <w:rPr>
          <w:lang w:val="it-IT"/>
        </w:rPr>
      </w:pPr>
      <w:r w:rsidRPr="00C35766">
        <w:rPr>
          <w:rFonts w:eastAsia="Times New Roman"/>
          <w:lang w:val="it-IT"/>
        </w:rPr>
        <w:t>Le donne in età fertile devono considerare l’utilizzo di un adeguato metodo contraccettivo per prevenire una gravidanza e l’uso di tale metodo deve proseguire per almeno cinque mesi dopo l’ultimo trattamento con Yuflyma.</w:t>
      </w:r>
    </w:p>
    <w:p w14:paraId="0D3CF4E4" w14:textId="77777777" w:rsidR="0075524C" w:rsidRPr="00C35766" w:rsidRDefault="0075524C" w:rsidP="0075524C">
      <w:pPr>
        <w:spacing w:before="11" w:line="240" w:lineRule="exact"/>
        <w:rPr>
          <w:rFonts w:ascii="Times New Roman" w:hAnsi="Times New Roman" w:cs="Times New Roman"/>
          <w:lang w:val="it-IT"/>
        </w:rPr>
      </w:pPr>
    </w:p>
    <w:p w14:paraId="768B9615" w14:textId="77777777" w:rsidR="0075524C" w:rsidRPr="00C35766" w:rsidRDefault="0075524C" w:rsidP="0075524C">
      <w:pPr>
        <w:pStyle w:val="a3"/>
        <w:rPr>
          <w:u w:val="single"/>
          <w:lang w:val="it-IT"/>
        </w:rPr>
      </w:pPr>
      <w:r w:rsidRPr="00C35766">
        <w:rPr>
          <w:rFonts w:eastAsia="Times New Roman"/>
          <w:u w:val="single" w:color="000000"/>
          <w:lang w:val="it-IT"/>
        </w:rPr>
        <w:t>Gravidanza</w:t>
      </w:r>
    </w:p>
    <w:p w14:paraId="640999DD" w14:textId="77777777" w:rsidR="0075524C" w:rsidRPr="00C35766" w:rsidRDefault="0075524C" w:rsidP="0075524C">
      <w:pPr>
        <w:spacing w:before="1" w:line="180" w:lineRule="exact"/>
        <w:rPr>
          <w:rFonts w:ascii="Times New Roman" w:hAnsi="Times New Roman" w:cs="Times New Roman"/>
          <w:lang w:val="it-IT"/>
        </w:rPr>
      </w:pPr>
    </w:p>
    <w:p w14:paraId="5F60A566" w14:textId="77777777" w:rsidR="0075524C" w:rsidRPr="00C35766" w:rsidRDefault="0075524C" w:rsidP="0075524C">
      <w:pPr>
        <w:pStyle w:val="a3"/>
        <w:rPr>
          <w:lang w:val="it-IT"/>
        </w:rPr>
      </w:pPr>
      <w:r w:rsidRPr="00C35766">
        <w:rPr>
          <w:rFonts w:eastAsia="Times New Roman"/>
          <w:lang w:val="it-IT"/>
        </w:rPr>
        <w:t>Un numero elevato (circa 2100) di gravidanze esposte ad adalimumab, raccolte in modo prospettico, che hanno portato a nati vivi con esiti noti e che includevano più di 1500 gravidanze esposte durante il primo trimestre, non ha indicato un aumento del tasso di malformazione nel neonato.</w:t>
      </w:r>
    </w:p>
    <w:p w14:paraId="19B62C66" w14:textId="77777777" w:rsidR="0075524C" w:rsidRPr="00C35766" w:rsidRDefault="0075524C" w:rsidP="0075524C">
      <w:pPr>
        <w:spacing w:before="13" w:line="240" w:lineRule="exact"/>
        <w:rPr>
          <w:rFonts w:ascii="Times New Roman" w:hAnsi="Times New Roman" w:cs="Times New Roman"/>
          <w:lang w:val="it-IT"/>
        </w:rPr>
      </w:pPr>
    </w:p>
    <w:p w14:paraId="7CD1FF92" w14:textId="77777777" w:rsidR="0075524C" w:rsidRPr="00C35766" w:rsidRDefault="0075524C" w:rsidP="0075524C">
      <w:pPr>
        <w:pStyle w:val="a3"/>
        <w:rPr>
          <w:lang w:val="it-IT"/>
        </w:rPr>
      </w:pPr>
      <w:r w:rsidRPr="00C35766">
        <w:rPr>
          <w:rFonts w:eastAsia="Times New Roman"/>
          <w:lang w:val="it-IT"/>
        </w:rPr>
        <w:t xml:space="preserve">In un registro di coorte prospettico, sono state arruolate 257 donne con artrite reumatoide (AR) o malattia di Crohn (MC) trattate con adalimumab almeno durante il primo trimestre di gravidanza e 120 donne con AR o </w:t>
      </w:r>
      <w:r w:rsidRPr="00C35766">
        <w:rPr>
          <w:rFonts w:eastAsia="Times New Roman"/>
          <w:lang w:val="it-IT"/>
        </w:rPr>
        <w:lastRenderedPageBreak/>
        <w:t>MC non trattate con adalimumab. L’endpoint primario è stato la prevalenza di gravi difetti alla nascita. Il tasso delle gravidanze che si sono concluse con la nascita di almeno un neonato vivo con un grave difetto alla nascita è stato 6/69 (8,7%) nelle donne con AR trattate con adalimumab e 5/74 (6,8%) nelle donne con AR non trattate (OR non aggiustato 1,31; 95% IC 0,38-4,52) e 16/152 (10,5%) nelle donne con MC trattate con adalimumab e 3/32 (9,4%) nelle donne con MC non trattate (OR non aggiustato 1,14, 95% IC 0,31-4,16). L’OR aggiustato (che considera le differenze rispetto al basale) era 1,10 (95% IC 0,45-2,73) per AR e MC combinate. Tra le donne trattate con adalimumab e quelle non trattate non ci sono state evidenti differenze negli endpoint secondari come aborti spontanei, difetti minori alla nascita, parto pretermine, dimensione del neonato e infezioni gravi o opportunistiche e non sono stati riportati casi di nati morti o tumori maligni.  L’interpretazione dei dati può essere influenzata dalle limitazioni metodologiche dello studio, compresi la piccola dimensione del campione e il disegno non randomizzato.</w:t>
      </w:r>
    </w:p>
    <w:p w14:paraId="1F467EEC" w14:textId="77777777" w:rsidR="0075524C" w:rsidRPr="00C35766" w:rsidRDefault="0075524C" w:rsidP="0075524C">
      <w:pPr>
        <w:spacing w:before="10" w:line="240" w:lineRule="exact"/>
        <w:rPr>
          <w:rFonts w:ascii="Times New Roman" w:hAnsi="Times New Roman" w:cs="Times New Roman"/>
          <w:lang w:val="it-IT"/>
        </w:rPr>
      </w:pPr>
    </w:p>
    <w:p w14:paraId="6E7FF960" w14:textId="77777777" w:rsidR="0075524C" w:rsidRPr="00C35766" w:rsidRDefault="0075524C" w:rsidP="0075524C">
      <w:pPr>
        <w:pStyle w:val="a3"/>
        <w:rPr>
          <w:lang w:val="it-IT"/>
        </w:rPr>
      </w:pPr>
      <w:r w:rsidRPr="00C35766">
        <w:rPr>
          <w:rFonts w:eastAsia="Times New Roman"/>
          <w:spacing w:val="-2"/>
          <w:lang w:val="it-IT"/>
        </w:rPr>
        <w:t>In uno studio di tossicologia dello sviluppo condotto su scimmie, non è stata riscontrata tossicità nella madre, né embriotossicità o teratogenicità. Non sono disponibili dati preclinici sulla tossicità postnatale di adalimumab (vedere paragrafo 5.3).</w:t>
      </w:r>
    </w:p>
    <w:p w14:paraId="3E8EC951" w14:textId="77777777" w:rsidR="0075524C" w:rsidRPr="00C35766" w:rsidRDefault="0075524C" w:rsidP="0075524C">
      <w:pPr>
        <w:spacing w:before="14" w:line="260" w:lineRule="exact"/>
        <w:rPr>
          <w:rFonts w:ascii="Times New Roman" w:hAnsi="Times New Roman" w:cs="Times New Roman"/>
          <w:lang w:val="it-IT"/>
        </w:rPr>
      </w:pPr>
    </w:p>
    <w:p w14:paraId="06CE0291" w14:textId="77777777" w:rsidR="0075524C" w:rsidRPr="00C35766" w:rsidRDefault="0075524C" w:rsidP="0075524C">
      <w:pPr>
        <w:pStyle w:val="a3"/>
        <w:rPr>
          <w:lang w:val="pt-BR"/>
        </w:rPr>
      </w:pPr>
      <w:r w:rsidRPr="00C35766">
        <w:rPr>
          <w:rFonts w:eastAsia="Times New Roman"/>
          <w:lang w:val="it-IT"/>
        </w:rPr>
        <w:t>A causa dell’inibizione del TNF</w:t>
      </w:r>
      <w:r w:rsidRPr="00C35766">
        <w:rPr>
          <w:rFonts w:eastAsia="Symbol"/>
          <w:lang w:val="it-IT"/>
        </w:rPr>
        <w:sym w:font="Symbol" w:char="F061"/>
      </w:r>
      <w:r w:rsidRPr="00C35766">
        <w:rPr>
          <w:rFonts w:eastAsia="Times New Roman"/>
          <w:lang w:val="it-IT"/>
        </w:rPr>
        <w:t>, la somministrazione di adalimumab durante la gravidanza potrebbe interferire con la normale risposta immunitaria del neonato. Adalimumab deve essere utilizzato in gravidanza soltanto se strettamente necessario.</w:t>
      </w:r>
    </w:p>
    <w:p w14:paraId="28453BDC" w14:textId="77777777" w:rsidR="0075524C" w:rsidRPr="00C35766" w:rsidRDefault="0075524C" w:rsidP="0075524C">
      <w:pPr>
        <w:spacing w:before="11" w:line="240" w:lineRule="exact"/>
        <w:rPr>
          <w:rFonts w:ascii="Times New Roman" w:hAnsi="Times New Roman" w:cs="Times New Roman"/>
          <w:lang w:val="pt-BR"/>
        </w:rPr>
      </w:pPr>
    </w:p>
    <w:p w14:paraId="03162FD5" w14:textId="77777777" w:rsidR="0075524C" w:rsidRPr="00C35766" w:rsidRDefault="0075524C" w:rsidP="0075524C">
      <w:pPr>
        <w:pStyle w:val="a3"/>
        <w:rPr>
          <w:lang w:val="it-IT"/>
        </w:rPr>
      </w:pPr>
      <w:r w:rsidRPr="00C35766">
        <w:rPr>
          <w:rFonts w:eastAsia="Times New Roman"/>
          <w:lang w:val="it-IT"/>
        </w:rPr>
        <w:t>Adalimumab può attraversare la placenta e raggiungere il siero dei bambini nati da madri trattate con adalimumab durante la gravidanza. Di conseguenza, questi bambini sono soggetti ad un maggior rischio di infezione. La somministrazione di vaccini vivi (ad es. vaccino BCG) a bambini esposti ad adalimumab nell’utero non è raccomandata fino a 5 mesi dall’ultima iniezione di adalimumab alla madre durante la gravidanza.</w:t>
      </w:r>
    </w:p>
    <w:p w14:paraId="0535A7BE" w14:textId="77777777" w:rsidR="0075524C" w:rsidRPr="00C35766" w:rsidRDefault="0075524C" w:rsidP="0075524C">
      <w:pPr>
        <w:spacing w:before="13" w:line="240" w:lineRule="exact"/>
        <w:rPr>
          <w:rFonts w:ascii="Times New Roman" w:hAnsi="Times New Roman" w:cs="Times New Roman"/>
          <w:lang w:val="it-IT"/>
        </w:rPr>
      </w:pPr>
    </w:p>
    <w:p w14:paraId="7670E1B0" w14:textId="77777777" w:rsidR="0075524C" w:rsidRPr="00C35766" w:rsidRDefault="0075524C" w:rsidP="0075524C">
      <w:pPr>
        <w:pStyle w:val="a3"/>
        <w:rPr>
          <w:u w:val="single"/>
          <w:lang w:val="it-IT"/>
        </w:rPr>
      </w:pPr>
      <w:r w:rsidRPr="00C35766">
        <w:rPr>
          <w:rFonts w:eastAsia="Times New Roman"/>
          <w:spacing w:val="-1"/>
          <w:u w:val="single" w:color="000000"/>
          <w:lang w:val="it-IT"/>
        </w:rPr>
        <w:t>Allattamento</w:t>
      </w:r>
    </w:p>
    <w:p w14:paraId="638F2093" w14:textId="77777777" w:rsidR="0075524C" w:rsidRPr="00C35766" w:rsidRDefault="0075524C" w:rsidP="0075524C">
      <w:pPr>
        <w:spacing w:before="1" w:line="180" w:lineRule="exact"/>
        <w:rPr>
          <w:rFonts w:ascii="Times New Roman" w:hAnsi="Times New Roman" w:cs="Times New Roman"/>
          <w:lang w:val="it-IT"/>
        </w:rPr>
      </w:pPr>
    </w:p>
    <w:p w14:paraId="04E19DDE" w14:textId="77777777" w:rsidR="0075524C" w:rsidRPr="00C35766" w:rsidRDefault="0075524C" w:rsidP="0075524C">
      <w:pPr>
        <w:pStyle w:val="a3"/>
        <w:rPr>
          <w:lang w:val="it-IT"/>
        </w:rPr>
      </w:pPr>
      <w:r w:rsidRPr="00C35766">
        <w:rPr>
          <w:rFonts w:eastAsia="Times New Roman"/>
          <w:lang w:val="it-IT"/>
        </w:rPr>
        <w:t>Le limitate informazioni dalla letteratura pubblicata indicano che adalimumab è escreto nel latte materno in concentrazioni molto basse e che la concentrazione di adalimumab nel latte umano è pari allo 0,1% - 1% del livello sierico della madre. Somministrate per via orale, le immunoglobuline G sono sottoposte a proteolisi intestinale ed hanno una scarsa biodisponibilità. Non si ritiene che possa avere effetti su neonati/lattanti. Conseguentemente, Yuflyma può essere utilizzato durante l’allattamento.</w:t>
      </w:r>
    </w:p>
    <w:p w14:paraId="5E7207CB" w14:textId="77777777" w:rsidR="0075524C" w:rsidRPr="00C35766" w:rsidRDefault="0075524C" w:rsidP="0075524C">
      <w:pPr>
        <w:spacing w:before="11" w:line="240" w:lineRule="exact"/>
        <w:rPr>
          <w:rFonts w:ascii="Times New Roman" w:hAnsi="Times New Roman" w:cs="Times New Roman"/>
          <w:lang w:val="it-IT"/>
        </w:rPr>
      </w:pPr>
    </w:p>
    <w:p w14:paraId="57A1CEC9" w14:textId="77777777" w:rsidR="0075524C" w:rsidRPr="00C35766" w:rsidRDefault="0075524C" w:rsidP="0075524C">
      <w:pPr>
        <w:pStyle w:val="a3"/>
        <w:rPr>
          <w:u w:val="single"/>
          <w:lang w:val="it-IT"/>
        </w:rPr>
      </w:pPr>
      <w:r w:rsidRPr="00C35766">
        <w:rPr>
          <w:rFonts w:eastAsia="Times New Roman"/>
          <w:u w:val="single" w:color="000000"/>
          <w:lang w:val="it-IT"/>
        </w:rPr>
        <w:t>Fertilità</w:t>
      </w:r>
    </w:p>
    <w:p w14:paraId="7586DF44" w14:textId="77777777" w:rsidR="0075524C" w:rsidRPr="00C35766" w:rsidRDefault="0075524C" w:rsidP="0075524C">
      <w:pPr>
        <w:spacing w:before="1" w:line="180" w:lineRule="exact"/>
        <w:rPr>
          <w:rFonts w:ascii="Times New Roman" w:hAnsi="Times New Roman" w:cs="Times New Roman"/>
          <w:lang w:val="it-IT"/>
        </w:rPr>
      </w:pPr>
    </w:p>
    <w:p w14:paraId="52302345" w14:textId="77777777" w:rsidR="0075524C" w:rsidRPr="00C35766" w:rsidRDefault="0075524C" w:rsidP="0075524C">
      <w:pPr>
        <w:pStyle w:val="a3"/>
        <w:rPr>
          <w:lang w:val="it-IT"/>
        </w:rPr>
      </w:pPr>
      <w:r w:rsidRPr="00C35766">
        <w:rPr>
          <w:rFonts w:eastAsia="Times New Roman"/>
          <w:lang w:val="it-IT"/>
        </w:rPr>
        <w:t>Non sono disponibili dati preclinici sugli effetti di adalimumab sulla fertilità.</w:t>
      </w:r>
    </w:p>
    <w:p w14:paraId="1BC5F9BE" w14:textId="77777777" w:rsidR="0075524C" w:rsidRPr="00C35766" w:rsidRDefault="0075524C" w:rsidP="0075524C">
      <w:pPr>
        <w:spacing w:before="18" w:line="240" w:lineRule="exact"/>
        <w:rPr>
          <w:rFonts w:ascii="Times New Roman" w:hAnsi="Times New Roman" w:cs="Times New Roman"/>
          <w:sz w:val="24"/>
          <w:szCs w:val="24"/>
          <w:lang w:val="it-IT"/>
        </w:rPr>
      </w:pPr>
    </w:p>
    <w:p w14:paraId="150AA22D" w14:textId="77777777" w:rsidR="0075524C" w:rsidRPr="00C35766" w:rsidRDefault="0075524C" w:rsidP="005C2D5B">
      <w:pPr>
        <w:widowControl/>
        <w:numPr>
          <w:ilvl w:val="1"/>
          <w:numId w:val="73"/>
        </w:numPr>
        <w:tabs>
          <w:tab w:val="left" w:pos="567"/>
        </w:tabs>
        <w:spacing w:line="260" w:lineRule="exact"/>
        <w:ind w:firstLine="0"/>
        <w:rPr>
          <w:rFonts w:ascii="Times New Roman" w:hAnsi="Times New Roman" w:cs="Times New Roman"/>
          <w:b/>
          <w:lang w:val="it-IT"/>
        </w:rPr>
      </w:pPr>
      <w:r w:rsidRPr="00C35766">
        <w:rPr>
          <w:rFonts w:ascii="Times New Roman" w:eastAsia="Times New Roman" w:hAnsi="Times New Roman" w:cs="Times New Roman"/>
          <w:b/>
          <w:bCs/>
          <w:noProof/>
          <w:lang w:val="it-IT"/>
        </w:rPr>
        <w:t>Effetti sulla capacità di guidare veicoli e sull’uso di macchinari</w:t>
      </w:r>
    </w:p>
    <w:p w14:paraId="53FC5C02" w14:textId="77777777" w:rsidR="0075524C" w:rsidRPr="00C35766" w:rsidRDefault="0075524C" w:rsidP="0075524C">
      <w:pPr>
        <w:spacing w:before="12" w:line="240" w:lineRule="exact"/>
        <w:rPr>
          <w:rFonts w:ascii="Times New Roman" w:hAnsi="Times New Roman" w:cs="Times New Roman"/>
          <w:sz w:val="24"/>
          <w:lang w:val="it-IT"/>
        </w:rPr>
      </w:pPr>
    </w:p>
    <w:p w14:paraId="13629365" w14:textId="77777777" w:rsidR="0075524C" w:rsidRPr="00C35766" w:rsidRDefault="0075524C" w:rsidP="0075524C">
      <w:pPr>
        <w:pStyle w:val="a3"/>
        <w:rPr>
          <w:lang w:val="it-IT"/>
        </w:rPr>
      </w:pPr>
      <w:r w:rsidRPr="00C35766">
        <w:rPr>
          <w:rFonts w:eastAsia="Times New Roman"/>
          <w:lang w:val="it-IT"/>
        </w:rPr>
        <w:t xml:space="preserve">Yuflyma può alterare lievemente la capacità di guidare veicoli e di usare macchinari. Dopo la somministrazione di Yuflyma si possono verificare vertigini e </w:t>
      </w:r>
      <w:r w:rsidRPr="003F78AB">
        <w:rPr>
          <w:rFonts w:eastAsia="Times New Roman"/>
          <w:lang w:val="it-IT"/>
        </w:rPr>
        <w:t>compromissione</w:t>
      </w:r>
      <w:r w:rsidRPr="00C35766">
        <w:rPr>
          <w:rFonts w:eastAsia="Times New Roman"/>
          <w:lang w:val="it-IT"/>
        </w:rPr>
        <w:t xml:space="preserve"> della vista (vedere paragrafo 4.8).</w:t>
      </w:r>
    </w:p>
    <w:p w14:paraId="47BD34ED" w14:textId="77777777" w:rsidR="0075524C" w:rsidRPr="00C35766" w:rsidRDefault="0075524C" w:rsidP="0075524C">
      <w:pPr>
        <w:spacing w:before="15" w:line="240" w:lineRule="exact"/>
        <w:rPr>
          <w:rFonts w:ascii="Times New Roman" w:hAnsi="Times New Roman" w:cs="Times New Roman"/>
          <w:sz w:val="24"/>
          <w:lang w:val="it-IT"/>
        </w:rPr>
      </w:pPr>
    </w:p>
    <w:p w14:paraId="40A43A85" w14:textId="77777777" w:rsidR="0075524C" w:rsidRPr="00C35766" w:rsidRDefault="0075524C" w:rsidP="005C2D5B">
      <w:pPr>
        <w:keepNext/>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Effetti indesiderati</w:t>
      </w:r>
    </w:p>
    <w:p w14:paraId="7765D2A9" w14:textId="77777777" w:rsidR="0075524C" w:rsidRPr="00C35766" w:rsidRDefault="0075524C" w:rsidP="0075524C">
      <w:pPr>
        <w:keepNext/>
        <w:spacing w:before="9" w:line="240" w:lineRule="exact"/>
        <w:rPr>
          <w:rFonts w:ascii="Times New Roman" w:hAnsi="Times New Roman" w:cs="Times New Roman"/>
          <w:sz w:val="24"/>
          <w:szCs w:val="24"/>
        </w:rPr>
      </w:pPr>
    </w:p>
    <w:p w14:paraId="184F8F23" w14:textId="77777777" w:rsidR="0075524C" w:rsidRPr="00C35766" w:rsidRDefault="0075524C" w:rsidP="0075524C">
      <w:pPr>
        <w:pStyle w:val="a3"/>
        <w:keepNext/>
        <w:rPr>
          <w:u w:val="single"/>
        </w:rPr>
      </w:pPr>
      <w:r w:rsidRPr="00C35766">
        <w:rPr>
          <w:rFonts w:eastAsia="Times New Roman"/>
          <w:u w:val="single" w:color="000000"/>
          <w:lang w:val="it-IT"/>
        </w:rPr>
        <w:t>Riassunto del profilo di sicurezza</w:t>
      </w:r>
    </w:p>
    <w:p w14:paraId="3F33015D" w14:textId="77777777" w:rsidR="0075524C" w:rsidRPr="00C35766" w:rsidRDefault="0075524C" w:rsidP="0075524C">
      <w:pPr>
        <w:keepNext/>
        <w:spacing w:before="1" w:line="180" w:lineRule="exact"/>
        <w:rPr>
          <w:rFonts w:ascii="Times New Roman" w:hAnsi="Times New Roman" w:cs="Times New Roman"/>
          <w:sz w:val="18"/>
          <w:szCs w:val="18"/>
        </w:rPr>
      </w:pPr>
    </w:p>
    <w:p w14:paraId="22C829D9" w14:textId="77777777" w:rsidR="0075524C" w:rsidRPr="00C35766" w:rsidRDefault="0075524C" w:rsidP="0075524C">
      <w:pPr>
        <w:pStyle w:val="a3"/>
        <w:rPr>
          <w:lang w:val="it-IT"/>
        </w:rPr>
      </w:pPr>
      <w:r w:rsidRPr="00C35766">
        <w:rPr>
          <w:rFonts w:eastAsia="Times New Roman"/>
          <w:lang w:val="it-IT"/>
        </w:rPr>
        <w:t xml:space="preserve">Adalimumab è stato studiato in 9.506 pazienti nel corso di studi clinici registrativi controllati e in aperto per un periodo fino a 60 mesi o superiore. Tali studi sono stati effettuati su pazienti affetti da artrite reumatoide ad insorgenza precoce e di lunga durata, artrite idiopatica giovanile (artrite idiopatica giovanile poliarticolare e artrite associata ad entesite), così come su pazienti affetti da spondiloartrite assiale (spondilite anchilosante e spondiloartrite assiale senza evidenza radiografica di SA), artrite psoriasica, malattia di Crohn, colite ulcerosa, psoriasi, idrosadenite suppurativa e uveite.  Gli studi registrativi controllati sono stati condotti su 6.089 pazienti sottoposti a trattamento con adalimumab e su 3.801 pazienti cui è stato somministrato placebo </w:t>
      </w:r>
      <w:r w:rsidRPr="00C35766">
        <w:rPr>
          <w:rFonts w:eastAsia="Times New Roman"/>
          <w:lang w:val="it-IT"/>
        </w:rPr>
        <w:lastRenderedPageBreak/>
        <w:t>o un comparatore attivo durante il periodo di controllo.</w:t>
      </w:r>
    </w:p>
    <w:p w14:paraId="73FA343C" w14:textId="77777777" w:rsidR="0075524C" w:rsidRPr="00C35766" w:rsidRDefault="0075524C" w:rsidP="0075524C">
      <w:pPr>
        <w:spacing w:before="13" w:line="240" w:lineRule="exact"/>
        <w:rPr>
          <w:rFonts w:ascii="Times New Roman" w:hAnsi="Times New Roman" w:cs="Times New Roman"/>
          <w:sz w:val="24"/>
          <w:szCs w:val="24"/>
          <w:lang w:val="it-IT"/>
        </w:rPr>
      </w:pPr>
    </w:p>
    <w:p w14:paraId="60B2C9CC" w14:textId="77777777" w:rsidR="0075524C" w:rsidRPr="00C35766" w:rsidRDefault="0075524C" w:rsidP="0075524C">
      <w:pPr>
        <w:pStyle w:val="a3"/>
        <w:rPr>
          <w:lang w:val="it-IT"/>
        </w:rPr>
      </w:pPr>
      <w:r w:rsidRPr="00C35766">
        <w:rPr>
          <w:rFonts w:eastAsia="Times New Roman"/>
          <w:lang w:val="it-IT"/>
        </w:rPr>
        <w:t>La percentuale di pazienti che hanno interrotto il trattamento a causa di eventi avversi durante la fase in doppio cieco, controllata, degli studi registrativi è stata del 5,9% per i pazienti che hanno assunto adalimumab e del 5,4% per i pazienti trattati con il controllo.</w:t>
      </w:r>
    </w:p>
    <w:p w14:paraId="45F47572" w14:textId="77777777" w:rsidR="0075524C" w:rsidRPr="00C35766" w:rsidRDefault="0075524C" w:rsidP="0075524C">
      <w:pPr>
        <w:spacing w:before="17" w:line="240" w:lineRule="exact"/>
        <w:rPr>
          <w:rFonts w:ascii="Times New Roman" w:hAnsi="Times New Roman" w:cs="Times New Roman"/>
          <w:sz w:val="24"/>
          <w:szCs w:val="24"/>
          <w:lang w:val="it-IT"/>
        </w:rPr>
      </w:pPr>
    </w:p>
    <w:p w14:paraId="4E4A6430" w14:textId="77777777" w:rsidR="0075524C" w:rsidRPr="00C35766" w:rsidRDefault="0075524C" w:rsidP="0075524C">
      <w:pPr>
        <w:pStyle w:val="a3"/>
        <w:rPr>
          <w:lang w:val="it-IT"/>
        </w:rPr>
      </w:pPr>
      <w:r w:rsidRPr="00C35766">
        <w:rPr>
          <w:rFonts w:eastAsia="Times New Roman"/>
          <w:lang w:val="it-IT"/>
        </w:rPr>
        <w:t>Le reazioni avverse più comunemente riportate sono infezioni (quali rinofaringiti, infezione delle alte vie respiratorie e sinusite), reazioni al sito di somministrazione (eritema, prurito, emorragia, dolore o tumefazione), cefalea e dolore muscoloscheletrico.</w:t>
      </w:r>
    </w:p>
    <w:p w14:paraId="16F2741C" w14:textId="77777777" w:rsidR="0075524C" w:rsidRPr="00C35766" w:rsidRDefault="0075524C" w:rsidP="0075524C">
      <w:pPr>
        <w:pStyle w:val="a3"/>
        <w:rPr>
          <w:lang w:val="it-IT"/>
        </w:rPr>
      </w:pPr>
    </w:p>
    <w:p w14:paraId="6E5D1482" w14:textId="77777777" w:rsidR="0075524C" w:rsidRPr="00C35766" w:rsidRDefault="0075524C" w:rsidP="0075524C">
      <w:pPr>
        <w:pStyle w:val="a3"/>
        <w:rPr>
          <w:lang w:val="it-IT"/>
        </w:rPr>
      </w:pPr>
      <w:r w:rsidRPr="00C35766">
        <w:rPr>
          <w:rFonts w:eastAsia="Times New Roman"/>
          <w:lang w:val="it-IT"/>
        </w:rPr>
        <w:t>Sono state riportate reazioni avverse gravi per adalimumab. I farmaci anti-TNF, come adalimumab, influenzano il sistema immunitario e il loro uso può influenzare le difese dell’organismo contro infezioni e cancro.</w:t>
      </w:r>
    </w:p>
    <w:p w14:paraId="03E8C43A" w14:textId="77777777" w:rsidR="0075524C" w:rsidRPr="00C35766" w:rsidRDefault="0075524C" w:rsidP="0075524C">
      <w:pPr>
        <w:pStyle w:val="a3"/>
        <w:rPr>
          <w:lang w:val="it-IT"/>
        </w:rPr>
      </w:pPr>
      <w:r w:rsidRPr="00C35766">
        <w:rPr>
          <w:rFonts w:eastAsia="Times New Roman"/>
          <w:lang w:val="it-IT"/>
        </w:rPr>
        <w:t>A seguito della somministrazione di adalimumab, sono stati riportati anche casi di infezioni fatali e potenzialmente fatali (inclusi casi di sepsi, infezioni opportunistiche e TBC), riattivazione dell’infezione da HBV e vari tipi di tumori maligni (inclusi casi di leucemia, linfomi e linfoma epato-splenico a cellule T-HSTCL).</w:t>
      </w:r>
    </w:p>
    <w:p w14:paraId="13BCA86F" w14:textId="77777777" w:rsidR="0075524C" w:rsidRPr="00C35766" w:rsidRDefault="0075524C" w:rsidP="0075524C">
      <w:pPr>
        <w:spacing w:before="17" w:line="240" w:lineRule="exact"/>
        <w:rPr>
          <w:rFonts w:ascii="Times New Roman" w:hAnsi="Times New Roman" w:cs="Times New Roman"/>
          <w:sz w:val="24"/>
          <w:szCs w:val="24"/>
          <w:lang w:val="it-IT"/>
        </w:rPr>
      </w:pPr>
    </w:p>
    <w:p w14:paraId="4796691D" w14:textId="77777777" w:rsidR="0075524C" w:rsidRPr="00C35766" w:rsidRDefault="0075524C" w:rsidP="0075524C">
      <w:pPr>
        <w:pStyle w:val="a3"/>
        <w:rPr>
          <w:lang w:val="it-IT"/>
        </w:rPr>
      </w:pPr>
      <w:r w:rsidRPr="00C35766">
        <w:rPr>
          <w:rFonts w:eastAsia="Times New Roman"/>
          <w:lang w:val="it-IT"/>
        </w:rPr>
        <w:t>Sono state inoltre riportate gravi reazioni ematologiche, neurologiche e autoimmuni. Queste ultime includono rari casi di pancitopenia, anemia aplastica, eventi di demielinizzazione centrale e periferica e casi di lupus, condizioni lupus-correlate e sindrome di Stevens-Johnson.</w:t>
      </w:r>
    </w:p>
    <w:p w14:paraId="704B5F9D" w14:textId="77777777" w:rsidR="0075524C" w:rsidRPr="00C35766" w:rsidRDefault="0075524C" w:rsidP="0075524C">
      <w:pPr>
        <w:spacing w:before="11" w:line="240" w:lineRule="exact"/>
        <w:rPr>
          <w:rFonts w:ascii="Times New Roman" w:hAnsi="Times New Roman" w:cs="Times New Roman"/>
          <w:sz w:val="24"/>
          <w:szCs w:val="24"/>
          <w:lang w:val="it-IT"/>
        </w:rPr>
      </w:pPr>
    </w:p>
    <w:p w14:paraId="16A00153" w14:textId="77777777" w:rsidR="0075524C" w:rsidRPr="00C35766" w:rsidRDefault="0075524C" w:rsidP="0075524C">
      <w:pPr>
        <w:pStyle w:val="a3"/>
        <w:rPr>
          <w:u w:val="single"/>
          <w:lang w:val="it-IT"/>
        </w:rPr>
      </w:pPr>
      <w:r w:rsidRPr="00C35766">
        <w:rPr>
          <w:rFonts w:eastAsia="Times New Roman"/>
          <w:u w:val="single" w:color="000000"/>
          <w:lang w:val="it-IT"/>
        </w:rPr>
        <w:t>Popolazione pediatrica</w:t>
      </w:r>
    </w:p>
    <w:p w14:paraId="135F873A" w14:textId="77777777" w:rsidR="0075524C" w:rsidRPr="00C35766" w:rsidRDefault="0075524C" w:rsidP="0075524C">
      <w:pPr>
        <w:spacing w:before="1" w:line="180" w:lineRule="exact"/>
        <w:rPr>
          <w:rFonts w:ascii="Times New Roman" w:hAnsi="Times New Roman" w:cs="Times New Roman"/>
          <w:sz w:val="18"/>
          <w:szCs w:val="18"/>
          <w:lang w:val="it-IT"/>
        </w:rPr>
      </w:pPr>
    </w:p>
    <w:p w14:paraId="52D366C7" w14:textId="77777777" w:rsidR="0075524C" w:rsidRPr="00C35766" w:rsidRDefault="0075524C" w:rsidP="0075524C">
      <w:pPr>
        <w:pStyle w:val="a3"/>
        <w:rPr>
          <w:lang w:val="it-IT"/>
        </w:rPr>
      </w:pPr>
      <w:r w:rsidRPr="00C35766">
        <w:rPr>
          <w:rFonts w:eastAsia="Times New Roman"/>
          <w:lang w:val="it-IT"/>
        </w:rPr>
        <w:t>In generale, gli eventi avversi nei pazienti pediatrici sono risultati simili a quelli riscontrati nei pazienti adulti sia in termini di frequenza che di tipologia.</w:t>
      </w:r>
    </w:p>
    <w:p w14:paraId="131ACEAA" w14:textId="77777777" w:rsidR="0075524C" w:rsidRPr="00C35766" w:rsidRDefault="0075524C" w:rsidP="0075524C">
      <w:pPr>
        <w:spacing w:before="11" w:line="240" w:lineRule="exact"/>
        <w:rPr>
          <w:rFonts w:ascii="Times New Roman" w:hAnsi="Times New Roman" w:cs="Times New Roman"/>
          <w:sz w:val="24"/>
          <w:szCs w:val="24"/>
          <w:lang w:val="it-IT"/>
        </w:rPr>
      </w:pPr>
    </w:p>
    <w:p w14:paraId="06771898" w14:textId="77777777" w:rsidR="0075524C" w:rsidRPr="00C35766" w:rsidRDefault="0075524C" w:rsidP="0075524C">
      <w:pPr>
        <w:pStyle w:val="a3"/>
        <w:rPr>
          <w:u w:val="single"/>
          <w:lang w:val="es-ES"/>
        </w:rPr>
      </w:pPr>
      <w:r w:rsidRPr="00C35766">
        <w:rPr>
          <w:rFonts w:eastAsia="Times New Roman"/>
          <w:u w:val="single" w:color="000000"/>
          <w:lang w:val="it-IT"/>
        </w:rPr>
        <w:t>Tabella delle reazioni avverse</w:t>
      </w:r>
    </w:p>
    <w:p w14:paraId="21F7219D" w14:textId="77777777" w:rsidR="0075524C" w:rsidRPr="00C35766" w:rsidRDefault="0075524C" w:rsidP="0075524C">
      <w:pPr>
        <w:spacing w:before="1" w:line="180" w:lineRule="exact"/>
        <w:rPr>
          <w:rFonts w:ascii="Times New Roman" w:hAnsi="Times New Roman" w:cs="Times New Roman"/>
          <w:sz w:val="18"/>
          <w:szCs w:val="18"/>
          <w:lang w:val="es-ES"/>
        </w:rPr>
      </w:pPr>
    </w:p>
    <w:p w14:paraId="20D145D3" w14:textId="1D6E0781" w:rsidR="0075524C" w:rsidRPr="00C35766" w:rsidRDefault="0075524C" w:rsidP="0075524C">
      <w:pPr>
        <w:pStyle w:val="a3"/>
        <w:rPr>
          <w:lang w:val="it-IT"/>
        </w:rPr>
      </w:pPr>
      <w:r w:rsidRPr="00C35766">
        <w:rPr>
          <w:rFonts w:eastAsia="Times New Roman"/>
          <w:lang w:val="it-IT"/>
        </w:rPr>
        <w:t xml:space="preserve">La seguente lista di reazioni avverse è basata su esperienza proveniente da studi clinici ed esperienze post marketing ed è riportata nella Tabella </w:t>
      </w:r>
      <w:r w:rsidR="00E66A7E">
        <w:rPr>
          <w:rFonts w:eastAsia="Times New Roman"/>
          <w:lang w:val="it-IT"/>
        </w:rPr>
        <w:t>6</w:t>
      </w:r>
      <w:r w:rsidRPr="00C35766">
        <w:rPr>
          <w:rFonts w:eastAsia="Times New Roman"/>
          <w:lang w:val="it-IT"/>
        </w:rPr>
        <w:t xml:space="preserve"> classificata in base al sistema/organo coinvolto e alla frequenza: molto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 &lt; 1/10); non comune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 &lt; 1/100), raro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1/10.000, &lt; 1/1.000) e non nota (la frequenza non può essere definita sulla base dei dati disponibili). All’interno di ciascun raggruppamento per frequenza, gli effetti indesiderati sono presentati in ordine di gravità decrescente. È stata inclusa la frequenza più elevata osservata tra le varie indicazioni. Nella colonna Classificazione per sistemi ed organi compare un asterisco (*) nel caso in cui siano presenti ulteriori informazioni contenute nei paragrafi 4.3, 4.4 e 4.8.</w:t>
      </w:r>
    </w:p>
    <w:p w14:paraId="17707590" w14:textId="77777777" w:rsidR="0075524C" w:rsidRPr="00C35766" w:rsidRDefault="0075524C" w:rsidP="0075524C">
      <w:pPr>
        <w:spacing w:before="15" w:line="240" w:lineRule="exact"/>
        <w:rPr>
          <w:rFonts w:ascii="Times New Roman" w:hAnsi="Times New Roman" w:cs="Times New Roman"/>
          <w:lang w:val="it-IT"/>
        </w:rPr>
      </w:pPr>
    </w:p>
    <w:p w14:paraId="505ADAD8" w14:textId="7CB30081" w:rsidR="0075524C" w:rsidRPr="00C35766" w:rsidRDefault="0075524C" w:rsidP="0075524C">
      <w:pPr>
        <w:pStyle w:val="a3"/>
        <w:jc w:val="center"/>
        <w:rPr>
          <w:b/>
        </w:rPr>
      </w:pPr>
      <w:r w:rsidRPr="00C35766">
        <w:rPr>
          <w:rFonts w:eastAsia="Times New Roman"/>
          <w:b/>
          <w:bCs/>
          <w:lang w:val="it-IT"/>
        </w:rPr>
        <w:t xml:space="preserve">Tabella </w:t>
      </w:r>
      <w:r w:rsidR="00E66A7E">
        <w:rPr>
          <w:rFonts w:eastAsia="Times New Roman"/>
          <w:b/>
          <w:bCs/>
          <w:lang w:val="it-IT"/>
        </w:rPr>
        <w:t>6</w:t>
      </w:r>
      <w:r>
        <w:rPr>
          <w:rFonts w:eastAsia="Times New Roman"/>
          <w:b/>
          <w:bCs/>
          <w:lang w:val="it-IT"/>
        </w:rPr>
        <w:t>.</w:t>
      </w:r>
      <w:r w:rsidRPr="00C35766">
        <w:rPr>
          <w:rFonts w:eastAsia="Times New Roman"/>
          <w:b/>
          <w:bCs/>
          <w:lang w:val="it-IT"/>
        </w:rPr>
        <w:t xml:space="preserve"> Effetti indesiderati</w:t>
      </w:r>
    </w:p>
    <w:p w14:paraId="488A7FE3" w14:textId="77777777" w:rsidR="0075524C" w:rsidRPr="00C35766" w:rsidRDefault="0075524C" w:rsidP="0075524C">
      <w:pPr>
        <w:spacing w:before="10" w:line="240" w:lineRule="exact"/>
        <w:rPr>
          <w:rFonts w:ascii="Times New Roman" w:hAnsi="Times New Roman" w:cs="Times New Roman"/>
          <w:sz w:val="24"/>
          <w:szCs w:val="24"/>
        </w:rPr>
      </w:pPr>
    </w:p>
    <w:tbl>
      <w:tblPr>
        <w:tblStyle w:val="TableNormal1"/>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3"/>
        <w:gridCol w:w="2151"/>
        <w:gridCol w:w="4740"/>
      </w:tblGrid>
      <w:tr w:rsidR="0075524C" w:rsidRPr="00C35766" w14:paraId="586D2C77" w14:textId="77777777" w:rsidTr="008A6AF4">
        <w:trPr>
          <w:tblHeader/>
        </w:trPr>
        <w:tc>
          <w:tcPr>
            <w:tcW w:w="1405" w:type="pct"/>
          </w:tcPr>
          <w:p w14:paraId="04590521" w14:textId="77777777" w:rsidR="0075524C" w:rsidRPr="00C35766" w:rsidRDefault="0075524C" w:rsidP="00603A86">
            <w:pPr>
              <w:pStyle w:val="TableParagraph"/>
              <w:ind w:left="347"/>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Classificazione per sistemi e organi</w:t>
            </w:r>
          </w:p>
        </w:tc>
        <w:tc>
          <w:tcPr>
            <w:tcW w:w="1122" w:type="pct"/>
          </w:tcPr>
          <w:p w14:paraId="66267869" w14:textId="77777777" w:rsidR="0075524C" w:rsidRPr="00C35766" w:rsidRDefault="0075524C" w:rsidP="00603A86">
            <w:pPr>
              <w:pStyle w:val="TableParagraph"/>
              <w:ind w:left="529"/>
              <w:rPr>
                <w:rFonts w:ascii="Times New Roman" w:eastAsia="Times New Roman" w:hAnsi="Times New Roman" w:cs="Times New Roman"/>
              </w:rPr>
            </w:pPr>
            <w:r w:rsidRPr="00C35766">
              <w:rPr>
                <w:rFonts w:ascii="Times New Roman" w:eastAsia="Times New Roman" w:hAnsi="Times New Roman" w:cs="Times New Roman"/>
                <w:b/>
                <w:bCs/>
                <w:lang w:val="it-IT"/>
              </w:rPr>
              <w:t>Frequenza</w:t>
            </w:r>
          </w:p>
        </w:tc>
        <w:tc>
          <w:tcPr>
            <w:tcW w:w="2473" w:type="pct"/>
          </w:tcPr>
          <w:p w14:paraId="6CE6418A" w14:textId="77777777" w:rsidR="0075524C" w:rsidRPr="00C35766" w:rsidRDefault="0075524C" w:rsidP="00603A86">
            <w:pPr>
              <w:pStyle w:val="TableParagraph"/>
              <w:ind w:left="1451" w:right="15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Reazione avversa</w:t>
            </w:r>
          </w:p>
        </w:tc>
      </w:tr>
      <w:tr w:rsidR="0075524C" w:rsidRPr="006501B3" w14:paraId="4915DDD4" w14:textId="77777777" w:rsidTr="008A6AF4">
        <w:tc>
          <w:tcPr>
            <w:tcW w:w="1405" w:type="pct"/>
            <w:vMerge w:val="restart"/>
          </w:tcPr>
          <w:p w14:paraId="6F4FA945" w14:textId="77777777" w:rsidR="0075524C" w:rsidRPr="00C35766" w:rsidRDefault="0075524C" w:rsidP="00603A86">
            <w:pPr>
              <w:pStyle w:val="TableParagraph"/>
              <w:spacing w:before="53"/>
              <w:ind w:left="102" w:right="155"/>
              <w:rPr>
                <w:rFonts w:ascii="Times New Roman" w:eastAsia="Times New Roman" w:hAnsi="Times New Roman" w:cs="Times New Roman"/>
              </w:rPr>
            </w:pPr>
            <w:r w:rsidRPr="00C35766">
              <w:rPr>
                <w:rFonts w:ascii="Times New Roman" w:eastAsia="Times New Roman" w:hAnsi="Times New Roman" w:cs="Times New Roman"/>
                <w:spacing w:val="-1"/>
                <w:lang w:val="it-IT"/>
              </w:rPr>
              <w:t>Infezioni ed infestazioni*</w:t>
            </w:r>
          </w:p>
        </w:tc>
        <w:tc>
          <w:tcPr>
            <w:tcW w:w="1122" w:type="pct"/>
          </w:tcPr>
          <w:p w14:paraId="5E1DA650"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32823AC8"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Infezioni delle vie respiratorie (tra cui infezioni delle vie respiratorie superiori ed inferiori, polmonite, sinusite, faringite, rinofaringite e polmonite da herpes virus)</w:t>
            </w:r>
          </w:p>
        </w:tc>
      </w:tr>
      <w:tr w:rsidR="0075524C" w:rsidRPr="00C35766" w14:paraId="52622915" w14:textId="77777777" w:rsidTr="008A6AF4">
        <w:tc>
          <w:tcPr>
            <w:tcW w:w="1405" w:type="pct"/>
            <w:vMerge/>
          </w:tcPr>
          <w:p w14:paraId="66EBD951" w14:textId="77777777" w:rsidR="0075524C" w:rsidRPr="00C35766" w:rsidRDefault="0075524C" w:rsidP="00603A86">
            <w:pPr>
              <w:rPr>
                <w:rFonts w:ascii="Times New Roman" w:hAnsi="Times New Roman" w:cs="Times New Roman"/>
                <w:lang w:val="it-IT"/>
              </w:rPr>
            </w:pPr>
          </w:p>
        </w:tc>
        <w:tc>
          <w:tcPr>
            <w:tcW w:w="1122" w:type="pct"/>
          </w:tcPr>
          <w:p w14:paraId="00FCE753"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0143080A"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sistemiche (incluse sepsi, candidiasi e influenza),</w:t>
            </w:r>
          </w:p>
          <w:p w14:paraId="0398138C" w14:textId="77777777" w:rsidR="0075524C" w:rsidRPr="00C35766" w:rsidRDefault="0075524C" w:rsidP="00603A86">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intestinali (compresa gastroenterite virale),</w:t>
            </w:r>
          </w:p>
          <w:p w14:paraId="7C328B67"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della pelle e dei tessuti molli (tra cui paronichia, cellulite, impetigine, fascite necrotizzante ed herpes zoster),</w:t>
            </w:r>
          </w:p>
          <w:p w14:paraId="3A1AE00F"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infezioni dell’orecchio,</w:t>
            </w:r>
          </w:p>
          <w:p w14:paraId="341260B6" w14:textId="6B6C2F80" w:rsidR="0075524C" w:rsidRPr="00C35766" w:rsidRDefault="0075524C" w:rsidP="00603A86">
            <w:pPr>
              <w:pStyle w:val="TableParagraph"/>
              <w:spacing w:before="5"/>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 xml:space="preserve">infezioni del cavo orale (tra cui herpes </w:t>
            </w:r>
            <w:r w:rsidR="00842603" w:rsidRPr="00075E40">
              <w:rPr>
                <w:rFonts w:ascii="Times New Roman" w:eastAsia="Times New Roman" w:hAnsi="Times New Roman" w:cs="Times New Roman"/>
                <w:lang w:val="it-IT"/>
              </w:rPr>
              <w:t>labiali</w:t>
            </w:r>
            <w:r w:rsidRPr="00C35766">
              <w:rPr>
                <w:rFonts w:ascii="Times New Roman" w:eastAsia="Times New Roman" w:hAnsi="Times New Roman" w:cs="Times New Roman"/>
                <w:spacing w:val="-1"/>
                <w:lang w:val="it-IT"/>
              </w:rPr>
              <w:t>, herpes orale ed infezioni dentali),</w:t>
            </w:r>
          </w:p>
          <w:p w14:paraId="401507F9"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dell’apparato riproduttivo (tra cui infezione vulvovaginale micotica), </w:t>
            </w:r>
          </w:p>
          <w:p w14:paraId="01DFBDD8" w14:textId="77777777" w:rsidR="0075524C" w:rsidRPr="00C35766" w:rsidRDefault="0075524C" w:rsidP="00603A86">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infezioni delle vie urinarie (tra cui pielonefrite), </w:t>
            </w:r>
            <w:r w:rsidRPr="00C35766">
              <w:rPr>
                <w:rFonts w:ascii="Times New Roman" w:eastAsia="Times New Roman" w:hAnsi="Times New Roman" w:cs="Times New Roman"/>
                <w:lang w:val="it-IT"/>
              </w:rPr>
              <w:t xml:space="preserve">infezioni fungine, </w:t>
            </w:r>
          </w:p>
          <w:p w14:paraId="7F82A789"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infezioni articolari</w:t>
            </w:r>
          </w:p>
        </w:tc>
      </w:tr>
      <w:tr w:rsidR="0075524C" w:rsidRPr="00494E69" w14:paraId="6C45CD19" w14:textId="77777777" w:rsidTr="008A6AF4">
        <w:tc>
          <w:tcPr>
            <w:tcW w:w="1405" w:type="pct"/>
            <w:vMerge/>
          </w:tcPr>
          <w:p w14:paraId="1ACEF435" w14:textId="77777777" w:rsidR="0075524C" w:rsidRPr="00C35766" w:rsidRDefault="0075524C" w:rsidP="00603A86">
            <w:pPr>
              <w:rPr>
                <w:rFonts w:ascii="Times New Roman" w:hAnsi="Times New Roman" w:cs="Times New Roman"/>
                <w:lang w:val="it-IT"/>
              </w:rPr>
            </w:pPr>
          </w:p>
        </w:tc>
        <w:tc>
          <w:tcPr>
            <w:tcW w:w="1122" w:type="pct"/>
          </w:tcPr>
          <w:p w14:paraId="107B461C"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643D6421" w14:textId="77777777" w:rsidR="0075524C" w:rsidRPr="00C35766" w:rsidRDefault="0075524C" w:rsidP="00603A86">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Infezioni neurologiche (tra cui meningite </w:t>
            </w:r>
            <w:r w:rsidRPr="00C35766">
              <w:rPr>
                <w:rFonts w:ascii="Times New Roman" w:eastAsia="Times New Roman" w:hAnsi="Times New Roman" w:cs="Times New Roman"/>
                <w:lang w:val="it-IT"/>
              </w:rPr>
              <w:t>virale),</w:t>
            </w:r>
          </w:p>
          <w:p w14:paraId="22373C87"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opportunistiche e tubercolosi (tra cui coccidioidomicosi, istoplasmosi e infezioni da mycobacterium avium complex), </w:t>
            </w:r>
          </w:p>
          <w:p w14:paraId="3C19C828"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batteriche, </w:t>
            </w:r>
          </w:p>
          <w:p w14:paraId="44207A73"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infezioni oculari, </w:t>
            </w:r>
          </w:p>
          <w:p w14:paraId="2D067867" w14:textId="77777777" w:rsidR="0075524C" w:rsidRPr="00C35766" w:rsidRDefault="0075524C" w:rsidP="00603A86">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diverticolite</w:t>
            </w:r>
            <w:r w:rsidRPr="00C35766">
              <w:rPr>
                <w:rFonts w:ascii="Times New Roman" w:eastAsia="Times New Roman" w:hAnsi="Times New Roman" w:cs="Times New Roman"/>
                <w:spacing w:val="-1"/>
                <w:vertAlign w:val="superscript"/>
                <w:lang w:val="it-IT"/>
              </w:rPr>
              <w:t>1)</w:t>
            </w:r>
          </w:p>
        </w:tc>
      </w:tr>
      <w:tr w:rsidR="0075524C" w:rsidRPr="00C35766" w14:paraId="382DF97A" w14:textId="77777777" w:rsidTr="008A6AF4">
        <w:tc>
          <w:tcPr>
            <w:tcW w:w="1405" w:type="pct"/>
            <w:vMerge w:val="restart"/>
          </w:tcPr>
          <w:p w14:paraId="4CDA3570" w14:textId="77777777" w:rsidR="0075524C" w:rsidRPr="00C35766" w:rsidRDefault="0075524C" w:rsidP="00603A86">
            <w:pPr>
              <w:pStyle w:val="TableParagraph"/>
              <w:spacing w:before="53"/>
              <w:ind w:left="102" w:right="163"/>
              <w:rPr>
                <w:rFonts w:ascii="Times New Roman" w:hAnsi="Times New Roman" w:cs="Times New Roman"/>
                <w:lang w:val="it-IT"/>
              </w:rPr>
            </w:pPr>
            <w:r w:rsidRPr="00C35766">
              <w:rPr>
                <w:rFonts w:ascii="Times New Roman" w:eastAsia="Times New Roman" w:hAnsi="Times New Roman" w:cs="Times New Roman"/>
                <w:spacing w:val="-1"/>
                <w:lang w:val="it-IT"/>
              </w:rPr>
              <w:t>Tumori benigni, maligni e non specificati (cisti e polipi compresi)*</w:t>
            </w:r>
          </w:p>
        </w:tc>
        <w:tc>
          <w:tcPr>
            <w:tcW w:w="1122" w:type="pct"/>
          </w:tcPr>
          <w:p w14:paraId="6A40DF2E"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55BECB37"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Tumore cutaneo escluso il melanoma (tra cui carcinoma basocellulare e carcinoma a cellule squamose), </w:t>
            </w:r>
          </w:p>
          <w:p w14:paraId="1386DF37" w14:textId="77777777" w:rsidR="0075524C" w:rsidRPr="00C35766" w:rsidRDefault="0075524C" w:rsidP="00603A86">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neoplasia benigna</w:t>
            </w:r>
          </w:p>
        </w:tc>
      </w:tr>
      <w:tr w:rsidR="0075524C" w:rsidRPr="00494E69" w14:paraId="6EB6B40D" w14:textId="77777777" w:rsidTr="008A6AF4">
        <w:tc>
          <w:tcPr>
            <w:tcW w:w="1405" w:type="pct"/>
            <w:vMerge/>
          </w:tcPr>
          <w:p w14:paraId="56C89583" w14:textId="77777777" w:rsidR="0075524C" w:rsidRPr="00C35766" w:rsidRDefault="0075524C" w:rsidP="00603A86">
            <w:pPr>
              <w:rPr>
                <w:rFonts w:ascii="Times New Roman" w:hAnsi="Times New Roman" w:cs="Times New Roman"/>
                <w:lang w:val="pt-BR"/>
              </w:rPr>
            </w:pPr>
          </w:p>
        </w:tc>
        <w:tc>
          <w:tcPr>
            <w:tcW w:w="1122" w:type="pct"/>
          </w:tcPr>
          <w:p w14:paraId="681C9469"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2B766779"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Linfoma**, </w:t>
            </w:r>
          </w:p>
          <w:p w14:paraId="786C52F0" w14:textId="77777777" w:rsidR="0075524C" w:rsidRPr="00824699" w:rsidRDefault="0075524C" w:rsidP="00603A86">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tumori solidi (tra cui carcinoma mammario, neoplasia polmonare e neoplasia tiroidea), melanoma**</w:t>
            </w:r>
          </w:p>
        </w:tc>
      </w:tr>
      <w:tr w:rsidR="0075524C" w:rsidRPr="00C35766" w14:paraId="1F9747A0" w14:textId="77777777" w:rsidTr="008A6AF4">
        <w:tc>
          <w:tcPr>
            <w:tcW w:w="1405" w:type="pct"/>
            <w:vMerge/>
          </w:tcPr>
          <w:p w14:paraId="72264218" w14:textId="77777777" w:rsidR="0075524C" w:rsidRPr="00824699" w:rsidRDefault="0075524C" w:rsidP="00603A86">
            <w:pPr>
              <w:rPr>
                <w:rFonts w:ascii="Times New Roman" w:hAnsi="Times New Roman" w:cs="Times New Roman"/>
                <w:lang w:val="it-IT"/>
              </w:rPr>
            </w:pPr>
          </w:p>
        </w:tc>
        <w:tc>
          <w:tcPr>
            <w:tcW w:w="1122" w:type="pct"/>
          </w:tcPr>
          <w:p w14:paraId="40C277CC"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7F7AA84B" w14:textId="77777777" w:rsidR="0075524C" w:rsidRPr="00C35766" w:rsidRDefault="0075524C" w:rsidP="00603A86">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Leucemia</w:t>
            </w:r>
            <w:r w:rsidRPr="00C35766">
              <w:rPr>
                <w:rFonts w:ascii="Times New Roman" w:eastAsia="Times New Roman" w:hAnsi="Times New Roman" w:cs="Times New Roman"/>
                <w:spacing w:val="-1"/>
                <w:vertAlign w:val="superscript"/>
                <w:lang w:val="it-IT"/>
              </w:rPr>
              <w:t>1)</w:t>
            </w:r>
          </w:p>
        </w:tc>
      </w:tr>
      <w:tr w:rsidR="0075524C" w:rsidRPr="00C35766" w14:paraId="541F04F4" w14:textId="77777777" w:rsidTr="008A6AF4">
        <w:tc>
          <w:tcPr>
            <w:tcW w:w="1405" w:type="pct"/>
            <w:vMerge/>
          </w:tcPr>
          <w:p w14:paraId="09A37AB4" w14:textId="77777777" w:rsidR="0075524C" w:rsidRPr="00C35766" w:rsidRDefault="0075524C" w:rsidP="00603A86">
            <w:pPr>
              <w:rPr>
                <w:rFonts w:ascii="Times New Roman" w:hAnsi="Times New Roman" w:cs="Times New Roman"/>
              </w:rPr>
            </w:pPr>
          </w:p>
        </w:tc>
        <w:tc>
          <w:tcPr>
            <w:tcW w:w="1122" w:type="pct"/>
          </w:tcPr>
          <w:p w14:paraId="5FA6F9F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Pr>
          <w:p w14:paraId="23D184BA" w14:textId="77777777" w:rsidR="0075524C" w:rsidRPr="00C35766" w:rsidRDefault="0075524C" w:rsidP="00603A86">
            <w:pPr>
              <w:pStyle w:val="TableParagraph"/>
              <w:spacing w:before="56"/>
              <w:ind w:left="96" w:right="151"/>
              <w:rPr>
                <w:rFonts w:ascii="Times New Roman" w:eastAsia="Times New Roman" w:hAnsi="Times New Roman" w:cs="Times New Roman"/>
                <w:w w:val="99"/>
                <w:position w:val="8"/>
                <w:lang w:val="pt-BR"/>
              </w:rPr>
            </w:pPr>
            <w:r w:rsidRPr="00C35766">
              <w:rPr>
                <w:rFonts w:ascii="Times New Roman" w:eastAsia="Times New Roman" w:hAnsi="Times New Roman" w:cs="Times New Roman"/>
                <w:spacing w:val="-1"/>
                <w:lang w:val="it-IT"/>
              </w:rPr>
              <w:t>Linfoma epatosplenico a cellule T</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37DDAC49" w14:textId="77777777" w:rsidR="0075524C" w:rsidRPr="00C35766" w:rsidRDefault="0075524C" w:rsidP="00603A86">
            <w:pPr>
              <w:pStyle w:val="TableParagraph"/>
              <w:spacing w:before="56"/>
              <w:ind w:left="96" w:right="151"/>
              <w:rPr>
                <w:rFonts w:ascii="Times New Roman" w:hAnsi="Times New Roman" w:cs="Times New Roman"/>
                <w:w w:val="99"/>
                <w:position w:val="8"/>
                <w:lang w:val="it-IT"/>
              </w:rPr>
            </w:pPr>
            <w:r w:rsidRPr="00C35766">
              <w:rPr>
                <w:rFonts w:ascii="Times New Roman" w:eastAsia="Times New Roman" w:hAnsi="Times New Roman" w:cs="Times New Roman"/>
                <w:spacing w:val="-1"/>
                <w:lang w:val="it-IT"/>
              </w:rPr>
              <w:t>carcinoma a cellule di Merkel (carcinoma neuroendocrino della pelle)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4E2748C1" w14:textId="77777777" w:rsidR="0075524C" w:rsidRPr="00C35766" w:rsidRDefault="0075524C" w:rsidP="00603A86">
            <w:pPr>
              <w:pStyle w:val="TableParagraph"/>
              <w:spacing w:before="56"/>
              <w:ind w:left="96"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sarcoma di Kaposi </w:t>
            </w:r>
          </w:p>
        </w:tc>
      </w:tr>
      <w:tr w:rsidR="0075524C" w:rsidRPr="00C35766" w14:paraId="7737AC2B" w14:textId="77777777" w:rsidTr="008A6AF4">
        <w:tc>
          <w:tcPr>
            <w:tcW w:w="1405" w:type="pct"/>
            <w:vMerge w:val="restart"/>
          </w:tcPr>
          <w:p w14:paraId="450DF39C" w14:textId="77777777" w:rsidR="0075524C" w:rsidRPr="00C35766" w:rsidRDefault="0075524C" w:rsidP="00603A86">
            <w:pPr>
              <w:pStyle w:val="TableParagraph"/>
              <w:spacing w:before="56"/>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emolinfopoietico*</w:t>
            </w:r>
          </w:p>
        </w:tc>
        <w:tc>
          <w:tcPr>
            <w:tcW w:w="1122" w:type="pct"/>
          </w:tcPr>
          <w:p w14:paraId="434781E3"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294EAF9E" w14:textId="77777777" w:rsidR="0075524C" w:rsidRPr="00C35766" w:rsidRDefault="0075524C" w:rsidP="00603A86">
            <w:pPr>
              <w:pStyle w:val="TableParagraph"/>
              <w:spacing w:before="56"/>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Leucopenia (tra cui neutropenia e agranulocitosi),</w:t>
            </w:r>
          </w:p>
          <w:p w14:paraId="4AB4052F" w14:textId="77777777" w:rsidR="0075524C" w:rsidRPr="00C35766" w:rsidRDefault="0075524C" w:rsidP="00603A86">
            <w:pPr>
              <w:pStyle w:val="TableParagraph"/>
              <w:spacing w:before="58"/>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anemia</w:t>
            </w:r>
          </w:p>
        </w:tc>
      </w:tr>
      <w:tr w:rsidR="0075524C" w:rsidRPr="00C35766" w14:paraId="70A53CDF" w14:textId="77777777" w:rsidTr="008A6AF4">
        <w:tc>
          <w:tcPr>
            <w:tcW w:w="1405" w:type="pct"/>
            <w:vMerge/>
          </w:tcPr>
          <w:p w14:paraId="2DD4F47E" w14:textId="77777777" w:rsidR="0075524C" w:rsidRPr="00C35766" w:rsidRDefault="0075524C" w:rsidP="00603A86">
            <w:pPr>
              <w:rPr>
                <w:rFonts w:ascii="Times New Roman" w:hAnsi="Times New Roman" w:cs="Times New Roman"/>
              </w:rPr>
            </w:pPr>
          </w:p>
        </w:tc>
        <w:tc>
          <w:tcPr>
            <w:tcW w:w="1122" w:type="pct"/>
          </w:tcPr>
          <w:p w14:paraId="5DB45DD0"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6B7FDECF"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Leucocitosi,</w:t>
            </w:r>
          </w:p>
          <w:p w14:paraId="23939AC5"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trombocitopenia</w:t>
            </w:r>
          </w:p>
        </w:tc>
      </w:tr>
      <w:tr w:rsidR="0075524C" w:rsidRPr="00C35766" w14:paraId="23E61980" w14:textId="77777777" w:rsidTr="008A6AF4">
        <w:tc>
          <w:tcPr>
            <w:tcW w:w="1405" w:type="pct"/>
            <w:vMerge/>
          </w:tcPr>
          <w:p w14:paraId="0E1D37E4" w14:textId="77777777" w:rsidR="0075524C" w:rsidRPr="00C35766" w:rsidRDefault="0075524C" w:rsidP="00603A86">
            <w:pPr>
              <w:rPr>
                <w:rFonts w:ascii="Times New Roman" w:hAnsi="Times New Roman" w:cs="Times New Roman"/>
              </w:rPr>
            </w:pPr>
          </w:p>
        </w:tc>
        <w:tc>
          <w:tcPr>
            <w:tcW w:w="1122" w:type="pct"/>
          </w:tcPr>
          <w:p w14:paraId="11F5E97E"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220B3B13"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Porpora trombocitopenica idiopatica</w:t>
            </w:r>
          </w:p>
        </w:tc>
      </w:tr>
      <w:tr w:rsidR="0075524C" w:rsidRPr="00C35766" w14:paraId="146CC261" w14:textId="77777777" w:rsidTr="008A6AF4">
        <w:tc>
          <w:tcPr>
            <w:tcW w:w="1405" w:type="pct"/>
            <w:vMerge/>
          </w:tcPr>
          <w:p w14:paraId="4D6D15EC" w14:textId="77777777" w:rsidR="0075524C" w:rsidRPr="00C35766" w:rsidRDefault="0075524C" w:rsidP="00603A86">
            <w:pPr>
              <w:rPr>
                <w:rFonts w:ascii="Times New Roman" w:hAnsi="Times New Roman" w:cs="Times New Roman"/>
              </w:rPr>
            </w:pPr>
          </w:p>
        </w:tc>
        <w:tc>
          <w:tcPr>
            <w:tcW w:w="1122" w:type="pct"/>
          </w:tcPr>
          <w:p w14:paraId="6CEED114"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20D7DE02"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Pancitopenia</w:t>
            </w:r>
          </w:p>
        </w:tc>
      </w:tr>
      <w:tr w:rsidR="0075524C" w:rsidRPr="006501B3" w14:paraId="118A47F8" w14:textId="77777777" w:rsidTr="008A6AF4">
        <w:tc>
          <w:tcPr>
            <w:tcW w:w="1405" w:type="pct"/>
            <w:vMerge w:val="restart"/>
          </w:tcPr>
          <w:p w14:paraId="2B69B9F0"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Disturbi del sistema immunitario*</w:t>
            </w:r>
          </w:p>
        </w:tc>
        <w:tc>
          <w:tcPr>
            <w:tcW w:w="1122" w:type="pct"/>
          </w:tcPr>
          <w:p w14:paraId="120EF698"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6316E6DB"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Ipersensibilità,</w:t>
            </w:r>
          </w:p>
          <w:p w14:paraId="00A33DE6" w14:textId="77777777" w:rsidR="0075524C" w:rsidRPr="00C35766" w:rsidRDefault="0075524C" w:rsidP="00603A86">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allergie (tra cui allergia stagionale)</w:t>
            </w:r>
          </w:p>
        </w:tc>
      </w:tr>
      <w:tr w:rsidR="0075524C" w:rsidRPr="00C35766" w14:paraId="093CDFC0" w14:textId="77777777" w:rsidTr="008A6AF4">
        <w:tc>
          <w:tcPr>
            <w:tcW w:w="1405" w:type="pct"/>
            <w:vMerge/>
          </w:tcPr>
          <w:p w14:paraId="00F7BD68" w14:textId="77777777" w:rsidR="0075524C" w:rsidRPr="00C35766" w:rsidRDefault="0075524C" w:rsidP="00603A86">
            <w:pPr>
              <w:rPr>
                <w:rFonts w:ascii="Times New Roman" w:hAnsi="Times New Roman" w:cs="Times New Roman"/>
                <w:lang w:val="it-IT"/>
              </w:rPr>
            </w:pPr>
          </w:p>
        </w:tc>
        <w:tc>
          <w:tcPr>
            <w:tcW w:w="1122" w:type="pct"/>
          </w:tcPr>
          <w:p w14:paraId="3B29E243"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50D9EB43" w14:textId="77777777" w:rsidR="0075524C" w:rsidRPr="00C35766" w:rsidRDefault="0075524C" w:rsidP="00603A86">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Sarcoidosi</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5323388A" w14:textId="77777777" w:rsidR="0075524C" w:rsidRPr="00C35766" w:rsidRDefault="0075524C" w:rsidP="00603A86">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vasculite</w:t>
            </w:r>
          </w:p>
        </w:tc>
      </w:tr>
      <w:tr w:rsidR="0075524C" w:rsidRPr="00C35766" w14:paraId="68E7919D" w14:textId="77777777" w:rsidTr="008A6AF4">
        <w:tc>
          <w:tcPr>
            <w:tcW w:w="1405" w:type="pct"/>
            <w:vMerge/>
          </w:tcPr>
          <w:p w14:paraId="7F608583" w14:textId="77777777" w:rsidR="0075524C" w:rsidRPr="00C35766" w:rsidRDefault="0075524C" w:rsidP="00603A86">
            <w:pPr>
              <w:rPr>
                <w:rFonts w:ascii="Times New Roman" w:hAnsi="Times New Roman" w:cs="Times New Roman"/>
              </w:rPr>
            </w:pPr>
          </w:p>
        </w:tc>
        <w:tc>
          <w:tcPr>
            <w:tcW w:w="1122" w:type="pct"/>
          </w:tcPr>
          <w:p w14:paraId="34EEFEB5"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4FAE3301" w14:textId="77777777" w:rsidR="0075524C" w:rsidRPr="00C35766" w:rsidRDefault="0075524C" w:rsidP="00603A86">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Anafilassi</w:t>
            </w:r>
            <w:r w:rsidRPr="00C35766">
              <w:rPr>
                <w:rFonts w:ascii="Times New Roman" w:eastAsia="Times New Roman" w:hAnsi="Times New Roman" w:cs="Times New Roman"/>
                <w:spacing w:val="-1"/>
                <w:vertAlign w:val="superscript"/>
                <w:lang w:val="it-IT"/>
              </w:rPr>
              <w:t>1)</w:t>
            </w:r>
          </w:p>
        </w:tc>
      </w:tr>
      <w:tr w:rsidR="0075524C" w:rsidRPr="00C35766" w14:paraId="66948C70" w14:textId="77777777" w:rsidTr="008A6AF4">
        <w:tc>
          <w:tcPr>
            <w:tcW w:w="1405" w:type="pct"/>
            <w:vMerge w:val="restart"/>
          </w:tcPr>
          <w:p w14:paraId="16CA3597" w14:textId="77777777" w:rsidR="0075524C" w:rsidRPr="00C35766" w:rsidRDefault="0075524C" w:rsidP="00603A86">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Disturbi del metabolismo e della nutrizione</w:t>
            </w:r>
          </w:p>
        </w:tc>
        <w:tc>
          <w:tcPr>
            <w:tcW w:w="1122" w:type="pct"/>
          </w:tcPr>
          <w:p w14:paraId="66769781"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6E9F0BCC"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Lipidi aumentati</w:t>
            </w:r>
          </w:p>
        </w:tc>
      </w:tr>
      <w:tr w:rsidR="0075524C" w:rsidRPr="007B2F1E" w14:paraId="55E21DC0" w14:textId="77777777" w:rsidTr="008A6AF4">
        <w:tc>
          <w:tcPr>
            <w:tcW w:w="1405" w:type="pct"/>
            <w:vMerge/>
          </w:tcPr>
          <w:p w14:paraId="6BDCA44A" w14:textId="77777777" w:rsidR="0075524C" w:rsidRPr="00C35766" w:rsidRDefault="0075524C" w:rsidP="00603A86">
            <w:pPr>
              <w:rPr>
                <w:rFonts w:ascii="Times New Roman" w:hAnsi="Times New Roman" w:cs="Times New Roman"/>
              </w:rPr>
            </w:pPr>
          </w:p>
        </w:tc>
        <w:tc>
          <w:tcPr>
            <w:tcW w:w="1122" w:type="pct"/>
          </w:tcPr>
          <w:p w14:paraId="0A97918A"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73B708E9"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Ipokaliemia,</w:t>
            </w:r>
          </w:p>
          <w:p w14:paraId="4FDDD22C" w14:textId="77777777" w:rsidR="0075524C" w:rsidRPr="00C35766" w:rsidRDefault="0075524C" w:rsidP="00603A86">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acido urico aumentato, </w:t>
            </w:r>
          </w:p>
          <w:p w14:paraId="0BD4C1D2" w14:textId="77777777" w:rsidR="0075524C" w:rsidRPr="00C35766" w:rsidRDefault="0075524C" w:rsidP="00603A86">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sodio ematico anormale, </w:t>
            </w:r>
          </w:p>
          <w:p w14:paraId="7C1C54FA" w14:textId="77777777" w:rsidR="0075524C" w:rsidRPr="00C35766" w:rsidRDefault="0075524C" w:rsidP="00603A86">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ipocalcemia,</w:t>
            </w:r>
          </w:p>
          <w:p w14:paraId="65F4E3CB" w14:textId="77777777" w:rsidR="0075524C" w:rsidRPr="00C35766" w:rsidRDefault="0075524C" w:rsidP="00603A86">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iperglicemia, </w:t>
            </w:r>
          </w:p>
          <w:p w14:paraId="7ED3CF04" w14:textId="77777777" w:rsidR="0075524C" w:rsidRPr="00C35766" w:rsidRDefault="0075524C" w:rsidP="00603A86">
            <w:pPr>
              <w:pStyle w:val="TableParagraph"/>
              <w:spacing w:before="59"/>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ipofosfatemia, </w:t>
            </w:r>
          </w:p>
          <w:p w14:paraId="1EB9B85A" w14:textId="77777777" w:rsidR="0075524C" w:rsidRPr="00C35766" w:rsidRDefault="0075524C" w:rsidP="00603A86">
            <w:pPr>
              <w:pStyle w:val="TableParagraph"/>
              <w:spacing w:before="59"/>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disidratazione</w:t>
            </w:r>
          </w:p>
        </w:tc>
      </w:tr>
      <w:tr w:rsidR="0075524C" w:rsidRPr="00C35766" w14:paraId="7BBDC106" w14:textId="77777777" w:rsidTr="008A6AF4">
        <w:tc>
          <w:tcPr>
            <w:tcW w:w="1405" w:type="pct"/>
          </w:tcPr>
          <w:p w14:paraId="5E9C2C69" w14:textId="77777777" w:rsidR="0075524C" w:rsidRPr="00C35766" w:rsidRDefault="0075524C" w:rsidP="00603A86">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lastRenderedPageBreak/>
              <w:t>Disturbi psichiatrici</w:t>
            </w:r>
          </w:p>
        </w:tc>
        <w:tc>
          <w:tcPr>
            <w:tcW w:w="1122" w:type="pct"/>
          </w:tcPr>
          <w:p w14:paraId="286093EF" w14:textId="77777777" w:rsidR="0075524C" w:rsidRPr="00C35766" w:rsidRDefault="0075524C" w:rsidP="00603A86">
            <w:pPr>
              <w:pStyle w:val="TableParagraph"/>
              <w:spacing w:before="55"/>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1C17FEDC" w14:textId="77777777" w:rsidR="0075524C" w:rsidRPr="00C35766" w:rsidRDefault="0075524C" w:rsidP="00603A86">
            <w:pPr>
              <w:pStyle w:val="TableParagraph"/>
              <w:spacing w:before="55"/>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Disturbi dell’umore (tra cui depressione), </w:t>
            </w:r>
          </w:p>
          <w:p w14:paraId="5F98F8E4" w14:textId="77777777" w:rsidR="0075524C" w:rsidRPr="00C35766" w:rsidRDefault="0075524C" w:rsidP="00603A86">
            <w:pPr>
              <w:pStyle w:val="TableParagraph"/>
              <w:spacing w:before="55"/>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ansia,</w:t>
            </w:r>
          </w:p>
          <w:p w14:paraId="0A911ACC" w14:textId="77777777" w:rsidR="0075524C" w:rsidRPr="00C35766" w:rsidRDefault="0075524C" w:rsidP="00603A86">
            <w:pPr>
              <w:pStyle w:val="TableParagraph"/>
              <w:spacing w:before="2"/>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insonnia</w:t>
            </w:r>
          </w:p>
        </w:tc>
      </w:tr>
      <w:tr w:rsidR="0075524C" w:rsidRPr="00C35766" w14:paraId="0BFE8AA8" w14:textId="77777777" w:rsidTr="008A6AF4">
        <w:tc>
          <w:tcPr>
            <w:tcW w:w="1405" w:type="pct"/>
            <w:vMerge w:val="restart"/>
          </w:tcPr>
          <w:p w14:paraId="39A2F6D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 sistema nervoso</w:t>
            </w:r>
          </w:p>
        </w:tc>
        <w:tc>
          <w:tcPr>
            <w:tcW w:w="1122" w:type="pct"/>
          </w:tcPr>
          <w:p w14:paraId="3BE58DD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70807B13"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Cefalea</w:t>
            </w:r>
          </w:p>
        </w:tc>
      </w:tr>
      <w:tr w:rsidR="0075524C" w:rsidRPr="00C35766" w14:paraId="01730B0B" w14:textId="77777777" w:rsidTr="008A6AF4">
        <w:tc>
          <w:tcPr>
            <w:tcW w:w="1405" w:type="pct"/>
            <w:vMerge/>
          </w:tcPr>
          <w:p w14:paraId="3F1A0129" w14:textId="77777777" w:rsidR="0075524C" w:rsidRPr="00C35766" w:rsidRDefault="0075524C" w:rsidP="00603A86">
            <w:pPr>
              <w:rPr>
                <w:rFonts w:ascii="Times New Roman" w:hAnsi="Times New Roman" w:cs="Times New Roman"/>
              </w:rPr>
            </w:pPr>
          </w:p>
        </w:tc>
        <w:tc>
          <w:tcPr>
            <w:tcW w:w="1122" w:type="pct"/>
          </w:tcPr>
          <w:p w14:paraId="63AB4939"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3D250CEA"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Parestesia (tra cui ipoestesia), </w:t>
            </w:r>
          </w:p>
          <w:p w14:paraId="516D347D" w14:textId="77777777" w:rsidR="0075524C" w:rsidRPr="00C35766" w:rsidRDefault="0075524C" w:rsidP="00603A86">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emicrania,</w:t>
            </w:r>
          </w:p>
          <w:p w14:paraId="65838430"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compressione di radice nervosa</w:t>
            </w:r>
          </w:p>
        </w:tc>
      </w:tr>
      <w:tr w:rsidR="0075524C" w:rsidRPr="00C35766" w14:paraId="67B34D52" w14:textId="77777777" w:rsidTr="008A6AF4">
        <w:tc>
          <w:tcPr>
            <w:tcW w:w="1405" w:type="pct"/>
            <w:vMerge/>
          </w:tcPr>
          <w:p w14:paraId="357B6429" w14:textId="77777777" w:rsidR="0075524C" w:rsidRPr="00C35766" w:rsidRDefault="0075524C" w:rsidP="00603A86">
            <w:pPr>
              <w:rPr>
                <w:rFonts w:ascii="Times New Roman" w:hAnsi="Times New Roman" w:cs="Times New Roman"/>
              </w:rPr>
            </w:pPr>
          </w:p>
        </w:tc>
        <w:tc>
          <w:tcPr>
            <w:tcW w:w="1122" w:type="pct"/>
          </w:tcPr>
          <w:p w14:paraId="59BE5774"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762DEB48"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Accidente cerebrovascolare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5AA829CF" w14:textId="77777777" w:rsidR="0075524C" w:rsidRPr="00C35766" w:rsidRDefault="0075524C" w:rsidP="00603A86">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tremore, </w:t>
            </w:r>
          </w:p>
          <w:p w14:paraId="0058BF66" w14:textId="77777777" w:rsidR="0075524C" w:rsidRPr="00C35766" w:rsidRDefault="0075524C" w:rsidP="00603A86">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neuropatia</w:t>
            </w:r>
          </w:p>
        </w:tc>
      </w:tr>
      <w:tr w:rsidR="0075524C" w:rsidRPr="00494E69" w14:paraId="4F30CA86" w14:textId="77777777" w:rsidTr="008A6AF4">
        <w:tc>
          <w:tcPr>
            <w:tcW w:w="1405" w:type="pct"/>
            <w:vMerge/>
          </w:tcPr>
          <w:p w14:paraId="64AA3581" w14:textId="77777777" w:rsidR="0075524C" w:rsidRPr="00C35766" w:rsidRDefault="0075524C" w:rsidP="00603A86">
            <w:pPr>
              <w:rPr>
                <w:rFonts w:ascii="Times New Roman" w:hAnsi="Times New Roman" w:cs="Times New Roman"/>
              </w:rPr>
            </w:pPr>
          </w:p>
        </w:tc>
        <w:tc>
          <w:tcPr>
            <w:tcW w:w="1122" w:type="pct"/>
          </w:tcPr>
          <w:p w14:paraId="70D3819C"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7D201F26" w14:textId="77777777" w:rsidR="0075524C" w:rsidRPr="00C35766" w:rsidRDefault="0075524C" w:rsidP="00603A86">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Sclerosi multipla, </w:t>
            </w:r>
          </w:p>
          <w:p w14:paraId="54580125" w14:textId="77777777" w:rsidR="0075524C" w:rsidRPr="00C35766" w:rsidRDefault="0075524C" w:rsidP="00603A86">
            <w:pPr>
              <w:pStyle w:val="TableParagraph"/>
              <w:ind w:left="99" w:right="151"/>
              <w:rPr>
                <w:rFonts w:ascii="Times New Roman" w:eastAsia="Times New Roman" w:hAnsi="Times New Roman" w:cs="Times New Roman"/>
                <w:lang w:val="fr-FR"/>
              </w:rPr>
            </w:pPr>
            <w:r w:rsidRPr="00C35766">
              <w:rPr>
                <w:rFonts w:ascii="Times New Roman" w:eastAsia="Times New Roman" w:hAnsi="Times New Roman" w:cs="Times New Roman"/>
                <w:spacing w:val="-1"/>
                <w:lang w:val="it-IT"/>
              </w:rPr>
              <w:t>disturbi demielinizzanti (ad es., neurite ottica, sindrome di Guillain-Barré)</w:t>
            </w:r>
            <w:r w:rsidRPr="00C35766">
              <w:rPr>
                <w:rFonts w:ascii="Times New Roman" w:eastAsia="Times New Roman" w:hAnsi="Times New Roman" w:cs="Times New Roman"/>
                <w:spacing w:val="-1"/>
                <w:vertAlign w:val="superscript"/>
                <w:lang w:val="it-IT"/>
              </w:rPr>
              <w:t>1)</w:t>
            </w:r>
          </w:p>
        </w:tc>
      </w:tr>
      <w:tr w:rsidR="0075524C" w:rsidRPr="00C35766" w14:paraId="37C31245" w14:textId="77777777" w:rsidTr="008A6AF4">
        <w:tc>
          <w:tcPr>
            <w:tcW w:w="1405" w:type="pct"/>
            <w:vMerge w:val="restart"/>
          </w:tcPr>
          <w:p w14:paraId="1DD6479B"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dell’occhio</w:t>
            </w:r>
          </w:p>
        </w:tc>
        <w:tc>
          <w:tcPr>
            <w:tcW w:w="1122" w:type="pct"/>
          </w:tcPr>
          <w:p w14:paraId="4085BF61"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660BBD4F"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Compromissione della visione, congiuntivite, </w:t>
            </w:r>
          </w:p>
          <w:p w14:paraId="6B6A6E11"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blefarite, </w:t>
            </w:r>
          </w:p>
          <w:p w14:paraId="6D0D715E" w14:textId="77777777" w:rsidR="0075524C" w:rsidRPr="00C35766" w:rsidRDefault="0075524C" w:rsidP="00603A86">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tumefazione degli occhi</w:t>
            </w:r>
          </w:p>
        </w:tc>
      </w:tr>
      <w:tr w:rsidR="0075524C" w:rsidRPr="00C35766" w14:paraId="4E29E13F" w14:textId="77777777" w:rsidTr="008A6AF4">
        <w:tc>
          <w:tcPr>
            <w:tcW w:w="1405" w:type="pct"/>
            <w:vMerge/>
          </w:tcPr>
          <w:p w14:paraId="51A0A2ED" w14:textId="77777777" w:rsidR="0075524C" w:rsidRPr="00C35766" w:rsidRDefault="0075524C" w:rsidP="00603A86">
            <w:pPr>
              <w:rPr>
                <w:rFonts w:ascii="Times New Roman" w:hAnsi="Times New Roman" w:cs="Times New Roman"/>
                <w:lang w:val="pt-BR"/>
              </w:rPr>
            </w:pPr>
          </w:p>
        </w:tc>
        <w:tc>
          <w:tcPr>
            <w:tcW w:w="1122" w:type="pct"/>
          </w:tcPr>
          <w:p w14:paraId="1A975157"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3A183805"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Diplopia</w:t>
            </w:r>
          </w:p>
        </w:tc>
      </w:tr>
      <w:tr w:rsidR="0075524C" w:rsidRPr="00C35766" w14:paraId="6E34F30B" w14:textId="77777777" w:rsidTr="008A6AF4">
        <w:tc>
          <w:tcPr>
            <w:tcW w:w="1405" w:type="pct"/>
            <w:vMerge w:val="restart"/>
          </w:tcPr>
          <w:p w14:paraId="37B30807" w14:textId="77777777" w:rsidR="0075524C" w:rsidRPr="00C35766" w:rsidRDefault="0075524C" w:rsidP="00603A86">
            <w:pPr>
              <w:pStyle w:val="TableParagraph"/>
              <w:spacing w:before="56"/>
              <w:ind w:left="102" w:right="196"/>
              <w:rPr>
                <w:rFonts w:ascii="Times New Roman" w:hAnsi="Times New Roman" w:cs="Times New Roman"/>
                <w:lang w:val="it-IT"/>
              </w:rPr>
            </w:pPr>
            <w:r w:rsidRPr="00C35766">
              <w:rPr>
                <w:rFonts w:ascii="Times New Roman" w:eastAsia="Times New Roman" w:hAnsi="Times New Roman" w:cs="Times New Roman"/>
                <w:spacing w:val="-1"/>
                <w:lang w:val="it-IT"/>
              </w:rPr>
              <w:t>Patologie dell’orecchio e del labirinto</w:t>
            </w:r>
          </w:p>
        </w:tc>
        <w:tc>
          <w:tcPr>
            <w:tcW w:w="1122" w:type="pct"/>
          </w:tcPr>
          <w:p w14:paraId="6A47BBB9"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5CF99779"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Vertigini</w:t>
            </w:r>
          </w:p>
        </w:tc>
      </w:tr>
      <w:tr w:rsidR="0075524C" w:rsidRPr="00C35766" w14:paraId="20B8D506" w14:textId="77777777" w:rsidTr="008A6AF4">
        <w:tc>
          <w:tcPr>
            <w:tcW w:w="1405" w:type="pct"/>
            <w:vMerge/>
          </w:tcPr>
          <w:p w14:paraId="005CD108" w14:textId="77777777" w:rsidR="0075524C" w:rsidRPr="00C35766" w:rsidRDefault="0075524C" w:rsidP="00603A86">
            <w:pPr>
              <w:rPr>
                <w:rFonts w:ascii="Times New Roman" w:hAnsi="Times New Roman" w:cs="Times New Roman"/>
              </w:rPr>
            </w:pPr>
          </w:p>
        </w:tc>
        <w:tc>
          <w:tcPr>
            <w:tcW w:w="1122" w:type="pct"/>
          </w:tcPr>
          <w:p w14:paraId="03CBBFE8"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3A8DC9E6"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Sordità,</w:t>
            </w:r>
          </w:p>
          <w:p w14:paraId="6C87619E"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tinnito</w:t>
            </w:r>
          </w:p>
        </w:tc>
      </w:tr>
      <w:tr w:rsidR="0075524C" w:rsidRPr="00C35766" w14:paraId="5C4F9219" w14:textId="77777777" w:rsidTr="008A6AF4">
        <w:tc>
          <w:tcPr>
            <w:tcW w:w="1405" w:type="pct"/>
            <w:vMerge w:val="restart"/>
          </w:tcPr>
          <w:p w14:paraId="6DD10CE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cardiache</w:t>
            </w:r>
          </w:p>
        </w:tc>
        <w:tc>
          <w:tcPr>
            <w:tcW w:w="1122" w:type="pct"/>
          </w:tcPr>
          <w:p w14:paraId="07EA3127"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3E6C5041"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Tachicardia</w:t>
            </w:r>
          </w:p>
        </w:tc>
      </w:tr>
      <w:tr w:rsidR="0075524C" w:rsidRPr="00494E69" w14:paraId="50D2B68D" w14:textId="77777777" w:rsidTr="008A6AF4">
        <w:tc>
          <w:tcPr>
            <w:tcW w:w="1405" w:type="pct"/>
            <w:vMerge/>
          </w:tcPr>
          <w:p w14:paraId="73A4A3AB" w14:textId="77777777" w:rsidR="0075524C" w:rsidRPr="00C35766" w:rsidRDefault="0075524C" w:rsidP="00603A86">
            <w:pPr>
              <w:rPr>
                <w:rFonts w:ascii="Times New Roman" w:hAnsi="Times New Roman" w:cs="Times New Roman"/>
              </w:rPr>
            </w:pPr>
          </w:p>
        </w:tc>
        <w:tc>
          <w:tcPr>
            <w:tcW w:w="1122" w:type="pct"/>
          </w:tcPr>
          <w:p w14:paraId="0E27C81E"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2734D714" w14:textId="77777777" w:rsidR="0075524C" w:rsidRPr="00C35766" w:rsidRDefault="0075524C" w:rsidP="00603A86">
            <w:pPr>
              <w:pStyle w:val="TableParagraph"/>
              <w:spacing w:before="7"/>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Infarto del miocardio</w:t>
            </w:r>
            <w:r w:rsidRPr="00C35766">
              <w:rPr>
                <w:rFonts w:ascii="Times New Roman" w:eastAsia="Times New Roman" w:hAnsi="Times New Roman" w:cs="Times New Roman"/>
                <w:vertAlign w:val="superscript"/>
                <w:lang w:val="it-IT"/>
              </w:rPr>
              <w:t>1)</w:t>
            </w:r>
            <w:r w:rsidRPr="00C35766">
              <w:rPr>
                <w:rFonts w:ascii="Times New Roman" w:eastAsia="Times New Roman" w:hAnsi="Times New Roman" w:cs="Times New Roman"/>
                <w:lang w:val="it-IT"/>
              </w:rPr>
              <w:t xml:space="preserve">, </w:t>
            </w:r>
          </w:p>
          <w:p w14:paraId="312BEC3D" w14:textId="77777777" w:rsidR="0075524C" w:rsidRPr="00C35766" w:rsidRDefault="0075524C" w:rsidP="00603A86">
            <w:pPr>
              <w:pStyle w:val="TableParagraph"/>
              <w:spacing w:before="7"/>
              <w:ind w:left="99" w:right="151"/>
              <w:rPr>
                <w:rFonts w:ascii="Times New Roman" w:hAnsi="Times New Roman" w:cs="Times New Roman"/>
                <w:lang w:val="it-IT"/>
              </w:rPr>
            </w:pPr>
            <w:r w:rsidRPr="00C35766">
              <w:rPr>
                <w:rFonts w:ascii="Times New Roman" w:eastAsia="Times New Roman" w:hAnsi="Times New Roman" w:cs="Times New Roman"/>
                <w:lang w:val="it-IT"/>
              </w:rPr>
              <w:t>aritmia,</w:t>
            </w:r>
          </w:p>
          <w:p w14:paraId="7D12AF0E"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insufficienza cardiaca congestizia</w:t>
            </w:r>
          </w:p>
        </w:tc>
      </w:tr>
      <w:tr w:rsidR="0075524C" w:rsidRPr="00C35766" w14:paraId="09F7FEAB" w14:textId="77777777" w:rsidTr="008A6AF4">
        <w:tc>
          <w:tcPr>
            <w:tcW w:w="1405" w:type="pct"/>
            <w:vMerge/>
          </w:tcPr>
          <w:p w14:paraId="3EB232D6" w14:textId="77777777" w:rsidR="0075524C" w:rsidRPr="00C35766" w:rsidRDefault="0075524C" w:rsidP="00603A86">
            <w:pPr>
              <w:rPr>
                <w:rFonts w:ascii="Times New Roman" w:hAnsi="Times New Roman" w:cs="Times New Roman"/>
                <w:lang w:val="it-IT"/>
              </w:rPr>
            </w:pPr>
          </w:p>
        </w:tc>
        <w:tc>
          <w:tcPr>
            <w:tcW w:w="1122" w:type="pct"/>
          </w:tcPr>
          <w:p w14:paraId="55551FFF"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3DB954D3"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Arresto cardiaco</w:t>
            </w:r>
          </w:p>
        </w:tc>
      </w:tr>
      <w:tr w:rsidR="0075524C" w:rsidRPr="00C35766" w14:paraId="2900D508" w14:textId="77777777" w:rsidTr="008A6AF4">
        <w:tc>
          <w:tcPr>
            <w:tcW w:w="1405" w:type="pct"/>
            <w:vMerge w:val="restart"/>
          </w:tcPr>
          <w:p w14:paraId="09F19BB3"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vascolari</w:t>
            </w:r>
          </w:p>
        </w:tc>
        <w:tc>
          <w:tcPr>
            <w:tcW w:w="1122" w:type="pct"/>
          </w:tcPr>
          <w:p w14:paraId="14EED0A3"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28C6AFF1"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Ipertensione, </w:t>
            </w:r>
          </w:p>
          <w:p w14:paraId="69588944"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vampate, </w:t>
            </w:r>
          </w:p>
          <w:p w14:paraId="0496D1F2"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ematoma</w:t>
            </w:r>
          </w:p>
        </w:tc>
      </w:tr>
      <w:tr w:rsidR="0075524C" w:rsidRPr="00C35766" w14:paraId="2ED0B659" w14:textId="77777777" w:rsidTr="008A6AF4">
        <w:tc>
          <w:tcPr>
            <w:tcW w:w="1405" w:type="pct"/>
            <w:vMerge/>
          </w:tcPr>
          <w:p w14:paraId="1FF95C84" w14:textId="77777777" w:rsidR="0075524C" w:rsidRPr="00C35766" w:rsidRDefault="0075524C" w:rsidP="00603A86">
            <w:pPr>
              <w:rPr>
                <w:rFonts w:ascii="Times New Roman" w:hAnsi="Times New Roman" w:cs="Times New Roman"/>
              </w:rPr>
            </w:pPr>
          </w:p>
        </w:tc>
        <w:tc>
          <w:tcPr>
            <w:tcW w:w="1122" w:type="pct"/>
          </w:tcPr>
          <w:p w14:paraId="3C5EE7CE"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1FEF97FD"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Aneurisma aortico,</w:t>
            </w:r>
          </w:p>
          <w:p w14:paraId="45A689B2" w14:textId="77777777" w:rsidR="0075524C" w:rsidRPr="00C35766" w:rsidRDefault="0075524C" w:rsidP="00603A86">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occlusione vascolare arteriosa, </w:t>
            </w:r>
          </w:p>
          <w:p w14:paraId="20FD41C4" w14:textId="77777777" w:rsidR="0075524C" w:rsidRPr="00C35766" w:rsidRDefault="0075524C" w:rsidP="00603A86">
            <w:pPr>
              <w:pStyle w:val="TableParagraph"/>
              <w:spacing w:before="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tromboflebite</w:t>
            </w:r>
          </w:p>
        </w:tc>
      </w:tr>
      <w:tr w:rsidR="0075524C" w:rsidRPr="00C35766" w14:paraId="72D4C7DF" w14:textId="77777777" w:rsidTr="008A6AF4">
        <w:tc>
          <w:tcPr>
            <w:tcW w:w="1405" w:type="pct"/>
            <w:vMerge w:val="restart"/>
          </w:tcPr>
          <w:p w14:paraId="17F04C60" w14:textId="77777777" w:rsidR="0075524C" w:rsidRPr="00C35766" w:rsidRDefault="0075524C" w:rsidP="00603A86">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respiratorie, toraciche e mediastiniche</w:t>
            </w:r>
          </w:p>
        </w:tc>
        <w:tc>
          <w:tcPr>
            <w:tcW w:w="1122" w:type="pct"/>
          </w:tcPr>
          <w:p w14:paraId="78AEC2C2"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63727C0B"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Asma, </w:t>
            </w:r>
          </w:p>
          <w:p w14:paraId="3A0D9DAB"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dispnea, </w:t>
            </w:r>
          </w:p>
          <w:p w14:paraId="376683A3"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tosse</w:t>
            </w:r>
          </w:p>
        </w:tc>
      </w:tr>
      <w:tr w:rsidR="0075524C" w:rsidRPr="00C35766" w14:paraId="70E40761" w14:textId="77777777" w:rsidTr="008A6AF4">
        <w:tc>
          <w:tcPr>
            <w:tcW w:w="1405" w:type="pct"/>
            <w:vMerge/>
          </w:tcPr>
          <w:p w14:paraId="6804B709" w14:textId="77777777" w:rsidR="0075524C" w:rsidRPr="00C35766" w:rsidRDefault="0075524C" w:rsidP="00603A86">
            <w:pPr>
              <w:rPr>
                <w:rFonts w:ascii="Times New Roman" w:hAnsi="Times New Roman" w:cs="Times New Roman"/>
              </w:rPr>
            </w:pPr>
          </w:p>
        </w:tc>
        <w:tc>
          <w:tcPr>
            <w:tcW w:w="1122" w:type="pct"/>
          </w:tcPr>
          <w:p w14:paraId="17EECC62"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3F238599" w14:textId="77777777" w:rsidR="0075524C" w:rsidRPr="00C35766" w:rsidRDefault="0075524C" w:rsidP="00603A86">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Embolia polmonare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50C908AF" w14:textId="77777777" w:rsidR="0075524C" w:rsidRPr="00C35766" w:rsidRDefault="0075524C" w:rsidP="00603A86">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malattia polmonare interstiziale,</w:t>
            </w:r>
          </w:p>
          <w:p w14:paraId="4B5F1410" w14:textId="77777777" w:rsidR="0075524C" w:rsidRPr="00C35766" w:rsidRDefault="0075524C" w:rsidP="00603A86">
            <w:pPr>
              <w:pStyle w:val="TableParagraph"/>
              <w:spacing w:before="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polmonare cronica ostruttiva, </w:t>
            </w:r>
          </w:p>
          <w:p w14:paraId="199198A2" w14:textId="77777777" w:rsidR="0075524C" w:rsidRPr="00C35766" w:rsidRDefault="0075524C" w:rsidP="00603A86">
            <w:pPr>
              <w:pStyle w:val="TableParagraph"/>
              <w:spacing w:before="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polmonite,</w:t>
            </w:r>
          </w:p>
          <w:p w14:paraId="01994B22"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effusione pleurica</w:t>
            </w:r>
            <w:r w:rsidRPr="00C35766">
              <w:rPr>
                <w:rFonts w:ascii="Times New Roman" w:eastAsia="Times New Roman" w:hAnsi="Times New Roman" w:cs="Times New Roman"/>
                <w:spacing w:val="-1"/>
                <w:vertAlign w:val="superscript"/>
                <w:lang w:val="it-IT"/>
              </w:rPr>
              <w:t>1</w:t>
            </w:r>
          </w:p>
        </w:tc>
      </w:tr>
      <w:tr w:rsidR="0075524C" w:rsidRPr="00C35766" w14:paraId="54D451D6" w14:textId="77777777" w:rsidTr="008A6AF4">
        <w:tc>
          <w:tcPr>
            <w:tcW w:w="1405" w:type="pct"/>
            <w:vMerge/>
          </w:tcPr>
          <w:p w14:paraId="76FBFEA2" w14:textId="77777777" w:rsidR="0075524C" w:rsidRPr="00C35766" w:rsidRDefault="0075524C" w:rsidP="00603A86">
            <w:pPr>
              <w:rPr>
                <w:rFonts w:ascii="Times New Roman" w:hAnsi="Times New Roman" w:cs="Times New Roman"/>
              </w:rPr>
            </w:pPr>
          </w:p>
        </w:tc>
        <w:tc>
          <w:tcPr>
            <w:tcW w:w="1122" w:type="pct"/>
          </w:tcPr>
          <w:p w14:paraId="3C6495E5"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79D75492"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Fibrosi polmonare</w:t>
            </w:r>
            <w:r w:rsidRPr="00C35766">
              <w:rPr>
                <w:rFonts w:ascii="Times New Roman" w:eastAsia="Times New Roman" w:hAnsi="Times New Roman" w:cs="Times New Roman"/>
                <w:spacing w:val="-1"/>
                <w:vertAlign w:val="superscript"/>
                <w:lang w:val="it-IT"/>
              </w:rPr>
              <w:t>1)</w:t>
            </w:r>
          </w:p>
        </w:tc>
      </w:tr>
      <w:tr w:rsidR="0075524C" w:rsidRPr="006501B3" w14:paraId="0B953A5E" w14:textId="77777777" w:rsidTr="008A6AF4">
        <w:tc>
          <w:tcPr>
            <w:tcW w:w="1405" w:type="pct"/>
            <w:vMerge w:val="restart"/>
          </w:tcPr>
          <w:p w14:paraId="70544EB0"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gastrointestinali</w:t>
            </w:r>
          </w:p>
        </w:tc>
        <w:tc>
          <w:tcPr>
            <w:tcW w:w="1122" w:type="pct"/>
          </w:tcPr>
          <w:p w14:paraId="6D5BAED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71508171"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Dolore addominale, </w:t>
            </w:r>
          </w:p>
          <w:p w14:paraId="3882C390"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nausea e vomito</w:t>
            </w:r>
          </w:p>
        </w:tc>
      </w:tr>
      <w:tr w:rsidR="0075524C" w:rsidRPr="00C35766" w14:paraId="0121C541" w14:textId="77777777" w:rsidTr="008A6AF4">
        <w:tc>
          <w:tcPr>
            <w:tcW w:w="1405" w:type="pct"/>
            <w:vMerge/>
          </w:tcPr>
          <w:p w14:paraId="76ECCD76" w14:textId="77777777" w:rsidR="0075524C" w:rsidRPr="00C35766" w:rsidRDefault="0075524C" w:rsidP="00603A86">
            <w:pPr>
              <w:rPr>
                <w:rFonts w:ascii="Times New Roman" w:hAnsi="Times New Roman" w:cs="Times New Roman"/>
                <w:lang w:val="it-IT"/>
              </w:rPr>
            </w:pPr>
          </w:p>
        </w:tc>
        <w:tc>
          <w:tcPr>
            <w:tcW w:w="1122" w:type="pct"/>
          </w:tcPr>
          <w:p w14:paraId="7593133D"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2655F03E" w14:textId="77777777" w:rsidR="0075524C" w:rsidRPr="00C35766" w:rsidRDefault="0075524C" w:rsidP="00603A86">
            <w:pPr>
              <w:pStyle w:val="TableParagraph"/>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Emorragia gastrointestinale,</w:t>
            </w:r>
          </w:p>
          <w:p w14:paraId="49EE2F59"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dispepsia, </w:t>
            </w:r>
          </w:p>
          <w:p w14:paraId="519B4558"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malattia da reflusso gastroesofageo, </w:t>
            </w:r>
          </w:p>
          <w:p w14:paraId="4CC01CE8" w14:textId="77777777" w:rsidR="0075524C" w:rsidRPr="00C35766" w:rsidRDefault="0075524C" w:rsidP="00603A86">
            <w:pPr>
              <w:pStyle w:val="TableParagraph"/>
              <w:spacing w:before="1"/>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sindrome sicca</w:t>
            </w:r>
          </w:p>
        </w:tc>
      </w:tr>
      <w:tr w:rsidR="0075524C" w:rsidRPr="00494E69" w14:paraId="6C72B24A" w14:textId="77777777" w:rsidTr="008A6AF4">
        <w:tc>
          <w:tcPr>
            <w:tcW w:w="1405" w:type="pct"/>
            <w:vMerge/>
          </w:tcPr>
          <w:p w14:paraId="07990158" w14:textId="77777777" w:rsidR="0075524C" w:rsidRPr="00C35766" w:rsidRDefault="0075524C" w:rsidP="00603A86">
            <w:pPr>
              <w:rPr>
                <w:rFonts w:ascii="Times New Roman" w:hAnsi="Times New Roman" w:cs="Times New Roman"/>
                <w:lang w:val="pt-BR"/>
              </w:rPr>
            </w:pPr>
          </w:p>
        </w:tc>
        <w:tc>
          <w:tcPr>
            <w:tcW w:w="1122" w:type="pct"/>
          </w:tcPr>
          <w:p w14:paraId="13D53F53"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76EB1486"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Pancreatite, </w:t>
            </w:r>
          </w:p>
          <w:p w14:paraId="337F582C"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lastRenderedPageBreak/>
              <w:t xml:space="preserve">disfagia, </w:t>
            </w:r>
          </w:p>
          <w:p w14:paraId="3766590A" w14:textId="77777777" w:rsidR="0075524C" w:rsidRPr="00824699" w:rsidRDefault="0075524C" w:rsidP="00603A86">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edema della faccia</w:t>
            </w:r>
          </w:p>
        </w:tc>
      </w:tr>
      <w:tr w:rsidR="0075524C" w:rsidRPr="00C35766" w14:paraId="7218C031" w14:textId="77777777" w:rsidTr="008A6AF4">
        <w:tc>
          <w:tcPr>
            <w:tcW w:w="1405" w:type="pct"/>
            <w:vMerge/>
          </w:tcPr>
          <w:p w14:paraId="072EC309" w14:textId="77777777" w:rsidR="0075524C" w:rsidRPr="00824699" w:rsidRDefault="0075524C" w:rsidP="00603A86">
            <w:pPr>
              <w:rPr>
                <w:rFonts w:ascii="Times New Roman" w:hAnsi="Times New Roman" w:cs="Times New Roman"/>
                <w:lang w:val="it-IT"/>
              </w:rPr>
            </w:pPr>
          </w:p>
        </w:tc>
        <w:tc>
          <w:tcPr>
            <w:tcW w:w="1122" w:type="pct"/>
          </w:tcPr>
          <w:p w14:paraId="27FCF761"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2EAB062D" w14:textId="77777777" w:rsidR="0075524C" w:rsidRPr="00C35766" w:rsidRDefault="0075524C" w:rsidP="00603A86">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Perforazione intestinale</w:t>
            </w:r>
            <w:r w:rsidRPr="00C35766">
              <w:rPr>
                <w:rFonts w:ascii="Times New Roman" w:eastAsia="Times New Roman" w:hAnsi="Times New Roman" w:cs="Times New Roman"/>
                <w:spacing w:val="-4"/>
                <w:vertAlign w:val="superscript"/>
                <w:lang w:val="it-IT"/>
              </w:rPr>
              <w:t>1)</w:t>
            </w:r>
          </w:p>
        </w:tc>
      </w:tr>
      <w:tr w:rsidR="0075524C" w:rsidRPr="00C35766" w14:paraId="6694F225" w14:textId="77777777" w:rsidTr="008A6AF4">
        <w:tc>
          <w:tcPr>
            <w:tcW w:w="1405" w:type="pct"/>
            <w:vMerge w:val="restart"/>
          </w:tcPr>
          <w:p w14:paraId="3A91FB75"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Patologie epatobiliari*</w:t>
            </w:r>
          </w:p>
        </w:tc>
        <w:tc>
          <w:tcPr>
            <w:tcW w:w="1122" w:type="pct"/>
          </w:tcPr>
          <w:p w14:paraId="0D688176"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7D3B4A0E"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Enzimi epatici elevati</w:t>
            </w:r>
          </w:p>
        </w:tc>
      </w:tr>
      <w:tr w:rsidR="0075524C" w:rsidRPr="00C35766" w14:paraId="62806288" w14:textId="77777777" w:rsidTr="008A6AF4">
        <w:tc>
          <w:tcPr>
            <w:tcW w:w="1405" w:type="pct"/>
            <w:vMerge/>
          </w:tcPr>
          <w:p w14:paraId="7B1A6767" w14:textId="77777777" w:rsidR="0075524C" w:rsidRPr="00C35766" w:rsidRDefault="0075524C" w:rsidP="00603A86">
            <w:pPr>
              <w:rPr>
                <w:rFonts w:ascii="Times New Roman" w:hAnsi="Times New Roman" w:cs="Times New Roman"/>
              </w:rPr>
            </w:pPr>
          </w:p>
        </w:tc>
        <w:tc>
          <w:tcPr>
            <w:tcW w:w="1122" w:type="pct"/>
          </w:tcPr>
          <w:p w14:paraId="3EFDE530"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2D4E2533"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Colecistite e colelitiasi, </w:t>
            </w:r>
          </w:p>
          <w:p w14:paraId="29F5E94D" w14:textId="77777777" w:rsidR="0075524C" w:rsidRPr="00C35766" w:rsidRDefault="0075524C" w:rsidP="00603A86">
            <w:pPr>
              <w:pStyle w:val="TableParagraph"/>
              <w:ind w:left="99" w:right="151"/>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steatosi epatica, </w:t>
            </w:r>
          </w:p>
          <w:p w14:paraId="5A03E54B"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lang w:val="it-IT"/>
              </w:rPr>
              <w:t>aumento della bilirubina</w:t>
            </w:r>
          </w:p>
        </w:tc>
      </w:tr>
      <w:tr w:rsidR="0075524C" w:rsidRPr="006501B3" w14:paraId="3E954911" w14:textId="77777777" w:rsidTr="008A6AF4">
        <w:tc>
          <w:tcPr>
            <w:tcW w:w="1405" w:type="pct"/>
            <w:vMerge/>
          </w:tcPr>
          <w:p w14:paraId="7250F802" w14:textId="77777777" w:rsidR="0075524C" w:rsidRPr="00C35766" w:rsidRDefault="0075524C" w:rsidP="00603A86">
            <w:pPr>
              <w:rPr>
                <w:rFonts w:ascii="Times New Roman" w:hAnsi="Times New Roman" w:cs="Times New Roman"/>
                <w:lang w:val="it-IT"/>
              </w:rPr>
            </w:pPr>
          </w:p>
        </w:tc>
        <w:tc>
          <w:tcPr>
            <w:tcW w:w="1122" w:type="pct"/>
          </w:tcPr>
          <w:p w14:paraId="2747678E"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795C6BC1"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Epatite, </w:t>
            </w:r>
          </w:p>
          <w:p w14:paraId="699EBBA7"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riattivazione dell’epatite B</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w:t>
            </w:r>
          </w:p>
          <w:p w14:paraId="0991EF48" w14:textId="77777777" w:rsidR="0075524C" w:rsidRPr="00C35766" w:rsidRDefault="0075524C" w:rsidP="00603A86">
            <w:pPr>
              <w:pStyle w:val="TableParagraph"/>
              <w:spacing w:before="47"/>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epatite autoimmune</w:t>
            </w:r>
            <w:r w:rsidRPr="00C35766">
              <w:rPr>
                <w:rFonts w:ascii="Times New Roman" w:eastAsia="Times New Roman" w:hAnsi="Times New Roman" w:cs="Times New Roman"/>
                <w:spacing w:val="-1"/>
                <w:vertAlign w:val="superscript"/>
                <w:lang w:val="it-IT"/>
              </w:rPr>
              <w:t>1)</w:t>
            </w:r>
          </w:p>
        </w:tc>
      </w:tr>
      <w:tr w:rsidR="0075524C" w:rsidRPr="00C35766" w14:paraId="43776710" w14:textId="77777777" w:rsidTr="008A6AF4">
        <w:tc>
          <w:tcPr>
            <w:tcW w:w="1405" w:type="pct"/>
            <w:vMerge/>
          </w:tcPr>
          <w:p w14:paraId="0020D597" w14:textId="77777777" w:rsidR="0075524C" w:rsidRPr="00C35766" w:rsidRDefault="0075524C" w:rsidP="00603A86">
            <w:pPr>
              <w:rPr>
                <w:rFonts w:ascii="Times New Roman" w:hAnsi="Times New Roman" w:cs="Times New Roman"/>
                <w:lang w:val="it-IT"/>
              </w:rPr>
            </w:pPr>
          </w:p>
        </w:tc>
        <w:tc>
          <w:tcPr>
            <w:tcW w:w="1122" w:type="pct"/>
          </w:tcPr>
          <w:p w14:paraId="06AEAF1E"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Pr>
          <w:p w14:paraId="7680BA49" w14:textId="77777777" w:rsidR="0075524C" w:rsidRPr="00C35766" w:rsidRDefault="0075524C" w:rsidP="00603A86">
            <w:pPr>
              <w:pStyle w:val="TableParagraph"/>
              <w:spacing w:before="47"/>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Insufficienza epatica</w:t>
            </w:r>
            <w:r w:rsidRPr="00C35766">
              <w:rPr>
                <w:rFonts w:ascii="Times New Roman" w:eastAsia="Times New Roman" w:hAnsi="Times New Roman" w:cs="Times New Roman"/>
                <w:spacing w:val="-1"/>
                <w:vertAlign w:val="superscript"/>
                <w:lang w:val="it-IT"/>
              </w:rPr>
              <w:t>1)</w:t>
            </w:r>
          </w:p>
        </w:tc>
      </w:tr>
      <w:tr w:rsidR="0075524C" w:rsidRPr="00494E69" w14:paraId="7CCFEEFB" w14:textId="77777777" w:rsidTr="008A6AF4">
        <w:tc>
          <w:tcPr>
            <w:tcW w:w="1405" w:type="pct"/>
            <w:vMerge w:val="restart"/>
          </w:tcPr>
          <w:p w14:paraId="56B9B8BD" w14:textId="77777777" w:rsidR="0075524C" w:rsidRPr="00C35766" w:rsidRDefault="0075524C" w:rsidP="00603A86">
            <w:pPr>
              <w:pStyle w:val="TableParagraph"/>
              <w:spacing w:before="56"/>
              <w:ind w:left="102" w:right="11"/>
              <w:rPr>
                <w:rFonts w:ascii="Times New Roman" w:hAnsi="Times New Roman" w:cs="Times New Roman"/>
                <w:lang w:val="it-IT"/>
              </w:rPr>
            </w:pPr>
            <w:r w:rsidRPr="00C35766">
              <w:rPr>
                <w:rFonts w:ascii="Times New Roman" w:eastAsia="Times New Roman" w:hAnsi="Times New Roman" w:cs="Times New Roman"/>
                <w:spacing w:val="-1"/>
                <w:lang w:val="it-IT"/>
              </w:rPr>
              <w:t>Patologie della cute e del tessuto sottocutaneo</w:t>
            </w:r>
          </w:p>
        </w:tc>
        <w:tc>
          <w:tcPr>
            <w:tcW w:w="1122" w:type="pct"/>
          </w:tcPr>
          <w:p w14:paraId="2DF10207"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11E79871" w14:textId="77777777" w:rsidR="0075524C" w:rsidRPr="00C35766" w:rsidRDefault="0075524C" w:rsidP="00603A86">
            <w:pPr>
              <w:pStyle w:val="TableParagraph"/>
              <w:spacing w:before="53"/>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Eruzione cutanea (compresa eruzione esfoliativa)</w:t>
            </w:r>
          </w:p>
        </w:tc>
      </w:tr>
      <w:tr w:rsidR="0075524C" w:rsidRPr="00C35766" w14:paraId="4F5D2BD8" w14:textId="77777777" w:rsidTr="008A6AF4">
        <w:tc>
          <w:tcPr>
            <w:tcW w:w="1405" w:type="pct"/>
            <w:vMerge/>
          </w:tcPr>
          <w:p w14:paraId="500FFB68" w14:textId="77777777" w:rsidR="0075524C" w:rsidRPr="00C35766" w:rsidRDefault="0075524C" w:rsidP="00603A86">
            <w:pPr>
              <w:rPr>
                <w:rFonts w:ascii="Times New Roman" w:hAnsi="Times New Roman" w:cs="Times New Roman"/>
                <w:lang w:val="pt-BR"/>
              </w:rPr>
            </w:pPr>
          </w:p>
        </w:tc>
        <w:tc>
          <w:tcPr>
            <w:tcW w:w="1122" w:type="pct"/>
          </w:tcPr>
          <w:p w14:paraId="102CB819"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1E9F5F77"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lang w:val="it-IT"/>
              </w:rPr>
              <w:t xml:space="preserve">Peggioramento o nuova insorgenza di psoriasi (tra cui </w:t>
            </w:r>
            <w:r w:rsidRPr="00C35766">
              <w:rPr>
                <w:rFonts w:ascii="Times New Roman" w:eastAsia="Times New Roman" w:hAnsi="Times New Roman" w:cs="Times New Roman"/>
                <w:spacing w:val="-1"/>
                <w:lang w:val="it-IT"/>
              </w:rPr>
              <w:t>psoriasi pustolosa palmoplantare)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631E1D8A"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orticaria,</w:t>
            </w:r>
          </w:p>
          <w:p w14:paraId="156011A6" w14:textId="77777777" w:rsidR="0075524C" w:rsidRPr="00C35766" w:rsidRDefault="0075524C" w:rsidP="00603A86">
            <w:pPr>
              <w:pStyle w:val="TableParagraph"/>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lividi (tra cui porpora),</w:t>
            </w:r>
          </w:p>
          <w:p w14:paraId="2191D0F8" w14:textId="77777777" w:rsidR="0075524C" w:rsidRPr="00C35766" w:rsidRDefault="0075524C" w:rsidP="00603A86">
            <w:pPr>
              <w:pStyle w:val="TableParagraph"/>
              <w:spacing w:before="1"/>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dermatite (tra cui eczema), </w:t>
            </w:r>
          </w:p>
          <w:p w14:paraId="720A6E64" w14:textId="77777777" w:rsidR="0075524C" w:rsidRPr="00C35766" w:rsidRDefault="0075524C" w:rsidP="00603A86">
            <w:pPr>
              <w:pStyle w:val="TableParagraph"/>
              <w:spacing w:before="1"/>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onicoclasia,</w:t>
            </w:r>
          </w:p>
          <w:p w14:paraId="1539EA4B"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iperidrosi,</w:t>
            </w:r>
          </w:p>
          <w:p w14:paraId="69DDEB60" w14:textId="77777777" w:rsidR="0075524C" w:rsidRPr="00C35766" w:rsidRDefault="0075524C" w:rsidP="00603A86">
            <w:pPr>
              <w:pStyle w:val="TableParagraph"/>
              <w:spacing w:before="5"/>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alopecia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019BC18F" w14:textId="77777777" w:rsidR="0075524C" w:rsidRPr="00C35766" w:rsidRDefault="0075524C" w:rsidP="00603A86">
            <w:pPr>
              <w:pStyle w:val="TableParagraph"/>
              <w:spacing w:before="5"/>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prurito</w:t>
            </w:r>
          </w:p>
        </w:tc>
      </w:tr>
      <w:tr w:rsidR="0075524C" w:rsidRPr="00C35766" w14:paraId="4127EA24" w14:textId="77777777" w:rsidTr="008A6AF4">
        <w:tc>
          <w:tcPr>
            <w:tcW w:w="1405" w:type="pct"/>
            <w:vMerge/>
          </w:tcPr>
          <w:p w14:paraId="4467CD58" w14:textId="77777777" w:rsidR="0075524C" w:rsidRPr="00C35766" w:rsidRDefault="0075524C" w:rsidP="00603A86">
            <w:pPr>
              <w:rPr>
                <w:rFonts w:ascii="Times New Roman" w:hAnsi="Times New Roman" w:cs="Times New Roman"/>
              </w:rPr>
            </w:pPr>
          </w:p>
        </w:tc>
        <w:tc>
          <w:tcPr>
            <w:tcW w:w="1122" w:type="pct"/>
          </w:tcPr>
          <w:p w14:paraId="5D3D8009"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1B65B5A9"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Sudorazione notturna,</w:t>
            </w:r>
          </w:p>
          <w:p w14:paraId="27F6C673" w14:textId="77777777" w:rsidR="0075524C" w:rsidRPr="00C35766" w:rsidRDefault="0075524C" w:rsidP="00603A86">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lang w:val="it-IT"/>
              </w:rPr>
              <w:t>cicatrice</w:t>
            </w:r>
          </w:p>
        </w:tc>
      </w:tr>
      <w:tr w:rsidR="0075524C" w:rsidRPr="00494E69" w14:paraId="33D20767" w14:textId="77777777" w:rsidTr="008A6AF4">
        <w:tc>
          <w:tcPr>
            <w:tcW w:w="1405" w:type="pct"/>
            <w:vMerge/>
          </w:tcPr>
          <w:p w14:paraId="334E420B" w14:textId="77777777" w:rsidR="0075524C" w:rsidRPr="00C35766" w:rsidRDefault="0075524C" w:rsidP="00603A86">
            <w:pPr>
              <w:rPr>
                <w:rFonts w:ascii="Times New Roman" w:hAnsi="Times New Roman" w:cs="Times New Roman"/>
              </w:rPr>
            </w:pPr>
          </w:p>
        </w:tc>
        <w:tc>
          <w:tcPr>
            <w:tcW w:w="1122" w:type="pct"/>
          </w:tcPr>
          <w:p w14:paraId="5C48671A"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60A838BE" w14:textId="77777777" w:rsidR="0075524C" w:rsidRPr="00C35766" w:rsidRDefault="0075524C" w:rsidP="00603A86">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Eritema multiforme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3095CB3C" w14:textId="77777777" w:rsidR="0075524C" w:rsidRPr="00C35766" w:rsidRDefault="0075524C" w:rsidP="00603A86">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sindrome di Stevens-Johnson</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7DA27A16" w14:textId="77777777" w:rsidR="0075524C" w:rsidRPr="00C35766" w:rsidRDefault="0075524C" w:rsidP="00603A86">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angioedema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5D328E29" w14:textId="77777777" w:rsidR="0075524C" w:rsidRPr="00C35766" w:rsidRDefault="0075524C" w:rsidP="00603A86">
            <w:pPr>
              <w:pStyle w:val="TableParagraph"/>
              <w:spacing w:before="47"/>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vasculite cutanea</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p w14:paraId="77849195" w14:textId="77777777" w:rsidR="0075524C" w:rsidRPr="00C35766" w:rsidRDefault="0075524C" w:rsidP="00603A86">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reazione cutanea lichenoide</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75524C" w:rsidRPr="00494E69" w14:paraId="5354BCFB" w14:textId="77777777" w:rsidTr="008A6AF4">
        <w:tc>
          <w:tcPr>
            <w:tcW w:w="1405" w:type="pct"/>
            <w:vMerge/>
          </w:tcPr>
          <w:p w14:paraId="1B72C114" w14:textId="77777777" w:rsidR="0075524C" w:rsidRPr="00C35766" w:rsidRDefault="0075524C" w:rsidP="00603A86">
            <w:pPr>
              <w:rPr>
                <w:rFonts w:ascii="Times New Roman" w:hAnsi="Times New Roman" w:cs="Times New Roman"/>
                <w:lang w:val="pt-BR"/>
              </w:rPr>
            </w:pPr>
          </w:p>
        </w:tc>
        <w:tc>
          <w:tcPr>
            <w:tcW w:w="1122" w:type="pct"/>
          </w:tcPr>
          <w:p w14:paraId="1C65DAC2"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nota</w:t>
            </w:r>
          </w:p>
        </w:tc>
        <w:tc>
          <w:tcPr>
            <w:tcW w:w="2473" w:type="pct"/>
          </w:tcPr>
          <w:p w14:paraId="0A860AB0" w14:textId="77777777" w:rsidR="0075524C" w:rsidRPr="00C35766" w:rsidRDefault="0075524C" w:rsidP="00603A86">
            <w:pPr>
              <w:pStyle w:val="TableParagraph"/>
              <w:spacing w:before="47"/>
              <w:ind w:left="99" w:right="151"/>
              <w:rPr>
                <w:rFonts w:ascii="Times New Roman" w:eastAsia="Times New Roman" w:hAnsi="Times New Roman" w:cs="Times New Roman"/>
                <w:lang w:val="pt-BR"/>
              </w:rPr>
            </w:pPr>
            <w:r w:rsidRPr="00C35766">
              <w:rPr>
                <w:rFonts w:ascii="Times New Roman" w:eastAsia="Times New Roman" w:hAnsi="Times New Roman" w:cs="Times New Roman"/>
                <w:lang w:val="it-IT"/>
              </w:rPr>
              <w:t>Peggioramento dei sintomi di dermatomiosite</w:t>
            </w:r>
            <w:r w:rsidRPr="00C35766">
              <w:rPr>
                <w:rFonts w:ascii="Times New Roman" w:eastAsia="Times New Roman" w:hAnsi="Times New Roman" w:cs="Times New Roman"/>
                <w:vertAlign w:val="superscript"/>
                <w:lang w:val="it-IT"/>
              </w:rPr>
              <w:t>1)</w:t>
            </w:r>
          </w:p>
        </w:tc>
      </w:tr>
      <w:tr w:rsidR="0075524C" w:rsidRPr="00C35766" w14:paraId="2D34C840" w14:textId="77777777" w:rsidTr="008A6AF4">
        <w:tc>
          <w:tcPr>
            <w:tcW w:w="1405" w:type="pct"/>
            <w:vMerge w:val="restart"/>
          </w:tcPr>
          <w:p w14:paraId="74E2C81D" w14:textId="77777777" w:rsidR="0075524C" w:rsidRPr="00C35766" w:rsidRDefault="0075524C" w:rsidP="00603A86">
            <w:pPr>
              <w:pStyle w:val="TableParagraph"/>
              <w:spacing w:before="56"/>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 sistema muscoloscheletrico e del tessuto connettivo</w:t>
            </w:r>
          </w:p>
        </w:tc>
        <w:tc>
          <w:tcPr>
            <w:tcW w:w="1122" w:type="pct"/>
          </w:tcPr>
          <w:p w14:paraId="3B24060F"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70093B4C"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lang w:val="it-IT"/>
              </w:rPr>
              <w:t>Dolore muscoloscheletrico</w:t>
            </w:r>
          </w:p>
        </w:tc>
      </w:tr>
      <w:tr w:rsidR="0075524C" w:rsidRPr="00494E69" w14:paraId="6B481BF6" w14:textId="77777777" w:rsidTr="008A6AF4">
        <w:tc>
          <w:tcPr>
            <w:tcW w:w="1405" w:type="pct"/>
            <w:vMerge/>
          </w:tcPr>
          <w:p w14:paraId="5CF2F99E" w14:textId="77777777" w:rsidR="0075524C" w:rsidRPr="00C35766" w:rsidRDefault="0075524C" w:rsidP="00603A86">
            <w:pPr>
              <w:rPr>
                <w:rFonts w:ascii="Times New Roman" w:hAnsi="Times New Roman" w:cs="Times New Roman"/>
              </w:rPr>
            </w:pPr>
          </w:p>
        </w:tc>
        <w:tc>
          <w:tcPr>
            <w:tcW w:w="1122" w:type="pct"/>
          </w:tcPr>
          <w:p w14:paraId="705F0F57"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09DC80DC" w14:textId="77777777" w:rsidR="0075524C" w:rsidRPr="00C35766" w:rsidRDefault="0075524C" w:rsidP="00603A86">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lang w:val="it-IT"/>
              </w:rPr>
              <w:t>Spasmi muscolari (tra cui aumento della creatinfosfochinasi ematica)</w:t>
            </w:r>
          </w:p>
        </w:tc>
      </w:tr>
      <w:tr w:rsidR="0075524C" w:rsidRPr="00C35766" w14:paraId="521AF373" w14:textId="77777777" w:rsidTr="008A6AF4">
        <w:tc>
          <w:tcPr>
            <w:tcW w:w="1405" w:type="pct"/>
            <w:vMerge/>
          </w:tcPr>
          <w:p w14:paraId="4865945E" w14:textId="77777777" w:rsidR="0075524C" w:rsidRPr="00C35766" w:rsidRDefault="0075524C" w:rsidP="00603A86">
            <w:pPr>
              <w:rPr>
                <w:rFonts w:ascii="Times New Roman" w:hAnsi="Times New Roman" w:cs="Times New Roman"/>
                <w:lang w:val="it-IT"/>
              </w:rPr>
            </w:pPr>
          </w:p>
        </w:tc>
        <w:tc>
          <w:tcPr>
            <w:tcW w:w="1122" w:type="pct"/>
          </w:tcPr>
          <w:p w14:paraId="7BF9B87B"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36273AD3"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Rabdomiolisi,</w:t>
            </w:r>
          </w:p>
          <w:p w14:paraId="1A08791C" w14:textId="77777777" w:rsidR="0075524C" w:rsidRPr="00C35766" w:rsidRDefault="0075524C" w:rsidP="00603A86">
            <w:pPr>
              <w:pStyle w:val="TableParagraph"/>
              <w:spacing w:before="1"/>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lupus eritematoso sistemico</w:t>
            </w:r>
          </w:p>
        </w:tc>
      </w:tr>
      <w:tr w:rsidR="0075524C" w:rsidRPr="00C35766" w14:paraId="3FF0115C" w14:textId="77777777" w:rsidTr="008A6AF4">
        <w:tc>
          <w:tcPr>
            <w:tcW w:w="1405" w:type="pct"/>
            <w:vMerge/>
          </w:tcPr>
          <w:p w14:paraId="6EFA592B" w14:textId="77777777" w:rsidR="0075524C" w:rsidRPr="00C35766" w:rsidRDefault="0075524C" w:rsidP="00603A86">
            <w:pPr>
              <w:rPr>
                <w:rFonts w:ascii="Times New Roman" w:hAnsi="Times New Roman" w:cs="Times New Roman"/>
              </w:rPr>
            </w:pPr>
          </w:p>
        </w:tc>
        <w:tc>
          <w:tcPr>
            <w:tcW w:w="1122" w:type="pct"/>
          </w:tcPr>
          <w:p w14:paraId="153BB106"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lang w:val="it-IT"/>
              </w:rPr>
              <w:t>Raro</w:t>
            </w:r>
          </w:p>
        </w:tc>
        <w:tc>
          <w:tcPr>
            <w:tcW w:w="2473" w:type="pct"/>
          </w:tcPr>
          <w:p w14:paraId="2E02E3F6"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Sindrome simile al lupus</w:t>
            </w:r>
            <w:r w:rsidRPr="00C35766">
              <w:rPr>
                <w:rFonts w:ascii="Times New Roman" w:eastAsia="Times New Roman" w:hAnsi="Times New Roman" w:cs="Times New Roman"/>
                <w:spacing w:val="-1"/>
                <w:vertAlign w:val="superscript"/>
                <w:lang w:val="it-IT"/>
              </w:rPr>
              <w:t>1)</w:t>
            </w:r>
            <w:r w:rsidRPr="00C35766">
              <w:rPr>
                <w:rFonts w:ascii="Times New Roman" w:eastAsia="Times New Roman" w:hAnsi="Times New Roman" w:cs="Times New Roman"/>
                <w:spacing w:val="-1"/>
                <w:lang w:val="it-IT"/>
              </w:rPr>
              <w:t xml:space="preserve"> </w:t>
            </w:r>
          </w:p>
        </w:tc>
      </w:tr>
      <w:tr w:rsidR="0075524C" w:rsidRPr="00C35766" w14:paraId="6BE10917" w14:textId="77777777" w:rsidTr="008A6AF4">
        <w:tc>
          <w:tcPr>
            <w:tcW w:w="1405" w:type="pct"/>
            <w:vMerge w:val="restart"/>
          </w:tcPr>
          <w:p w14:paraId="77D6CAB7" w14:textId="77777777" w:rsidR="0075524C" w:rsidRPr="00C35766" w:rsidRDefault="0075524C" w:rsidP="00603A86">
            <w:pPr>
              <w:pStyle w:val="TableParagraph"/>
              <w:spacing w:before="56"/>
              <w:ind w:left="102" w:right="196"/>
              <w:rPr>
                <w:rFonts w:ascii="Times New Roman" w:eastAsia="Times New Roman" w:hAnsi="Times New Roman" w:cs="Times New Roman"/>
              </w:rPr>
            </w:pPr>
            <w:r w:rsidRPr="00C35766">
              <w:rPr>
                <w:rFonts w:ascii="Times New Roman" w:eastAsia="Times New Roman" w:hAnsi="Times New Roman" w:cs="Times New Roman"/>
                <w:spacing w:val="-1"/>
                <w:lang w:val="it-IT"/>
              </w:rPr>
              <w:t>Patologie renali e urinarie</w:t>
            </w:r>
          </w:p>
        </w:tc>
        <w:tc>
          <w:tcPr>
            <w:tcW w:w="1122" w:type="pct"/>
          </w:tcPr>
          <w:p w14:paraId="062BB596"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55E1EC92" w14:textId="77777777" w:rsidR="0075524C" w:rsidRPr="00C35766" w:rsidRDefault="0075524C" w:rsidP="00603A86">
            <w:pPr>
              <w:pStyle w:val="TableParagraph"/>
              <w:spacing w:before="53"/>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Compromissione renale, </w:t>
            </w:r>
          </w:p>
          <w:p w14:paraId="573D75E7"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ematuria</w:t>
            </w:r>
          </w:p>
        </w:tc>
      </w:tr>
      <w:tr w:rsidR="0075524C" w:rsidRPr="00C35766" w14:paraId="054CD9AD" w14:textId="77777777" w:rsidTr="008A6AF4">
        <w:tc>
          <w:tcPr>
            <w:tcW w:w="1405" w:type="pct"/>
            <w:vMerge/>
          </w:tcPr>
          <w:p w14:paraId="33269FF5" w14:textId="77777777" w:rsidR="0075524C" w:rsidRPr="00C35766" w:rsidRDefault="0075524C" w:rsidP="00603A86">
            <w:pPr>
              <w:rPr>
                <w:rFonts w:ascii="Times New Roman" w:hAnsi="Times New Roman" w:cs="Times New Roman"/>
              </w:rPr>
            </w:pPr>
          </w:p>
        </w:tc>
        <w:tc>
          <w:tcPr>
            <w:tcW w:w="1122" w:type="pct"/>
          </w:tcPr>
          <w:p w14:paraId="6BD3435B"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22CBF398"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Nicturia</w:t>
            </w:r>
          </w:p>
        </w:tc>
      </w:tr>
      <w:tr w:rsidR="0075524C" w:rsidRPr="00C35766" w14:paraId="5E3D250A" w14:textId="77777777" w:rsidTr="008A6AF4">
        <w:tc>
          <w:tcPr>
            <w:tcW w:w="1405" w:type="pct"/>
          </w:tcPr>
          <w:p w14:paraId="704771F3" w14:textId="77777777" w:rsidR="0075524C" w:rsidRPr="00C35766" w:rsidRDefault="0075524C" w:rsidP="00603A86">
            <w:pPr>
              <w:pStyle w:val="TableParagraph"/>
              <w:spacing w:before="53"/>
              <w:ind w:left="102"/>
              <w:rPr>
                <w:rFonts w:ascii="Times New Roman" w:hAnsi="Times New Roman" w:cs="Times New Roman"/>
                <w:lang w:val="it-IT"/>
              </w:rPr>
            </w:pPr>
            <w:r w:rsidRPr="00C35766">
              <w:rPr>
                <w:rFonts w:ascii="Times New Roman" w:eastAsia="Times New Roman" w:hAnsi="Times New Roman" w:cs="Times New Roman"/>
                <w:spacing w:val="-1"/>
                <w:lang w:val="it-IT"/>
              </w:rPr>
              <w:t>Patologie dell’apparato riproduttivo e della mammella</w:t>
            </w:r>
          </w:p>
        </w:tc>
        <w:tc>
          <w:tcPr>
            <w:tcW w:w="1122" w:type="pct"/>
          </w:tcPr>
          <w:p w14:paraId="7FEB68A4"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051A550A" w14:textId="77777777" w:rsidR="0075524C" w:rsidRPr="00C35766" w:rsidRDefault="0075524C" w:rsidP="00603A86">
            <w:pPr>
              <w:pStyle w:val="TableParagraph"/>
              <w:spacing w:before="53"/>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Disfunzione erettile</w:t>
            </w:r>
          </w:p>
        </w:tc>
      </w:tr>
      <w:tr w:rsidR="0075524C" w:rsidRPr="00494E69" w14:paraId="27FB33C9" w14:textId="77777777" w:rsidTr="008A6AF4">
        <w:tc>
          <w:tcPr>
            <w:tcW w:w="1405" w:type="pct"/>
            <w:vMerge w:val="restart"/>
          </w:tcPr>
          <w:p w14:paraId="6AC2EA9D" w14:textId="77777777" w:rsidR="0075524C" w:rsidRPr="00C35766" w:rsidRDefault="0075524C" w:rsidP="00603A86">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Patologie </w:t>
            </w:r>
            <w:r>
              <w:rPr>
                <w:rFonts w:ascii="Times New Roman" w:eastAsia="Times New Roman" w:hAnsi="Times New Roman" w:cs="Times New Roman"/>
                <w:spacing w:val="-1"/>
                <w:lang w:val="it-IT"/>
              </w:rPr>
              <w:t>generali</w:t>
            </w:r>
            <w:r w:rsidRPr="00C35766">
              <w:rPr>
                <w:rFonts w:ascii="Times New Roman" w:eastAsia="Times New Roman" w:hAnsi="Times New Roman" w:cs="Times New Roman"/>
                <w:spacing w:val="-1"/>
                <w:lang w:val="it-IT"/>
              </w:rPr>
              <w:t xml:space="preserve"> e condizioni relative alla sede</w:t>
            </w:r>
          </w:p>
          <w:p w14:paraId="52AF7E26" w14:textId="77777777" w:rsidR="0075524C" w:rsidRPr="006501B3" w:rsidRDefault="0075524C" w:rsidP="00603A86">
            <w:pPr>
              <w:pStyle w:val="TableParagraph"/>
              <w:ind w:left="102"/>
              <w:rPr>
                <w:rFonts w:ascii="Times New Roman" w:eastAsia="Times New Roman" w:hAnsi="Times New Roman" w:cs="Times New Roman"/>
                <w:lang w:val="fr-CA"/>
              </w:rPr>
            </w:pPr>
            <w:r w:rsidRPr="00C35766">
              <w:rPr>
                <w:rFonts w:ascii="Times New Roman" w:eastAsia="Times New Roman" w:hAnsi="Times New Roman" w:cs="Times New Roman"/>
                <w:spacing w:val="-1"/>
                <w:lang w:val="it-IT"/>
              </w:rPr>
              <w:t>di somministrazione*</w:t>
            </w:r>
          </w:p>
        </w:tc>
        <w:tc>
          <w:tcPr>
            <w:tcW w:w="1122" w:type="pct"/>
          </w:tcPr>
          <w:p w14:paraId="31874DF9"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Molto comune</w:t>
            </w:r>
          </w:p>
        </w:tc>
        <w:tc>
          <w:tcPr>
            <w:tcW w:w="2473" w:type="pct"/>
          </w:tcPr>
          <w:p w14:paraId="2EC71EF4" w14:textId="77777777" w:rsidR="0075524C" w:rsidRPr="00C35766" w:rsidRDefault="0075524C" w:rsidP="00603A86">
            <w:pPr>
              <w:pStyle w:val="TableParagraph"/>
              <w:spacing w:before="53"/>
              <w:ind w:left="99" w:right="151"/>
              <w:rPr>
                <w:rFonts w:ascii="Times New Roman" w:eastAsia="Times New Roman" w:hAnsi="Times New Roman" w:cs="Times New Roman"/>
                <w:lang w:val="es-ES"/>
              </w:rPr>
            </w:pPr>
            <w:r w:rsidRPr="00C35766">
              <w:rPr>
                <w:rFonts w:ascii="Times New Roman" w:eastAsia="Times New Roman" w:hAnsi="Times New Roman" w:cs="Times New Roman"/>
                <w:spacing w:val="-4"/>
                <w:lang w:val="it-IT"/>
              </w:rPr>
              <w:t xml:space="preserve">Reazione al  sito di iniezione (tra cui eritema al sito di iniezione) </w:t>
            </w:r>
            <w:r w:rsidRPr="00C35766">
              <w:rPr>
                <w:rFonts w:ascii="Times New Roman" w:eastAsia="Times New Roman" w:hAnsi="Times New Roman" w:cs="Times New Roman"/>
                <w:spacing w:val="-1"/>
                <w:lang w:val="it-IT"/>
              </w:rPr>
              <w:t> </w:t>
            </w:r>
          </w:p>
        </w:tc>
      </w:tr>
      <w:tr w:rsidR="0075524C" w:rsidRPr="00C35766" w14:paraId="7B35F981" w14:textId="77777777" w:rsidTr="008A6AF4">
        <w:tc>
          <w:tcPr>
            <w:tcW w:w="1405" w:type="pct"/>
            <w:vMerge/>
          </w:tcPr>
          <w:p w14:paraId="6AFE61E3" w14:textId="77777777" w:rsidR="0075524C" w:rsidRPr="00C35766" w:rsidRDefault="0075524C" w:rsidP="00603A86">
            <w:pPr>
              <w:rPr>
                <w:rFonts w:ascii="Times New Roman" w:hAnsi="Times New Roman" w:cs="Times New Roman"/>
                <w:lang w:val="es-ES"/>
              </w:rPr>
            </w:pPr>
          </w:p>
        </w:tc>
        <w:tc>
          <w:tcPr>
            <w:tcW w:w="1122" w:type="pct"/>
          </w:tcPr>
          <w:p w14:paraId="3BFE2053"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1F2AE87F"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Dolore toracico,</w:t>
            </w:r>
          </w:p>
          <w:p w14:paraId="4C260988" w14:textId="77777777" w:rsidR="0075524C" w:rsidRPr="00C35766" w:rsidRDefault="0075524C" w:rsidP="00603A86">
            <w:pPr>
              <w:pStyle w:val="TableParagraph"/>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edema, </w:t>
            </w:r>
          </w:p>
          <w:p w14:paraId="6A48857D"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1"/>
                <w:lang w:val="it-IT"/>
              </w:rPr>
              <w:t>piressia</w:t>
            </w:r>
            <w:r w:rsidRPr="00C35766">
              <w:rPr>
                <w:rFonts w:ascii="Times New Roman" w:eastAsia="Times New Roman" w:hAnsi="Times New Roman" w:cs="Times New Roman"/>
                <w:spacing w:val="-1"/>
                <w:vertAlign w:val="superscript"/>
                <w:lang w:val="it-IT"/>
              </w:rPr>
              <w:t>1)</w:t>
            </w:r>
          </w:p>
        </w:tc>
      </w:tr>
      <w:tr w:rsidR="0075524C" w:rsidRPr="00C35766" w14:paraId="64B7A8AB" w14:textId="77777777" w:rsidTr="008A6AF4">
        <w:tc>
          <w:tcPr>
            <w:tcW w:w="1405" w:type="pct"/>
            <w:vMerge/>
          </w:tcPr>
          <w:p w14:paraId="60B1B5AF" w14:textId="77777777" w:rsidR="0075524C" w:rsidRPr="00C35766" w:rsidRDefault="0075524C" w:rsidP="00603A86">
            <w:pPr>
              <w:rPr>
                <w:rFonts w:ascii="Times New Roman" w:hAnsi="Times New Roman" w:cs="Times New Roman"/>
              </w:rPr>
            </w:pPr>
          </w:p>
        </w:tc>
        <w:tc>
          <w:tcPr>
            <w:tcW w:w="1122" w:type="pct"/>
          </w:tcPr>
          <w:p w14:paraId="1C93E31A"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Non comune</w:t>
            </w:r>
          </w:p>
        </w:tc>
        <w:tc>
          <w:tcPr>
            <w:tcW w:w="2473" w:type="pct"/>
          </w:tcPr>
          <w:p w14:paraId="707C1ED4" w14:textId="77777777" w:rsidR="0075524C" w:rsidRPr="00C35766" w:rsidRDefault="0075524C" w:rsidP="00603A86">
            <w:pPr>
              <w:pStyle w:val="TableParagraph"/>
              <w:ind w:left="99" w:right="151"/>
              <w:rPr>
                <w:rFonts w:ascii="Times New Roman" w:eastAsia="Times New Roman" w:hAnsi="Times New Roman" w:cs="Times New Roman"/>
              </w:rPr>
            </w:pPr>
            <w:r w:rsidRPr="00C35766">
              <w:rPr>
                <w:rFonts w:ascii="Times New Roman" w:eastAsia="Times New Roman" w:hAnsi="Times New Roman" w:cs="Times New Roman"/>
                <w:spacing w:val="-4"/>
                <w:lang w:val="it-IT"/>
              </w:rPr>
              <w:t>Infiammazione</w:t>
            </w:r>
          </w:p>
        </w:tc>
      </w:tr>
      <w:tr w:rsidR="0075524C" w:rsidRPr="00494E69" w14:paraId="61D749C4" w14:textId="77777777" w:rsidTr="008A6AF4">
        <w:tc>
          <w:tcPr>
            <w:tcW w:w="1405" w:type="pct"/>
            <w:vMerge w:val="restart"/>
          </w:tcPr>
          <w:p w14:paraId="74CE997C"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4"/>
                <w:lang w:val="it-IT"/>
              </w:rPr>
              <w:lastRenderedPageBreak/>
              <w:t>Esami diagnostici*</w:t>
            </w:r>
          </w:p>
          <w:p w14:paraId="34E3236F" w14:textId="77777777" w:rsidR="0075524C" w:rsidRPr="00C35766" w:rsidRDefault="0075524C" w:rsidP="00603A86">
            <w:pPr>
              <w:pStyle w:val="TableParagraph"/>
              <w:spacing w:before="53"/>
              <w:ind w:left="102"/>
              <w:rPr>
                <w:rFonts w:ascii="Times New Roman" w:eastAsia="Times New Roman" w:hAnsi="Times New Roman" w:cs="Times New Roman"/>
              </w:rPr>
            </w:pPr>
          </w:p>
        </w:tc>
        <w:tc>
          <w:tcPr>
            <w:tcW w:w="1122" w:type="pct"/>
          </w:tcPr>
          <w:p w14:paraId="08D316B2"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251A5513" w14:textId="77777777" w:rsidR="0075524C" w:rsidRPr="00C35766" w:rsidRDefault="0075524C" w:rsidP="00603A86">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Disturbi della coagulazione e disturbi emorragici (tra cui prolungamento del tempo di tromboplastina parziale attivata), </w:t>
            </w:r>
          </w:p>
          <w:p w14:paraId="7E3E8C65" w14:textId="77777777" w:rsidR="0075524C" w:rsidRPr="00C35766" w:rsidRDefault="0075524C" w:rsidP="00603A86">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positività ai test per autoanticorpi (tra cui anticorpi anti-DNA a doppia catena), </w:t>
            </w:r>
          </w:p>
          <w:p w14:paraId="409CFE5F" w14:textId="77777777" w:rsidR="0075524C" w:rsidRPr="00C35766" w:rsidRDefault="0075524C" w:rsidP="00603A86">
            <w:pPr>
              <w:pStyle w:val="TableParagraph"/>
              <w:spacing w:before="56"/>
              <w:ind w:left="99" w:right="151"/>
              <w:rPr>
                <w:rFonts w:ascii="Times New Roman" w:hAnsi="Times New Roman" w:cs="Times New Roman"/>
                <w:lang w:val="it-IT"/>
              </w:rPr>
            </w:pPr>
            <w:r w:rsidRPr="00C35766">
              <w:rPr>
                <w:rFonts w:ascii="Times New Roman" w:eastAsia="Times New Roman" w:hAnsi="Times New Roman" w:cs="Times New Roman"/>
                <w:spacing w:val="-1"/>
                <w:lang w:val="it-IT"/>
              </w:rPr>
              <w:t>aumento della lattato deidrogenasi ematica</w:t>
            </w:r>
          </w:p>
        </w:tc>
      </w:tr>
      <w:tr w:rsidR="0075524C" w:rsidRPr="00C35766" w14:paraId="63BE46A9" w14:textId="77777777" w:rsidTr="008A6AF4">
        <w:tc>
          <w:tcPr>
            <w:tcW w:w="1405" w:type="pct"/>
            <w:vMerge/>
          </w:tcPr>
          <w:p w14:paraId="1B35DA71" w14:textId="77777777" w:rsidR="0075524C" w:rsidRPr="00C35766" w:rsidRDefault="0075524C" w:rsidP="00603A86">
            <w:pPr>
              <w:pStyle w:val="TableParagraph"/>
              <w:spacing w:before="53"/>
              <w:ind w:left="102"/>
              <w:rPr>
                <w:rFonts w:ascii="Times New Roman" w:eastAsia="Times New Roman" w:hAnsi="Times New Roman" w:cs="Times New Roman"/>
                <w:spacing w:val="-4"/>
                <w:lang w:val="it-IT"/>
              </w:rPr>
            </w:pPr>
          </w:p>
        </w:tc>
        <w:tc>
          <w:tcPr>
            <w:tcW w:w="1122" w:type="pct"/>
          </w:tcPr>
          <w:p w14:paraId="7C09ECA6" w14:textId="77777777" w:rsidR="0075524C" w:rsidRPr="00C35766" w:rsidRDefault="0075524C" w:rsidP="00603A86">
            <w:pPr>
              <w:pStyle w:val="TableParagraph"/>
              <w:spacing w:before="53"/>
              <w:ind w:left="102"/>
              <w:rPr>
                <w:rFonts w:ascii="Times New Roman" w:eastAsia="Times New Roman" w:hAnsi="Times New Roman" w:cs="Times New Roman"/>
                <w:spacing w:val="-2"/>
                <w:lang w:val="it-IT"/>
              </w:rPr>
            </w:pPr>
            <w:r w:rsidRPr="00C35766">
              <w:rPr>
                <w:rFonts w:ascii="Times New Roman" w:eastAsia="Times New Roman" w:hAnsi="Times New Roman" w:cs="Times New Roman"/>
                <w:spacing w:val="-2"/>
                <w:lang w:val="it-IT"/>
              </w:rPr>
              <w:t>Non nota</w:t>
            </w:r>
          </w:p>
        </w:tc>
        <w:tc>
          <w:tcPr>
            <w:tcW w:w="2473" w:type="pct"/>
          </w:tcPr>
          <w:p w14:paraId="23C8A713" w14:textId="77777777" w:rsidR="0075524C" w:rsidRPr="00C35766" w:rsidRDefault="0075524C" w:rsidP="00603A86">
            <w:pPr>
              <w:pStyle w:val="TableParagraph"/>
              <w:spacing w:before="56"/>
              <w:ind w:left="99" w:right="151"/>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Aumento di peso</w:t>
            </w:r>
            <w:r w:rsidRPr="00C35766">
              <w:rPr>
                <w:rFonts w:ascii="Times New Roman" w:eastAsia="Times New Roman" w:hAnsi="Times New Roman" w:cs="Times New Roman"/>
                <w:spacing w:val="-1"/>
                <w:vertAlign w:val="superscript"/>
                <w:lang w:val="it-IT"/>
              </w:rPr>
              <w:t>2)</w:t>
            </w:r>
          </w:p>
        </w:tc>
      </w:tr>
      <w:tr w:rsidR="0075524C" w:rsidRPr="00494E69" w14:paraId="13B32B2B" w14:textId="77777777" w:rsidTr="008A6AF4">
        <w:tc>
          <w:tcPr>
            <w:tcW w:w="1405" w:type="pct"/>
          </w:tcPr>
          <w:p w14:paraId="15A9BB88" w14:textId="77777777" w:rsidR="0075524C" w:rsidRPr="00C35766" w:rsidRDefault="0075524C" w:rsidP="00603A86">
            <w:pPr>
              <w:pStyle w:val="TableParagraph"/>
              <w:spacing w:before="53"/>
              <w:ind w:left="102"/>
              <w:rPr>
                <w:rFonts w:ascii="Times New Roman" w:eastAsia="Times New Roman" w:hAnsi="Times New Roman" w:cs="Times New Roman"/>
                <w:lang w:val="pt-BR"/>
              </w:rPr>
            </w:pPr>
            <w:r w:rsidRPr="00C35766">
              <w:rPr>
                <w:rFonts w:ascii="Times New Roman" w:eastAsia="Times New Roman" w:hAnsi="Times New Roman" w:cs="Times New Roman"/>
                <w:spacing w:val="-2"/>
                <w:lang w:val="it-IT"/>
              </w:rPr>
              <w:t>Traumatismo, avvelenamento e complicazioni da procedura</w:t>
            </w:r>
          </w:p>
        </w:tc>
        <w:tc>
          <w:tcPr>
            <w:tcW w:w="1122" w:type="pct"/>
          </w:tcPr>
          <w:p w14:paraId="2B8C06BB" w14:textId="77777777" w:rsidR="0075524C" w:rsidRPr="00C35766" w:rsidRDefault="0075524C" w:rsidP="00603A86">
            <w:pPr>
              <w:pStyle w:val="TableParagraph"/>
              <w:spacing w:before="53"/>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Comune</w:t>
            </w:r>
          </w:p>
        </w:tc>
        <w:tc>
          <w:tcPr>
            <w:tcW w:w="2473" w:type="pct"/>
          </w:tcPr>
          <w:p w14:paraId="35EB01DC" w14:textId="77777777" w:rsidR="0075524C" w:rsidRPr="00C35766" w:rsidRDefault="0075524C" w:rsidP="00603A86">
            <w:pPr>
              <w:pStyle w:val="TableParagraph"/>
              <w:spacing w:before="53"/>
              <w:ind w:left="99" w:right="151"/>
              <w:rPr>
                <w:rFonts w:ascii="Times New Roman" w:hAnsi="Times New Roman" w:cs="Times New Roman"/>
                <w:lang w:val="it-IT"/>
              </w:rPr>
            </w:pPr>
            <w:r w:rsidRPr="00C35766">
              <w:rPr>
                <w:rFonts w:ascii="Times New Roman" w:eastAsia="Times New Roman" w:hAnsi="Times New Roman" w:cs="Times New Roman"/>
                <w:spacing w:val="-2"/>
                <w:lang w:val="it-IT"/>
              </w:rPr>
              <w:t>Compromissione della guarigione delle ferite</w:t>
            </w:r>
          </w:p>
        </w:tc>
      </w:tr>
    </w:tbl>
    <w:p w14:paraId="5B8BC6B8" w14:textId="77777777" w:rsidR="0075524C" w:rsidRPr="00C35766" w:rsidRDefault="0075524C" w:rsidP="0075524C">
      <w:pPr>
        <w:spacing w:before="1" w:line="150" w:lineRule="exact"/>
        <w:rPr>
          <w:rFonts w:ascii="Times New Roman" w:hAnsi="Times New Roman" w:cs="Times New Roman"/>
          <w:sz w:val="15"/>
          <w:lang w:val="it-IT"/>
        </w:rPr>
      </w:pPr>
    </w:p>
    <w:p w14:paraId="1C53603B" w14:textId="77777777" w:rsidR="0075524C" w:rsidRPr="00C35766" w:rsidRDefault="0075524C" w:rsidP="0075524C">
      <w:pPr>
        <w:pStyle w:val="a3"/>
        <w:numPr>
          <w:ilvl w:val="0"/>
          <w:numId w:val="0"/>
        </w:numPr>
        <w:rPr>
          <w:lang w:val="pt-BR"/>
        </w:rPr>
      </w:pPr>
      <w:r w:rsidRPr="00C35766">
        <w:rPr>
          <w:rFonts w:eastAsia="Times New Roman"/>
          <w:lang w:val="it-IT"/>
        </w:rPr>
        <w:t>* sono presenti ulteriori informazioni contenute nei paragrafi 4.3, 4.4 e 4.8</w:t>
      </w:r>
    </w:p>
    <w:p w14:paraId="459F73AD" w14:textId="77777777" w:rsidR="0075524C" w:rsidRPr="00C35766" w:rsidRDefault="0075524C" w:rsidP="0075524C">
      <w:pPr>
        <w:pStyle w:val="a3"/>
        <w:rPr>
          <w:lang w:val="pt-BR"/>
        </w:rPr>
      </w:pPr>
      <w:r w:rsidRPr="00C35766">
        <w:rPr>
          <w:rFonts w:eastAsia="Times New Roman"/>
          <w:lang w:val="it-IT"/>
        </w:rPr>
        <w:t>** tra cui studi di estensione in aperto</w:t>
      </w:r>
    </w:p>
    <w:p w14:paraId="11258F30" w14:textId="77777777" w:rsidR="0075524C" w:rsidRPr="00C35766" w:rsidRDefault="0075524C" w:rsidP="0075524C">
      <w:pPr>
        <w:pStyle w:val="a3"/>
        <w:rPr>
          <w:rFonts w:eastAsia="Times New Roman"/>
          <w:position w:val="8"/>
          <w:lang w:val="it-IT"/>
        </w:rPr>
      </w:pPr>
      <w:r w:rsidRPr="00C35766">
        <w:rPr>
          <w:rFonts w:eastAsia="Times New Roman"/>
          <w:position w:val="8"/>
          <w:vertAlign w:val="superscript"/>
          <w:lang w:val="it-IT"/>
        </w:rPr>
        <w:t>1)</w:t>
      </w:r>
      <w:r w:rsidRPr="00C35766">
        <w:rPr>
          <w:rFonts w:eastAsia="Times New Roman"/>
          <w:position w:val="8"/>
          <w:sz w:val="14"/>
          <w:szCs w:val="14"/>
          <w:lang w:val="it-IT"/>
        </w:rPr>
        <w:t xml:space="preserve"> </w:t>
      </w:r>
      <w:r w:rsidRPr="00C35766">
        <w:rPr>
          <w:rFonts w:eastAsia="Times New Roman"/>
          <w:position w:val="8"/>
          <w:lang w:val="it-IT"/>
        </w:rPr>
        <w:t>tra cui dati provenienti da segnalazioni spontanee</w:t>
      </w:r>
    </w:p>
    <w:p w14:paraId="68F2E805" w14:textId="77777777" w:rsidR="0075524C" w:rsidRPr="00C35766" w:rsidRDefault="0075524C" w:rsidP="0075524C">
      <w:pPr>
        <w:pStyle w:val="a3"/>
        <w:ind w:left="176" w:hangingChars="80" w:hanging="176"/>
        <w:rPr>
          <w:lang w:val="it-IT"/>
        </w:rPr>
      </w:pPr>
      <w:r w:rsidRPr="00C35766">
        <w:rPr>
          <w:vertAlign w:val="superscript"/>
          <w:lang w:val="it-IT"/>
        </w:rPr>
        <w:t>2)</w:t>
      </w:r>
      <w:r w:rsidRPr="00C35766">
        <w:rPr>
          <w:lang w:val="it-IT"/>
        </w:rPr>
        <w:t xml:space="preserve"> La variazione ponderale media rispetto al basale per adalimumab era compresa tra 0,3 kg e 1,0 kg per le indicazioni per adulti rispetto a (meno) - 0,4 kg e 0,4 kg per il placebo nell’arco di un periodo di trattamento di 4-6 mesi. È stato osservato anche un aumento di peso di 5-6 kg in studi di estensione a lungo termine con esposizioni medie di circa 1-2 anni in assenza di un gruppo di controllo, in particolare nei pazienti affetti da morbo di Crohn e colite ulcerosa. Il meccanismo alla base di questo effetto non è chiaro, ma potrebbe essere associato all’effetto antinfiammatorio di adalimumab.</w:t>
      </w:r>
    </w:p>
    <w:p w14:paraId="49BC01E0" w14:textId="77777777" w:rsidR="0075524C" w:rsidRPr="00C35766" w:rsidRDefault="0075524C" w:rsidP="0075524C">
      <w:pPr>
        <w:spacing w:before="13" w:line="240" w:lineRule="exact"/>
        <w:rPr>
          <w:rFonts w:ascii="Times New Roman" w:hAnsi="Times New Roman" w:cs="Times New Roman"/>
          <w:sz w:val="24"/>
          <w:szCs w:val="24"/>
          <w:lang w:val="pt-BR"/>
        </w:rPr>
      </w:pPr>
    </w:p>
    <w:p w14:paraId="3DF79F61" w14:textId="77777777" w:rsidR="0075524C" w:rsidRPr="00C35766" w:rsidRDefault="0075524C" w:rsidP="0075524C">
      <w:pPr>
        <w:pStyle w:val="a3"/>
        <w:rPr>
          <w:u w:val="single"/>
          <w:lang w:val="pt-BR"/>
        </w:rPr>
      </w:pPr>
      <w:r w:rsidRPr="00C35766">
        <w:rPr>
          <w:rFonts w:eastAsia="Times New Roman"/>
          <w:u w:val="single" w:color="000000"/>
          <w:lang w:val="it-IT"/>
        </w:rPr>
        <w:t>Uveite</w:t>
      </w:r>
    </w:p>
    <w:p w14:paraId="5FAA33F0" w14:textId="77777777" w:rsidR="0075524C" w:rsidRPr="00C35766" w:rsidRDefault="0075524C" w:rsidP="0075524C">
      <w:pPr>
        <w:spacing w:before="1" w:line="180" w:lineRule="exact"/>
        <w:rPr>
          <w:rFonts w:ascii="Times New Roman" w:hAnsi="Times New Roman" w:cs="Times New Roman"/>
          <w:sz w:val="18"/>
          <w:szCs w:val="18"/>
          <w:lang w:val="pt-BR"/>
        </w:rPr>
      </w:pPr>
    </w:p>
    <w:p w14:paraId="1F976704" w14:textId="77777777" w:rsidR="0075524C" w:rsidRPr="00C35766" w:rsidRDefault="0075524C" w:rsidP="0075524C">
      <w:pPr>
        <w:pStyle w:val="a3"/>
        <w:rPr>
          <w:lang w:val="pt-BR"/>
        </w:rPr>
      </w:pPr>
      <w:r w:rsidRPr="00C35766">
        <w:rPr>
          <w:rFonts w:eastAsia="Times New Roman"/>
          <w:lang w:val="it-IT"/>
        </w:rPr>
        <w:t>Il profilo di sicurezza di adalimumab utilizzato a settimane alterne nei pazienti con uverite è stato coerente con il profilo di sicurezza noto di adalimumab.</w:t>
      </w:r>
    </w:p>
    <w:p w14:paraId="0E57BC5A" w14:textId="77777777" w:rsidR="0075524C" w:rsidRPr="00C35766" w:rsidRDefault="0075524C" w:rsidP="0075524C">
      <w:pPr>
        <w:spacing w:before="11" w:line="240" w:lineRule="exact"/>
        <w:rPr>
          <w:rFonts w:ascii="Times New Roman" w:hAnsi="Times New Roman" w:cs="Times New Roman"/>
          <w:sz w:val="24"/>
          <w:szCs w:val="24"/>
          <w:lang w:val="pt-BR"/>
        </w:rPr>
      </w:pPr>
    </w:p>
    <w:p w14:paraId="56E18F80" w14:textId="77777777" w:rsidR="0075524C" w:rsidRPr="00C35766" w:rsidRDefault="0075524C" w:rsidP="0075524C">
      <w:pPr>
        <w:pStyle w:val="a3"/>
        <w:rPr>
          <w:u w:val="single"/>
          <w:lang w:val="pt-BR"/>
        </w:rPr>
      </w:pPr>
      <w:r w:rsidRPr="00C35766">
        <w:rPr>
          <w:rFonts w:eastAsia="Times New Roman"/>
          <w:u w:val="single" w:color="000000"/>
          <w:lang w:val="it-IT"/>
        </w:rPr>
        <w:t>Descrizione di reazioni avverse selezionate</w:t>
      </w:r>
    </w:p>
    <w:p w14:paraId="264B144B" w14:textId="77777777" w:rsidR="0075524C" w:rsidRPr="00C35766" w:rsidRDefault="0075524C" w:rsidP="0075524C">
      <w:pPr>
        <w:pStyle w:val="a3"/>
        <w:rPr>
          <w:sz w:val="18"/>
          <w:szCs w:val="18"/>
          <w:lang w:val="pt-BR"/>
        </w:rPr>
      </w:pPr>
    </w:p>
    <w:p w14:paraId="29563F37" w14:textId="77777777" w:rsidR="0075524C" w:rsidRPr="00C35766" w:rsidRDefault="0075524C" w:rsidP="0075524C">
      <w:pPr>
        <w:pStyle w:val="a3"/>
        <w:rPr>
          <w:rFonts w:eastAsia="Times New Roman"/>
          <w:lang w:val="pt-BR"/>
        </w:rPr>
      </w:pPr>
      <w:r w:rsidRPr="00C35766">
        <w:rPr>
          <w:rFonts w:eastAsia="Times New Roman"/>
          <w:i/>
          <w:iCs/>
          <w:spacing w:val="-1"/>
          <w:lang w:val="it-IT"/>
        </w:rPr>
        <w:t>Reazioni nel sito di iniezione</w:t>
      </w:r>
    </w:p>
    <w:p w14:paraId="6CC3DCC5" w14:textId="77777777" w:rsidR="0075524C" w:rsidRPr="00C35766" w:rsidRDefault="0075524C" w:rsidP="0075524C">
      <w:pPr>
        <w:pStyle w:val="a3"/>
        <w:rPr>
          <w:sz w:val="24"/>
          <w:szCs w:val="24"/>
          <w:lang w:val="pt-BR"/>
        </w:rPr>
      </w:pPr>
    </w:p>
    <w:p w14:paraId="30F96FD2" w14:textId="77777777" w:rsidR="0075524C" w:rsidRPr="00C35766" w:rsidRDefault="0075524C" w:rsidP="0075524C">
      <w:pPr>
        <w:pStyle w:val="a3"/>
        <w:rPr>
          <w:lang w:val="es-ES"/>
        </w:rPr>
      </w:pPr>
      <w:r w:rsidRPr="00C35766">
        <w:rPr>
          <w:rFonts w:eastAsia="Times New Roman"/>
          <w:lang w:val="it-IT"/>
        </w:rPr>
        <w:t>Negli studi clinici registrativi controllati su adulti e bambini, il 12,9% dei pazienti trattati con adalimumab ha manifestato reazioni nel sito d’iniezione (eritema e/o prurito, emorragia, dolore o tumefazione), rispetto al 7,2% dei pazienti trattati con placebo o con controllo attivo. Le reazioni nel sito d’iniezione non hanno richiesto generalmente la sospensione del medicinale.</w:t>
      </w:r>
    </w:p>
    <w:p w14:paraId="6C43A7AC" w14:textId="77777777" w:rsidR="0075524C" w:rsidRPr="00C35766" w:rsidRDefault="0075524C" w:rsidP="0075524C">
      <w:pPr>
        <w:pStyle w:val="a3"/>
        <w:rPr>
          <w:lang w:val="es-ES"/>
        </w:rPr>
      </w:pPr>
    </w:p>
    <w:p w14:paraId="7A847043" w14:textId="77777777" w:rsidR="0075524C" w:rsidRPr="00C35766" w:rsidRDefault="0075524C" w:rsidP="0075524C">
      <w:pPr>
        <w:pStyle w:val="a3"/>
        <w:rPr>
          <w:rFonts w:eastAsia="Times New Roman"/>
          <w:lang w:val="es-ES"/>
        </w:rPr>
      </w:pPr>
      <w:r w:rsidRPr="00C35766">
        <w:rPr>
          <w:rFonts w:eastAsia="Times New Roman"/>
          <w:i/>
          <w:iCs/>
          <w:spacing w:val="-1"/>
          <w:lang w:val="it-IT"/>
        </w:rPr>
        <w:t>Infezioni</w:t>
      </w:r>
    </w:p>
    <w:p w14:paraId="45D3A111" w14:textId="77777777" w:rsidR="0075524C" w:rsidRPr="00C35766" w:rsidRDefault="0075524C" w:rsidP="0075524C">
      <w:pPr>
        <w:pStyle w:val="a3"/>
        <w:rPr>
          <w:lang w:val="es-ES"/>
        </w:rPr>
      </w:pPr>
    </w:p>
    <w:p w14:paraId="62D6E436" w14:textId="77777777" w:rsidR="0075524C" w:rsidRPr="00C35766" w:rsidRDefault="0075524C" w:rsidP="0075524C">
      <w:pPr>
        <w:pStyle w:val="a3"/>
        <w:rPr>
          <w:lang w:val="it-IT"/>
        </w:rPr>
      </w:pPr>
      <w:r w:rsidRPr="00C35766">
        <w:rPr>
          <w:rFonts w:eastAsia="Times New Roman"/>
          <w:lang w:val="it-IT"/>
        </w:rPr>
        <w:t>Negli studi clinici registrativi controllati su adulti e bambini, il tasso d’infezione è stato di 1,51 per paziente/anno nel gruppo trattato con adalimumab e di 1,46 per paziente/anno nel gruppo trattato con placebo e con controllo attivo. Le infezioni sono state rappresentate principalmente da rinofaringiti, infezioni delle vie respiratorie superiori e sinusite. La maggior parte dei pazienti ha continuato ad assumere adalimumab dopo la remissione dell’infezione.</w:t>
      </w:r>
    </w:p>
    <w:p w14:paraId="68FDE00E" w14:textId="77777777" w:rsidR="0075524C" w:rsidRPr="00C35766" w:rsidRDefault="0075524C" w:rsidP="0075524C">
      <w:pPr>
        <w:pStyle w:val="a3"/>
        <w:rPr>
          <w:lang w:val="it-IT"/>
        </w:rPr>
      </w:pPr>
    </w:p>
    <w:p w14:paraId="6E895D43" w14:textId="77777777" w:rsidR="0075524C" w:rsidRPr="00C35766" w:rsidRDefault="0075524C" w:rsidP="0075524C">
      <w:pPr>
        <w:pStyle w:val="a3"/>
        <w:rPr>
          <w:lang w:val="it-IT"/>
        </w:rPr>
      </w:pPr>
      <w:r w:rsidRPr="00C35766">
        <w:rPr>
          <w:rFonts w:eastAsia="Times New Roman"/>
          <w:lang w:val="it-IT"/>
        </w:rPr>
        <w:t>L’incidenza di infezioni gravi è stata di 0,04 per paziente/anno nel gruppo trattato con adalimumab e di 0,03 per paziente/anno in quello trattato con placebo e con controllo attivo.</w:t>
      </w:r>
    </w:p>
    <w:p w14:paraId="26CBCDED" w14:textId="77777777" w:rsidR="0075524C" w:rsidRPr="00C35766" w:rsidRDefault="0075524C" w:rsidP="0075524C">
      <w:pPr>
        <w:pStyle w:val="a3"/>
        <w:rPr>
          <w:lang w:val="it-IT"/>
        </w:rPr>
      </w:pPr>
    </w:p>
    <w:p w14:paraId="73A7B6DD" w14:textId="77777777" w:rsidR="0075524C" w:rsidRPr="00C35766" w:rsidRDefault="0075524C" w:rsidP="0075524C">
      <w:pPr>
        <w:pStyle w:val="a3"/>
        <w:rPr>
          <w:lang w:val="it-IT"/>
        </w:rPr>
      </w:pPr>
      <w:r w:rsidRPr="00C35766">
        <w:rPr>
          <w:rFonts w:eastAsia="Times New Roman"/>
          <w:lang w:val="it-IT"/>
        </w:rPr>
        <w:t xml:space="preserve">Nel corso degli studi controllati e in aperto condotti con adalimumab su adulti e bambini, sono state segnalate infezioni di grave entità (anche infezioni fatali, verificatesi solo raramente), che hanno incluso segnalazioni di casi di tubercolosi (anche con localizzazioni miliari ed extra-polmonari) e infezioni opportunistiche invasive (per esempio, da istoplasmosi disseminata o extrapolmonare, blastomicosi, coccidioidomicosi, pneumocistosi, candidiasi, aspergillosi e listeriosi). La maggior parte dei casi di tubercolosi si è verificata nel corso dei primi otto mesi dall’inizio della terapia e possono essere interpretati </w:t>
      </w:r>
      <w:r w:rsidRPr="00C35766">
        <w:rPr>
          <w:rFonts w:eastAsia="Times New Roman"/>
          <w:lang w:val="it-IT"/>
        </w:rPr>
        <w:lastRenderedPageBreak/>
        <w:t>come una recrudescenza della malattia latente.</w:t>
      </w:r>
    </w:p>
    <w:p w14:paraId="041F3E37" w14:textId="77777777" w:rsidR="0075524C" w:rsidRPr="00C35766" w:rsidRDefault="0075524C" w:rsidP="0075524C">
      <w:pPr>
        <w:pStyle w:val="a3"/>
        <w:rPr>
          <w:lang w:val="it-IT"/>
        </w:rPr>
      </w:pPr>
    </w:p>
    <w:p w14:paraId="3DA27642" w14:textId="77777777" w:rsidR="0075524C" w:rsidRPr="00C35766" w:rsidRDefault="0075524C" w:rsidP="0075524C">
      <w:pPr>
        <w:pStyle w:val="a3"/>
        <w:rPr>
          <w:rFonts w:eastAsia="Times New Roman"/>
          <w:lang w:val="it-IT"/>
        </w:rPr>
      </w:pPr>
      <w:r w:rsidRPr="00C35766">
        <w:rPr>
          <w:rFonts w:eastAsia="Times New Roman"/>
          <w:i/>
          <w:iCs/>
          <w:spacing w:val="-1"/>
          <w:lang w:val="it-IT"/>
        </w:rPr>
        <w:t>Neoplasie e malattie linfoproliferative</w:t>
      </w:r>
    </w:p>
    <w:p w14:paraId="1C9F973F" w14:textId="77777777" w:rsidR="0075524C" w:rsidRPr="00C35766" w:rsidRDefault="0075524C" w:rsidP="0075524C">
      <w:pPr>
        <w:pStyle w:val="a3"/>
        <w:rPr>
          <w:lang w:val="it-IT"/>
        </w:rPr>
      </w:pPr>
    </w:p>
    <w:p w14:paraId="317A1A7D" w14:textId="67A03EF6" w:rsidR="0075524C" w:rsidRPr="00C35766" w:rsidRDefault="0075524C" w:rsidP="0075524C">
      <w:pPr>
        <w:pStyle w:val="a3"/>
        <w:rPr>
          <w:lang w:val="it-IT"/>
        </w:rPr>
      </w:pPr>
      <w:r w:rsidRPr="00C35766">
        <w:rPr>
          <w:rFonts w:eastAsia="Times New Roman"/>
          <w:lang w:val="it-IT"/>
        </w:rPr>
        <w:t>Nel corso di studi eseguiti somministrando adalimumab ai pazienti affetti da artrite idiopatica giovanile (artrite idiopatica giovanile poliarticolare e artrite associata ad entesite), non sono state osservate neoplasie maligne nei 249 pazienti pediatrici con un’esposizione di 655,6 anni-paziente. In aggiunta non sono state osservate neoplasie maligne nei 192 pazienti pediatrici con una esposizione di 498,1 anni-paziente durante studi eseguiti somministrando adalimumab ai pazienti pediatrici affetti da Malattia di Crohn. Nel corso di uno studio in cui è stato somministrato adalimumab a pazienti pediatrici con psoriasi cronica a placche, non è stata osservata alcuna neoplasia maligna in 77 pazienti con un’esposizione di 80,0 anni-paziente. Nel corso di uno studio in cui è stato somministrato adalimumab a pazienti pediatrici con uveite, non è stata osservata alcuna neoplasia maligna in 60 pazienti pediatrici con un’esposizione di 58,4 anni-paziente.</w:t>
      </w:r>
    </w:p>
    <w:p w14:paraId="3456F5A4" w14:textId="77777777" w:rsidR="0075524C" w:rsidRPr="00C35766" w:rsidRDefault="0075524C" w:rsidP="0075524C">
      <w:pPr>
        <w:spacing w:before="13" w:line="240" w:lineRule="exact"/>
        <w:rPr>
          <w:rFonts w:ascii="Times New Roman" w:hAnsi="Times New Roman" w:cs="Times New Roman"/>
          <w:sz w:val="24"/>
          <w:szCs w:val="24"/>
          <w:lang w:val="it-IT"/>
        </w:rPr>
      </w:pPr>
    </w:p>
    <w:p w14:paraId="071A7251" w14:textId="77777777" w:rsidR="0075524C" w:rsidRPr="00C35766" w:rsidRDefault="0075524C" w:rsidP="0075524C">
      <w:pPr>
        <w:pStyle w:val="a3"/>
        <w:rPr>
          <w:lang w:val="it-IT"/>
        </w:rPr>
      </w:pPr>
      <w:r w:rsidRPr="00C35766">
        <w:rPr>
          <w:rFonts w:eastAsia="Times New Roman"/>
          <w:lang w:val="it-IT"/>
        </w:rPr>
        <w:t xml:space="preserve">Nelle sezioni controllate di studi registrativi su adulti con adalimumab della durata di almeno 12 settimane in pazienti con artrite reumatoide attiva di grado da moderato a severo, spondilite anchilosante, spondiloartrite assiale senza evidenza radiografica di SA, artrite psoriasica, psoriasi, idrosadenite suppurativa, malattia di Crohn, colite ulcerosa e uveite, sono state osservate neoplasie, oltre a linfoma e carcinoma cutaneo non melanotico con un tasso (95% di intervallo di confidenza) di 6,8 (4,4; 10,5) per 1.000 anni-paziente in 5.291 pazienti trattati con adalimumab </w:t>
      </w:r>
      <w:r w:rsidRPr="00C35766">
        <w:rPr>
          <w:rFonts w:eastAsia="Times New Roman"/>
          <w:i/>
          <w:iCs/>
          <w:lang w:val="it-IT"/>
        </w:rPr>
        <w:t xml:space="preserve">rispetto a </w:t>
      </w:r>
      <w:r w:rsidRPr="00C35766">
        <w:rPr>
          <w:rFonts w:eastAsia="Times New Roman"/>
          <w:lang w:val="it-IT"/>
        </w:rPr>
        <w:t>un tasso di 6,3 (3,4; 11,8) per 1.000 anni-paziente in 3.444 pazienti controllo (la durata mediana del trattamento è stata 4,0 mesi per i pazienti trattati con adalimumab e 3,8 mesi per i pazienti controllo).  Il tasso (95% di intervallo di confidenza) dei carcinomi cutanei non melanotici è stato di 8,8 (6,0; 13,0) per 1.000 anni-paziente nei pazienti trattati con adalimumab e 3,2 (1,3;7,6) per 1.000 anni-paziente nei pazienti controllo. Di questi carcinomi cutanei, i carcinomi a cellule squamose si sono verificati con tassi (95% di intervallo di confidenza) di 2,7 (1,4; 5,4) per 1.000 anni-paziente nei pazienti trattati con adalimumab e 0,6 (0,1;4,5) per 1.000 anni-paziente nei pazienti controllo. Il tasso (95% di intervallo di confidenza) di linfomi è stato di 0,7 (0,2; 2,7) per 1.000 anni-paziente nei pazienti trattati con adalimumab e 0,6 (0,1; 4,5) per 1.000 anni-paziente nei pazienti controllo.</w:t>
      </w:r>
    </w:p>
    <w:p w14:paraId="1CA049D2" w14:textId="77777777" w:rsidR="0075524C" w:rsidRPr="00C35766" w:rsidRDefault="0075524C" w:rsidP="0075524C">
      <w:pPr>
        <w:spacing w:before="13" w:line="240" w:lineRule="exact"/>
        <w:rPr>
          <w:rFonts w:ascii="Times New Roman" w:hAnsi="Times New Roman" w:cs="Times New Roman"/>
          <w:sz w:val="24"/>
          <w:szCs w:val="24"/>
          <w:lang w:val="it-IT"/>
        </w:rPr>
      </w:pPr>
    </w:p>
    <w:p w14:paraId="4C3CC033" w14:textId="77777777" w:rsidR="0075524C" w:rsidRPr="00C35766" w:rsidRDefault="0075524C" w:rsidP="0075524C">
      <w:pPr>
        <w:pStyle w:val="a3"/>
        <w:rPr>
          <w:lang w:val="it-IT"/>
        </w:rPr>
      </w:pPr>
      <w:r w:rsidRPr="00C35766">
        <w:rPr>
          <w:rFonts w:eastAsia="Times New Roman"/>
          <w:lang w:val="it-IT"/>
        </w:rPr>
        <w:t>Quando vengono combinate parti controllate di questi studi e studi di estensione in aperto sia in corso che completati con una durata mediana di circa 3,3 anni includendo 6.427 pazienti e più di 26.439 anni-paziente di terapia, il tasso di neoplasie osservate, a parte linfoma e carcinoma cutaneo non melanotico, è di circa 8,5 per 1.000 anni-paziente. Il tasso osservato di carcinoma cutaneo non melanotico è di circa 9,6 per 1.000 anni-paziente e il tasso osservato di linfomi è di circa 1,3 per 1.000 anni-paziente.</w:t>
      </w:r>
    </w:p>
    <w:p w14:paraId="51A6463C" w14:textId="77777777" w:rsidR="0075524C" w:rsidRPr="00C35766" w:rsidRDefault="0075524C" w:rsidP="0075524C">
      <w:pPr>
        <w:spacing w:before="14" w:line="240" w:lineRule="exact"/>
        <w:rPr>
          <w:rFonts w:ascii="Times New Roman" w:hAnsi="Times New Roman" w:cs="Times New Roman"/>
          <w:sz w:val="24"/>
          <w:szCs w:val="24"/>
          <w:lang w:val="it-IT"/>
        </w:rPr>
      </w:pPr>
    </w:p>
    <w:p w14:paraId="39552A67" w14:textId="17B982E3" w:rsidR="002F12BC" w:rsidRPr="00C35766" w:rsidRDefault="002F12BC" w:rsidP="002F12BC">
      <w:pPr>
        <w:pStyle w:val="a3"/>
        <w:rPr>
          <w:lang w:val="pt-BR"/>
        </w:rPr>
      </w:pPr>
      <w:r w:rsidRPr="00C35766">
        <w:rPr>
          <w:rFonts w:eastAsia="Times New Roman"/>
          <w:lang w:val="it-IT"/>
        </w:rPr>
        <w:t xml:space="preserve">Nell’esperienza post-marketing da gennaio 2003 a dicembre 2010, principalmente in pazienti affetti da artrite reumatoide, il tasso di neoplasie </w:t>
      </w:r>
      <w:r w:rsidRPr="006501B3">
        <w:rPr>
          <w:color w:val="000000"/>
          <w:lang w:val="it-IT"/>
        </w:rPr>
        <w:t xml:space="preserve">riportato spontaneamente </w:t>
      </w:r>
      <w:r w:rsidRPr="00C35766">
        <w:rPr>
          <w:rFonts w:eastAsia="Times New Roman"/>
          <w:lang w:val="it-IT"/>
        </w:rPr>
        <w:t xml:space="preserve">è di circa 2,7 per 1.000 anni trattamento/paziente. I tassi riportati </w:t>
      </w:r>
      <w:r w:rsidRPr="006501B3">
        <w:rPr>
          <w:color w:val="000000"/>
          <w:lang w:val="it-IT"/>
        </w:rPr>
        <w:t>spontaneamente</w:t>
      </w:r>
      <w:r w:rsidR="00D93BF0" w:rsidRPr="006501B3">
        <w:rPr>
          <w:color w:val="000000"/>
          <w:lang w:val="it-IT"/>
        </w:rPr>
        <w:t>,</w:t>
      </w:r>
      <w:r w:rsidRPr="006501B3">
        <w:rPr>
          <w:color w:val="000000"/>
          <w:lang w:val="it-IT"/>
        </w:rPr>
        <w:t xml:space="preserve"> </w:t>
      </w:r>
      <w:r w:rsidRPr="00C35766">
        <w:rPr>
          <w:rFonts w:eastAsia="Times New Roman"/>
          <w:lang w:val="it-IT"/>
        </w:rPr>
        <w:t>rispettivamente per carcinomi cutanei non melanotici e linfomi</w:t>
      </w:r>
      <w:r w:rsidR="00D93BF0">
        <w:rPr>
          <w:rFonts w:eastAsia="Times New Roman"/>
          <w:lang w:val="it-IT"/>
        </w:rPr>
        <w:t>,</w:t>
      </w:r>
      <w:r w:rsidRPr="00C35766">
        <w:rPr>
          <w:rFonts w:eastAsia="Times New Roman"/>
          <w:lang w:val="it-IT"/>
        </w:rPr>
        <w:t xml:space="preserve"> sono di circa 0,2 e 0,3 per 1.000 anni trattamento/paziente (vedere paragrafo 4.4).</w:t>
      </w:r>
    </w:p>
    <w:p w14:paraId="466A5933" w14:textId="77777777" w:rsidR="0075524C" w:rsidRPr="002F12BC" w:rsidRDefault="0075524C" w:rsidP="0075524C">
      <w:pPr>
        <w:spacing w:before="17" w:line="240" w:lineRule="exact"/>
        <w:rPr>
          <w:rFonts w:ascii="Times New Roman" w:hAnsi="Times New Roman" w:cs="Times New Roman"/>
          <w:sz w:val="24"/>
          <w:szCs w:val="24"/>
          <w:lang w:val="pt-BR"/>
        </w:rPr>
      </w:pPr>
    </w:p>
    <w:p w14:paraId="78ECC8E0" w14:textId="77777777" w:rsidR="0075524C" w:rsidRPr="00C35766" w:rsidRDefault="0075524C" w:rsidP="0075524C">
      <w:pPr>
        <w:pStyle w:val="a3"/>
        <w:rPr>
          <w:lang w:val="pt-BR"/>
        </w:rPr>
      </w:pPr>
      <w:r w:rsidRPr="00C35766">
        <w:rPr>
          <w:rFonts w:eastAsia="Times New Roman"/>
          <w:lang w:val="it-IT"/>
        </w:rPr>
        <w:t>Nell’esperienza post-marketing sono stati segnalati rari casi di linfoma epatosplenico a cellule T nei pazienti trattati con adalimumab (vedere paragrafo 4.4).</w:t>
      </w:r>
    </w:p>
    <w:p w14:paraId="2EE320ED" w14:textId="77777777" w:rsidR="0075524C" w:rsidRPr="00C35766" w:rsidRDefault="0075524C" w:rsidP="0075524C">
      <w:pPr>
        <w:pStyle w:val="a3"/>
        <w:rPr>
          <w:sz w:val="24"/>
          <w:szCs w:val="24"/>
          <w:lang w:val="pt-BR"/>
        </w:rPr>
      </w:pPr>
    </w:p>
    <w:p w14:paraId="5A72FF22" w14:textId="77777777" w:rsidR="0075524C" w:rsidRPr="00C35766" w:rsidRDefault="0075524C" w:rsidP="0075524C">
      <w:pPr>
        <w:pStyle w:val="a3"/>
        <w:rPr>
          <w:rFonts w:eastAsia="Times New Roman"/>
          <w:lang w:val="pt-BR"/>
        </w:rPr>
      </w:pPr>
      <w:r w:rsidRPr="00C35766">
        <w:rPr>
          <w:rFonts w:eastAsia="Times New Roman"/>
          <w:i/>
          <w:iCs/>
          <w:spacing w:val="-1"/>
          <w:lang w:val="it-IT"/>
        </w:rPr>
        <w:t>Autoanticorpi</w:t>
      </w:r>
    </w:p>
    <w:p w14:paraId="08B2AFCB" w14:textId="77777777" w:rsidR="0075524C" w:rsidRPr="00C35766" w:rsidRDefault="0075524C" w:rsidP="0075524C">
      <w:pPr>
        <w:pStyle w:val="a3"/>
        <w:rPr>
          <w:sz w:val="24"/>
          <w:szCs w:val="24"/>
          <w:lang w:val="pt-BR"/>
        </w:rPr>
      </w:pPr>
    </w:p>
    <w:p w14:paraId="4A0EBC90" w14:textId="77777777" w:rsidR="0075524C" w:rsidRPr="00C35766" w:rsidRDefault="0075524C" w:rsidP="0075524C">
      <w:pPr>
        <w:pStyle w:val="a3"/>
        <w:rPr>
          <w:lang w:val="it-IT"/>
        </w:rPr>
      </w:pPr>
      <w:r w:rsidRPr="00C35766">
        <w:rPr>
          <w:rFonts w:eastAsia="Times New Roman"/>
          <w:lang w:val="it-IT"/>
        </w:rPr>
        <w:t>Nel corso degli studi I-V condotti sull’artrite reumatoide, sono stati analizzati, a vari intervalli temporali, i campioni sierici dei pazienti per la valutazione degli autoanticorpi. In questi studi, l’11,9% dei pazienti trattati con adalimumab e l’8,1% dei pazienti trattati con placebo e con controllo attivo, che presentavano valori negativi di anticorpi antinucleo al basale, ha presentato valori positivi alla settimana 24. Due pazienti su 3.441 trattati con adalimumab nel corso di tutti gli studi condotti sull’artrite reumatoide e sull’artrite psoriasica hanno manifestato segni clinici che indicavano l’insorgenza di una sindrome simile al lupus. I pazienti sono migliorati dopo la sospensione della terapia. Nessun paziente ha sviluppato una nefrite da lupus o sintomi a carico del sistema nervoso centrale.</w:t>
      </w:r>
    </w:p>
    <w:p w14:paraId="3264B488" w14:textId="77777777" w:rsidR="0075524C" w:rsidRPr="00C35766" w:rsidRDefault="0075524C" w:rsidP="0075524C">
      <w:pPr>
        <w:pStyle w:val="a3"/>
        <w:rPr>
          <w:sz w:val="24"/>
          <w:szCs w:val="24"/>
          <w:lang w:val="it-IT"/>
        </w:rPr>
      </w:pPr>
    </w:p>
    <w:p w14:paraId="5C6EA58A" w14:textId="77777777" w:rsidR="0075524C" w:rsidRPr="00C35766" w:rsidRDefault="0075524C" w:rsidP="0075524C">
      <w:pPr>
        <w:pStyle w:val="a3"/>
        <w:rPr>
          <w:rFonts w:eastAsia="Times New Roman"/>
          <w:lang w:val="it-IT"/>
        </w:rPr>
      </w:pPr>
      <w:r w:rsidRPr="00C35766">
        <w:rPr>
          <w:rFonts w:eastAsia="Times New Roman"/>
          <w:i/>
          <w:iCs/>
          <w:lang w:val="it-IT"/>
        </w:rPr>
        <w:t>Eventi epato-biliari</w:t>
      </w:r>
    </w:p>
    <w:p w14:paraId="1BD17AB3" w14:textId="77777777" w:rsidR="0075524C" w:rsidRPr="00C35766" w:rsidRDefault="0075524C" w:rsidP="0075524C">
      <w:pPr>
        <w:pStyle w:val="a3"/>
        <w:rPr>
          <w:sz w:val="24"/>
          <w:szCs w:val="24"/>
          <w:lang w:val="it-IT"/>
        </w:rPr>
      </w:pPr>
    </w:p>
    <w:p w14:paraId="4E5CD727" w14:textId="77777777" w:rsidR="0075524C" w:rsidRPr="00C35766" w:rsidRDefault="0075524C" w:rsidP="0075524C">
      <w:pPr>
        <w:pStyle w:val="a3"/>
        <w:rPr>
          <w:lang w:val="it-IT"/>
        </w:rPr>
      </w:pPr>
      <w:r w:rsidRPr="00C35766">
        <w:rPr>
          <w:rFonts w:eastAsia="Times New Roman"/>
          <w:lang w:val="it-IT"/>
        </w:rPr>
        <w:t>Negli studi clinici controllati di Fase 3 di adalimumab in pazienti con artrite reumatoide e artrite psoriasica con una durata del periodo di controllo che va da 4 a 104 settimane, gli aumenti delle transaminasi ALT superiori o uguali a tre volte il limite superiore di normalità (ULN) si sono verificati nel 3,7% dei pazienti trattati con adalimumab e nell’1,6% dei pazienti trattati con il controllo.</w:t>
      </w:r>
    </w:p>
    <w:p w14:paraId="5AB6E0DD" w14:textId="77777777" w:rsidR="0075524C" w:rsidRPr="00C35766" w:rsidRDefault="0075524C" w:rsidP="0075524C">
      <w:pPr>
        <w:pStyle w:val="a3"/>
        <w:rPr>
          <w:sz w:val="24"/>
          <w:szCs w:val="24"/>
          <w:lang w:val="it-IT"/>
        </w:rPr>
      </w:pPr>
    </w:p>
    <w:p w14:paraId="34DD5521" w14:textId="77777777" w:rsidR="0075524C" w:rsidRPr="00C35766" w:rsidRDefault="0075524C" w:rsidP="0075524C">
      <w:pPr>
        <w:pStyle w:val="a3"/>
        <w:rPr>
          <w:lang w:val="it-IT"/>
        </w:rPr>
      </w:pPr>
      <w:r w:rsidRPr="00C35766">
        <w:rPr>
          <w:rFonts w:eastAsia="Times New Roman"/>
          <w:lang w:val="it-IT"/>
        </w:rPr>
        <w:t>Negli studi clinici controllati di Fase 3 di adalimumab in pazienti con artrite idiopatica giovanile poliarticolare che avevano da 4 a 17 anni di età e in pazienti con artrite associata ad entesite, dai 6 ai 17 anni di età, gli aumenti delle transaminasi ALT superiori o uguali a tre volte l’ULN si sono verificati nel 6,1% dei pazienti trattati con adalimumab e nell’1,3% dei pazienti trattati con il farmaco di controllo. La maggior parte degli aumenti delle transaminasi ALT si sono verificati con l’uso concomitante di metotressato. Non si sono verificati aumenti delle transaminasi ALT superiori o uguali a tre volte l’ULN nello studio clinico di Fase 3 con adalimumab in pazienti con artrite idiopatica giovanile poliarticolare di età compresa tra 2 e &lt; 4 anni.</w:t>
      </w:r>
    </w:p>
    <w:p w14:paraId="2A179A79" w14:textId="77777777" w:rsidR="0075524C" w:rsidRPr="00C35766" w:rsidRDefault="0075524C" w:rsidP="0075524C">
      <w:pPr>
        <w:pStyle w:val="a3"/>
        <w:rPr>
          <w:sz w:val="24"/>
          <w:szCs w:val="24"/>
          <w:lang w:val="it-IT"/>
        </w:rPr>
      </w:pPr>
    </w:p>
    <w:p w14:paraId="668DD25F" w14:textId="77777777" w:rsidR="0075524C" w:rsidRPr="00C35766" w:rsidRDefault="0075524C" w:rsidP="0075524C">
      <w:pPr>
        <w:pStyle w:val="a3"/>
        <w:rPr>
          <w:lang w:val="it-IT"/>
        </w:rPr>
      </w:pPr>
      <w:r w:rsidRPr="00C35766">
        <w:rPr>
          <w:rFonts w:eastAsia="Times New Roman"/>
          <w:lang w:val="it-IT"/>
        </w:rPr>
        <w:t>Negli studi clinici controllati di Fase 3 di adalimumab in pazienti con malattia di Crohn e colite ulcerosa con un periodo di controllo che va da 4 a 52 settimane, gli aumenti delle transaminasi ALT superiori o uguali a tre volte l’ULN si sono verificati nello 0,9% dei pazienti trattati con adalimumab e nello 0,9% dei pazienti trattati con il controllo.</w:t>
      </w:r>
    </w:p>
    <w:p w14:paraId="69CC6C1D" w14:textId="77777777" w:rsidR="0075524C" w:rsidRPr="00C35766" w:rsidRDefault="0075524C" w:rsidP="0075524C">
      <w:pPr>
        <w:spacing w:before="11" w:line="240" w:lineRule="exact"/>
        <w:rPr>
          <w:rFonts w:ascii="Times New Roman" w:hAnsi="Times New Roman" w:cs="Times New Roman"/>
          <w:sz w:val="24"/>
          <w:szCs w:val="24"/>
          <w:lang w:val="it-IT"/>
        </w:rPr>
      </w:pPr>
    </w:p>
    <w:p w14:paraId="625C7A10" w14:textId="77777777" w:rsidR="0075524C" w:rsidRPr="00C35766" w:rsidRDefault="0075524C" w:rsidP="0075524C">
      <w:pPr>
        <w:pStyle w:val="a3"/>
        <w:rPr>
          <w:lang w:val="it-IT"/>
        </w:rPr>
      </w:pPr>
      <w:r w:rsidRPr="00C35766">
        <w:rPr>
          <w:rFonts w:eastAsia="Times New Roman"/>
          <w:lang w:val="it-IT"/>
        </w:rPr>
        <w:t>Nello studio di fase 3 di adalimumab, in pazienti con malattia di Crohn in età pediatrica, che ha valutato la sicurezza e l’efficacia dei due regimi posologici aggiustati per il peso corporeo per la terapia di mantenimento che segue la terapia di induzione aggiustata per il peso corporeo fino a 52 settimane di trattamento, sono stati trovati livelli di ALT superiori o uguali a tre volte l’ULN nel 2,6% (5/192) dei pazienti di cui 4 ricevevano un trattamento concomitante con immunosoppressori al basale.</w:t>
      </w:r>
    </w:p>
    <w:p w14:paraId="10C39660" w14:textId="77777777" w:rsidR="0075524C" w:rsidRPr="00C35766" w:rsidRDefault="0075524C" w:rsidP="0075524C">
      <w:pPr>
        <w:spacing w:before="13" w:line="240" w:lineRule="exact"/>
        <w:rPr>
          <w:rFonts w:ascii="Times New Roman" w:hAnsi="Times New Roman" w:cs="Times New Roman"/>
          <w:sz w:val="24"/>
          <w:szCs w:val="24"/>
          <w:lang w:val="it-IT"/>
        </w:rPr>
      </w:pPr>
    </w:p>
    <w:p w14:paraId="3A6C9D31" w14:textId="77777777" w:rsidR="0075524C" w:rsidRPr="00C35766" w:rsidRDefault="0075524C" w:rsidP="0075524C">
      <w:pPr>
        <w:pStyle w:val="a3"/>
        <w:rPr>
          <w:lang w:val="it-IT"/>
        </w:rPr>
      </w:pPr>
      <w:r w:rsidRPr="00C35766">
        <w:rPr>
          <w:rFonts w:eastAsia="Times New Roman"/>
          <w:lang w:val="it-IT"/>
        </w:rPr>
        <w:t>Negli studi clinici controllati di Fase 3 di adalimumab in pazienti con psoriasi a placche con una durata del periodo di controllo che va da 12 a 24 settimane, gli aumenti delle transaminasi ALT superiori o uguali a tre volte il limite superiore di normalità si sono verificati nell’1,8% dei pazienti trattati con adalimumab e nell’1,8% dei pazienti trattati con il controllo.</w:t>
      </w:r>
    </w:p>
    <w:p w14:paraId="73D7431B" w14:textId="77777777" w:rsidR="0075524C" w:rsidRPr="00C35766" w:rsidRDefault="0075524C" w:rsidP="0075524C">
      <w:pPr>
        <w:spacing w:before="17" w:line="240" w:lineRule="exact"/>
        <w:rPr>
          <w:rFonts w:ascii="Times New Roman" w:hAnsi="Times New Roman" w:cs="Times New Roman"/>
          <w:sz w:val="24"/>
          <w:szCs w:val="24"/>
          <w:lang w:val="it-IT"/>
        </w:rPr>
      </w:pPr>
    </w:p>
    <w:p w14:paraId="243648A3" w14:textId="77777777" w:rsidR="0075524C" w:rsidRPr="00C35766" w:rsidRDefault="0075524C" w:rsidP="0075524C">
      <w:pPr>
        <w:pStyle w:val="a3"/>
        <w:rPr>
          <w:lang w:val="it-IT"/>
        </w:rPr>
      </w:pPr>
      <w:r w:rsidRPr="00C35766">
        <w:rPr>
          <w:rFonts w:eastAsia="Times New Roman"/>
          <w:lang w:val="it-IT"/>
        </w:rPr>
        <w:t>Nello studio di fase 3 di adalimumab in pazienti pediatrici con psoriasi a placche non si è verificato alcun aumento dei livelli di ALT superiore o uguale a tre volte l’ULN.</w:t>
      </w:r>
    </w:p>
    <w:p w14:paraId="2D68A52D" w14:textId="77777777" w:rsidR="0075524C" w:rsidRPr="00C35766" w:rsidRDefault="0075524C" w:rsidP="0075524C">
      <w:pPr>
        <w:spacing w:before="17" w:line="240" w:lineRule="exact"/>
        <w:rPr>
          <w:rFonts w:ascii="Times New Roman" w:hAnsi="Times New Roman" w:cs="Times New Roman"/>
          <w:sz w:val="24"/>
          <w:szCs w:val="24"/>
          <w:lang w:val="it-IT"/>
        </w:rPr>
      </w:pPr>
    </w:p>
    <w:p w14:paraId="22958777" w14:textId="77777777" w:rsidR="0075524C" w:rsidRPr="00C35766" w:rsidRDefault="0075524C" w:rsidP="0075524C">
      <w:pPr>
        <w:pStyle w:val="a3"/>
        <w:rPr>
          <w:lang w:val="it-IT"/>
        </w:rPr>
      </w:pPr>
      <w:r w:rsidRPr="00C35766">
        <w:rPr>
          <w:rFonts w:eastAsia="Times New Roman"/>
          <w:lang w:val="it-IT"/>
        </w:rPr>
        <w:t>Negli studi clinici controllati di adalimumab (dosi iniziali di 80 mg alla settimana 0 seguiti da 40 mg a settimane alterne a partire dalla settimana 1) in pazienti adulti con uveite fino a 80 settimane con un’esposizione mediana rispettivamente di 166,5 giorni nei pazienti trattati con adalimumab e di 105,0 giorni nei pazienti trattati con il controllo, aumenti dei livelli di ALT superiori o uguali a tre volte l’ULN si sono verificati nel 2,4% dei pazienti trattati con adalimumab e nel 2,4% dei pazienti trattati con il controllo.</w:t>
      </w:r>
    </w:p>
    <w:p w14:paraId="5CFB34DF" w14:textId="77777777" w:rsidR="0075524C" w:rsidRPr="00C35766" w:rsidRDefault="0075524C" w:rsidP="0075524C">
      <w:pPr>
        <w:spacing w:before="11" w:line="240" w:lineRule="exact"/>
        <w:rPr>
          <w:rFonts w:ascii="Times New Roman" w:hAnsi="Times New Roman" w:cs="Times New Roman"/>
          <w:sz w:val="24"/>
          <w:szCs w:val="24"/>
          <w:lang w:val="it-IT"/>
        </w:rPr>
      </w:pPr>
    </w:p>
    <w:p w14:paraId="2C284566" w14:textId="77777777" w:rsidR="0075524C" w:rsidRPr="00C35766" w:rsidRDefault="0075524C" w:rsidP="0075524C">
      <w:pPr>
        <w:pStyle w:val="a3"/>
        <w:rPr>
          <w:lang w:val="it-IT"/>
        </w:rPr>
      </w:pPr>
      <w:r w:rsidRPr="00C35766">
        <w:rPr>
          <w:rFonts w:eastAsia="Times New Roman"/>
          <w:lang w:val="it-IT"/>
        </w:rPr>
        <w:t>Negli studi clinici, in tutte le indicazioni, i pazienti con livelli aumentati di transaminasi ALT erano asintomatici e nella maggior parte dei casi gli innalzamenti erano transitori e si sono risolti nel corso del trattamento. Tuttavia, in pazienti trattati con adalimumab, sono stati riportati anche casi post-marketing di insufficienza epatica come pure di disordini epatici meno severi che possono precedere l’insufficienza epatica, come l’epatite, inclusa l’epatite autoimmune.</w:t>
      </w:r>
    </w:p>
    <w:p w14:paraId="1FFB3399" w14:textId="77777777" w:rsidR="0075524C" w:rsidRPr="00C35766" w:rsidRDefault="0075524C" w:rsidP="0075524C">
      <w:pPr>
        <w:pStyle w:val="a3"/>
        <w:rPr>
          <w:u w:color="000000"/>
          <w:lang w:val="it-IT"/>
        </w:rPr>
      </w:pPr>
    </w:p>
    <w:p w14:paraId="02F72A62" w14:textId="77777777" w:rsidR="0075524C" w:rsidRPr="00C35766" w:rsidRDefault="0075524C" w:rsidP="0075524C">
      <w:pPr>
        <w:pStyle w:val="a3"/>
        <w:rPr>
          <w:u w:val="single"/>
          <w:lang w:val="it-IT"/>
        </w:rPr>
      </w:pPr>
      <w:r w:rsidRPr="00C35766">
        <w:rPr>
          <w:rFonts w:eastAsia="Times New Roman"/>
          <w:u w:val="single" w:color="000000"/>
          <w:lang w:val="it-IT"/>
        </w:rPr>
        <w:t>Trattamento concomitante con azatioprina/6-mercaptopurina</w:t>
      </w:r>
    </w:p>
    <w:p w14:paraId="5F21B51C" w14:textId="77777777" w:rsidR="0075524C" w:rsidRPr="00C35766" w:rsidRDefault="0075524C" w:rsidP="0075524C">
      <w:pPr>
        <w:spacing w:before="1" w:line="180" w:lineRule="exact"/>
        <w:rPr>
          <w:rFonts w:ascii="Times New Roman" w:hAnsi="Times New Roman" w:cs="Times New Roman"/>
          <w:sz w:val="18"/>
          <w:szCs w:val="18"/>
          <w:lang w:val="it-IT"/>
        </w:rPr>
      </w:pPr>
    </w:p>
    <w:p w14:paraId="2B2DE644" w14:textId="77777777" w:rsidR="0075524C" w:rsidRPr="00C35766" w:rsidRDefault="0075524C" w:rsidP="0075524C">
      <w:pPr>
        <w:pStyle w:val="a3"/>
        <w:rPr>
          <w:lang w:val="it-IT"/>
        </w:rPr>
      </w:pPr>
      <w:r w:rsidRPr="00C35766">
        <w:rPr>
          <w:rFonts w:eastAsia="Times New Roman"/>
          <w:lang w:val="it-IT"/>
        </w:rPr>
        <w:t>Negli studi sulla malattia di Crohn negli adulti, con l’associazione di adalimumab e azatioprina/6-mercaptopurina sono state osservate incidenze più elevate di eventi avversi correlati a infezioni gravi e a tumori maligni rispetto ad adalimumab da solo.</w:t>
      </w:r>
    </w:p>
    <w:p w14:paraId="1AE7892F" w14:textId="77777777" w:rsidR="0075524C" w:rsidRPr="00C35766" w:rsidRDefault="0075524C" w:rsidP="0075524C">
      <w:pPr>
        <w:spacing w:before="13" w:line="240" w:lineRule="exact"/>
        <w:rPr>
          <w:rFonts w:ascii="Times New Roman" w:hAnsi="Times New Roman" w:cs="Times New Roman"/>
          <w:sz w:val="24"/>
          <w:szCs w:val="24"/>
          <w:lang w:val="it-IT"/>
        </w:rPr>
      </w:pPr>
    </w:p>
    <w:p w14:paraId="3F8698AE" w14:textId="77777777" w:rsidR="0075524C" w:rsidRPr="00C35766" w:rsidRDefault="0075524C" w:rsidP="0075524C">
      <w:pPr>
        <w:pStyle w:val="a3"/>
        <w:rPr>
          <w:u w:val="single"/>
          <w:lang w:val="it-IT"/>
        </w:rPr>
      </w:pPr>
      <w:r w:rsidRPr="00C35766">
        <w:rPr>
          <w:rFonts w:eastAsia="Times New Roman"/>
          <w:u w:val="single" w:color="000000"/>
          <w:lang w:val="it-IT"/>
        </w:rPr>
        <w:lastRenderedPageBreak/>
        <w:t>Segnalazione delle reazioni avverse sospette</w:t>
      </w:r>
    </w:p>
    <w:p w14:paraId="299C256D" w14:textId="77777777" w:rsidR="0075524C" w:rsidRPr="00C35766" w:rsidRDefault="0075524C" w:rsidP="0075524C">
      <w:pPr>
        <w:spacing w:before="9" w:line="170" w:lineRule="exact"/>
        <w:rPr>
          <w:rFonts w:ascii="Times New Roman" w:hAnsi="Times New Roman" w:cs="Times New Roman"/>
          <w:sz w:val="17"/>
          <w:szCs w:val="17"/>
          <w:lang w:val="it-IT"/>
        </w:rPr>
      </w:pPr>
    </w:p>
    <w:p w14:paraId="665494BF" w14:textId="77777777" w:rsidR="0075524C" w:rsidRPr="00C35766" w:rsidRDefault="0075524C" w:rsidP="0075524C">
      <w:pPr>
        <w:pStyle w:val="a3"/>
        <w:rPr>
          <w:lang w:val="it-IT"/>
        </w:rPr>
      </w:pPr>
      <w:r w:rsidRPr="00C35766">
        <w:rPr>
          <w:rFonts w:eastAsia="Times New Roman"/>
          <w:lang w:val="it-IT"/>
        </w:rPr>
        <w:t>La segnalazione delle reazioni avverse sospette che si verificano dopo l’autorizzazione del medicinale è importante, in quanto permette un monitoraggio continuo del rapporto beneficio/rischio del medicinale. Agli operatori sanitari è richiesto di segnalare qualsiasi reazione avversa sospetta tramite il sistema nazionale di segnalazione riportato nell’</w:t>
      </w:r>
      <w:hyperlink r:id="rId28" w:history="1">
        <w:r>
          <w:rPr>
            <w:rFonts w:eastAsia="Times New Roman"/>
            <w:color w:val="0000FF"/>
            <w:u w:val="single"/>
            <w:lang w:val="it-IT"/>
          </w:rPr>
          <w:t>a</w:t>
        </w:r>
        <w:r w:rsidRPr="00C35766">
          <w:rPr>
            <w:rFonts w:eastAsia="Times New Roman"/>
            <w:color w:val="0000FF"/>
            <w:u w:val="single"/>
            <w:lang w:val="it-IT"/>
          </w:rPr>
          <w:t>llegato V</w:t>
        </w:r>
        <w:r w:rsidRPr="00C35766">
          <w:rPr>
            <w:rFonts w:eastAsia="Times New Roman"/>
            <w:color w:val="000000"/>
            <w:lang w:val="it-IT"/>
          </w:rPr>
          <w:t>.</w:t>
        </w:r>
      </w:hyperlink>
    </w:p>
    <w:p w14:paraId="55DB4E88" w14:textId="77777777" w:rsidR="0075524C" w:rsidRPr="00C35766" w:rsidRDefault="0075524C" w:rsidP="0075524C">
      <w:pPr>
        <w:spacing w:before="6" w:line="180" w:lineRule="exact"/>
        <w:rPr>
          <w:rFonts w:ascii="Times New Roman" w:hAnsi="Times New Roman" w:cs="Times New Roman"/>
          <w:sz w:val="18"/>
          <w:szCs w:val="18"/>
          <w:lang w:val="it-IT"/>
        </w:rPr>
      </w:pPr>
    </w:p>
    <w:p w14:paraId="5960ADDE" w14:textId="77777777" w:rsidR="0075524C" w:rsidRPr="00C35766" w:rsidRDefault="0075524C" w:rsidP="005C2D5B">
      <w:pPr>
        <w:widowControl/>
        <w:numPr>
          <w:ilvl w:val="1"/>
          <w:numId w:val="73"/>
        </w:numPr>
        <w:tabs>
          <w:tab w:val="left" w:pos="567"/>
        </w:tabs>
        <w:spacing w:line="260" w:lineRule="exact"/>
        <w:ind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Sovradosaggio</w:t>
      </w:r>
    </w:p>
    <w:p w14:paraId="6CFAFE27" w14:textId="77777777" w:rsidR="0075524C" w:rsidRPr="00C35766" w:rsidRDefault="0075524C" w:rsidP="0075524C">
      <w:pPr>
        <w:spacing w:before="12" w:line="240" w:lineRule="exact"/>
        <w:rPr>
          <w:rFonts w:ascii="Times New Roman" w:hAnsi="Times New Roman" w:cs="Times New Roman"/>
          <w:sz w:val="24"/>
          <w:szCs w:val="24"/>
        </w:rPr>
      </w:pPr>
    </w:p>
    <w:p w14:paraId="73F51C92" w14:textId="77777777" w:rsidR="0075524C" w:rsidRPr="00C35766" w:rsidRDefault="0075524C" w:rsidP="0075524C">
      <w:pPr>
        <w:pStyle w:val="a3"/>
        <w:rPr>
          <w:lang w:val="it-IT"/>
        </w:rPr>
      </w:pPr>
      <w:r w:rsidRPr="00C35766">
        <w:rPr>
          <w:rFonts w:eastAsia="Times New Roman"/>
          <w:lang w:val="it-IT"/>
        </w:rPr>
        <w:t>Non è stata osservata tossicità dose-limitante durante gli studi clinici. La dose più elevata valutata è stata quella costituita da dosi multiple di 10 mg/kg per via endovenosa; tale dose risulta equivalente a circa 15 volte la dose raccomandata.</w:t>
      </w:r>
    </w:p>
    <w:p w14:paraId="1D55F75D" w14:textId="77777777" w:rsidR="0075524C" w:rsidRPr="00C35766" w:rsidRDefault="0075524C" w:rsidP="0075524C">
      <w:pPr>
        <w:spacing w:line="200" w:lineRule="exact"/>
        <w:rPr>
          <w:rFonts w:ascii="Times New Roman" w:hAnsi="Times New Roman" w:cs="Times New Roman"/>
          <w:sz w:val="20"/>
          <w:lang w:val="it-IT"/>
        </w:rPr>
      </w:pPr>
    </w:p>
    <w:p w14:paraId="05FF7B0A" w14:textId="77777777" w:rsidR="0075524C" w:rsidRPr="00C35766" w:rsidRDefault="0075524C" w:rsidP="0075524C">
      <w:pPr>
        <w:widowControl/>
        <w:tabs>
          <w:tab w:val="left" w:pos="567"/>
        </w:tabs>
        <w:spacing w:line="260" w:lineRule="exact"/>
        <w:rPr>
          <w:rFonts w:ascii="Times New Roman" w:hAnsi="Times New Roman" w:cs="Times New Roman"/>
          <w:b/>
          <w:lang w:val="it-IT"/>
        </w:rPr>
      </w:pPr>
    </w:p>
    <w:p w14:paraId="351FD05A" w14:textId="77777777" w:rsidR="0075524C" w:rsidRPr="00C35766" w:rsidRDefault="0075524C" w:rsidP="005C2D5B">
      <w:pPr>
        <w:widowControl/>
        <w:numPr>
          <w:ilvl w:val="0"/>
          <w:numId w:val="7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FARMACOLOGICHE</w:t>
      </w:r>
    </w:p>
    <w:p w14:paraId="2088DC7F" w14:textId="77777777" w:rsidR="0075524C" w:rsidRPr="00C35766" w:rsidRDefault="0075524C" w:rsidP="0075524C">
      <w:pPr>
        <w:spacing w:before="11" w:line="240" w:lineRule="exact"/>
        <w:rPr>
          <w:rFonts w:ascii="Times New Roman" w:hAnsi="Times New Roman" w:cs="Times New Roman"/>
          <w:sz w:val="24"/>
          <w:szCs w:val="24"/>
        </w:rPr>
      </w:pPr>
    </w:p>
    <w:p w14:paraId="3D7FB8C6" w14:textId="77777777" w:rsidR="0075524C" w:rsidRPr="00C35766" w:rsidRDefault="0075524C" w:rsidP="005C2D5B">
      <w:pPr>
        <w:widowControl/>
        <w:numPr>
          <w:ilvl w:val="1"/>
          <w:numId w:val="7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farmacodinamiche</w:t>
      </w:r>
    </w:p>
    <w:p w14:paraId="67E04617" w14:textId="77777777" w:rsidR="0075524C" w:rsidRPr="00C35766" w:rsidRDefault="0075524C" w:rsidP="0075524C">
      <w:pPr>
        <w:spacing w:before="9" w:line="240" w:lineRule="exact"/>
        <w:rPr>
          <w:rFonts w:ascii="Times New Roman" w:hAnsi="Times New Roman" w:cs="Times New Roman"/>
          <w:sz w:val="24"/>
          <w:szCs w:val="24"/>
        </w:rPr>
      </w:pPr>
    </w:p>
    <w:p w14:paraId="21EDC91B" w14:textId="77777777" w:rsidR="0075524C" w:rsidRPr="00C35766" w:rsidRDefault="0075524C" w:rsidP="0075524C">
      <w:pPr>
        <w:pStyle w:val="a3"/>
        <w:rPr>
          <w:lang w:val="it-IT"/>
        </w:rPr>
      </w:pPr>
      <w:r w:rsidRPr="00C35766">
        <w:rPr>
          <w:rFonts w:eastAsia="Times New Roman"/>
          <w:lang w:val="it-IT"/>
        </w:rPr>
        <w:t>Categoria farmacoterapeutica: Immunosoppressori, inibitori del fattore di necrosi tumorale alfa (TNF-α). Codice ATC: L04AB04.</w:t>
      </w:r>
    </w:p>
    <w:p w14:paraId="3A48E81A" w14:textId="77777777" w:rsidR="0075524C" w:rsidRPr="00C35766" w:rsidRDefault="0075524C" w:rsidP="0075524C">
      <w:pPr>
        <w:pStyle w:val="a3"/>
        <w:rPr>
          <w:lang w:val="it-IT"/>
        </w:rPr>
      </w:pPr>
    </w:p>
    <w:p w14:paraId="19FCF860" w14:textId="77777777" w:rsidR="0075524C" w:rsidRPr="00C35766" w:rsidRDefault="0075524C" w:rsidP="0075524C">
      <w:pPr>
        <w:pStyle w:val="a3"/>
        <w:rPr>
          <w:lang w:val="pt-BR"/>
        </w:rPr>
      </w:pPr>
      <w:r w:rsidRPr="00C35766">
        <w:rPr>
          <w:rFonts w:eastAsia="Times New Roman"/>
          <w:lang w:val="it-IT"/>
        </w:rPr>
        <w:t xml:space="preserve">Yuflyma è un medicinale biosimilare. Informazioni più dettagliate sono disponibili sul sito web della Agenzia europea dei medicinali: </w:t>
      </w:r>
      <w:hyperlink r:id="rId29" w:history="1">
        <w:r w:rsidRPr="00C35766">
          <w:rPr>
            <w:rStyle w:val="ad"/>
            <w:rFonts w:eastAsia="Times New Roman"/>
            <w:lang w:val="it-IT"/>
          </w:rPr>
          <w:t>http://www.ema.europa.eu</w:t>
        </w:r>
      </w:hyperlink>
      <w:r w:rsidRPr="00C35766">
        <w:rPr>
          <w:rFonts w:eastAsia="Times New Roman"/>
          <w:lang w:val="it-IT"/>
        </w:rPr>
        <w:t xml:space="preserve">. </w:t>
      </w:r>
    </w:p>
    <w:p w14:paraId="18D146EE" w14:textId="77777777" w:rsidR="0075524C" w:rsidRPr="00C35766" w:rsidRDefault="0075524C" w:rsidP="0075524C">
      <w:pPr>
        <w:spacing w:before="10" w:line="240" w:lineRule="exact"/>
        <w:rPr>
          <w:rFonts w:ascii="Times New Roman" w:hAnsi="Times New Roman" w:cs="Times New Roman"/>
          <w:sz w:val="24"/>
          <w:szCs w:val="24"/>
          <w:lang w:val="pt-BR"/>
        </w:rPr>
      </w:pPr>
    </w:p>
    <w:p w14:paraId="2F9AD9F3" w14:textId="77777777" w:rsidR="0075524C" w:rsidRPr="00C35766" w:rsidRDefault="0075524C" w:rsidP="0075524C">
      <w:pPr>
        <w:pStyle w:val="a3"/>
        <w:rPr>
          <w:u w:val="single"/>
          <w:lang w:val="pt-BR"/>
        </w:rPr>
      </w:pPr>
      <w:r w:rsidRPr="00C35766">
        <w:rPr>
          <w:rFonts w:eastAsia="Times New Roman"/>
          <w:u w:val="single" w:color="000000"/>
          <w:lang w:val="it-IT"/>
        </w:rPr>
        <w:t>Meccanismo d’azione</w:t>
      </w:r>
    </w:p>
    <w:p w14:paraId="62A80FAC" w14:textId="77777777" w:rsidR="0075524C" w:rsidRPr="00C35766" w:rsidRDefault="0075524C" w:rsidP="0075524C">
      <w:pPr>
        <w:spacing w:before="1" w:line="180" w:lineRule="exact"/>
        <w:rPr>
          <w:rFonts w:ascii="Times New Roman" w:hAnsi="Times New Roman" w:cs="Times New Roman"/>
          <w:sz w:val="18"/>
          <w:szCs w:val="18"/>
          <w:lang w:val="pt-BR"/>
        </w:rPr>
      </w:pPr>
    </w:p>
    <w:p w14:paraId="646E35DD" w14:textId="77777777" w:rsidR="0075524C" w:rsidRPr="00C35766" w:rsidRDefault="0075524C" w:rsidP="0075524C">
      <w:pPr>
        <w:pStyle w:val="a3"/>
        <w:rPr>
          <w:lang w:val="pt-BR"/>
        </w:rPr>
      </w:pPr>
      <w:r w:rsidRPr="00C35766">
        <w:rPr>
          <w:rFonts w:eastAsia="Times New Roman"/>
          <w:lang w:val="it-IT"/>
        </w:rPr>
        <w:t>Adalimumab si lega specificamente al TNF e neutralizza la funzione biologica del TNF bloccando la sua interazione con i recettori del TNF di membrana cellulare, p55 e p75.</w:t>
      </w:r>
    </w:p>
    <w:p w14:paraId="73154D34" w14:textId="77777777" w:rsidR="0075524C" w:rsidRPr="00C35766" w:rsidRDefault="0075524C" w:rsidP="0075524C">
      <w:pPr>
        <w:spacing w:before="10" w:line="240" w:lineRule="exact"/>
        <w:rPr>
          <w:rFonts w:ascii="Times New Roman" w:hAnsi="Times New Roman" w:cs="Times New Roman"/>
          <w:sz w:val="24"/>
          <w:szCs w:val="24"/>
          <w:lang w:val="pt-BR"/>
        </w:rPr>
      </w:pPr>
    </w:p>
    <w:p w14:paraId="133FAFA4" w14:textId="77777777" w:rsidR="0075524C" w:rsidRPr="00C35766" w:rsidRDefault="0075524C" w:rsidP="0075524C">
      <w:pPr>
        <w:pStyle w:val="a3"/>
        <w:rPr>
          <w:lang w:val="pt-BR"/>
        </w:rPr>
      </w:pPr>
      <w:r w:rsidRPr="00C35766">
        <w:rPr>
          <w:rFonts w:eastAsia="Times New Roman"/>
          <w:lang w:val="it-IT"/>
        </w:rPr>
        <w:t>Adalimumab modula anche le risposte biologiche che sono indotte o regolate dal TNF, inclusi i cambiamenti dei livelli delle molecole di adesione responsabili della migrazione dei leucociti (ELAM-1, VCAM-1 e ICAM-1 con un IC</w:t>
      </w:r>
      <w:r w:rsidRPr="00C35766">
        <w:rPr>
          <w:rFonts w:eastAsia="Times New Roman"/>
          <w:sz w:val="14"/>
          <w:szCs w:val="14"/>
          <w:lang w:val="it-IT"/>
        </w:rPr>
        <w:t xml:space="preserve">50 </w:t>
      </w:r>
      <w:r w:rsidRPr="00C35766">
        <w:rPr>
          <w:rFonts w:eastAsia="Times New Roman"/>
          <w:lang w:val="it-IT"/>
        </w:rPr>
        <w:t>di 0,1-0,2 nM).</w:t>
      </w:r>
    </w:p>
    <w:p w14:paraId="0D41E1DA" w14:textId="77777777" w:rsidR="0075524C" w:rsidRPr="00C35766" w:rsidRDefault="0075524C" w:rsidP="0075524C">
      <w:pPr>
        <w:spacing w:before="12" w:line="240" w:lineRule="exact"/>
        <w:rPr>
          <w:rFonts w:ascii="Times New Roman" w:hAnsi="Times New Roman" w:cs="Times New Roman"/>
          <w:sz w:val="24"/>
          <w:szCs w:val="24"/>
          <w:lang w:val="pt-BR"/>
        </w:rPr>
      </w:pPr>
    </w:p>
    <w:p w14:paraId="33820F4F" w14:textId="77777777" w:rsidR="0075524C" w:rsidRPr="00C35766" w:rsidRDefault="0075524C" w:rsidP="0075524C">
      <w:pPr>
        <w:pStyle w:val="a3"/>
        <w:rPr>
          <w:u w:val="single"/>
          <w:lang w:val="pt-BR"/>
        </w:rPr>
      </w:pPr>
      <w:r w:rsidRPr="00C35766">
        <w:rPr>
          <w:rFonts w:eastAsia="Times New Roman"/>
          <w:u w:val="single" w:color="000000"/>
          <w:lang w:val="it-IT"/>
        </w:rPr>
        <w:t>Effetti farmacodinamici</w:t>
      </w:r>
    </w:p>
    <w:p w14:paraId="1F921C7F" w14:textId="77777777" w:rsidR="0075524C" w:rsidRPr="00C35766" w:rsidRDefault="0075524C" w:rsidP="0075524C">
      <w:pPr>
        <w:spacing w:before="1" w:line="180" w:lineRule="exact"/>
        <w:rPr>
          <w:rFonts w:ascii="Times New Roman" w:hAnsi="Times New Roman" w:cs="Times New Roman"/>
          <w:sz w:val="18"/>
          <w:szCs w:val="18"/>
          <w:lang w:val="pt-BR"/>
        </w:rPr>
      </w:pPr>
    </w:p>
    <w:p w14:paraId="435C02F6" w14:textId="77777777" w:rsidR="0075524C" w:rsidRPr="00C35766" w:rsidRDefault="0075524C" w:rsidP="0075524C">
      <w:pPr>
        <w:pStyle w:val="a3"/>
        <w:rPr>
          <w:lang w:val="it-IT"/>
        </w:rPr>
      </w:pPr>
      <w:r w:rsidRPr="00C35766">
        <w:rPr>
          <w:rFonts w:eastAsia="Times New Roman"/>
          <w:lang w:val="it-IT"/>
        </w:rPr>
        <w:t>Dopo trattamento con adalimumab, si è osservata una rapida diminuzione delle proteine di fase acuta, indici di infiammazione (proteina C reattiva -PCR e velocità di eritrosedimentazione -VES) e delle citochine sieriche (IL-6) nei pazienti con artrite reumatoide rispetto al valore basale. Anche i livelli sierici delle metalloproteinasi della matrice (MMP-1 e MMP-3), coinvolte nel rimodellamento tissutale responsabile della distruzione della cartilagine, erano diminuiti in seguito alla somministrazione di adalimumab. I pazienti trattati con adalimumab hanno generalmente mostrato un miglioramento dei segni ematologici dell’infiammazione cronica.</w:t>
      </w:r>
    </w:p>
    <w:p w14:paraId="3BEA7481" w14:textId="77777777" w:rsidR="0075524C" w:rsidRPr="00C35766" w:rsidRDefault="0075524C" w:rsidP="0075524C">
      <w:pPr>
        <w:spacing w:before="10" w:line="240" w:lineRule="exact"/>
        <w:rPr>
          <w:rFonts w:ascii="Times New Roman" w:hAnsi="Times New Roman" w:cs="Times New Roman"/>
          <w:sz w:val="24"/>
          <w:szCs w:val="24"/>
          <w:lang w:val="it-IT"/>
        </w:rPr>
      </w:pPr>
    </w:p>
    <w:p w14:paraId="2C844A3D" w14:textId="77777777" w:rsidR="0075524C" w:rsidRPr="00C35766" w:rsidRDefault="0075524C" w:rsidP="0075524C">
      <w:pPr>
        <w:pStyle w:val="a3"/>
        <w:rPr>
          <w:lang w:val="es-ES"/>
        </w:rPr>
      </w:pPr>
      <w:r w:rsidRPr="00C35766">
        <w:rPr>
          <w:rFonts w:eastAsia="Times New Roman"/>
          <w:lang w:val="it-IT"/>
        </w:rPr>
        <w:t>Dopo trattamento con adalimumab, anche nei pazienti affetti da artrite idiopatica giovanile poliarticolare, malattia di Crohn, colite ulcerosa e idrosadenite suppurativa è stata osservata una rapida diminuzione dei livelli di PCR (proteina C reattiva). Nei pazienti affetti dalla malattia di Crohn, è stata osservata una riduzione del numero di cellule che esprimono i marcatori infiammatori nel colon compresa una significativa riduzione dell’espressione del TNFα. Studi endoscopici sulla mucosa intestinale hanno evidenziato la guarigione mucosale nei pazienti trattati con adalimumab.</w:t>
      </w:r>
    </w:p>
    <w:p w14:paraId="6A20C3AD" w14:textId="77777777" w:rsidR="0075524C" w:rsidRPr="00C35766" w:rsidRDefault="0075524C" w:rsidP="0075524C">
      <w:pPr>
        <w:pStyle w:val="a3"/>
        <w:rPr>
          <w:u w:val="single" w:color="000000"/>
          <w:lang w:val="es-ES"/>
        </w:rPr>
      </w:pPr>
    </w:p>
    <w:p w14:paraId="05FFA290" w14:textId="77777777" w:rsidR="0075524C" w:rsidRPr="00C35766" w:rsidRDefault="0075524C" w:rsidP="0075524C">
      <w:pPr>
        <w:pStyle w:val="a3"/>
        <w:rPr>
          <w:u w:val="single"/>
          <w:lang w:val="es-ES"/>
        </w:rPr>
      </w:pPr>
      <w:r w:rsidRPr="00C35766">
        <w:rPr>
          <w:rFonts w:eastAsia="Times New Roman"/>
          <w:u w:val="single" w:color="000000"/>
          <w:lang w:val="it-IT"/>
        </w:rPr>
        <w:t>Efficacia e sicurezza clinica</w:t>
      </w:r>
    </w:p>
    <w:p w14:paraId="3B0C1234" w14:textId="77777777" w:rsidR="0075524C" w:rsidRPr="00C35766" w:rsidRDefault="0075524C" w:rsidP="0075524C">
      <w:pPr>
        <w:spacing w:line="180" w:lineRule="exact"/>
        <w:rPr>
          <w:rFonts w:ascii="Times New Roman" w:hAnsi="Times New Roman" w:cs="Times New Roman"/>
          <w:sz w:val="18"/>
          <w:szCs w:val="18"/>
          <w:lang w:val="es-ES"/>
        </w:rPr>
      </w:pPr>
    </w:p>
    <w:p w14:paraId="59232EF4" w14:textId="431A609D" w:rsidR="0075524C" w:rsidRPr="005C2D5B" w:rsidRDefault="002452EF" w:rsidP="0075524C">
      <w:pPr>
        <w:pStyle w:val="a3"/>
        <w:rPr>
          <w:rFonts w:eastAsia="Times New Roman"/>
          <w:i/>
          <w:iCs/>
          <w:lang w:val="it-IT"/>
        </w:rPr>
      </w:pPr>
      <w:r w:rsidRPr="005C2D5B">
        <w:rPr>
          <w:rFonts w:eastAsia="Times New Roman"/>
          <w:i/>
          <w:iCs/>
          <w:lang w:val="it-IT"/>
        </w:rPr>
        <w:t>Artrite reumatoide dell’adulto</w:t>
      </w:r>
    </w:p>
    <w:p w14:paraId="35CD2D38" w14:textId="77777777" w:rsidR="0075524C" w:rsidRPr="00C35766" w:rsidRDefault="0075524C" w:rsidP="0075524C">
      <w:pPr>
        <w:pStyle w:val="a3"/>
        <w:rPr>
          <w:sz w:val="24"/>
          <w:szCs w:val="24"/>
          <w:lang w:val="es-ES"/>
        </w:rPr>
      </w:pPr>
    </w:p>
    <w:p w14:paraId="1B4C8A5F" w14:textId="6429F76B" w:rsidR="0075524C" w:rsidRPr="00C35766" w:rsidRDefault="0075524C" w:rsidP="0075524C">
      <w:pPr>
        <w:pStyle w:val="a3"/>
        <w:rPr>
          <w:lang w:val="it-IT"/>
        </w:rPr>
      </w:pPr>
      <w:r w:rsidRPr="00C35766">
        <w:rPr>
          <w:rFonts w:eastAsia="Times New Roman"/>
          <w:lang w:val="it-IT"/>
        </w:rPr>
        <w:t xml:space="preserve">Adalimumab è stato valutato su oltre 3.000 pazienti in tutti gli studi clinici sull’artrite reumatoide. L’efficacia e la sicurezza di adalimumab sono state valutate in cinque studi randomizzati, in doppio cieco e </w:t>
      </w:r>
      <w:r w:rsidRPr="00C35766">
        <w:rPr>
          <w:rFonts w:eastAsia="Times New Roman"/>
          <w:lang w:val="it-IT"/>
        </w:rPr>
        <w:lastRenderedPageBreak/>
        <w:t>ben controllati. Alcuni pazienti sono stati sottoposti a trattamento per un periodo fino a 120 mesi.</w:t>
      </w:r>
    </w:p>
    <w:p w14:paraId="62652DDC" w14:textId="77777777" w:rsidR="0075524C" w:rsidRPr="00C35766" w:rsidRDefault="0075524C" w:rsidP="0075524C">
      <w:pPr>
        <w:spacing w:before="13" w:line="240" w:lineRule="exact"/>
        <w:rPr>
          <w:rFonts w:ascii="Times New Roman" w:hAnsi="Times New Roman" w:cs="Times New Roman"/>
          <w:sz w:val="24"/>
          <w:szCs w:val="24"/>
          <w:lang w:val="it-IT"/>
        </w:rPr>
      </w:pPr>
    </w:p>
    <w:p w14:paraId="5E9D3879" w14:textId="77777777" w:rsidR="0075524C" w:rsidRPr="00C35766" w:rsidRDefault="0075524C" w:rsidP="0075524C">
      <w:pPr>
        <w:pStyle w:val="a3"/>
        <w:rPr>
          <w:lang w:val="it-IT"/>
        </w:rPr>
      </w:pPr>
      <w:r w:rsidRPr="00C35766">
        <w:rPr>
          <w:rFonts w:eastAsia="Times New Roman"/>
          <w:lang w:val="it-IT"/>
        </w:rPr>
        <w:t xml:space="preserve">Lo studio AR I è stato condotto su 271 pazienti di età </w:t>
      </w:r>
      <w:r w:rsidRPr="00C35766">
        <w:rPr>
          <w:lang w:val="it-IT"/>
        </w:rPr>
        <w:sym w:font="Symbol" w:char="F0B3"/>
      </w:r>
      <w:r w:rsidRPr="00C35766">
        <w:rPr>
          <w:lang w:val="it-IT"/>
        </w:rPr>
        <w:sym w:font="Symbol" w:char="F020"/>
      </w:r>
      <w:r w:rsidRPr="00C35766">
        <w:rPr>
          <w:rFonts w:eastAsia="Times New Roman"/>
          <w:lang w:val="it-IT"/>
        </w:rPr>
        <w:t xml:space="preserve"> 18 anni, affetti da artrite reumatoide attiva di grado da moderato a severo, refrattari ad almeno un farmaco DMARD e con risposta inadeguata al metotressato a dosaggi compresi tra 12,5 e 25 mg (10 mg se intolleranti al metotressato) a settimana e la cui dose di metotressato è rimasta costante a 10-25 mg a settimana. Adalimumab 20, 40 o 80 mg o placebo sono stati somministrati a settimane alterne per 24 settimane.</w:t>
      </w:r>
    </w:p>
    <w:p w14:paraId="508C54D8" w14:textId="77777777" w:rsidR="0075524C" w:rsidRPr="00C35766" w:rsidRDefault="0075524C" w:rsidP="0075524C">
      <w:pPr>
        <w:spacing w:before="13" w:line="240" w:lineRule="exact"/>
        <w:rPr>
          <w:rFonts w:ascii="Times New Roman" w:hAnsi="Times New Roman" w:cs="Times New Roman"/>
          <w:sz w:val="24"/>
          <w:szCs w:val="24"/>
          <w:lang w:val="it-IT"/>
        </w:rPr>
      </w:pPr>
    </w:p>
    <w:p w14:paraId="329FC8F9" w14:textId="77777777" w:rsidR="0075524C" w:rsidRPr="00C35766" w:rsidRDefault="0075524C" w:rsidP="0075524C">
      <w:pPr>
        <w:pStyle w:val="a3"/>
        <w:rPr>
          <w:lang w:val="it-IT"/>
        </w:rPr>
      </w:pPr>
      <w:r w:rsidRPr="00C35766">
        <w:rPr>
          <w:rFonts w:eastAsia="Times New Roman"/>
          <w:lang w:val="it-IT"/>
        </w:rPr>
        <w:t xml:space="preserve">Nello studio AR II sono stati studiati 544 pazienti affetti da artrite reumatoide attiva di grado da moderato a severo, di età </w:t>
      </w:r>
      <w:r w:rsidRPr="00C35766">
        <w:rPr>
          <w:lang w:val="it-IT"/>
        </w:rPr>
        <w:sym w:font="Symbol" w:char="F0B3"/>
      </w:r>
      <w:r w:rsidRPr="00C35766">
        <w:rPr>
          <w:lang w:val="it-IT"/>
        </w:rPr>
        <w:sym w:font="Symbol" w:char="F020"/>
      </w:r>
      <w:r w:rsidRPr="00C35766">
        <w:rPr>
          <w:rFonts w:eastAsia="Times New Roman"/>
          <w:lang w:val="it-IT"/>
        </w:rPr>
        <w:t>18 anni, con insufficiente risposta ad almeno un farmaco DMARD. Sono state somministrate dosi di 20 o 40 mg di adalimumab tramite iniezione sottocutanea ogni due settimane con placebo a settimane alterne, o ogni settimana per 26 settimane; il placebo è stato somministrato ogni settimana per la stessa durata. Non è stato consentito l’uso di altri DMARD.</w:t>
      </w:r>
    </w:p>
    <w:p w14:paraId="36EDBE84" w14:textId="77777777" w:rsidR="0075524C" w:rsidRPr="00C35766" w:rsidRDefault="0075524C" w:rsidP="0075524C">
      <w:pPr>
        <w:spacing w:before="13" w:line="240" w:lineRule="exact"/>
        <w:rPr>
          <w:rFonts w:ascii="Times New Roman" w:hAnsi="Times New Roman" w:cs="Times New Roman"/>
          <w:sz w:val="24"/>
          <w:lang w:val="it-IT"/>
        </w:rPr>
      </w:pPr>
    </w:p>
    <w:p w14:paraId="59B2A16C" w14:textId="77777777" w:rsidR="0075524C" w:rsidRPr="00C35766" w:rsidRDefault="0075524C" w:rsidP="0075524C">
      <w:pPr>
        <w:pStyle w:val="a3"/>
        <w:rPr>
          <w:lang w:val="it-IT"/>
        </w:rPr>
      </w:pPr>
      <w:r w:rsidRPr="00C35766">
        <w:rPr>
          <w:rFonts w:eastAsia="Times New Roman"/>
          <w:lang w:val="it-IT"/>
        </w:rPr>
        <w:t xml:space="preserve">Allo studio AR III hanno partecipato 619 pazienti con artrite reumatoide attiva di grado da moderato a severo, di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18 anni di età, con inadeguata risposta alla terapia con metotressato a dosaggi compresi tra 12,5 e 25 mg, o intolleranti a 10 mg di metotressato ogni settimana. In questo studio sono stati costituiti 3 gruppi. Il primo ha ricevuto iniezioni di placebo ogni settimana per 52 settimane. Il secondo ha ricevuto 20 mg di adalimumab a settimana per 52 settimane, mentre il terzo ha ricevuto 40 mg di adalimumab ogni due settimane e iniezioni di placebo a settimane alterne. Al completamento delle prime 52 settimane, 457 pazienti sono stati arruolati in una fase di estensione in aperto in cui adalimumab/MTX è stato somministrato alla dose di 40 mg a settimane alterne fino a 10 anni.</w:t>
      </w:r>
    </w:p>
    <w:p w14:paraId="34E79369" w14:textId="77777777" w:rsidR="0075524C" w:rsidRPr="00C35766" w:rsidRDefault="0075524C" w:rsidP="0075524C">
      <w:pPr>
        <w:spacing w:before="13" w:line="240" w:lineRule="exact"/>
        <w:rPr>
          <w:rFonts w:ascii="Times New Roman" w:hAnsi="Times New Roman" w:cs="Times New Roman"/>
          <w:sz w:val="24"/>
          <w:szCs w:val="24"/>
          <w:lang w:val="it-IT"/>
        </w:rPr>
      </w:pPr>
    </w:p>
    <w:p w14:paraId="330F018E" w14:textId="77777777" w:rsidR="0075524C" w:rsidRPr="00C35766" w:rsidRDefault="0075524C" w:rsidP="0075524C">
      <w:pPr>
        <w:pStyle w:val="a3"/>
        <w:rPr>
          <w:lang w:val="it-IT"/>
        </w:rPr>
      </w:pPr>
      <w:r w:rsidRPr="00C35766">
        <w:rPr>
          <w:rFonts w:eastAsia="Times New Roman"/>
          <w:lang w:val="it-IT"/>
        </w:rPr>
        <w:t xml:space="preserve">Lo studio AR IV ha valutato in primo luogo la sicurezza in 636 pazienti con artrite reumatoide attiva di grado da moderato a severo e con età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18 anni. La popolazione studiata era costituita sia da pazienti mai trattati con DMARD, sia da pazienti che avevano continuato la terapia anti-reumatica preesistente a condizione che questa fosse stabile da un minimo di 28 giorni. Queste terapie includono metotressato, leflunomide, idrossiclorochina, sulfasalazina e/o sali d’oro. I pazienti sono stati randomizzati per ricevere 40 mg di adalimumab o placebo ogni due settimane per 24 settimane.</w:t>
      </w:r>
    </w:p>
    <w:p w14:paraId="61BB7954" w14:textId="77777777" w:rsidR="0075524C" w:rsidRPr="00C35766" w:rsidRDefault="0075524C" w:rsidP="0075524C">
      <w:pPr>
        <w:spacing w:before="11" w:line="240" w:lineRule="exact"/>
        <w:rPr>
          <w:rFonts w:ascii="Times New Roman" w:hAnsi="Times New Roman" w:cs="Times New Roman"/>
          <w:sz w:val="24"/>
          <w:szCs w:val="24"/>
          <w:lang w:val="it-IT"/>
        </w:rPr>
      </w:pPr>
    </w:p>
    <w:p w14:paraId="702A7610" w14:textId="77777777" w:rsidR="0075524C" w:rsidRPr="00C35766" w:rsidRDefault="0075524C" w:rsidP="0075524C">
      <w:pPr>
        <w:pStyle w:val="a3"/>
        <w:rPr>
          <w:lang w:val="it-IT"/>
        </w:rPr>
      </w:pPr>
      <w:r w:rsidRPr="00C35766">
        <w:rPr>
          <w:rFonts w:eastAsia="Times New Roman"/>
          <w:lang w:val="it-IT"/>
        </w:rPr>
        <w:t>Lo studio AR V ha valutato 799 pazienti adulti mai trattati in precedenza con metotressato ed affetti da artrite reumatoide precoce attiva di grado da moderato a severo (durata media della malattia inferiore a 9 mesi). Questo studio ha valutato l’efficacia di 40 mg di adalimumab somministrato a settimane alterne in terapia associata con il metotressato, di 40 mg di adalimumab somministrato in monoterapia a settimane alterne e di metotressato in monoterapia nella riduzione dei segni e sintomi di malattia e dell’indice di progressione del danno articolare causato dall’artrite reumatoide per 104 settimane. Al completamento delle prime 104 settimane, 497 pazienti sono stati arruolati in una fase di estensione in aperto in cui adalimumab è stato somministrato alla dose di 40 mg a settimane alterne fino a 10 anni.</w:t>
      </w:r>
    </w:p>
    <w:p w14:paraId="53AE0B77" w14:textId="77777777" w:rsidR="0075524C" w:rsidRPr="00C35766" w:rsidRDefault="0075524C" w:rsidP="0075524C">
      <w:pPr>
        <w:spacing w:before="14" w:line="240" w:lineRule="exact"/>
        <w:rPr>
          <w:rFonts w:ascii="Times New Roman" w:hAnsi="Times New Roman" w:cs="Times New Roman"/>
          <w:sz w:val="24"/>
          <w:szCs w:val="24"/>
          <w:lang w:val="it-IT"/>
        </w:rPr>
      </w:pPr>
    </w:p>
    <w:p w14:paraId="56FAB02B" w14:textId="46EADAE8" w:rsidR="0075524C" w:rsidRPr="00C35766" w:rsidRDefault="0075524C" w:rsidP="0075524C">
      <w:pPr>
        <w:pStyle w:val="a3"/>
        <w:rPr>
          <w:lang w:val="it-IT"/>
        </w:rPr>
      </w:pPr>
      <w:r w:rsidRPr="00C35766">
        <w:rPr>
          <w:rFonts w:eastAsia="Times New Roman"/>
          <w:lang w:val="it-IT"/>
        </w:rPr>
        <w:t>L’endpoint primario degli studi AR I, II, III, e secondario dello studio AR IV, era la valutazione della percentuale di pazienti che raggiungeva una risposta ACR 20 alla settimana 24 o 26. L’endpoint primario dello studio AR V era la valutazione della percentuale di pazienti che raggiungeva una risposta ACR 50 alla settimana 52. Inoltre, gli studi AR III e V avevano un ulteriore endpoint primario rappresentato dal ritardo della progressione di malattia (attraverso gli esami radiografici) alla settimana 52. Lo studio AR III aveva anche l’endpoint primario di variazione della qualità di vita.</w:t>
      </w:r>
    </w:p>
    <w:p w14:paraId="6A453696" w14:textId="77777777" w:rsidR="0075524C" w:rsidRPr="00C35766" w:rsidRDefault="0075524C" w:rsidP="0075524C">
      <w:pPr>
        <w:spacing w:before="13" w:line="240" w:lineRule="exact"/>
        <w:rPr>
          <w:rFonts w:ascii="Times New Roman" w:hAnsi="Times New Roman" w:cs="Times New Roman"/>
          <w:sz w:val="24"/>
          <w:szCs w:val="24"/>
          <w:lang w:val="it-IT"/>
        </w:rPr>
      </w:pPr>
    </w:p>
    <w:p w14:paraId="7C4C17F1" w14:textId="77777777" w:rsidR="0075524C" w:rsidRPr="00C35766" w:rsidRDefault="0075524C" w:rsidP="0075524C">
      <w:pPr>
        <w:rPr>
          <w:rFonts w:ascii="Times New Roman" w:eastAsia="Times New Roman" w:hAnsi="Times New Roman" w:cs="Times New Roman"/>
          <w:lang w:val="pt-BR"/>
        </w:rPr>
      </w:pPr>
      <w:r w:rsidRPr="00C35766">
        <w:rPr>
          <w:rFonts w:ascii="Times New Roman" w:eastAsia="Times New Roman" w:hAnsi="Times New Roman" w:cs="Times New Roman"/>
          <w:i/>
          <w:iCs/>
          <w:spacing w:val="-1"/>
          <w:u w:val="single" w:color="000000"/>
          <w:lang w:val="it-IT"/>
        </w:rPr>
        <w:t>Risposta ACR</w:t>
      </w:r>
    </w:p>
    <w:p w14:paraId="0E3F77A2" w14:textId="77777777" w:rsidR="0075524C" w:rsidRPr="00C35766" w:rsidRDefault="0075524C" w:rsidP="0075524C">
      <w:pPr>
        <w:spacing w:before="1" w:line="180" w:lineRule="exact"/>
        <w:rPr>
          <w:rFonts w:ascii="Times New Roman" w:hAnsi="Times New Roman" w:cs="Times New Roman"/>
          <w:sz w:val="18"/>
          <w:szCs w:val="18"/>
          <w:lang w:val="pt-BR"/>
        </w:rPr>
      </w:pPr>
    </w:p>
    <w:p w14:paraId="33DD37BA" w14:textId="48401892" w:rsidR="0075524C" w:rsidRPr="00C35766" w:rsidRDefault="0075524C" w:rsidP="0075524C">
      <w:pPr>
        <w:pStyle w:val="a3"/>
        <w:rPr>
          <w:lang w:val="it-IT"/>
        </w:rPr>
      </w:pPr>
      <w:r w:rsidRPr="00C35766">
        <w:rPr>
          <w:rFonts w:eastAsia="Times New Roman"/>
          <w:lang w:val="it-IT"/>
        </w:rPr>
        <w:t xml:space="preserve">Le percentuali di pazienti trattati con adalimumab che hanno raggiunto risposte ACR 20, 50 e 70 erano sovrapponibili negli studi AR I, II e III. I risultati relativi al trattamento con 40 mg ogni due settimane sono riassunti nella Tabella </w:t>
      </w:r>
      <w:r w:rsidR="002452EF">
        <w:rPr>
          <w:rFonts w:eastAsia="Times New Roman"/>
          <w:lang w:val="it-IT"/>
        </w:rPr>
        <w:t>7</w:t>
      </w:r>
      <w:r w:rsidRPr="00C35766">
        <w:rPr>
          <w:rFonts w:eastAsia="Times New Roman"/>
          <w:lang w:val="it-IT"/>
        </w:rPr>
        <w:t>.</w:t>
      </w:r>
    </w:p>
    <w:p w14:paraId="48AFA50D" w14:textId="77777777" w:rsidR="0075524C" w:rsidRPr="00C35766" w:rsidRDefault="0075524C" w:rsidP="0075524C">
      <w:pPr>
        <w:spacing w:before="15" w:line="240" w:lineRule="exact"/>
        <w:rPr>
          <w:rFonts w:ascii="Times New Roman" w:hAnsi="Times New Roman" w:cs="Times New Roman"/>
          <w:sz w:val="24"/>
          <w:szCs w:val="24"/>
          <w:lang w:val="it-IT"/>
        </w:rPr>
      </w:pPr>
    </w:p>
    <w:p w14:paraId="6CEADC8B" w14:textId="77777777" w:rsidR="005A5DEF" w:rsidRDefault="005A5DEF" w:rsidP="0075524C">
      <w:pPr>
        <w:pStyle w:val="a3"/>
        <w:jc w:val="center"/>
        <w:rPr>
          <w:rFonts w:eastAsia="Times New Roman"/>
          <w:b/>
          <w:bCs/>
          <w:lang w:val="it-IT"/>
        </w:rPr>
      </w:pPr>
    </w:p>
    <w:p w14:paraId="08382ABA" w14:textId="77777777" w:rsidR="005A5DEF" w:rsidRDefault="005A5DEF" w:rsidP="0075524C">
      <w:pPr>
        <w:pStyle w:val="a3"/>
        <w:jc w:val="center"/>
        <w:rPr>
          <w:rFonts w:eastAsia="Times New Roman"/>
          <w:b/>
          <w:bCs/>
          <w:lang w:val="it-IT"/>
        </w:rPr>
      </w:pPr>
    </w:p>
    <w:p w14:paraId="155BAC55" w14:textId="091BBD41" w:rsidR="0075524C" w:rsidRPr="00C35766" w:rsidRDefault="0075524C" w:rsidP="0075524C">
      <w:pPr>
        <w:pStyle w:val="a3"/>
        <w:jc w:val="center"/>
        <w:rPr>
          <w:b/>
          <w:lang w:val="it-IT"/>
        </w:rPr>
      </w:pPr>
      <w:r w:rsidRPr="00C35766">
        <w:rPr>
          <w:rFonts w:eastAsia="Times New Roman"/>
          <w:b/>
          <w:bCs/>
          <w:lang w:val="it-IT"/>
        </w:rPr>
        <w:lastRenderedPageBreak/>
        <w:t xml:space="preserve">Tabella </w:t>
      </w:r>
      <w:r w:rsidR="002452EF">
        <w:rPr>
          <w:rFonts w:eastAsia="Times New Roman"/>
          <w:b/>
          <w:bCs/>
          <w:lang w:val="it-IT"/>
        </w:rPr>
        <w:t>7</w:t>
      </w:r>
    </w:p>
    <w:p w14:paraId="78EEECBA" w14:textId="77777777" w:rsidR="0075524C" w:rsidRPr="00C35766" w:rsidRDefault="0075524C" w:rsidP="0075524C">
      <w:pPr>
        <w:pStyle w:val="a3"/>
        <w:jc w:val="center"/>
        <w:rPr>
          <w:b/>
          <w:lang w:val="it-IT"/>
        </w:rPr>
      </w:pPr>
      <w:r w:rsidRPr="00C35766">
        <w:rPr>
          <w:rFonts w:eastAsia="Times New Roman"/>
          <w:b/>
          <w:bCs/>
          <w:lang w:val="it-IT"/>
        </w:rPr>
        <w:t xml:space="preserve">Risposte ACR negli studi clinici controllati con placebo </w:t>
      </w:r>
      <w:r w:rsidRPr="00C35766">
        <w:rPr>
          <w:rFonts w:eastAsia="Times New Roman"/>
          <w:b/>
          <w:bCs/>
          <w:lang w:val="it-IT"/>
        </w:rPr>
        <w:br/>
        <w:t>(percentuale di pazienti)</w:t>
      </w:r>
    </w:p>
    <w:p w14:paraId="00FC9017" w14:textId="77777777" w:rsidR="0075524C" w:rsidRPr="00C35766" w:rsidRDefault="0075524C" w:rsidP="0075524C">
      <w:pPr>
        <w:spacing w:before="11" w:line="240" w:lineRule="exact"/>
        <w:rPr>
          <w:rFonts w:ascii="Times New Roman" w:hAnsi="Times New Roman" w:cs="Times New Roman"/>
          <w:sz w:val="24"/>
          <w:szCs w:val="24"/>
          <w:lang w:val="it-IT"/>
        </w:rPr>
      </w:pPr>
    </w:p>
    <w:tbl>
      <w:tblPr>
        <w:tblStyle w:val="TableNormal1"/>
        <w:tblpPr w:leftFromText="180" w:rightFromText="180" w:vertAnchor="text" w:tblpX="201" w:tblpY="1"/>
        <w:tblOverlap w:val="never"/>
        <w:tblW w:w="5000" w:type="pct"/>
        <w:tblLayout w:type="fixed"/>
        <w:tblLook w:val="01E0" w:firstRow="1" w:lastRow="1" w:firstColumn="1" w:lastColumn="1" w:noHBand="0" w:noVBand="0"/>
      </w:tblPr>
      <w:tblGrid>
        <w:gridCol w:w="1247"/>
        <w:gridCol w:w="1131"/>
        <w:gridCol w:w="1692"/>
        <w:gridCol w:w="1340"/>
        <w:gridCol w:w="1356"/>
        <w:gridCol w:w="1438"/>
        <w:gridCol w:w="1396"/>
      </w:tblGrid>
      <w:tr w:rsidR="0075524C" w:rsidRPr="00C35766" w14:paraId="2EE0384F" w14:textId="77777777" w:rsidTr="008A6AF4">
        <w:tc>
          <w:tcPr>
            <w:tcW w:w="650" w:type="pct"/>
            <w:vMerge w:val="restart"/>
            <w:tcBorders>
              <w:top w:val="single" w:sz="4" w:space="0" w:color="auto"/>
              <w:right w:val="single" w:sz="4" w:space="0" w:color="auto"/>
            </w:tcBorders>
          </w:tcPr>
          <w:p w14:paraId="743060D9" w14:textId="77777777" w:rsidR="0075524C" w:rsidRPr="00C35766" w:rsidRDefault="0075524C" w:rsidP="00603A86">
            <w:pPr>
              <w:rPr>
                <w:rFonts w:ascii="Times New Roman" w:eastAsia="Times New Roman" w:hAnsi="Times New Roman" w:cs="Times New Roman"/>
              </w:rPr>
            </w:pPr>
            <w:r w:rsidRPr="00C35766">
              <w:rPr>
                <w:rFonts w:ascii="Times New Roman" w:eastAsia="Times New Roman" w:hAnsi="Times New Roman" w:cs="Times New Roman"/>
                <w:lang w:val="it-IT"/>
              </w:rPr>
              <w:t>Risposta</w:t>
            </w:r>
          </w:p>
        </w:tc>
        <w:tc>
          <w:tcPr>
            <w:tcW w:w="1470" w:type="pct"/>
            <w:gridSpan w:val="2"/>
            <w:tcBorders>
              <w:top w:val="single" w:sz="4" w:space="0" w:color="auto"/>
              <w:left w:val="single" w:sz="4" w:space="0" w:color="auto"/>
              <w:bottom w:val="single" w:sz="4" w:space="0" w:color="auto"/>
              <w:right w:val="single" w:sz="4" w:space="0" w:color="auto"/>
            </w:tcBorders>
          </w:tcPr>
          <w:p w14:paraId="7F006242" w14:textId="77777777" w:rsidR="0075524C" w:rsidRPr="00C35766" w:rsidRDefault="0075524C" w:rsidP="00603A86">
            <w:pPr>
              <w:pStyle w:val="TableParagraph"/>
              <w:spacing w:line="246" w:lineRule="exact"/>
              <w:ind w:left="690"/>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1403" w:type="pct"/>
            <w:gridSpan w:val="2"/>
            <w:tcBorders>
              <w:top w:val="single" w:sz="4" w:space="0" w:color="auto"/>
              <w:left w:val="single" w:sz="4" w:space="0" w:color="auto"/>
              <w:bottom w:val="single" w:sz="4" w:space="0" w:color="auto"/>
              <w:right w:val="single" w:sz="4" w:space="0" w:color="auto"/>
            </w:tcBorders>
          </w:tcPr>
          <w:p w14:paraId="4CC68C44" w14:textId="77777777" w:rsidR="0075524C" w:rsidRPr="00C35766" w:rsidRDefault="0075524C" w:rsidP="00603A86">
            <w:pPr>
              <w:pStyle w:val="TableParagraph"/>
              <w:spacing w:line="246" w:lineRule="exact"/>
              <w:ind w:left="591"/>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c>
          <w:tcPr>
            <w:tcW w:w="1477" w:type="pct"/>
            <w:gridSpan w:val="2"/>
            <w:tcBorders>
              <w:top w:val="single" w:sz="4" w:space="0" w:color="auto"/>
              <w:left w:val="single" w:sz="4" w:space="0" w:color="auto"/>
              <w:bottom w:val="single" w:sz="4" w:space="0" w:color="auto"/>
            </w:tcBorders>
          </w:tcPr>
          <w:p w14:paraId="77FFE424" w14:textId="77777777" w:rsidR="0075524C" w:rsidRPr="00C35766" w:rsidRDefault="0075524C" w:rsidP="00603A86">
            <w:pPr>
              <w:pStyle w:val="TableParagraph"/>
              <w:spacing w:line="246" w:lineRule="exact"/>
              <w:ind w:left="625"/>
              <w:rPr>
                <w:rFonts w:ascii="Times New Roman" w:eastAsia="Times New Roman" w:hAnsi="Times New Roman" w:cs="Times New Roman"/>
              </w:rPr>
            </w:pPr>
            <w:r w:rsidRPr="00C35766">
              <w:rPr>
                <w:rFonts w:ascii="Times New Roman" w:eastAsia="Times New Roman" w:hAnsi="Times New Roman" w:cs="Times New Roman"/>
                <w:spacing w:val="-1"/>
                <w:lang w:val="it-IT"/>
              </w:rPr>
              <w:t>studio AR III</w:t>
            </w:r>
            <w:r w:rsidRPr="00C35766">
              <w:rPr>
                <w:rFonts w:ascii="Times New Roman" w:eastAsia="Times New Roman" w:hAnsi="Times New Roman" w:cs="Times New Roman"/>
                <w:spacing w:val="-1"/>
                <w:vertAlign w:val="superscript"/>
                <w:lang w:val="it-IT"/>
              </w:rPr>
              <w:t>a</w:t>
            </w:r>
            <w:r w:rsidRPr="00C35766">
              <w:rPr>
                <w:rFonts w:ascii="Times New Roman" w:eastAsia="Times New Roman" w:hAnsi="Times New Roman" w:cs="Times New Roman"/>
                <w:spacing w:val="-1"/>
                <w:lang w:val="it-IT"/>
              </w:rPr>
              <w:t>**</w:t>
            </w:r>
          </w:p>
        </w:tc>
      </w:tr>
      <w:tr w:rsidR="0075524C" w:rsidRPr="00C35766" w14:paraId="29C9985D" w14:textId="77777777" w:rsidTr="008A6AF4">
        <w:tc>
          <w:tcPr>
            <w:tcW w:w="650" w:type="pct"/>
            <w:vMerge/>
            <w:tcBorders>
              <w:bottom w:val="single" w:sz="4" w:space="0" w:color="auto"/>
              <w:right w:val="single" w:sz="4" w:space="0" w:color="auto"/>
            </w:tcBorders>
          </w:tcPr>
          <w:p w14:paraId="6ADCF2A8" w14:textId="77777777" w:rsidR="0075524C" w:rsidRPr="00C35766" w:rsidRDefault="0075524C" w:rsidP="00603A86">
            <w:pPr>
              <w:rPr>
                <w:rFonts w:ascii="Times New Roman" w:hAnsi="Times New Roman" w:cs="Times New Roman"/>
              </w:rPr>
            </w:pPr>
          </w:p>
        </w:tc>
        <w:tc>
          <w:tcPr>
            <w:tcW w:w="589" w:type="pct"/>
            <w:tcBorders>
              <w:top w:val="single" w:sz="4" w:space="0" w:color="auto"/>
              <w:left w:val="single" w:sz="4" w:space="0" w:color="auto"/>
              <w:bottom w:val="single" w:sz="4" w:space="0" w:color="auto"/>
            </w:tcBorders>
          </w:tcPr>
          <w:p w14:paraId="39560D92" w14:textId="6DE99C3B" w:rsidR="0075524C" w:rsidRPr="00C35766" w:rsidRDefault="0075524C" w:rsidP="008220D7">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p>
          <w:p w14:paraId="35535B4D" w14:textId="414860A6" w:rsidR="0075524C" w:rsidRPr="00C35766" w:rsidRDefault="0075524C" w:rsidP="008220D7">
            <w:pPr>
              <w:pStyle w:val="TableParagraph"/>
              <w:spacing w:before="5" w:line="252" w:lineRule="exact"/>
              <w:ind w:right="226"/>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c</w:t>
            </w:r>
            <w:r w:rsidR="00CB6AF5">
              <w:rPr>
                <w:rFonts w:ascii="Times New Roman" w:eastAsia="Times New Roman" w:hAnsi="Times New Roman" w:cs="Times New Roman"/>
                <w:vertAlign w:val="superscript"/>
                <w:lang w:val="it-IT"/>
              </w:rPr>
              <w:br/>
            </w:r>
            <w:r w:rsidRPr="00C35766">
              <w:rPr>
                <w:rFonts w:ascii="Times New Roman" w:eastAsia="Times New Roman" w:hAnsi="Times New Roman" w:cs="Times New Roman"/>
                <w:lang w:val="it-IT"/>
              </w:rPr>
              <w:t>n=60</w:t>
            </w:r>
          </w:p>
        </w:tc>
        <w:tc>
          <w:tcPr>
            <w:tcW w:w="881" w:type="pct"/>
            <w:tcBorders>
              <w:top w:val="single" w:sz="4" w:space="0" w:color="auto"/>
              <w:bottom w:val="single" w:sz="4" w:space="0" w:color="auto"/>
              <w:right w:val="single" w:sz="4" w:space="0" w:color="auto"/>
            </w:tcBorders>
          </w:tcPr>
          <w:p w14:paraId="59E27AD4" w14:textId="6D49D088" w:rsidR="0075524C" w:rsidRPr="00C35766" w:rsidRDefault="0075524C" w:rsidP="00603A86">
            <w:pPr>
              <w:pStyle w:val="TableParagraph"/>
              <w:spacing w:line="246" w:lineRule="exact"/>
              <w:ind w:right="50"/>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w:t>
            </w:r>
            <w:r w:rsidR="00CB6AF5">
              <w:rPr>
                <w:rFonts w:ascii="Times New Roman" w:eastAsia="Times New Roman" w:hAnsi="Times New Roman" w:cs="Times New Roman"/>
                <w:spacing w:val="-1"/>
                <w:lang w:val="it-IT"/>
              </w:rPr>
              <w:br/>
            </w:r>
            <w:r w:rsidRPr="00C35766">
              <w:rPr>
                <w:rFonts w:ascii="Times New Roman" w:eastAsia="Times New Roman" w:hAnsi="Times New Roman" w:cs="Times New Roman"/>
                <w:spacing w:val="-1"/>
                <w:lang w:val="it-IT"/>
              </w:rPr>
              <w:t>MTX</w:t>
            </w:r>
            <w:r w:rsidRPr="00C35766">
              <w:rPr>
                <w:rFonts w:ascii="Times New Roman" w:hAnsi="Times New Roman" w:cs="Times New Roman"/>
                <w:spacing w:val="-1"/>
                <w:vertAlign w:val="superscript"/>
                <w:lang w:val="it-IT"/>
              </w:rPr>
              <w:t>c</w:t>
            </w:r>
          </w:p>
          <w:p w14:paraId="608EF965"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n=63</w:t>
            </w:r>
          </w:p>
        </w:tc>
        <w:tc>
          <w:tcPr>
            <w:tcW w:w="698" w:type="pct"/>
            <w:tcBorders>
              <w:top w:val="single" w:sz="4" w:space="0" w:color="auto"/>
              <w:left w:val="single" w:sz="4" w:space="0" w:color="auto"/>
              <w:bottom w:val="single" w:sz="4" w:space="0" w:color="auto"/>
            </w:tcBorders>
          </w:tcPr>
          <w:p w14:paraId="6802847C"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43A17F5C"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n=110</w:t>
            </w:r>
          </w:p>
        </w:tc>
        <w:tc>
          <w:tcPr>
            <w:tcW w:w="706" w:type="pct"/>
            <w:tcBorders>
              <w:top w:val="single" w:sz="4" w:space="0" w:color="auto"/>
              <w:bottom w:val="single" w:sz="4" w:space="0" w:color="auto"/>
              <w:right w:val="single" w:sz="4" w:space="0" w:color="auto"/>
            </w:tcBorders>
          </w:tcPr>
          <w:p w14:paraId="259FBEFF"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p>
          <w:p w14:paraId="7C6EF68E"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n=113</w:t>
            </w:r>
          </w:p>
        </w:tc>
        <w:tc>
          <w:tcPr>
            <w:tcW w:w="749" w:type="pct"/>
            <w:tcBorders>
              <w:top w:val="single" w:sz="4" w:space="0" w:color="auto"/>
              <w:left w:val="single" w:sz="4" w:space="0" w:color="auto"/>
              <w:bottom w:val="single" w:sz="4" w:space="0" w:color="auto"/>
            </w:tcBorders>
          </w:tcPr>
          <w:p w14:paraId="47F58F16"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Placebo</w:t>
            </w:r>
          </w:p>
          <w:p w14:paraId="327F0F3E" w14:textId="77777777" w:rsidR="0075524C" w:rsidRPr="00C35766" w:rsidRDefault="0075524C" w:rsidP="00603A86">
            <w:pPr>
              <w:pStyle w:val="TableParagraph"/>
              <w:spacing w:line="252" w:lineRule="exact"/>
              <w:ind w:hanging="4"/>
              <w:jc w:val="center"/>
              <w:rPr>
                <w:rFonts w:ascii="Times New Roman" w:eastAsia="Times New Roman" w:hAnsi="Times New Roman" w:cs="Times New Roman"/>
                <w:vertAlign w:val="superscript"/>
                <w:lang w:val="it-IT"/>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 xml:space="preserve">c </w:t>
            </w:r>
          </w:p>
          <w:p w14:paraId="4F78859B" w14:textId="77777777" w:rsidR="0075524C" w:rsidRPr="00C35766" w:rsidRDefault="0075524C" w:rsidP="00603A86">
            <w:pPr>
              <w:pStyle w:val="TableParagraph"/>
              <w:spacing w:line="252" w:lineRule="exact"/>
              <w:ind w:hanging="4"/>
              <w:jc w:val="center"/>
              <w:rPr>
                <w:rFonts w:ascii="Times New Roman" w:eastAsia="Times New Roman" w:hAnsi="Times New Roman" w:cs="Times New Roman"/>
              </w:rPr>
            </w:pPr>
            <w:r w:rsidRPr="00C35766">
              <w:rPr>
                <w:rFonts w:ascii="Times New Roman" w:eastAsia="Times New Roman" w:hAnsi="Times New Roman" w:cs="Times New Roman"/>
                <w:lang w:val="it-IT"/>
              </w:rPr>
              <w:t>n=200</w:t>
            </w:r>
          </w:p>
        </w:tc>
        <w:tc>
          <w:tcPr>
            <w:tcW w:w="728" w:type="pct"/>
            <w:tcBorders>
              <w:top w:val="single" w:sz="4" w:space="0" w:color="auto"/>
              <w:bottom w:val="single" w:sz="4" w:space="0" w:color="auto"/>
            </w:tcBorders>
          </w:tcPr>
          <w:p w14:paraId="5DAA5B1B" w14:textId="4AEC1093"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w:t>
            </w:r>
            <w:r w:rsidR="00CB6AF5">
              <w:rPr>
                <w:rFonts w:ascii="Times New Roman" w:eastAsia="Times New Roman" w:hAnsi="Times New Roman" w:cs="Times New Roman"/>
                <w:spacing w:val="-1"/>
                <w:lang w:val="it-IT"/>
              </w:rPr>
              <w:br/>
            </w:r>
            <w:r w:rsidRPr="00C35766">
              <w:rPr>
                <w:rFonts w:ascii="Times New Roman" w:eastAsia="Times New Roman" w:hAnsi="Times New Roman" w:cs="Times New Roman"/>
                <w:spacing w:val="-1"/>
                <w:lang w:val="it-IT"/>
              </w:rPr>
              <w:t>MTX</w:t>
            </w:r>
            <w:r w:rsidRPr="00C35766">
              <w:rPr>
                <w:rFonts w:ascii="Times New Roman" w:eastAsia="Times New Roman" w:hAnsi="Times New Roman" w:cs="Times New Roman"/>
                <w:spacing w:val="-1"/>
                <w:vertAlign w:val="superscript"/>
                <w:lang w:val="it-IT"/>
              </w:rPr>
              <w:t>c</w:t>
            </w:r>
          </w:p>
          <w:p w14:paraId="6B7605CE"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n=207</w:t>
            </w:r>
          </w:p>
        </w:tc>
      </w:tr>
      <w:tr w:rsidR="0075524C" w:rsidRPr="00C35766" w14:paraId="28941F87" w14:textId="77777777" w:rsidTr="008A6AF4">
        <w:tc>
          <w:tcPr>
            <w:tcW w:w="650" w:type="pct"/>
            <w:tcBorders>
              <w:top w:val="single" w:sz="4" w:space="0" w:color="auto"/>
              <w:right w:val="single" w:sz="4" w:space="0" w:color="auto"/>
            </w:tcBorders>
          </w:tcPr>
          <w:p w14:paraId="35E6EA3F" w14:textId="77777777" w:rsidR="0075524C" w:rsidRPr="00C35766" w:rsidRDefault="0075524C" w:rsidP="00603A86">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20</w:t>
            </w:r>
          </w:p>
        </w:tc>
        <w:tc>
          <w:tcPr>
            <w:tcW w:w="589" w:type="pct"/>
            <w:vMerge w:val="restart"/>
            <w:tcBorders>
              <w:top w:val="single" w:sz="4" w:space="0" w:color="auto"/>
              <w:left w:val="single" w:sz="4" w:space="0" w:color="auto"/>
              <w:right w:val="nil"/>
            </w:tcBorders>
          </w:tcPr>
          <w:p w14:paraId="76B55125" w14:textId="77777777" w:rsidR="0075524C" w:rsidRPr="00C35766" w:rsidRDefault="0075524C" w:rsidP="00603A86">
            <w:pPr>
              <w:pStyle w:val="TableParagraph"/>
              <w:spacing w:before="7" w:line="240" w:lineRule="exact"/>
              <w:rPr>
                <w:rFonts w:ascii="Times New Roman" w:hAnsi="Times New Roman" w:cs="Times New Roman"/>
              </w:rPr>
            </w:pPr>
          </w:p>
          <w:p w14:paraId="24F6E59D" w14:textId="77777777" w:rsidR="0075524C" w:rsidRPr="00C35766" w:rsidRDefault="0075524C" w:rsidP="00603A86">
            <w:pPr>
              <w:pStyle w:val="TableParagraph"/>
              <w:ind w:left="277"/>
              <w:rPr>
                <w:rFonts w:ascii="Times New Roman" w:eastAsia="Times New Roman" w:hAnsi="Times New Roman" w:cs="Times New Roman"/>
              </w:rPr>
            </w:pPr>
            <w:r w:rsidRPr="00C35766">
              <w:rPr>
                <w:rFonts w:ascii="Times New Roman" w:eastAsia="Times New Roman" w:hAnsi="Times New Roman" w:cs="Times New Roman"/>
                <w:lang w:val="it-IT"/>
              </w:rPr>
              <w:t>13,3%</w:t>
            </w:r>
          </w:p>
        </w:tc>
        <w:tc>
          <w:tcPr>
            <w:tcW w:w="881" w:type="pct"/>
            <w:vMerge w:val="restart"/>
            <w:tcBorders>
              <w:top w:val="single" w:sz="4" w:space="0" w:color="auto"/>
              <w:left w:val="nil"/>
              <w:right w:val="single" w:sz="7" w:space="0" w:color="000000"/>
            </w:tcBorders>
          </w:tcPr>
          <w:p w14:paraId="2ED3848A" w14:textId="77777777" w:rsidR="0075524C" w:rsidRPr="00C35766" w:rsidRDefault="0075524C" w:rsidP="00603A86">
            <w:pPr>
              <w:pStyle w:val="TableParagraph"/>
              <w:spacing w:before="7" w:line="240" w:lineRule="exact"/>
              <w:rPr>
                <w:rFonts w:ascii="Times New Roman" w:hAnsi="Times New Roman" w:cs="Times New Roman"/>
              </w:rPr>
            </w:pPr>
          </w:p>
          <w:p w14:paraId="03906712" w14:textId="77777777" w:rsidR="0075524C" w:rsidRPr="00C35766" w:rsidRDefault="0075524C" w:rsidP="00603A86">
            <w:pPr>
              <w:pStyle w:val="TableParagraph"/>
              <w:ind w:left="544"/>
              <w:rPr>
                <w:rFonts w:ascii="Times New Roman" w:eastAsia="Times New Roman" w:hAnsi="Times New Roman" w:cs="Times New Roman"/>
              </w:rPr>
            </w:pPr>
            <w:r w:rsidRPr="00C35766">
              <w:rPr>
                <w:rFonts w:ascii="Times New Roman" w:eastAsia="Times New Roman" w:hAnsi="Times New Roman" w:cs="Times New Roman"/>
                <w:lang w:val="it-IT"/>
              </w:rPr>
              <w:t>65,1%</w:t>
            </w:r>
          </w:p>
        </w:tc>
        <w:tc>
          <w:tcPr>
            <w:tcW w:w="698" w:type="pct"/>
            <w:vMerge w:val="restart"/>
            <w:tcBorders>
              <w:top w:val="single" w:sz="4" w:space="0" w:color="auto"/>
              <w:left w:val="single" w:sz="7" w:space="0" w:color="000000"/>
              <w:right w:val="nil"/>
            </w:tcBorders>
          </w:tcPr>
          <w:p w14:paraId="55CED536" w14:textId="77777777" w:rsidR="0075524C" w:rsidRPr="00C35766" w:rsidRDefault="0075524C" w:rsidP="00603A86">
            <w:pPr>
              <w:pStyle w:val="TableParagraph"/>
              <w:spacing w:before="7" w:line="240" w:lineRule="exact"/>
              <w:rPr>
                <w:rFonts w:ascii="Times New Roman" w:hAnsi="Times New Roman" w:cs="Times New Roman"/>
              </w:rPr>
            </w:pPr>
          </w:p>
          <w:p w14:paraId="7AD650E1" w14:textId="77777777" w:rsidR="0075524C" w:rsidRPr="00C35766" w:rsidRDefault="0075524C" w:rsidP="00603A86">
            <w:pPr>
              <w:pStyle w:val="TableParagraph"/>
              <w:ind w:left="351"/>
              <w:rPr>
                <w:rFonts w:ascii="Times New Roman" w:eastAsia="Times New Roman" w:hAnsi="Times New Roman" w:cs="Times New Roman"/>
              </w:rPr>
            </w:pPr>
            <w:r w:rsidRPr="00C35766">
              <w:rPr>
                <w:rFonts w:ascii="Times New Roman" w:eastAsia="Times New Roman" w:hAnsi="Times New Roman" w:cs="Times New Roman"/>
                <w:lang w:val="it-IT"/>
              </w:rPr>
              <w:t>19,1%</w:t>
            </w:r>
          </w:p>
        </w:tc>
        <w:tc>
          <w:tcPr>
            <w:tcW w:w="706" w:type="pct"/>
            <w:vMerge w:val="restart"/>
            <w:tcBorders>
              <w:top w:val="single" w:sz="4" w:space="0" w:color="auto"/>
              <w:left w:val="nil"/>
              <w:right w:val="single" w:sz="7" w:space="0" w:color="000000"/>
            </w:tcBorders>
          </w:tcPr>
          <w:p w14:paraId="0AE9C6E5" w14:textId="77777777" w:rsidR="0075524C" w:rsidRPr="00C35766" w:rsidRDefault="0075524C" w:rsidP="00603A86">
            <w:pPr>
              <w:pStyle w:val="TableParagraph"/>
              <w:spacing w:before="7" w:line="240" w:lineRule="exact"/>
              <w:rPr>
                <w:rFonts w:ascii="Times New Roman" w:hAnsi="Times New Roman" w:cs="Times New Roman"/>
              </w:rPr>
            </w:pPr>
          </w:p>
          <w:p w14:paraId="457FFC1C" w14:textId="77777777" w:rsidR="0075524C" w:rsidRPr="00C35766" w:rsidRDefault="0075524C" w:rsidP="00603A86">
            <w:pPr>
              <w:pStyle w:val="TableParagraph"/>
              <w:ind w:left="363"/>
              <w:rPr>
                <w:rFonts w:ascii="Times New Roman" w:eastAsia="Times New Roman" w:hAnsi="Times New Roman" w:cs="Times New Roman"/>
              </w:rPr>
            </w:pPr>
            <w:r w:rsidRPr="00C35766">
              <w:rPr>
                <w:rFonts w:ascii="Times New Roman" w:eastAsia="Times New Roman" w:hAnsi="Times New Roman" w:cs="Times New Roman"/>
                <w:lang w:val="it-IT"/>
              </w:rPr>
              <w:t>46,0%</w:t>
            </w:r>
          </w:p>
        </w:tc>
        <w:tc>
          <w:tcPr>
            <w:tcW w:w="749" w:type="pct"/>
            <w:vMerge w:val="restart"/>
            <w:tcBorders>
              <w:top w:val="single" w:sz="4" w:space="0" w:color="auto"/>
              <w:left w:val="single" w:sz="7" w:space="0" w:color="000000"/>
              <w:right w:val="nil"/>
            </w:tcBorders>
          </w:tcPr>
          <w:p w14:paraId="59F78B7F" w14:textId="77777777" w:rsidR="0075524C" w:rsidRPr="00C35766" w:rsidRDefault="0075524C" w:rsidP="00603A86">
            <w:pPr>
              <w:pStyle w:val="TableParagraph"/>
              <w:spacing w:before="7" w:line="240" w:lineRule="exact"/>
              <w:rPr>
                <w:rFonts w:ascii="Times New Roman" w:hAnsi="Times New Roman" w:cs="Times New Roman"/>
              </w:rPr>
            </w:pPr>
          </w:p>
          <w:p w14:paraId="08AF725D" w14:textId="77777777" w:rsidR="0075524C" w:rsidRPr="00C35766" w:rsidRDefault="0075524C" w:rsidP="00603A86">
            <w:pPr>
              <w:pStyle w:val="TableParagraph"/>
              <w:ind w:left="344"/>
              <w:rPr>
                <w:rFonts w:ascii="Times New Roman" w:eastAsia="Times New Roman" w:hAnsi="Times New Roman" w:cs="Times New Roman"/>
              </w:rPr>
            </w:pPr>
            <w:r w:rsidRPr="00C35766">
              <w:rPr>
                <w:rFonts w:ascii="Times New Roman" w:eastAsia="Times New Roman" w:hAnsi="Times New Roman" w:cs="Times New Roman"/>
                <w:lang w:val="it-IT"/>
              </w:rPr>
              <w:t>29,5%</w:t>
            </w:r>
          </w:p>
        </w:tc>
        <w:tc>
          <w:tcPr>
            <w:tcW w:w="728" w:type="pct"/>
            <w:vMerge w:val="restart"/>
            <w:tcBorders>
              <w:top w:val="single" w:sz="4" w:space="0" w:color="auto"/>
              <w:left w:val="nil"/>
            </w:tcBorders>
          </w:tcPr>
          <w:p w14:paraId="4DC30A7D" w14:textId="77777777" w:rsidR="0075524C" w:rsidRPr="00C35766" w:rsidRDefault="0075524C" w:rsidP="00603A86">
            <w:pPr>
              <w:pStyle w:val="TableParagraph"/>
              <w:spacing w:before="7" w:line="240" w:lineRule="exact"/>
              <w:rPr>
                <w:rFonts w:ascii="Times New Roman" w:hAnsi="Times New Roman" w:cs="Times New Roman"/>
              </w:rPr>
            </w:pPr>
          </w:p>
          <w:p w14:paraId="4E7639CC" w14:textId="77777777" w:rsidR="0075524C" w:rsidRPr="00C35766" w:rsidRDefault="0075524C" w:rsidP="00603A86">
            <w:pPr>
              <w:pStyle w:val="TableParagraph"/>
              <w:ind w:left="567"/>
              <w:rPr>
                <w:rFonts w:ascii="Times New Roman" w:eastAsia="Times New Roman" w:hAnsi="Times New Roman" w:cs="Times New Roman"/>
              </w:rPr>
            </w:pPr>
            <w:r w:rsidRPr="00C35766">
              <w:rPr>
                <w:rFonts w:ascii="Times New Roman" w:eastAsia="Times New Roman" w:hAnsi="Times New Roman" w:cs="Times New Roman"/>
                <w:lang w:val="it-IT"/>
              </w:rPr>
              <w:t>63,3%</w:t>
            </w:r>
          </w:p>
        </w:tc>
      </w:tr>
      <w:tr w:rsidR="0075524C" w:rsidRPr="00C35766" w14:paraId="019C36D6" w14:textId="77777777" w:rsidTr="008A6AF4">
        <w:tc>
          <w:tcPr>
            <w:tcW w:w="650" w:type="pct"/>
            <w:tcBorders>
              <w:right w:val="single" w:sz="4" w:space="0" w:color="auto"/>
            </w:tcBorders>
          </w:tcPr>
          <w:p w14:paraId="558A3E68" w14:textId="77777777" w:rsidR="0075524C" w:rsidRPr="00C35766" w:rsidRDefault="0075524C" w:rsidP="00603A86">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vMerge/>
            <w:tcBorders>
              <w:left w:val="single" w:sz="4" w:space="0" w:color="auto"/>
              <w:right w:val="nil"/>
            </w:tcBorders>
          </w:tcPr>
          <w:p w14:paraId="3388F6BF" w14:textId="77777777" w:rsidR="0075524C" w:rsidRPr="00C35766" w:rsidRDefault="0075524C" w:rsidP="00603A86">
            <w:pPr>
              <w:rPr>
                <w:rFonts w:ascii="Times New Roman" w:hAnsi="Times New Roman" w:cs="Times New Roman"/>
              </w:rPr>
            </w:pPr>
          </w:p>
        </w:tc>
        <w:tc>
          <w:tcPr>
            <w:tcW w:w="881" w:type="pct"/>
            <w:vMerge/>
            <w:tcBorders>
              <w:left w:val="nil"/>
              <w:right w:val="single" w:sz="7" w:space="0" w:color="000000"/>
            </w:tcBorders>
          </w:tcPr>
          <w:p w14:paraId="286EC47F" w14:textId="77777777" w:rsidR="0075524C" w:rsidRPr="00C35766" w:rsidRDefault="0075524C" w:rsidP="00603A86">
            <w:pPr>
              <w:rPr>
                <w:rFonts w:ascii="Times New Roman" w:hAnsi="Times New Roman" w:cs="Times New Roman"/>
              </w:rPr>
            </w:pPr>
          </w:p>
        </w:tc>
        <w:tc>
          <w:tcPr>
            <w:tcW w:w="698" w:type="pct"/>
            <w:vMerge/>
            <w:tcBorders>
              <w:left w:val="single" w:sz="7" w:space="0" w:color="000000"/>
              <w:right w:val="nil"/>
            </w:tcBorders>
          </w:tcPr>
          <w:p w14:paraId="3C74FE13" w14:textId="77777777" w:rsidR="0075524C" w:rsidRPr="00C35766" w:rsidRDefault="0075524C" w:rsidP="00603A86">
            <w:pPr>
              <w:rPr>
                <w:rFonts w:ascii="Times New Roman" w:hAnsi="Times New Roman" w:cs="Times New Roman"/>
              </w:rPr>
            </w:pPr>
          </w:p>
        </w:tc>
        <w:tc>
          <w:tcPr>
            <w:tcW w:w="706" w:type="pct"/>
            <w:vMerge/>
            <w:tcBorders>
              <w:left w:val="nil"/>
              <w:right w:val="single" w:sz="7" w:space="0" w:color="000000"/>
            </w:tcBorders>
          </w:tcPr>
          <w:p w14:paraId="6F43F2BF" w14:textId="77777777" w:rsidR="0075524C" w:rsidRPr="00C35766" w:rsidRDefault="0075524C" w:rsidP="00603A86">
            <w:pPr>
              <w:rPr>
                <w:rFonts w:ascii="Times New Roman" w:hAnsi="Times New Roman" w:cs="Times New Roman"/>
              </w:rPr>
            </w:pPr>
          </w:p>
        </w:tc>
        <w:tc>
          <w:tcPr>
            <w:tcW w:w="749" w:type="pct"/>
            <w:vMerge/>
            <w:tcBorders>
              <w:left w:val="single" w:sz="7" w:space="0" w:color="000000"/>
              <w:right w:val="nil"/>
            </w:tcBorders>
          </w:tcPr>
          <w:p w14:paraId="1CC46D0B" w14:textId="77777777" w:rsidR="0075524C" w:rsidRPr="00C35766" w:rsidRDefault="0075524C" w:rsidP="00603A86">
            <w:pPr>
              <w:rPr>
                <w:rFonts w:ascii="Times New Roman" w:hAnsi="Times New Roman" w:cs="Times New Roman"/>
              </w:rPr>
            </w:pPr>
          </w:p>
        </w:tc>
        <w:tc>
          <w:tcPr>
            <w:tcW w:w="728" w:type="pct"/>
            <w:vMerge/>
            <w:tcBorders>
              <w:left w:val="nil"/>
            </w:tcBorders>
          </w:tcPr>
          <w:p w14:paraId="369808F4" w14:textId="77777777" w:rsidR="0075524C" w:rsidRPr="00C35766" w:rsidRDefault="0075524C" w:rsidP="00603A86">
            <w:pPr>
              <w:rPr>
                <w:rFonts w:ascii="Times New Roman" w:hAnsi="Times New Roman" w:cs="Times New Roman"/>
              </w:rPr>
            </w:pPr>
          </w:p>
        </w:tc>
      </w:tr>
      <w:tr w:rsidR="0075524C" w:rsidRPr="00C35766" w14:paraId="133E3D03" w14:textId="77777777" w:rsidTr="008A6AF4">
        <w:tc>
          <w:tcPr>
            <w:tcW w:w="650" w:type="pct"/>
            <w:tcBorders>
              <w:right w:val="single" w:sz="4" w:space="0" w:color="auto"/>
            </w:tcBorders>
          </w:tcPr>
          <w:p w14:paraId="60F05A13" w14:textId="77777777" w:rsidR="0075524C" w:rsidRPr="00C35766" w:rsidRDefault="0075524C" w:rsidP="00603A86">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right w:val="nil"/>
            </w:tcBorders>
          </w:tcPr>
          <w:p w14:paraId="7FBC7CCA" w14:textId="77777777" w:rsidR="0075524C" w:rsidRPr="00C35766" w:rsidRDefault="0075524C" w:rsidP="00603A86">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right w:val="single" w:sz="7" w:space="0" w:color="000000"/>
            </w:tcBorders>
          </w:tcPr>
          <w:p w14:paraId="7D0C60A4" w14:textId="77777777" w:rsidR="0075524C" w:rsidRPr="00C35766" w:rsidRDefault="0075524C" w:rsidP="00603A86">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right w:val="nil"/>
            </w:tcBorders>
          </w:tcPr>
          <w:p w14:paraId="5EE47F2B" w14:textId="77777777" w:rsidR="0075524C" w:rsidRPr="00C35766" w:rsidRDefault="0075524C" w:rsidP="00603A86">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right w:val="single" w:sz="7" w:space="0" w:color="000000"/>
            </w:tcBorders>
          </w:tcPr>
          <w:p w14:paraId="7EEF7DBE" w14:textId="77777777" w:rsidR="0075524C" w:rsidRPr="00C35766" w:rsidRDefault="0075524C" w:rsidP="00603A86">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right w:val="nil"/>
            </w:tcBorders>
          </w:tcPr>
          <w:p w14:paraId="44B7DC28" w14:textId="77777777" w:rsidR="0075524C" w:rsidRPr="00C35766" w:rsidRDefault="0075524C" w:rsidP="00603A86">
            <w:pPr>
              <w:pStyle w:val="TableParagraph"/>
              <w:spacing w:line="241" w:lineRule="exact"/>
              <w:ind w:left="344"/>
              <w:rPr>
                <w:rFonts w:ascii="Times New Roman" w:eastAsia="Times New Roman" w:hAnsi="Times New Roman" w:cs="Times New Roman"/>
              </w:rPr>
            </w:pPr>
            <w:r w:rsidRPr="00C35766">
              <w:rPr>
                <w:rFonts w:ascii="Times New Roman" w:eastAsia="Times New Roman" w:hAnsi="Times New Roman" w:cs="Times New Roman"/>
                <w:lang w:val="it-IT"/>
              </w:rPr>
              <w:t>24,0%</w:t>
            </w:r>
          </w:p>
        </w:tc>
        <w:tc>
          <w:tcPr>
            <w:tcW w:w="728" w:type="pct"/>
            <w:tcBorders>
              <w:left w:val="nil"/>
            </w:tcBorders>
          </w:tcPr>
          <w:p w14:paraId="5C85C75E" w14:textId="77777777" w:rsidR="0075524C" w:rsidRPr="00C35766" w:rsidRDefault="0075524C" w:rsidP="00603A86">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58,9%</w:t>
            </w:r>
          </w:p>
        </w:tc>
      </w:tr>
      <w:tr w:rsidR="0075524C" w:rsidRPr="00C35766" w14:paraId="47556973" w14:textId="77777777" w:rsidTr="008A6AF4">
        <w:tc>
          <w:tcPr>
            <w:tcW w:w="650" w:type="pct"/>
            <w:tcBorders>
              <w:right w:val="single" w:sz="4" w:space="0" w:color="auto"/>
            </w:tcBorders>
          </w:tcPr>
          <w:p w14:paraId="55B76A17" w14:textId="77777777" w:rsidR="0075524C" w:rsidRPr="00C35766" w:rsidRDefault="0075524C" w:rsidP="00603A86">
            <w:pPr>
              <w:pStyle w:val="TableParagraph"/>
              <w:spacing w:line="242"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50</w:t>
            </w:r>
          </w:p>
        </w:tc>
        <w:tc>
          <w:tcPr>
            <w:tcW w:w="589" w:type="pct"/>
            <w:tcBorders>
              <w:left w:val="single" w:sz="4" w:space="0" w:color="auto"/>
              <w:right w:val="nil"/>
            </w:tcBorders>
          </w:tcPr>
          <w:p w14:paraId="786DD190" w14:textId="77777777" w:rsidR="0075524C" w:rsidRPr="00C35766" w:rsidRDefault="0075524C" w:rsidP="00603A86">
            <w:pPr>
              <w:rPr>
                <w:rFonts w:ascii="Times New Roman" w:hAnsi="Times New Roman" w:cs="Times New Roman"/>
              </w:rPr>
            </w:pPr>
          </w:p>
        </w:tc>
        <w:tc>
          <w:tcPr>
            <w:tcW w:w="881" w:type="pct"/>
            <w:tcBorders>
              <w:left w:val="nil"/>
              <w:right w:val="single" w:sz="7" w:space="0" w:color="000000"/>
            </w:tcBorders>
          </w:tcPr>
          <w:p w14:paraId="280D8005" w14:textId="77777777" w:rsidR="0075524C" w:rsidRPr="00C35766" w:rsidRDefault="0075524C" w:rsidP="00603A86">
            <w:pPr>
              <w:rPr>
                <w:rFonts w:ascii="Times New Roman" w:hAnsi="Times New Roman" w:cs="Times New Roman"/>
              </w:rPr>
            </w:pPr>
          </w:p>
        </w:tc>
        <w:tc>
          <w:tcPr>
            <w:tcW w:w="698" w:type="pct"/>
            <w:tcBorders>
              <w:left w:val="single" w:sz="7" w:space="0" w:color="000000"/>
              <w:right w:val="nil"/>
            </w:tcBorders>
          </w:tcPr>
          <w:p w14:paraId="28F4F94A" w14:textId="77777777" w:rsidR="0075524C" w:rsidRPr="00C35766" w:rsidRDefault="0075524C" w:rsidP="00603A86">
            <w:pPr>
              <w:rPr>
                <w:rFonts w:ascii="Times New Roman" w:hAnsi="Times New Roman" w:cs="Times New Roman"/>
              </w:rPr>
            </w:pPr>
          </w:p>
        </w:tc>
        <w:tc>
          <w:tcPr>
            <w:tcW w:w="706" w:type="pct"/>
            <w:tcBorders>
              <w:left w:val="nil"/>
              <w:right w:val="single" w:sz="7" w:space="0" w:color="000000"/>
            </w:tcBorders>
          </w:tcPr>
          <w:p w14:paraId="590C4B92" w14:textId="77777777" w:rsidR="0075524C" w:rsidRPr="00C35766" w:rsidRDefault="0075524C" w:rsidP="00603A86">
            <w:pPr>
              <w:rPr>
                <w:rFonts w:ascii="Times New Roman" w:hAnsi="Times New Roman" w:cs="Times New Roman"/>
              </w:rPr>
            </w:pPr>
          </w:p>
        </w:tc>
        <w:tc>
          <w:tcPr>
            <w:tcW w:w="749" w:type="pct"/>
            <w:tcBorders>
              <w:left w:val="single" w:sz="7" w:space="0" w:color="000000"/>
              <w:right w:val="nil"/>
            </w:tcBorders>
          </w:tcPr>
          <w:p w14:paraId="47BC0903" w14:textId="77777777" w:rsidR="0075524C" w:rsidRPr="00C35766" w:rsidRDefault="0075524C" w:rsidP="00603A86">
            <w:pPr>
              <w:rPr>
                <w:rFonts w:ascii="Times New Roman" w:hAnsi="Times New Roman" w:cs="Times New Roman"/>
              </w:rPr>
            </w:pPr>
          </w:p>
        </w:tc>
        <w:tc>
          <w:tcPr>
            <w:tcW w:w="728" w:type="pct"/>
            <w:tcBorders>
              <w:left w:val="nil"/>
            </w:tcBorders>
          </w:tcPr>
          <w:p w14:paraId="13B2A44A" w14:textId="77777777" w:rsidR="0075524C" w:rsidRPr="00C35766" w:rsidRDefault="0075524C" w:rsidP="00603A86">
            <w:pPr>
              <w:rPr>
                <w:rFonts w:ascii="Times New Roman" w:hAnsi="Times New Roman" w:cs="Times New Roman"/>
              </w:rPr>
            </w:pPr>
          </w:p>
        </w:tc>
      </w:tr>
      <w:tr w:rsidR="0075524C" w:rsidRPr="00C35766" w14:paraId="5A0C764F" w14:textId="77777777" w:rsidTr="008A6AF4">
        <w:tc>
          <w:tcPr>
            <w:tcW w:w="650" w:type="pct"/>
            <w:tcBorders>
              <w:right w:val="single" w:sz="4" w:space="0" w:color="auto"/>
            </w:tcBorders>
          </w:tcPr>
          <w:p w14:paraId="32BB2DF4" w14:textId="77777777" w:rsidR="0075524C" w:rsidRPr="00C35766" w:rsidRDefault="0075524C" w:rsidP="00603A86">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tcBorders>
              <w:left w:val="single" w:sz="4" w:space="0" w:color="auto"/>
              <w:right w:val="nil"/>
            </w:tcBorders>
          </w:tcPr>
          <w:p w14:paraId="51DEC6ED" w14:textId="77777777" w:rsidR="0075524C" w:rsidRPr="00C35766" w:rsidRDefault="0075524C" w:rsidP="00603A86">
            <w:pPr>
              <w:pStyle w:val="TableParagraph"/>
              <w:spacing w:line="241"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6,7%</w:t>
            </w:r>
          </w:p>
        </w:tc>
        <w:tc>
          <w:tcPr>
            <w:tcW w:w="881" w:type="pct"/>
            <w:tcBorders>
              <w:left w:val="nil"/>
              <w:right w:val="single" w:sz="7" w:space="0" w:color="000000"/>
            </w:tcBorders>
          </w:tcPr>
          <w:p w14:paraId="6A825167" w14:textId="77777777" w:rsidR="0075524C" w:rsidRPr="00C35766" w:rsidRDefault="0075524C" w:rsidP="00603A86">
            <w:pPr>
              <w:pStyle w:val="TableParagraph"/>
              <w:spacing w:line="241"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52,4%</w:t>
            </w:r>
          </w:p>
        </w:tc>
        <w:tc>
          <w:tcPr>
            <w:tcW w:w="698" w:type="pct"/>
            <w:tcBorders>
              <w:left w:val="single" w:sz="7" w:space="0" w:color="000000"/>
              <w:right w:val="nil"/>
            </w:tcBorders>
          </w:tcPr>
          <w:p w14:paraId="2479DE6C" w14:textId="77777777" w:rsidR="0075524C" w:rsidRPr="00C35766" w:rsidRDefault="0075524C" w:rsidP="00603A86">
            <w:pPr>
              <w:pStyle w:val="TableParagraph"/>
              <w:spacing w:line="241"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8,2%</w:t>
            </w:r>
          </w:p>
        </w:tc>
        <w:tc>
          <w:tcPr>
            <w:tcW w:w="706" w:type="pct"/>
            <w:tcBorders>
              <w:left w:val="nil"/>
              <w:right w:val="single" w:sz="7" w:space="0" w:color="000000"/>
            </w:tcBorders>
          </w:tcPr>
          <w:p w14:paraId="72568E54" w14:textId="77777777" w:rsidR="0075524C" w:rsidRPr="00C35766" w:rsidRDefault="0075524C" w:rsidP="00603A86">
            <w:pPr>
              <w:pStyle w:val="TableParagraph"/>
              <w:spacing w:line="241"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22,1%</w:t>
            </w:r>
          </w:p>
        </w:tc>
        <w:tc>
          <w:tcPr>
            <w:tcW w:w="749" w:type="pct"/>
            <w:tcBorders>
              <w:left w:val="single" w:sz="7" w:space="0" w:color="000000"/>
              <w:right w:val="nil"/>
            </w:tcBorders>
          </w:tcPr>
          <w:p w14:paraId="7D9F1616" w14:textId="77777777" w:rsidR="0075524C" w:rsidRPr="00C35766" w:rsidRDefault="0075524C" w:rsidP="00603A86">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728" w:type="pct"/>
            <w:tcBorders>
              <w:left w:val="nil"/>
            </w:tcBorders>
          </w:tcPr>
          <w:p w14:paraId="5B1F47A5" w14:textId="77777777" w:rsidR="0075524C" w:rsidRPr="00C35766" w:rsidRDefault="0075524C" w:rsidP="00603A86">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39,1%</w:t>
            </w:r>
          </w:p>
        </w:tc>
      </w:tr>
      <w:tr w:rsidR="0075524C" w:rsidRPr="00C35766" w14:paraId="0D44FCBA" w14:textId="77777777" w:rsidTr="008A6AF4">
        <w:tc>
          <w:tcPr>
            <w:tcW w:w="650" w:type="pct"/>
            <w:tcBorders>
              <w:right w:val="single" w:sz="4" w:space="0" w:color="auto"/>
            </w:tcBorders>
          </w:tcPr>
          <w:p w14:paraId="2B2387B9" w14:textId="77777777" w:rsidR="0075524C" w:rsidRPr="00C35766" w:rsidRDefault="0075524C" w:rsidP="00603A86">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right w:val="nil"/>
            </w:tcBorders>
          </w:tcPr>
          <w:p w14:paraId="0D1A8194" w14:textId="77777777" w:rsidR="0075524C" w:rsidRPr="00C35766" w:rsidRDefault="0075524C" w:rsidP="00603A86">
            <w:pPr>
              <w:pStyle w:val="TableParagraph"/>
              <w:spacing w:line="242"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right w:val="single" w:sz="7" w:space="0" w:color="000000"/>
            </w:tcBorders>
          </w:tcPr>
          <w:p w14:paraId="4CE9B52D" w14:textId="77777777" w:rsidR="0075524C" w:rsidRPr="00C35766" w:rsidRDefault="0075524C" w:rsidP="00603A86">
            <w:pPr>
              <w:pStyle w:val="TableParagraph"/>
              <w:spacing w:line="242"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right w:val="nil"/>
            </w:tcBorders>
          </w:tcPr>
          <w:p w14:paraId="3CD851D8" w14:textId="77777777" w:rsidR="0075524C" w:rsidRPr="00C35766" w:rsidRDefault="0075524C" w:rsidP="00603A86">
            <w:pPr>
              <w:pStyle w:val="TableParagraph"/>
              <w:spacing w:line="242"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right w:val="single" w:sz="7" w:space="0" w:color="000000"/>
            </w:tcBorders>
          </w:tcPr>
          <w:p w14:paraId="51C8A4C8" w14:textId="77777777" w:rsidR="0075524C" w:rsidRPr="00C35766" w:rsidRDefault="0075524C" w:rsidP="00603A86">
            <w:pPr>
              <w:pStyle w:val="TableParagraph"/>
              <w:spacing w:line="242"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right w:val="nil"/>
            </w:tcBorders>
          </w:tcPr>
          <w:p w14:paraId="19667A47" w14:textId="77777777" w:rsidR="0075524C" w:rsidRPr="00C35766" w:rsidRDefault="0075524C" w:rsidP="00603A86">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9,5%</w:t>
            </w:r>
          </w:p>
        </w:tc>
        <w:tc>
          <w:tcPr>
            <w:tcW w:w="728" w:type="pct"/>
            <w:tcBorders>
              <w:left w:val="nil"/>
            </w:tcBorders>
          </w:tcPr>
          <w:p w14:paraId="0B6DC5AC" w14:textId="77777777" w:rsidR="0075524C" w:rsidRPr="00C35766" w:rsidRDefault="0075524C" w:rsidP="00603A86">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41,5%</w:t>
            </w:r>
          </w:p>
        </w:tc>
      </w:tr>
      <w:tr w:rsidR="0075524C" w:rsidRPr="00C35766" w14:paraId="0C49ABB3" w14:textId="77777777" w:rsidTr="008A6AF4">
        <w:tc>
          <w:tcPr>
            <w:tcW w:w="650" w:type="pct"/>
            <w:tcBorders>
              <w:right w:val="single" w:sz="4" w:space="0" w:color="auto"/>
            </w:tcBorders>
          </w:tcPr>
          <w:p w14:paraId="2AA0299D" w14:textId="77777777" w:rsidR="0075524C" w:rsidRPr="00C35766" w:rsidRDefault="0075524C" w:rsidP="00603A86">
            <w:pPr>
              <w:pStyle w:val="TableParagraph"/>
              <w:spacing w:line="241"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ACR 70</w:t>
            </w:r>
          </w:p>
        </w:tc>
        <w:tc>
          <w:tcPr>
            <w:tcW w:w="589" w:type="pct"/>
            <w:tcBorders>
              <w:left w:val="single" w:sz="4" w:space="0" w:color="auto"/>
              <w:right w:val="nil"/>
            </w:tcBorders>
          </w:tcPr>
          <w:p w14:paraId="5D692ECB" w14:textId="77777777" w:rsidR="0075524C" w:rsidRPr="00C35766" w:rsidRDefault="0075524C" w:rsidP="00603A86">
            <w:pPr>
              <w:rPr>
                <w:rFonts w:ascii="Times New Roman" w:hAnsi="Times New Roman" w:cs="Times New Roman"/>
              </w:rPr>
            </w:pPr>
          </w:p>
        </w:tc>
        <w:tc>
          <w:tcPr>
            <w:tcW w:w="881" w:type="pct"/>
            <w:tcBorders>
              <w:left w:val="nil"/>
              <w:right w:val="single" w:sz="7" w:space="0" w:color="000000"/>
            </w:tcBorders>
          </w:tcPr>
          <w:p w14:paraId="27351BE2" w14:textId="77777777" w:rsidR="0075524C" w:rsidRPr="00C35766" w:rsidRDefault="0075524C" w:rsidP="00603A86">
            <w:pPr>
              <w:rPr>
                <w:rFonts w:ascii="Times New Roman" w:hAnsi="Times New Roman" w:cs="Times New Roman"/>
              </w:rPr>
            </w:pPr>
          </w:p>
        </w:tc>
        <w:tc>
          <w:tcPr>
            <w:tcW w:w="698" w:type="pct"/>
            <w:tcBorders>
              <w:left w:val="single" w:sz="7" w:space="0" w:color="000000"/>
              <w:right w:val="nil"/>
            </w:tcBorders>
          </w:tcPr>
          <w:p w14:paraId="3B7B636D" w14:textId="77777777" w:rsidR="0075524C" w:rsidRPr="00C35766" w:rsidRDefault="0075524C" w:rsidP="00603A86">
            <w:pPr>
              <w:rPr>
                <w:rFonts w:ascii="Times New Roman" w:hAnsi="Times New Roman" w:cs="Times New Roman"/>
              </w:rPr>
            </w:pPr>
          </w:p>
        </w:tc>
        <w:tc>
          <w:tcPr>
            <w:tcW w:w="706" w:type="pct"/>
            <w:tcBorders>
              <w:left w:val="nil"/>
              <w:right w:val="single" w:sz="7" w:space="0" w:color="000000"/>
            </w:tcBorders>
          </w:tcPr>
          <w:p w14:paraId="07A21A87" w14:textId="77777777" w:rsidR="0075524C" w:rsidRPr="00C35766" w:rsidRDefault="0075524C" w:rsidP="00603A86">
            <w:pPr>
              <w:rPr>
                <w:rFonts w:ascii="Times New Roman" w:hAnsi="Times New Roman" w:cs="Times New Roman"/>
              </w:rPr>
            </w:pPr>
          </w:p>
        </w:tc>
        <w:tc>
          <w:tcPr>
            <w:tcW w:w="749" w:type="pct"/>
            <w:tcBorders>
              <w:left w:val="single" w:sz="7" w:space="0" w:color="000000"/>
              <w:right w:val="nil"/>
            </w:tcBorders>
          </w:tcPr>
          <w:p w14:paraId="70E05CEB" w14:textId="77777777" w:rsidR="0075524C" w:rsidRPr="00C35766" w:rsidRDefault="0075524C" w:rsidP="00603A86">
            <w:pPr>
              <w:rPr>
                <w:rFonts w:ascii="Times New Roman" w:hAnsi="Times New Roman" w:cs="Times New Roman"/>
              </w:rPr>
            </w:pPr>
          </w:p>
        </w:tc>
        <w:tc>
          <w:tcPr>
            <w:tcW w:w="728" w:type="pct"/>
            <w:tcBorders>
              <w:left w:val="nil"/>
            </w:tcBorders>
          </w:tcPr>
          <w:p w14:paraId="6A59A632" w14:textId="77777777" w:rsidR="0075524C" w:rsidRPr="00C35766" w:rsidRDefault="0075524C" w:rsidP="00603A86">
            <w:pPr>
              <w:rPr>
                <w:rFonts w:ascii="Times New Roman" w:hAnsi="Times New Roman" w:cs="Times New Roman"/>
              </w:rPr>
            </w:pPr>
          </w:p>
        </w:tc>
      </w:tr>
      <w:tr w:rsidR="0075524C" w:rsidRPr="00C35766" w14:paraId="5D681AB7" w14:textId="77777777" w:rsidTr="008A6AF4">
        <w:tc>
          <w:tcPr>
            <w:tcW w:w="650" w:type="pct"/>
            <w:tcBorders>
              <w:right w:val="single" w:sz="4" w:space="0" w:color="auto"/>
            </w:tcBorders>
          </w:tcPr>
          <w:p w14:paraId="014CBC36" w14:textId="77777777" w:rsidR="0075524C" w:rsidRPr="00C35766" w:rsidRDefault="0075524C" w:rsidP="00603A86">
            <w:pPr>
              <w:pStyle w:val="TableParagraph"/>
              <w:spacing w:line="242"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6 mesi</w:t>
            </w:r>
          </w:p>
        </w:tc>
        <w:tc>
          <w:tcPr>
            <w:tcW w:w="589" w:type="pct"/>
            <w:tcBorders>
              <w:left w:val="single" w:sz="4" w:space="0" w:color="auto"/>
              <w:right w:val="nil"/>
            </w:tcBorders>
          </w:tcPr>
          <w:p w14:paraId="77DD1059" w14:textId="77777777" w:rsidR="0075524C" w:rsidRPr="00C35766" w:rsidRDefault="0075524C" w:rsidP="00603A86">
            <w:pPr>
              <w:pStyle w:val="TableParagraph"/>
              <w:spacing w:line="242" w:lineRule="exact"/>
              <w:ind w:left="337"/>
              <w:rPr>
                <w:rFonts w:ascii="Times New Roman" w:eastAsia="Times New Roman" w:hAnsi="Times New Roman" w:cs="Times New Roman"/>
              </w:rPr>
            </w:pPr>
            <w:r w:rsidRPr="00C35766">
              <w:rPr>
                <w:rFonts w:ascii="Times New Roman" w:eastAsia="Times New Roman" w:hAnsi="Times New Roman" w:cs="Times New Roman"/>
                <w:lang w:val="it-IT"/>
              </w:rPr>
              <w:t>3,3%</w:t>
            </w:r>
          </w:p>
        </w:tc>
        <w:tc>
          <w:tcPr>
            <w:tcW w:w="881" w:type="pct"/>
            <w:tcBorders>
              <w:left w:val="nil"/>
              <w:right w:val="single" w:sz="7" w:space="0" w:color="000000"/>
            </w:tcBorders>
          </w:tcPr>
          <w:p w14:paraId="76C91107" w14:textId="77777777" w:rsidR="0075524C" w:rsidRPr="00C35766" w:rsidRDefault="0075524C" w:rsidP="00603A86">
            <w:pPr>
              <w:pStyle w:val="TableParagraph"/>
              <w:spacing w:line="242" w:lineRule="exact"/>
              <w:ind w:left="544"/>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698" w:type="pct"/>
            <w:tcBorders>
              <w:left w:val="single" w:sz="7" w:space="0" w:color="000000"/>
              <w:right w:val="nil"/>
            </w:tcBorders>
          </w:tcPr>
          <w:p w14:paraId="1A9F3819" w14:textId="77777777" w:rsidR="0075524C" w:rsidRPr="00C35766" w:rsidRDefault="0075524C" w:rsidP="00603A86">
            <w:pPr>
              <w:pStyle w:val="TableParagraph"/>
              <w:spacing w:line="242" w:lineRule="exact"/>
              <w:ind w:left="428"/>
              <w:rPr>
                <w:rFonts w:ascii="Times New Roman" w:eastAsia="Times New Roman" w:hAnsi="Times New Roman" w:cs="Times New Roman"/>
              </w:rPr>
            </w:pPr>
            <w:r w:rsidRPr="00C35766">
              <w:rPr>
                <w:rFonts w:ascii="Times New Roman" w:eastAsia="Times New Roman" w:hAnsi="Times New Roman" w:cs="Times New Roman"/>
                <w:lang w:val="it-IT"/>
              </w:rPr>
              <w:t>1,8%</w:t>
            </w:r>
          </w:p>
        </w:tc>
        <w:tc>
          <w:tcPr>
            <w:tcW w:w="706" w:type="pct"/>
            <w:tcBorders>
              <w:left w:val="nil"/>
              <w:right w:val="single" w:sz="7" w:space="0" w:color="000000"/>
            </w:tcBorders>
          </w:tcPr>
          <w:p w14:paraId="6937E8FA" w14:textId="77777777" w:rsidR="0075524C" w:rsidRPr="00C35766" w:rsidRDefault="0075524C" w:rsidP="00603A86">
            <w:pPr>
              <w:pStyle w:val="TableParagraph"/>
              <w:spacing w:line="242" w:lineRule="exact"/>
              <w:ind w:left="363"/>
              <w:rPr>
                <w:rFonts w:ascii="Times New Roman" w:eastAsia="Times New Roman" w:hAnsi="Times New Roman" w:cs="Times New Roman"/>
              </w:rPr>
            </w:pPr>
            <w:r w:rsidRPr="00C35766">
              <w:rPr>
                <w:rFonts w:ascii="Times New Roman" w:eastAsia="Times New Roman" w:hAnsi="Times New Roman" w:cs="Times New Roman"/>
                <w:lang w:val="it-IT"/>
              </w:rPr>
              <w:t>12,4%</w:t>
            </w:r>
          </w:p>
        </w:tc>
        <w:tc>
          <w:tcPr>
            <w:tcW w:w="749" w:type="pct"/>
            <w:tcBorders>
              <w:left w:val="single" w:sz="7" w:space="0" w:color="000000"/>
              <w:right w:val="nil"/>
            </w:tcBorders>
          </w:tcPr>
          <w:p w14:paraId="20F1AD1E" w14:textId="77777777" w:rsidR="0075524C" w:rsidRPr="00C35766" w:rsidRDefault="0075524C" w:rsidP="00603A86">
            <w:pPr>
              <w:pStyle w:val="TableParagraph"/>
              <w:spacing w:line="242"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728" w:type="pct"/>
            <w:tcBorders>
              <w:left w:val="nil"/>
            </w:tcBorders>
          </w:tcPr>
          <w:p w14:paraId="728B19C2" w14:textId="77777777" w:rsidR="0075524C" w:rsidRPr="00C35766" w:rsidRDefault="0075524C" w:rsidP="00603A86">
            <w:pPr>
              <w:pStyle w:val="TableParagraph"/>
              <w:spacing w:line="242"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20,8%</w:t>
            </w:r>
          </w:p>
        </w:tc>
      </w:tr>
      <w:tr w:rsidR="0075524C" w:rsidRPr="00C35766" w14:paraId="09F26741" w14:textId="77777777" w:rsidTr="008A6AF4">
        <w:tc>
          <w:tcPr>
            <w:tcW w:w="650" w:type="pct"/>
            <w:tcBorders>
              <w:bottom w:val="single" w:sz="4" w:space="0" w:color="auto"/>
              <w:right w:val="single" w:sz="4" w:space="0" w:color="auto"/>
            </w:tcBorders>
          </w:tcPr>
          <w:p w14:paraId="7DD5C667" w14:textId="77777777" w:rsidR="0075524C" w:rsidRPr="00C35766" w:rsidRDefault="0075524C" w:rsidP="00603A86">
            <w:pPr>
              <w:pStyle w:val="TableParagraph"/>
              <w:spacing w:line="241" w:lineRule="exact"/>
              <w:ind w:left="144"/>
              <w:rPr>
                <w:rFonts w:ascii="Times New Roman" w:eastAsia="Times New Roman" w:hAnsi="Times New Roman" w:cs="Times New Roman"/>
              </w:rPr>
            </w:pPr>
            <w:r w:rsidRPr="00C35766">
              <w:rPr>
                <w:rFonts w:ascii="Times New Roman" w:eastAsia="Times New Roman" w:hAnsi="Times New Roman" w:cs="Times New Roman"/>
                <w:lang w:val="it-IT"/>
              </w:rPr>
              <w:t>12 mesi</w:t>
            </w:r>
          </w:p>
        </w:tc>
        <w:tc>
          <w:tcPr>
            <w:tcW w:w="589" w:type="pct"/>
            <w:tcBorders>
              <w:left w:val="single" w:sz="4" w:space="0" w:color="auto"/>
              <w:bottom w:val="single" w:sz="4" w:space="0" w:color="auto"/>
              <w:right w:val="nil"/>
            </w:tcBorders>
          </w:tcPr>
          <w:p w14:paraId="0D295B27" w14:textId="77777777" w:rsidR="0075524C" w:rsidRPr="00C35766" w:rsidRDefault="0075524C" w:rsidP="00603A86">
            <w:pPr>
              <w:pStyle w:val="TableParagraph"/>
              <w:spacing w:line="241" w:lineRule="exact"/>
              <w:ind w:left="404"/>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881" w:type="pct"/>
            <w:tcBorders>
              <w:left w:val="nil"/>
              <w:bottom w:val="single" w:sz="4" w:space="0" w:color="auto"/>
              <w:right w:val="single" w:sz="7" w:space="0" w:color="000000"/>
            </w:tcBorders>
          </w:tcPr>
          <w:p w14:paraId="069A92DB" w14:textId="77777777" w:rsidR="0075524C" w:rsidRPr="00C35766" w:rsidRDefault="0075524C" w:rsidP="00603A86">
            <w:pPr>
              <w:pStyle w:val="TableParagraph"/>
              <w:spacing w:line="241" w:lineRule="exact"/>
              <w:ind w:left="651" w:right="595"/>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698" w:type="pct"/>
            <w:tcBorders>
              <w:left w:val="single" w:sz="7" w:space="0" w:color="000000"/>
              <w:bottom w:val="single" w:sz="4" w:space="0" w:color="auto"/>
              <w:right w:val="nil"/>
            </w:tcBorders>
          </w:tcPr>
          <w:p w14:paraId="73008B0F" w14:textId="77777777" w:rsidR="0075524C" w:rsidRPr="00C35766" w:rsidRDefault="0075524C" w:rsidP="00603A86">
            <w:pPr>
              <w:pStyle w:val="TableParagraph"/>
              <w:spacing w:line="241" w:lineRule="exact"/>
              <w:ind w:left="460" w:right="451"/>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06" w:type="pct"/>
            <w:tcBorders>
              <w:left w:val="nil"/>
              <w:bottom w:val="single" w:sz="4" w:space="0" w:color="auto"/>
              <w:right w:val="single" w:sz="7" w:space="0" w:color="000000"/>
            </w:tcBorders>
          </w:tcPr>
          <w:p w14:paraId="76E3C4CB" w14:textId="77777777" w:rsidR="0075524C" w:rsidRPr="00C35766" w:rsidRDefault="0075524C" w:rsidP="00603A86">
            <w:pPr>
              <w:pStyle w:val="TableParagraph"/>
              <w:spacing w:line="241" w:lineRule="exact"/>
              <w:ind w:left="470" w:right="456"/>
              <w:jc w:val="center"/>
              <w:rPr>
                <w:rFonts w:ascii="Times New Roman" w:eastAsia="Times New Roman" w:hAnsi="Times New Roman" w:cs="Times New Roman"/>
              </w:rPr>
            </w:pPr>
            <w:r w:rsidRPr="00C35766">
              <w:rPr>
                <w:rFonts w:ascii="Times New Roman" w:eastAsia="Times New Roman" w:hAnsi="Times New Roman" w:cs="Times New Roman"/>
                <w:spacing w:val="-2"/>
                <w:lang w:val="it-IT"/>
              </w:rPr>
              <w:t>NA</w:t>
            </w:r>
          </w:p>
        </w:tc>
        <w:tc>
          <w:tcPr>
            <w:tcW w:w="749" w:type="pct"/>
            <w:tcBorders>
              <w:left w:val="single" w:sz="7" w:space="0" w:color="000000"/>
              <w:bottom w:val="single" w:sz="4" w:space="0" w:color="auto"/>
              <w:right w:val="nil"/>
            </w:tcBorders>
          </w:tcPr>
          <w:p w14:paraId="1B0193D0" w14:textId="77777777" w:rsidR="0075524C" w:rsidRPr="00C35766" w:rsidRDefault="0075524C" w:rsidP="00603A86">
            <w:pPr>
              <w:pStyle w:val="TableParagraph"/>
              <w:spacing w:line="241" w:lineRule="exact"/>
              <w:ind w:left="455"/>
              <w:rPr>
                <w:rFonts w:ascii="Times New Roman" w:eastAsia="Times New Roman" w:hAnsi="Times New Roman" w:cs="Times New Roman"/>
              </w:rPr>
            </w:pPr>
            <w:r w:rsidRPr="00C35766">
              <w:rPr>
                <w:rFonts w:ascii="Times New Roman" w:eastAsia="Times New Roman" w:hAnsi="Times New Roman" w:cs="Times New Roman"/>
                <w:lang w:val="it-IT"/>
              </w:rPr>
              <w:t>4,5%</w:t>
            </w:r>
          </w:p>
        </w:tc>
        <w:tc>
          <w:tcPr>
            <w:tcW w:w="728" w:type="pct"/>
            <w:tcBorders>
              <w:left w:val="nil"/>
              <w:bottom w:val="single" w:sz="4" w:space="0" w:color="auto"/>
            </w:tcBorders>
          </w:tcPr>
          <w:p w14:paraId="269053FA" w14:textId="77777777" w:rsidR="0075524C" w:rsidRPr="00C35766" w:rsidRDefault="0075524C" w:rsidP="00603A86">
            <w:pPr>
              <w:pStyle w:val="TableParagraph"/>
              <w:spacing w:line="241" w:lineRule="exact"/>
              <w:ind w:left="567"/>
              <w:rPr>
                <w:rFonts w:ascii="Times New Roman" w:eastAsia="Times New Roman" w:hAnsi="Times New Roman" w:cs="Times New Roman"/>
              </w:rPr>
            </w:pPr>
            <w:r w:rsidRPr="00C35766">
              <w:rPr>
                <w:rFonts w:ascii="Times New Roman" w:eastAsia="Times New Roman" w:hAnsi="Times New Roman" w:cs="Times New Roman"/>
                <w:lang w:val="it-IT"/>
              </w:rPr>
              <w:t>23,2%</w:t>
            </w:r>
          </w:p>
        </w:tc>
      </w:tr>
    </w:tbl>
    <w:p w14:paraId="336FDC64" w14:textId="77777777" w:rsidR="0075524C" w:rsidRPr="00C35766" w:rsidRDefault="0075524C" w:rsidP="008A6AF4">
      <w:pPr>
        <w:pStyle w:val="a3"/>
        <w:numPr>
          <w:ilvl w:val="0"/>
          <w:numId w:val="0"/>
        </w:numPr>
        <w:ind w:leftChars="100" w:left="220"/>
        <w:rPr>
          <w:lang w:val="pt-BR"/>
        </w:rPr>
      </w:pPr>
      <w:r w:rsidRPr="00C35766">
        <w:rPr>
          <w:rFonts w:eastAsia="Times New Roman"/>
          <w:position w:val="8"/>
          <w:vertAlign w:val="superscript"/>
          <w:lang w:val="it-IT"/>
        </w:rPr>
        <w:t xml:space="preserve">a </w:t>
      </w:r>
      <w:r w:rsidRPr="00C35766">
        <w:rPr>
          <w:rFonts w:eastAsia="Times New Roman"/>
          <w:position w:val="8"/>
          <w:lang w:val="it-IT"/>
        </w:rPr>
        <w:t>studio AR I a 24 settimane, studio AR II a 26 settimane, e studio AR III a 24 e 52 settimane</w:t>
      </w:r>
    </w:p>
    <w:p w14:paraId="6566AF82" w14:textId="77777777" w:rsidR="0075524C" w:rsidRPr="00C35766" w:rsidRDefault="0075524C" w:rsidP="008A6AF4">
      <w:pPr>
        <w:pStyle w:val="a3"/>
        <w:numPr>
          <w:ilvl w:val="0"/>
          <w:numId w:val="0"/>
        </w:numPr>
        <w:ind w:leftChars="100" w:left="220"/>
        <w:rPr>
          <w:lang w:val="pt-BR"/>
        </w:rPr>
      </w:pPr>
      <w:r w:rsidRPr="00C35766">
        <w:rPr>
          <w:rFonts w:eastAsia="Times New Roman"/>
          <w:position w:val="8"/>
          <w:vertAlign w:val="superscript"/>
          <w:lang w:val="it-IT"/>
        </w:rPr>
        <w:t xml:space="preserve">b </w:t>
      </w:r>
      <w:r w:rsidRPr="00C35766">
        <w:rPr>
          <w:rFonts w:eastAsia="Times New Roman"/>
          <w:position w:val="8"/>
          <w:lang w:val="it-IT"/>
        </w:rPr>
        <w:t>40 mg di adalimumab somministrato ogni due settimane</w:t>
      </w:r>
    </w:p>
    <w:p w14:paraId="2F67FD7F" w14:textId="77777777" w:rsidR="0075524C" w:rsidRPr="00C35766" w:rsidRDefault="0075524C" w:rsidP="008A6AF4">
      <w:pPr>
        <w:pStyle w:val="a3"/>
        <w:ind w:leftChars="100" w:left="220"/>
        <w:rPr>
          <w:lang w:val="pt-BR"/>
        </w:rPr>
      </w:pPr>
      <w:r w:rsidRPr="00C35766">
        <w:rPr>
          <w:rFonts w:eastAsia="Times New Roman"/>
          <w:position w:val="8"/>
          <w:vertAlign w:val="superscript"/>
          <w:lang w:val="it-IT"/>
        </w:rPr>
        <w:t>c</w:t>
      </w:r>
      <w:r w:rsidRPr="00C35766">
        <w:rPr>
          <w:rFonts w:eastAsia="Times New Roman"/>
          <w:position w:val="8"/>
          <w:lang w:val="it-IT"/>
        </w:rPr>
        <w:t xml:space="preserve"> MTX = metotressato</w:t>
      </w:r>
    </w:p>
    <w:p w14:paraId="4374C0DC" w14:textId="77777777" w:rsidR="0075524C" w:rsidRPr="00C35766" w:rsidRDefault="0075524C" w:rsidP="008A6AF4">
      <w:pPr>
        <w:spacing w:before="1"/>
        <w:ind w:leftChars="100" w:left="220"/>
        <w:rPr>
          <w:rFonts w:ascii="Times New Roman" w:eastAsia="Times New Roman" w:hAnsi="Times New Roman" w:cs="Times New Roman"/>
          <w:lang w:val="pt-BR"/>
        </w:rPr>
      </w:pPr>
      <w:r w:rsidRPr="00C35766">
        <w:rPr>
          <w:rFonts w:ascii="Times New Roman" w:eastAsia="Times New Roman" w:hAnsi="Times New Roman" w:cs="Times New Roman"/>
          <w:lang w:val="it-IT"/>
        </w:rPr>
        <w:t xml:space="preserve">**p &lt; 0,01, adalimumab </w:t>
      </w:r>
      <w:r w:rsidRPr="00C35766">
        <w:rPr>
          <w:rFonts w:ascii="Times New Roman" w:eastAsia="Times New Roman" w:hAnsi="Times New Roman" w:cs="Times New Roman"/>
          <w:i/>
          <w:iCs/>
          <w:lang w:val="it-IT"/>
        </w:rPr>
        <w:t xml:space="preserve">versus </w:t>
      </w:r>
      <w:r w:rsidRPr="00C35766">
        <w:rPr>
          <w:rFonts w:ascii="Times New Roman" w:eastAsia="Times New Roman" w:hAnsi="Times New Roman" w:cs="Times New Roman"/>
          <w:lang w:val="it-IT"/>
        </w:rPr>
        <w:t>placebo</w:t>
      </w:r>
    </w:p>
    <w:p w14:paraId="71179BF3" w14:textId="77777777" w:rsidR="0075524C" w:rsidRPr="00C35766" w:rsidRDefault="0075524C" w:rsidP="0075524C">
      <w:pPr>
        <w:spacing w:before="1" w:line="180" w:lineRule="exact"/>
        <w:rPr>
          <w:rFonts w:ascii="Times New Roman" w:hAnsi="Times New Roman" w:cs="Times New Roman"/>
          <w:sz w:val="18"/>
          <w:szCs w:val="18"/>
          <w:lang w:val="pt-BR"/>
        </w:rPr>
      </w:pPr>
    </w:p>
    <w:p w14:paraId="31C6A5ED" w14:textId="77777777" w:rsidR="0075524C" w:rsidRPr="00C35766" w:rsidRDefault="0075524C" w:rsidP="0075524C">
      <w:pPr>
        <w:pStyle w:val="a3"/>
        <w:rPr>
          <w:lang w:val="pt-BR"/>
        </w:rPr>
      </w:pPr>
      <w:r w:rsidRPr="00C35766">
        <w:rPr>
          <w:rFonts w:eastAsia="Times New Roman"/>
          <w:lang w:val="it-IT"/>
        </w:rPr>
        <w:t>Negli studi AR I-IV, tutti i parametri valutati per la definizione della risposta ACR (numero di articolazioni dolenti e tumefatte, valutazione dell’attività di malattia e del dolore da parte del medico e del paziente, indice di disabilità (HAQ) e i valori di PCR (mg/dL) sono migliorati a 24 o 26 settimane rispetto al placebo. Nello studio AR III, tali miglioramenti si sono mantenuti nell’arco di 52 settimane.</w:t>
      </w:r>
    </w:p>
    <w:p w14:paraId="2CD83743" w14:textId="77777777" w:rsidR="0075524C" w:rsidRPr="00C35766" w:rsidRDefault="0075524C" w:rsidP="0075524C">
      <w:pPr>
        <w:spacing w:before="13" w:line="240" w:lineRule="exact"/>
        <w:rPr>
          <w:rFonts w:ascii="Times New Roman" w:hAnsi="Times New Roman" w:cs="Times New Roman"/>
          <w:sz w:val="24"/>
          <w:szCs w:val="24"/>
          <w:lang w:val="pt-BR"/>
        </w:rPr>
      </w:pPr>
    </w:p>
    <w:p w14:paraId="7DCCC7B9" w14:textId="77777777" w:rsidR="0075524C" w:rsidRPr="00C35766" w:rsidRDefault="0075524C" w:rsidP="0075524C">
      <w:pPr>
        <w:pStyle w:val="a3"/>
        <w:rPr>
          <w:lang w:val="it-IT"/>
        </w:rPr>
      </w:pPr>
      <w:r w:rsidRPr="00C35766">
        <w:rPr>
          <w:rFonts w:eastAsia="Times New Roman"/>
          <w:lang w:val="it-IT"/>
        </w:rPr>
        <w:t>Nella fase di estensione in aperto dello studio AR III, la maggior parte dei pazienti che hanno avuto una risposta ACR hanno mantenuto la risposta quando sono stati seguiti fino a per 10 anni. Su un totale di 207 pazienti che sono stati randomizzati ad adalimumab 40 mg a settimane alterne, 114 hanno continuato il trattamento con adalimumab 40 mg a settimane alterne per 5 anni. Di questi, 86 pazienti (75,4%) hanno avuto risposte ACR 20; 72 pazienti (63,2%) hanno avuto risposte ACR 50; e 41 pazienti (36%) hanno avuto risposte ACR 70. Su un totale di 207 pazienti, 81 hanno continuato il trattamento con adalimumab 40 mg a settimane alterne per 10 anni. Di questi, 64 pazienti (79,0%) hanno avuto risposte ACR 20; 56 pazienti (69,1%) hanno avuto risposte ACR 50; e 43 pazienti (53,1%) hanno avuto risposte ACR 70.</w:t>
      </w:r>
    </w:p>
    <w:p w14:paraId="341701DD" w14:textId="77777777" w:rsidR="0075524C" w:rsidRPr="00C35766" w:rsidRDefault="0075524C" w:rsidP="0075524C">
      <w:pPr>
        <w:spacing w:before="17" w:line="240" w:lineRule="exact"/>
        <w:rPr>
          <w:rFonts w:ascii="Times New Roman" w:hAnsi="Times New Roman" w:cs="Times New Roman"/>
          <w:sz w:val="24"/>
          <w:szCs w:val="24"/>
          <w:lang w:val="it-IT"/>
        </w:rPr>
      </w:pPr>
    </w:p>
    <w:p w14:paraId="71AF4649" w14:textId="77777777" w:rsidR="0075524C" w:rsidRPr="00C35766" w:rsidRDefault="0075524C" w:rsidP="0075524C">
      <w:pPr>
        <w:pStyle w:val="a3"/>
        <w:rPr>
          <w:lang w:val="it-IT"/>
        </w:rPr>
      </w:pPr>
      <w:r w:rsidRPr="00C35766">
        <w:rPr>
          <w:rFonts w:eastAsia="Times New Roman"/>
          <w:lang w:val="it-IT"/>
        </w:rPr>
        <w:t>Nello studio AR IV, la risposta ACR 20 di pazienti trattati con adalimumab, in associazione con la terapia convenzionale, è stata migliore in misura statisticamente significativa rispetto ai pazienti trattati con placebo associato a terapia convenzionale (p &lt; 0,001).</w:t>
      </w:r>
    </w:p>
    <w:p w14:paraId="6C2857E7" w14:textId="77777777" w:rsidR="0075524C" w:rsidRPr="00C35766" w:rsidRDefault="0075524C" w:rsidP="0075524C">
      <w:pPr>
        <w:spacing w:before="11" w:line="240" w:lineRule="exact"/>
        <w:rPr>
          <w:rFonts w:ascii="Times New Roman" w:hAnsi="Times New Roman" w:cs="Times New Roman"/>
          <w:sz w:val="24"/>
          <w:szCs w:val="24"/>
          <w:lang w:val="it-IT"/>
        </w:rPr>
      </w:pPr>
    </w:p>
    <w:p w14:paraId="62C11CA5" w14:textId="77777777" w:rsidR="0075524C" w:rsidRPr="00C35766" w:rsidRDefault="0075524C" w:rsidP="0075524C">
      <w:pPr>
        <w:pStyle w:val="a3"/>
        <w:rPr>
          <w:lang w:val="it-IT"/>
        </w:rPr>
      </w:pPr>
      <w:r w:rsidRPr="00C35766">
        <w:rPr>
          <w:rFonts w:eastAsia="Times New Roman"/>
          <w:lang w:val="it-IT"/>
        </w:rPr>
        <w:t>Negli studi AR I-IV, i pazienti trattati con adalimumab hanno raggiunto risposte ACR 20 e 50 statisticamente significative rispetto al placebo già entro 1-2 settimane dall’inizio del trattamento.</w:t>
      </w:r>
    </w:p>
    <w:p w14:paraId="2574DD27" w14:textId="77777777" w:rsidR="0075524C" w:rsidRPr="00C35766" w:rsidRDefault="0075524C" w:rsidP="0075524C">
      <w:pPr>
        <w:pStyle w:val="a3"/>
        <w:rPr>
          <w:lang w:val="it-IT"/>
        </w:rPr>
      </w:pPr>
    </w:p>
    <w:p w14:paraId="0F54FAA3" w14:textId="6087B510" w:rsidR="0075524C" w:rsidRPr="00C35766" w:rsidRDefault="0075524C" w:rsidP="0075524C">
      <w:pPr>
        <w:pStyle w:val="a3"/>
        <w:rPr>
          <w:lang w:val="it-IT"/>
        </w:rPr>
      </w:pPr>
      <w:r w:rsidRPr="00824699">
        <w:rPr>
          <w:lang w:val="it-IT"/>
        </w:rPr>
        <w:t xml:space="preserve">Nello studio AR V, nei pazienti con artrite reumatoide precoce che non erano mai stati precedentemente trattati con metotressato, la terapia di associazione adalimumab/metotressato ha determinato risposte ACR più rapide e significativamente superiori rispetto alla monoterapia con metotressato ed alla monoterapia con adalimumab alla settimana 52 e tali risposte si sono mantenute nell’arco di 104 settimane </w:t>
      </w:r>
      <w:r w:rsidRPr="00C35766">
        <w:rPr>
          <w:rFonts w:eastAsia="Times New Roman"/>
          <w:lang w:val="it-IT"/>
        </w:rPr>
        <w:t xml:space="preserve">(vedere Tabella </w:t>
      </w:r>
      <w:r w:rsidR="002452EF">
        <w:rPr>
          <w:rFonts w:eastAsia="Times New Roman"/>
          <w:lang w:val="it-IT"/>
        </w:rPr>
        <w:t>8</w:t>
      </w:r>
      <w:r w:rsidRPr="00C35766">
        <w:rPr>
          <w:rFonts w:eastAsia="Times New Roman"/>
          <w:lang w:val="it-IT"/>
        </w:rPr>
        <w:t>).</w:t>
      </w:r>
    </w:p>
    <w:p w14:paraId="2ABA7F7A" w14:textId="77777777" w:rsidR="0075524C" w:rsidRDefault="0075524C" w:rsidP="008A6AF4">
      <w:pPr>
        <w:pStyle w:val="a3"/>
        <w:rPr>
          <w:b/>
          <w:lang w:val="it-IT"/>
        </w:rPr>
      </w:pPr>
    </w:p>
    <w:p w14:paraId="6F727D5D" w14:textId="77777777" w:rsidR="00AF25F1" w:rsidRDefault="00AF25F1" w:rsidP="008A6AF4">
      <w:pPr>
        <w:pStyle w:val="a3"/>
        <w:rPr>
          <w:b/>
          <w:lang w:val="it-IT"/>
        </w:rPr>
      </w:pPr>
    </w:p>
    <w:p w14:paraId="35E63B33" w14:textId="77777777" w:rsidR="00AF25F1" w:rsidRDefault="00AF25F1" w:rsidP="008A6AF4">
      <w:pPr>
        <w:pStyle w:val="a3"/>
        <w:rPr>
          <w:b/>
          <w:lang w:val="it-IT"/>
        </w:rPr>
      </w:pPr>
    </w:p>
    <w:p w14:paraId="5E40BC04" w14:textId="77777777" w:rsidR="00AF25F1" w:rsidRDefault="00AF25F1" w:rsidP="008A6AF4">
      <w:pPr>
        <w:pStyle w:val="a3"/>
        <w:rPr>
          <w:b/>
          <w:lang w:val="it-IT"/>
        </w:rPr>
      </w:pPr>
    </w:p>
    <w:p w14:paraId="1A219820" w14:textId="77777777" w:rsidR="00AF25F1" w:rsidRDefault="00AF25F1" w:rsidP="008A6AF4">
      <w:pPr>
        <w:pStyle w:val="a3"/>
        <w:rPr>
          <w:b/>
          <w:lang w:val="it-IT"/>
        </w:rPr>
      </w:pPr>
    </w:p>
    <w:p w14:paraId="61543B39" w14:textId="77777777" w:rsidR="00AF25F1" w:rsidRDefault="00AF25F1" w:rsidP="008A6AF4">
      <w:pPr>
        <w:pStyle w:val="a3"/>
        <w:rPr>
          <w:b/>
          <w:lang w:val="it-IT"/>
        </w:rPr>
      </w:pPr>
    </w:p>
    <w:p w14:paraId="1D377F36" w14:textId="77777777" w:rsidR="00AF25F1" w:rsidRPr="00C35766" w:rsidRDefault="00AF25F1" w:rsidP="008A6AF4">
      <w:pPr>
        <w:pStyle w:val="a3"/>
        <w:rPr>
          <w:b/>
          <w:lang w:val="it-IT"/>
        </w:rPr>
      </w:pPr>
    </w:p>
    <w:p w14:paraId="4FB92A69" w14:textId="3FA10348" w:rsidR="0075524C" w:rsidRPr="00C35766" w:rsidRDefault="0075524C" w:rsidP="0075524C">
      <w:pPr>
        <w:pStyle w:val="a3"/>
        <w:jc w:val="center"/>
        <w:rPr>
          <w:b/>
          <w:lang w:val="it-IT"/>
        </w:rPr>
      </w:pPr>
      <w:r w:rsidRPr="00C35766">
        <w:rPr>
          <w:rFonts w:eastAsia="Times New Roman"/>
          <w:b/>
          <w:bCs/>
          <w:lang w:val="it-IT"/>
        </w:rPr>
        <w:lastRenderedPageBreak/>
        <w:t xml:space="preserve">Tabella </w:t>
      </w:r>
      <w:r w:rsidR="002452EF">
        <w:rPr>
          <w:rFonts w:eastAsia="Times New Roman"/>
          <w:b/>
          <w:bCs/>
          <w:lang w:val="it-IT"/>
        </w:rPr>
        <w:t>8</w:t>
      </w:r>
    </w:p>
    <w:p w14:paraId="0D9CD5BD" w14:textId="77777777" w:rsidR="0075524C" w:rsidRPr="00C35766" w:rsidRDefault="0075524C" w:rsidP="0075524C">
      <w:pPr>
        <w:pStyle w:val="a3"/>
        <w:jc w:val="center"/>
        <w:rPr>
          <w:b/>
          <w:lang w:val="it-IT"/>
        </w:rPr>
      </w:pPr>
      <w:r w:rsidRPr="00C35766">
        <w:rPr>
          <w:rFonts w:eastAsia="Times New Roman"/>
          <w:b/>
          <w:bCs/>
          <w:lang w:val="it-IT"/>
        </w:rPr>
        <w:t>Risposte ACR nello studio AR V</w:t>
      </w:r>
    </w:p>
    <w:p w14:paraId="54C07419" w14:textId="77777777" w:rsidR="0075524C" w:rsidRPr="00C35766" w:rsidRDefault="0075524C" w:rsidP="0075524C">
      <w:pPr>
        <w:pStyle w:val="a3"/>
        <w:jc w:val="center"/>
        <w:rPr>
          <w:b/>
        </w:rPr>
      </w:pPr>
      <w:r w:rsidRPr="00C35766">
        <w:rPr>
          <w:rFonts w:eastAsia="Times New Roman"/>
          <w:b/>
          <w:bCs/>
          <w:lang w:val="it-IT"/>
        </w:rPr>
        <w:t>(percentuale di pazienti)</w:t>
      </w:r>
    </w:p>
    <w:p w14:paraId="7632C503" w14:textId="77777777" w:rsidR="0075524C" w:rsidRPr="00C35766" w:rsidRDefault="0075524C" w:rsidP="0075524C">
      <w:pPr>
        <w:pStyle w:val="a3"/>
        <w:jc w:val="center"/>
        <w:rPr>
          <w:b/>
        </w:rPr>
      </w:pPr>
    </w:p>
    <w:tbl>
      <w:tblPr>
        <w:tblStyle w:val="TableNormal1"/>
        <w:tblpPr w:leftFromText="180" w:rightFromText="180" w:vertAnchor="text" w:tblpX="184" w:tblpY="1"/>
        <w:tblOverlap w:val="never"/>
        <w:tblW w:w="0" w:type="auto"/>
        <w:tblLayout w:type="fixed"/>
        <w:tblLook w:val="01E0" w:firstRow="1" w:lastRow="1" w:firstColumn="1" w:lastColumn="1" w:noHBand="0" w:noVBand="0"/>
      </w:tblPr>
      <w:tblGrid>
        <w:gridCol w:w="1366"/>
        <w:gridCol w:w="1275"/>
        <w:gridCol w:w="1276"/>
        <w:gridCol w:w="1985"/>
        <w:gridCol w:w="957"/>
        <w:gridCol w:w="1174"/>
        <w:gridCol w:w="1216"/>
      </w:tblGrid>
      <w:tr w:rsidR="0075524C" w:rsidRPr="00C35766" w14:paraId="097B905D" w14:textId="77777777" w:rsidTr="00603A86">
        <w:tc>
          <w:tcPr>
            <w:tcW w:w="1366" w:type="dxa"/>
            <w:tcBorders>
              <w:top w:val="single" w:sz="5" w:space="0" w:color="000000"/>
              <w:left w:val="single" w:sz="8" w:space="0" w:color="000000"/>
              <w:bottom w:val="single" w:sz="5" w:space="0" w:color="000000"/>
              <w:right w:val="single" w:sz="5" w:space="0" w:color="000000"/>
            </w:tcBorders>
            <w:vAlign w:val="center"/>
          </w:tcPr>
          <w:p w14:paraId="14BCED71" w14:textId="77777777" w:rsidR="0075524C" w:rsidRPr="00C35766" w:rsidRDefault="0075524C" w:rsidP="00603A86">
            <w:pPr>
              <w:pStyle w:val="TableParagraph"/>
              <w:spacing w:line="120" w:lineRule="exact"/>
              <w:jc w:val="center"/>
              <w:rPr>
                <w:rFonts w:ascii="Times New Roman" w:hAnsi="Times New Roman" w:cs="Times New Roman"/>
              </w:rPr>
            </w:pPr>
          </w:p>
          <w:p w14:paraId="2EEDCA83"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Risposta</w:t>
            </w:r>
          </w:p>
        </w:tc>
        <w:tc>
          <w:tcPr>
            <w:tcW w:w="1275" w:type="dxa"/>
            <w:tcBorders>
              <w:top w:val="single" w:sz="5" w:space="0" w:color="000000"/>
              <w:left w:val="single" w:sz="5" w:space="0" w:color="000000"/>
              <w:bottom w:val="single" w:sz="5" w:space="0" w:color="000000"/>
              <w:right w:val="single" w:sz="5" w:space="0" w:color="000000"/>
            </w:tcBorders>
            <w:vAlign w:val="center"/>
          </w:tcPr>
          <w:p w14:paraId="737EE1D9" w14:textId="77777777" w:rsidR="0075524C" w:rsidRPr="00C35766" w:rsidRDefault="0075524C" w:rsidP="00603A86">
            <w:pPr>
              <w:pStyle w:val="TableParagraph"/>
              <w:spacing w:line="252" w:lineRule="exact"/>
              <w:ind w:firstLine="33"/>
              <w:jc w:val="center"/>
              <w:rPr>
                <w:rFonts w:ascii="Times New Roman" w:eastAsia="Times New Roman" w:hAnsi="Times New Roman" w:cs="Times New Roman"/>
                <w:b/>
                <w:bCs/>
                <w:spacing w:val="-1"/>
                <w:lang w:val="it-IT"/>
              </w:rPr>
            </w:pPr>
            <w:r w:rsidRPr="00C35766">
              <w:rPr>
                <w:rFonts w:ascii="Times New Roman" w:eastAsia="Times New Roman" w:hAnsi="Times New Roman" w:cs="Times New Roman"/>
                <w:b/>
                <w:bCs/>
                <w:spacing w:val="-1"/>
                <w:lang w:val="it-IT"/>
              </w:rPr>
              <w:t xml:space="preserve">MTX </w:t>
            </w:r>
          </w:p>
          <w:p w14:paraId="65AB2F00" w14:textId="77777777" w:rsidR="0075524C" w:rsidRPr="00C35766" w:rsidRDefault="0075524C" w:rsidP="00603A86">
            <w:pPr>
              <w:pStyle w:val="TableParagraph"/>
              <w:spacing w:line="252" w:lineRule="exact"/>
              <w:ind w:firstLine="3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n=257</w:t>
            </w:r>
          </w:p>
        </w:tc>
        <w:tc>
          <w:tcPr>
            <w:tcW w:w="1276" w:type="dxa"/>
            <w:tcBorders>
              <w:top w:val="single" w:sz="5" w:space="0" w:color="000000"/>
              <w:left w:val="single" w:sz="5" w:space="0" w:color="000000"/>
              <w:bottom w:val="single" w:sz="5" w:space="0" w:color="000000"/>
              <w:right w:val="single" w:sz="5" w:space="0" w:color="000000"/>
            </w:tcBorders>
            <w:vAlign w:val="center"/>
          </w:tcPr>
          <w:p w14:paraId="733705DD" w14:textId="77777777" w:rsidR="0075524C" w:rsidRPr="00C35766" w:rsidRDefault="0075524C" w:rsidP="00603A86">
            <w:pPr>
              <w:pStyle w:val="TableParagraph"/>
              <w:spacing w:line="252" w:lineRule="exact"/>
              <w:ind w:hanging="8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  Adalimumab </w:t>
            </w:r>
          </w:p>
          <w:p w14:paraId="20E8DA96" w14:textId="77777777" w:rsidR="0075524C" w:rsidRPr="00C35766" w:rsidRDefault="0075524C" w:rsidP="00603A86">
            <w:pPr>
              <w:pStyle w:val="TableParagraph"/>
              <w:spacing w:line="252" w:lineRule="exact"/>
              <w:ind w:hanging="8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n=274</w:t>
            </w:r>
          </w:p>
        </w:tc>
        <w:tc>
          <w:tcPr>
            <w:tcW w:w="1985" w:type="dxa"/>
            <w:tcBorders>
              <w:top w:val="single" w:sz="5" w:space="0" w:color="000000"/>
              <w:left w:val="single" w:sz="5" w:space="0" w:color="000000"/>
              <w:bottom w:val="single" w:sz="5" w:space="0" w:color="000000"/>
              <w:right w:val="single" w:sz="5" w:space="0" w:color="000000"/>
            </w:tcBorders>
            <w:vAlign w:val="center"/>
          </w:tcPr>
          <w:p w14:paraId="2016642B" w14:textId="77777777" w:rsidR="0075524C" w:rsidRPr="00C35766" w:rsidRDefault="0075524C" w:rsidP="00603A86">
            <w:pPr>
              <w:pStyle w:val="TableParagraph"/>
              <w:spacing w:line="252" w:lineRule="exact"/>
              <w:ind w:hanging="372"/>
              <w:jc w:val="center"/>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 xml:space="preserve">      Adalimumab/MTX</w:t>
            </w:r>
          </w:p>
          <w:p w14:paraId="160D7787" w14:textId="77777777" w:rsidR="0075524C" w:rsidRPr="00C35766" w:rsidRDefault="0075524C" w:rsidP="00603A86">
            <w:pPr>
              <w:pStyle w:val="TableParagraph"/>
              <w:spacing w:line="252" w:lineRule="exact"/>
              <w:ind w:hanging="372"/>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n=268</w:t>
            </w:r>
          </w:p>
        </w:tc>
        <w:tc>
          <w:tcPr>
            <w:tcW w:w="957" w:type="dxa"/>
            <w:tcBorders>
              <w:top w:val="single" w:sz="5" w:space="0" w:color="000000"/>
              <w:left w:val="single" w:sz="5" w:space="0" w:color="000000"/>
              <w:bottom w:val="single" w:sz="5" w:space="0" w:color="000000"/>
              <w:right w:val="single" w:sz="5" w:space="0" w:color="000000"/>
            </w:tcBorders>
            <w:vAlign w:val="center"/>
          </w:tcPr>
          <w:p w14:paraId="1DAF2879"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a</w:t>
            </w:r>
          </w:p>
        </w:tc>
        <w:tc>
          <w:tcPr>
            <w:tcW w:w="1174" w:type="dxa"/>
            <w:tcBorders>
              <w:top w:val="single" w:sz="5" w:space="0" w:color="000000"/>
              <w:left w:val="single" w:sz="5" w:space="0" w:color="000000"/>
              <w:bottom w:val="single" w:sz="5" w:space="0" w:color="000000"/>
              <w:right w:val="single" w:sz="5" w:space="0" w:color="000000"/>
            </w:tcBorders>
            <w:vAlign w:val="center"/>
          </w:tcPr>
          <w:p w14:paraId="63B066CC"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b</w:t>
            </w:r>
          </w:p>
        </w:tc>
        <w:tc>
          <w:tcPr>
            <w:tcW w:w="1216" w:type="dxa"/>
            <w:tcBorders>
              <w:top w:val="single" w:sz="5" w:space="0" w:color="000000"/>
              <w:left w:val="single" w:sz="5" w:space="0" w:color="000000"/>
              <w:bottom w:val="single" w:sz="5" w:space="0" w:color="000000"/>
              <w:right w:val="single" w:sz="9" w:space="0" w:color="000000"/>
            </w:tcBorders>
            <w:vAlign w:val="center"/>
          </w:tcPr>
          <w:p w14:paraId="01648CD6"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Valore p</w:t>
            </w:r>
            <w:r w:rsidRPr="00C35766">
              <w:rPr>
                <w:rFonts w:ascii="Times New Roman" w:eastAsia="Times New Roman" w:hAnsi="Times New Roman" w:cs="Times New Roman"/>
                <w:b/>
                <w:bCs/>
                <w:spacing w:val="-1"/>
                <w:vertAlign w:val="superscript"/>
                <w:lang w:val="it-IT"/>
              </w:rPr>
              <w:t>c</w:t>
            </w:r>
          </w:p>
        </w:tc>
      </w:tr>
      <w:tr w:rsidR="0075524C" w:rsidRPr="00C35766" w14:paraId="02D173F3" w14:textId="77777777" w:rsidTr="00603A86">
        <w:tc>
          <w:tcPr>
            <w:tcW w:w="9249" w:type="dxa"/>
            <w:gridSpan w:val="7"/>
            <w:tcBorders>
              <w:top w:val="single" w:sz="5" w:space="0" w:color="000000"/>
              <w:left w:val="single" w:sz="8" w:space="0" w:color="000000"/>
              <w:bottom w:val="single" w:sz="5" w:space="0" w:color="000000"/>
              <w:right w:val="single" w:sz="9" w:space="0" w:color="000000"/>
            </w:tcBorders>
          </w:tcPr>
          <w:p w14:paraId="645DF01D" w14:textId="77777777" w:rsidR="0075524C" w:rsidRPr="00C35766" w:rsidRDefault="0075524C" w:rsidP="00603A86">
            <w:pPr>
              <w:rPr>
                <w:rFonts w:ascii="Times New Roman" w:hAnsi="Times New Roman" w:cs="Times New Roman"/>
              </w:rPr>
            </w:pPr>
            <w:r w:rsidRPr="00C35766">
              <w:rPr>
                <w:rFonts w:ascii="Times New Roman" w:eastAsia="Times New Roman" w:hAnsi="Times New Roman" w:cs="Times New Roman"/>
                <w:spacing w:val="-1"/>
                <w:lang w:val="it-IT"/>
              </w:rPr>
              <w:t>ACR 20</w:t>
            </w:r>
          </w:p>
        </w:tc>
      </w:tr>
      <w:tr w:rsidR="0075524C" w:rsidRPr="00C35766" w14:paraId="537B335B"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3859E02F" w14:textId="77777777" w:rsidR="0075524C" w:rsidRPr="00C35766" w:rsidRDefault="0075524C" w:rsidP="00603A86">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6AFA39AD"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62,6%</w:t>
            </w:r>
          </w:p>
        </w:tc>
        <w:tc>
          <w:tcPr>
            <w:tcW w:w="1276" w:type="dxa"/>
            <w:tcBorders>
              <w:top w:val="single" w:sz="5" w:space="0" w:color="000000"/>
              <w:left w:val="single" w:sz="5" w:space="0" w:color="000000"/>
              <w:bottom w:val="single" w:sz="5" w:space="0" w:color="000000"/>
              <w:right w:val="single" w:sz="5" w:space="0" w:color="000000"/>
            </w:tcBorders>
          </w:tcPr>
          <w:p w14:paraId="1C838116"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54,4%</w:t>
            </w:r>
          </w:p>
        </w:tc>
        <w:tc>
          <w:tcPr>
            <w:tcW w:w="1985" w:type="dxa"/>
            <w:tcBorders>
              <w:top w:val="single" w:sz="5" w:space="0" w:color="000000"/>
              <w:left w:val="single" w:sz="5" w:space="0" w:color="000000"/>
              <w:bottom w:val="single" w:sz="5" w:space="0" w:color="000000"/>
              <w:right w:val="single" w:sz="5" w:space="0" w:color="000000"/>
            </w:tcBorders>
          </w:tcPr>
          <w:p w14:paraId="7BFBD75F" w14:textId="77777777" w:rsidR="0075524C" w:rsidRPr="00C35766" w:rsidRDefault="0075524C" w:rsidP="00603A86">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72,8%</w:t>
            </w:r>
          </w:p>
        </w:tc>
        <w:tc>
          <w:tcPr>
            <w:tcW w:w="957" w:type="dxa"/>
            <w:tcBorders>
              <w:top w:val="single" w:sz="5" w:space="0" w:color="000000"/>
              <w:left w:val="single" w:sz="5" w:space="0" w:color="000000"/>
              <w:bottom w:val="single" w:sz="5" w:space="0" w:color="000000"/>
              <w:right w:val="single" w:sz="5" w:space="0" w:color="000000"/>
            </w:tcBorders>
          </w:tcPr>
          <w:p w14:paraId="07824210"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0,013</w:t>
            </w:r>
          </w:p>
        </w:tc>
        <w:tc>
          <w:tcPr>
            <w:tcW w:w="1174" w:type="dxa"/>
            <w:tcBorders>
              <w:top w:val="single" w:sz="5" w:space="0" w:color="000000"/>
              <w:left w:val="single" w:sz="5" w:space="0" w:color="000000"/>
              <w:bottom w:val="single" w:sz="5" w:space="0" w:color="000000"/>
              <w:right w:val="single" w:sz="5" w:space="0" w:color="000000"/>
            </w:tcBorders>
          </w:tcPr>
          <w:p w14:paraId="2B2D1EAE"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7CFEBBE5" w14:textId="77777777" w:rsidR="0075524C" w:rsidRPr="00C35766" w:rsidRDefault="0075524C" w:rsidP="00603A86">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0,043</w:t>
            </w:r>
          </w:p>
        </w:tc>
      </w:tr>
      <w:tr w:rsidR="0075524C" w:rsidRPr="00C35766" w14:paraId="4D8CCF6A"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386E0AF1" w14:textId="77777777" w:rsidR="0075524C" w:rsidRPr="00C35766" w:rsidRDefault="0075524C" w:rsidP="00603A86">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70A69411"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56,0%</w:t>
            </w:r>
          </w:p>
        </w:tc>
        <w:tc>
          <w:tcPr>
            <w:tcW w:w="1276" w:type="dxa"/>
            <w:tcBorders>
              <w:top w:val="single" w:sz="5" w:space="0" w:color="000000"/>
              <w:left w:val="single" w:sz="5" w:space="0" w:color="000000"/>
              <w:bottom w:val="single" w:sz="5" w:space="0" w:color="000000"/>
              <w:right w:val="single" w:sz="5" w:space="0" w:color="000000"/>
            </w:tcBorders>
          </w:tcPr>
          <w:p w14:paraId="418B4C2F"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49,3%</w:t>
            </w:r>
          </w:p>
        </w:tc>
        <w:tc>
          <w:tcPr>
            <w:tcW w:w="1985" w:type="dxa"/>
            <w:tcBorders>
              <w:top w:val="single" w:sz="5" w:space="0" w:color="000000"/>
              <w:left w:val="single" w:sz="5" w:space="0" w:color="000000"/>
              <w:bottom w:val="single" w:sz="5" w:space="0" w:color="000000"/>
              <w:right w:val="single" w:sz="5" w:space="0" w:color="000000"/>
            </w:tcBorders>
          </w:tcPr>
          <w:p w14:paraId="17F6723B" w14:textId="77777777" w:rsidR="0075524C" w:rsidRPr="00C35766" w:rsidRDefault="0075524C" w:rsidP="00603A86">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69,4%</w:t>
            </w:r>
          </w:p>
        </w:tc>
        <w:tc>
          <w:tcPr>
            <w:tcW w:w="957" w:type="dxa"/>
            <w:tcBorders>
              <w:top w:val="single" w:sz="5" w:space="0" w:color="000000"/>
              <w:left w:val="single" w:sz="5" w:space="0" w:color="000000"/>
              <w:bottom w:val="single" w:sz="5" w:space="0" w:color="000000"/>
              <w:right w:val="single" w:sz="5" w:space="0" w:color="000000"/>
            </w:tcBorders>
          </w:tcPr>
          <w:p w14:paraId="6488FC07"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c>
          <w:tcPr>
            <w:tcW w:w="1174" w:type="dxa"/>
            <w:tcBorders>
              <w:top w:val="single" w:sz="5" w:space="0" w:color="000000"/>
              <w:left w:val="single" w:sz="5" w:space="0" w:color="000000"/>
              <w:bottom w:val="single" w:sz="5" w:space="0" w:color="000000"/>
              <w:right w:val="single" w:sz="5" w:space="0" w:color="000000"/>
            </w:tcBorders>
          </w:tcPr>
          <w:p w14:paraId="76397407"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1525286E" w14:textId="77777777" w:rsidR="0075524C" w:rsidRPr="00C35766" w:rsidRDefault="0075524C" w:rsidP="00603A86">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0,140</w:t>
            </w:r>
          </w:p>
        </w:tc>
      </w:tr>
      <w:tr w:rsidR="0075524C" w:rsidRPr="00C35766" w14:paraId="0152A0D4" w14:textId="77777777" w:rsidTr="00603A86">
        <w:tc>
          <w:tcPr>
            <w:tcW w:w="9249" w:type="dxa"/>
            <w:gridSpan w:val="7"/>
            <w:tcBorders>
              <w:top w:val="single" w:sz="5" w:space="0" w:color="000000"/>
              <w:left w:val="single" w:sz="8" w:space="0" w:color="000000"/>
              <w:bottom w:val="single" w:sz="5" w:space="0" w:color="000000"/>
              <w:right w:val="single" w:sz="9" w:space="0" w:color="000000"/>
            </w:tcBorders>
          </w:tcPr>
          <w:p w14:paraId="2DFDEBFA" w14:textId="77777777" w:rsidR="0075524C" w:rsidRPr="00C35766" w:rsidRDefault="0075524C" w:rsidP="00603A86">
            <w:pPr>
              <w:rPr>
                <w:rFonts w:ascii="Times New Roman" w:hAnsi="Times New Roman" w:cs="Times New Roman"/>
              </w:rPr>
            </w:pPr>
            <w:r w:rsidRPr="00C35766">
              <w:rPr>
                <w:rFonts w:ascii="Times New Roman" w:eastAsia="Times New Roman" w:hAnsi="Times New Roman" w:cs="Times New Roman"/>
                <w:spacing w:val="-1"/>
                <w:lang w:val="it-IT"/>
              </w:rPr>
              <w:t>ACR 50</w:t>
            </w:r>
          </w:p>
        </w:tc>
      </w:tr>
      <w:tr w:rsidR="0075524C" w:rsidRPr="00C35766" w14:paraId="6074C193"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59F091AC" w14:textId="77777777" w:rsidR="0075524C" w:rsidRPr="00C35766" w:rsidRDefault="0075524C" w:rsidP="00603A86">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7D115736" w14:textId="77777777" w:rsidR="0075524C" w:rsidRPr="00C35766" w:rsidRDefault="0075524C" w:rsidP="00603A86">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45,9%</w:t>
            </w:r>
          </w:p>
        </w:tc>
        <w:tc>
          <w:tcPr>
            <w:tcW w:w="1276" w:type="dxa"/>
            <w:tcBorders>
              <w:top w:val="single" w:sz="5" w:space="0" w:color="000000"/>
              <w:left w:val="single" w:sz="5" w:space="0" w:color="000000"/>
              <w:bottom w:val="single" w:sz="5" w:space="0" w:color="000000"/>
              <w:right w:val="single" w:sz="5" w:space="0" w:color="000000"/>
            </w:tcBorders>
          </w:tcPr>
          <w:p w14:paraId="1D4BB538" w14:textId="77777777" w:rsidR="0075524C" w:rsidRPr="00C35766" w:rsidRDefault="0075524C" w:rsidP="00603A86">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41,2%</w:t>
            </w:r>
          </w:p>
        </w:tc>
        <w:tc>
          <w:tcPr>
            <w:tcW w:w="1985" w:type="dxa"/>
            <w:tcBorders>
              <w:top w:val="single" w:sz="5" w:space="0" w:color="000000"/>
              <w:left w:val="single" w:sz="5" w:space="0" w:color="000000"/>
              <w:bottom w:val="single" w:sz="5" w:space="0" w:color="000000"/>
              <w:right w:val="single" w:sz="5" w:space="0" w:color="000000"/>
            </w:tcBorders>
          </w:tcPr>
          <w:p w14:paraId="7C73EFE5" w14:textId="77777777" w:rsidR="0075524C" w:rsidRPr="00C35766" w:rsidRDefault="0075524C" w:rsidP="00603A86">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61,6%</w:t>
            </w:r>
          </w:p>
        </w:tc>
        <w:tc>
          <w:tcPr>
            <w:tcW w:w="957" w:type="dxa"/>
            <w:tcBorders>
              <w:top w:val="single" w:sz="5" w:space="0" w:color="000000"/>
              <w:left w:val="single" w:sz="5" w:space="0" w:color="000000"/>
              <w:bottom w:val="single" w:sz="5" w:space="0" w:color="000000"/>
              <w:right w:val="single" w:sz="5" w:space="0" w:color="000000"/>
            </w:tcBorders>
          </w:tcPr>
          <w:p w14:paraId="06C71A22"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1F423A3C"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4AC0C5E5" w14:textId="77777777" w:rsidR="0075524C" w:rsidRPr="00C35766" w:rsidRDefault="0075524C" w:rsidP="00603A86">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0,317</w:t>
            </w:r>
          </w:p>
        </w:tc>
      </w:tr>
      <w:tr w:rsidR="0075524C" w:rsidRPr="00C35766" w14:paraId="40247567"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7A330701" w14:textId="77777777" w:rsidR="0075524C" w:rsidRPr="00C35766" w:rsidRDefault="0075524C" w:rsidP="00603A86">
            <w:pPr>
              <w:pStyle w:val="TableParagraph"/>
              <w:spacing w:line="246"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12A0B311" w14:textId="77777777" w:rsidR="0075524C" w:rsidRPr="00C35766" w:rsidRDefault="0075524C" w:rsidP="00603A86">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42,8%</w:t>
            </w:r>
          </w:p>
        </w:tc>
        <w:tc>
          <w:tcPr>
            <w:tcW w:w="1276" w:type="dxa"/>
            <w:tcBorders>
              <w:top w:val="single" w:sz="5" w:space="0" w:color="000000"/>
              <w:left w:val="single" w:sz="5" w:space="0" w:color="000000"/>
              <w:bottom w:val="single" w:sz="5" w:space="0" w:color="000000"/>
              <w:right w:val="single" w:sz="5" w:space="0" w:color="000000"/>
            </w:tcBorders>
          </w:tcPr>
          <w:p w14:paraId="3A0256D6" w14:textId="77777777" w:rsidR="0075524C" w:rsidRPr="00C35766" w:rsidRDefault="0075524C" w:rsidP="00603A86">
            <w:pPr>
              <w:pStyle w:val="TableParagraph"/>
              <w:spacing w:line="246"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36,9%</w:t>
            </w:r>
          </w:p>
        </w:tc>
        <w:tc>
          <w:tcPr>
            <w:tcW w:w="1985" w:type="dxa"/>
            <w:tcBorders>
              <w:top w:val="single" w:sz="5" w:space="0" w:color="000000"/>
              <w:left w:val="single" w:sz="5" w:space="0" w:color="000000"/>
              <w:bottom w:val="single" w:sz="5" w:space="0" w:color="000000"/>
              <w:right w:val="single" w:sz="5" w:space="0" w:color="000000"/>
            </w:tcBorders>
          </w:tcPr>
          <w:p w14:paraId="06CA2A69" w14:textId="77777777" w:rsidR="0075524C" w:rsidRPr="00C35766" w:rsidRDefault="0075524C" w:rsidP="00603A86">
            <w:pPr>
              <w:pStyle w:val="TableParagraph"/>
              <w:spacing w:line="246"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59.0%</w:t>
            </w:r>
          </w:p>
        </w:tc>
        <w:tc>
          <w:tcPr>
            <w:tcW w:w="957" w:type="dxa"/>
            <w:tcBorders>
              <w:top w:val="single" w:sz="5" w:space="0" w:color="000000"/>
              <w:left w:val="single" w:sz="5" w:space="0" w:color="000000"/>
              <w:bottom w:val="single" w:sz="5" w:space="0" w:color="000000"/>
              <w:right w:val="single" w:sz="5" w:space="0" w:color="000000"/>
            </w:tcBorders>
          </w:tcPr>
          <w:p w14:paraId="14C9A962"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1773C0AA"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4EB2E5BD" w14:textId="77777777" w:rsidR="0075524C" w:rsidRPr="00C35766" w:rsidRDefault="0075524C" w:rsidP="00603A86">
            <w:pPr>
              <w:pStyle w:val="TableParagraph"/>
              <w:spacing w:line="246"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0,162</w:t>
            </w:r>
          </w:p>
        </w:tc>
      </w:tr>
      <w:tr w:rsidR="0075524C" w:rsidRPr="00C35766" w14:paraId="37A7697F" w14:textId="77777777" w:rsidTr="00603A86">
        <w:tc>
          <w:tcPr>
            <w:tcW w:w="9249" w:type="dxa"/>
            <w:gridSpan w:val="7"/>
            <w:tcBorders>
              <w:top w:val="single" w:sz="5" w:space="0" w:color="000000"/>
              <w:left w:val="single" w:sz="8" w:space="0" w:color="000000"/>
              <w:bottom w:val="single" w:sz="5" w:space="0" w:color="000000"/>
              <w:right w:val="single" w:sz="9" w:space="0" w:color="000000"/>
            </w:tcBorders>
          </w:tcPr>
          <w:p w14:paraId="51B8BFEB" w14:textId="77777777" w:rsidR="0075524C" w:rsidRPr="00C35766" w:rsidRDefault="0075524C" w:rsidP="00603A86">
            <w:pPr>
              <w:rPr>
                <w:rFonts w:ascii="Times New Roman" w:hAnsi="Times New Roman" w:cs="Times New Roman"/>
              </w:rPr>
            </w:pPr>
            <w:r w:rsidRPr="00C35766">
              <w:rPr>
                <w:rFonts w:ascii="Times New Roman" w:eastAsia="Times New Roman" w:hAnsi="Times New Roman" w:cs="Times New Roman"/>
                <w:spacing w:val="-1"/>
                <w:lang w:val="it-IT"/>
              </w:rPr>
              <w:t>ACR 70</w:t>
            </w:r>
          </w:p>
        </w:tc>
      </w:tr>
      <w:tr w:rsidR="0075524C" w:rsidRPr="00C35766" w14:paraId="7B90772F"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2C86FFC9" w14:textId="77777777" w:rsidR="0075524C" w:rsidRPr="00C35766" w:rsidRDefault="0075524C" w:rsidP="00603A86">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tc>
        <w:tc>
          <w:tcPr>
            <w:tcW w:w="1275" w:type="dxa"/>
            <w:tcBorders>
              <w:top w:val="single" w:sz="5" w:space="0" w:color="000000"/>
              <w:left w:val="single" w:sz="5" w:space="0" w:color="000000"/>
              <w:bottom w:val="single" w:sz="5" w:space="0" w:color="000000"/>
              <w:right w:val="single" w:sz="5" w:space="0" w:color="000000"/>
            </w:tcBorders>
          </w:tcPr>
          <w:p w14:paraId="520F82E8"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27,2%</w:t>
            </w:r>
          </w:p>
        </w:tc>
        <w:tc>
          <w:tcPr>
            <w:tcW w:w="1276" w:type="dxa"/>
            <w:tcBorders>
              <w:top w:val="single" w:sz="5" w:space="0" w:color="000000"/>
              <w:left w:val="single" w:sz="5" w:space="0" w:color="000000"/>
              <w:bottom w:val="single" w:sz="5" w:space="0" w:color="000000"/>
              <w:right w:val="single" w:sz="5" w:space="0" w:color="000000"/>
            </w:tcBorders>
          </w:tcPr>
          <w:p w14:paraId="381DE3A9"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25,9%</w:t>
            </w:r>
          </w:p>
        </w:tc>
        <w:tc>
          <w:tcPr>
            <w:tcW w:w="1985" w:type="dxa"/>
            <w:tcBorders>
              <w:top w:val="single" w:sz="5" w:space="0" w:color="000000"/>
              <w:left w:val="single" w:sz="5" w:space="0" w:color="000000"/>
              <w:bottom w:val="single" w:sz="5" w:space="0" w:color="000000"/>
              <w:right w:val="single" w:sz="5" w:space="0" w:color="000000"/>
            </w:tcBorders>
          </w:tcPr>
          <w:p w14:paraId="6DB39B04" w14:textId="77777777" w:rsidR="0075524C" w:rsidRPr="00C35766" w:rsidRDefault="0075524C" w:rsidP="00603A86">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45,5%</w:t>
            </w:r>
          </w:p>
        </w:tc>
        <w:tc>
          <w:tcPr>
            <w:tcW w:w="957" w:type="dxa"/>
            <w:tcBorders>
              <w:top w:val="single" w:sz="5" w:space="0" w:color="000000"/>
              <w:left w:val="single" w:sz="5" w:space="0" w:color="000000"/>
              <w:bottom w:val="single" w:sz="5" w:space="0" w:color="000000"/>
              <w:right w:val="single" w:sz="5" w:space="0" w:color="000000"/>
            </w:tcBorders>
          </w:tcPr>
          <w:p w14:paraId="1E4ED361"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510FEB81"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6ACAA7B3" w14:textId="77777777" w:rsidR="0075524C" w:rsidRPr="00C35766" w:rsidRDefault="0075524C" w:rsidP="00603A86">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0,656</w:t>
            </w:r>
          </w:p>
        </w:tc>
      </w:tr>
      <w:tr w:rsidR="0075524C" w:rsidRPr="00C35766" w14:paraId="325D3E85" w14:textId="77777777" w:rsidTr="00603A86">
        <w:tc>
          <w:tcPr>
            <w:tcW w:w="1366" w:type="dxa"/>
            <w:tcBorders>
              <w:top w:val="single" w:sz="5" w:space="0" w:color="000000"/>
              <w:left w:val="single" w:sz="8" w:space="0" w:color="000000"/>
              <w:bottom w:val="single" w:sz="5" w:space="0" w:color="000000"/>
              <w:right w:val="single" w:sz="5" w:space="0" w:color="000000"/>
            </w:tcBorders>
          </w:tcPr>
          <w:p w14:paraId="70393B56" w14:textId="77777777" w:rsidR="0075524C" w:rsidRPr="00C35766" w:rsidRDefault="0075524C" w:rsidP="00603A86">
            <w:pPr>
              <w:pStyle w:val="TableParagraph"/>
              <w:spacing w:line="248" w:lineRule="exact"/>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104</w:t>
            </w:r>
          </w:p>
        </w:tc>
        <w:tc>
          <w:tcPr>
            <w:tcW w:w="1275" w:type="dxa"/>
            <w:tcBorders>
              <w:top w:val="single" w:sz="5" w:space="0" w:color="000000"/>
              <w:left w:val="single" w:sz="5" w:space="0" w:color="000000"/>
              <w:bottom w:val="single" w:sz="5" w:space="0" w:color="000000"/>
              <w:right w:val="single" w:sz="5" w:space="0" w:color="000000"/>
            </w:tcBorders>
          </w:tcPr>
          <w:p w14:paraId="5EA6366B"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276" w:type="dxa"/>
            <w:tcBorders>
              <w:top w:val="single" w:sz="5" w:space="0" w:color="000000"/>
              <w:left w:val="single" w:sz="5" w:space="0" w:color="000000"/>
              <w:bottom w:val="single" w:sz="5" w:space="0" w:color="000000"/>
              <w:right w:val="single" w:sz="5" w:space="0" w:color="000000"/>
            </w:tcBorders>
          </w:tcPr>
          <w:p w14:paraId="2982A188" w14:textId="77777777" w:rsidR="0075524C" w:rsidRPr="00C35766" w:rsidRDefault="0075524C" w:rsidP="00603A86">
            <w:pPr>
              <w:pStyle w:val="TableParagraph"/>
              <w:spacing w:line="248" w:lineRule="exact"/>
              <w:ind w:left="368"/>
              <w:rPr>
                <w:rFonts w:ascii="Times New Roman" w:eastAsia="Times New Roman" w:hAnsi="Times New Roman" w:cs="Times New Roman"/>
              </w:rPr>
            </w:pPr>
            <w:r w:rsidRPr="00C35766">
              <w:rPr>
                <w:rFonts w:ascii="Times New Roman" w:eastAsia="Times New Roman" w:hAnsi="Times New Roman" w:cs="Times New Roman"/>
                <w:lang w:val="it-IT"/>
              </w:rPr>
              <w:t>28,1%</w:t>
            </w:r>
          </w:p>
        </w:tc>
        <w:tc>
          <w:tcPr>
            <w:tcW w:w="1985" w:type="dxa"/>
            <w:tcBorders>
              <w:top w:val="single" w:sz="5" w:space="0" w:color="000000"/>
              <w:left w:val="single" w:sz="5" w:space="0" w:color="000000"/>
              <w:bottom w:val="single" w:sz="5" w:space="0" w:color="000000"/>
              <w:right w:val="single" w:sz="5" w:space="0" w:color="000000"/>
            </w:tcBorders>
          </w:tcPr>
          <w:p w14:paraId="137B9F26" w14:textId="77777777" w:rsidR="0075524C" w:rsidRPr="00C35766" w:rsidRDefault="0075524C" w:rsidP="00603A86">
            <w:pPr>
              <w:pStyle w:val="TableParagraph"/>
              <w:spacing w:line="248" w:lineRule="exact"/>
              <w:ind w:left="498"/>
              <w:rPr>
                <w:rFonts w:ascii="Times New Roman" w:eastAsia="Times New Roman" w:hAnsi="Times New Roman" w:cs="Times New Roman"/>
              </w:rPr>
            </w:pPr>
            <w:r w:rsidRPr="00C35766">
              <w:rPr>
                <w:rFonts w:ascii="Times New Roman" w:eastAsia="Times New Roman" w:hAnsi="Times New Roman" w:cs="Times New Roman"/>
                <w:lang w:val="it-IT"/>
              </w:rPr>
              <w:t>46,6%</w:t>
            </w:r>
          </w:p>
        </w:tc>
        <w:tc>
          <w:tcPr>
            <w:tcW w:w="957" w:type="dxa"/>
            <w:tcBorders>
              <w:top w:val="single" w:sz="5" w:space="0" w:color="000000"/>
              <w:left w:val="single" w:sz="5" w:space="0" w:color="000000"/>
              <w:bottom w:val="single" w:sz="5" w:space="0" w:color="000000"/>
              <w:right w:val="single" w:sz="5" w:space="0" w:color="000000"/>
            </w:tcBorders>
          </w:tcPr>
          <w:p w14:paraId="089525E3"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174" w:type="dxa"/>
            <w:tcBorders>
              <w:top w:val="single" w:sz="5" w:space="0" w:color="000000"/>
              <w:left w:val="single" w:sz="5" w:space="0" w:color="000000"/>
              <w:bottom w:val="single" w:sz="5" w:space="0" w:color="000000"/>
              <w:right w:val="single" w:sz="5" w:space="0" w:color="000000"/>
            </w:tcBorders>
          </w:tcPr>
          <w:p w14:paraId="5CDB27F7" w14:textId="77777777" w:rsidR="0075524C" w:rsidRPr="00C35766" w:rsidRDefault="0075524C" w:rsidP="00603A86">
            <w:pPr>
              <w:pStyle w:val="TableParagraph"/>
              <w:spacing w:line="248"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1216" w:type="dxa"/>
            <w:tcBorders>
              <w:top w:val="single" w:sz="5" w:space="0" w:color="000000"/>
              <w:left w:val="single" w:sz="5" w:space="0" w:color="000000"/>
              <w:bottom w:val="single" w:sz="5" w:space="0" w:color="000000"/>
              <w:right w:val="single" w:sz="9" w:space="0" w:color="000000"/>
            </w:tcBorders>
          </w:tcPr>
          <w:p w14:paraId="5E9918E7" w14:textId="77777777" w:rsidR="0075524C" w:rsidRPr="00C35766" w:rsidRDefault="0075524C" w:rsidP="00603A86">
            <w:pPr>
              <w:pStyle w:val="TableParagraph"/>
              <w:spacing w:line="248" w:lineRule="exact"/>
              <w:ind w:left="351"/>
              <w:rPr>
                <w:rFonts w:ascii="Times New Roman" w:eastAsia="Times New Roman" w:hAnsi="Times New Roman" w:cs="Times New Roman"/>
              </w:rPr>
            </w:pPr>
            <w:r w:rsidRPr="00C35766">
              <w:rPr>
                <w:rFonts w:ascii="Times New Roman" w:eastAsia="Times New Roman" w:hAnsi="Times New Roman" w:cs="Times New Roman"/>
                <w:lang w:val="it-IT"/>
              </w:rPr>
              <w:t>0,864</w:t>
            </w:r>
          </w:p>
        </w:tc>
      </w:tr>
    </w:tbl>
    <w:p w14:paraId="3E343DAC" w14:textId="77777777" w:rsidR="0075524C" w:rsidRPr="00C35766" w:rsidRDefault="0075524C" w:rsidP="008A6AF4">
      <w:pPr>
        <w:tabs>
          <w:tab w:val="left" w:pos="433"/>
        </w:tabs>
        <w:ind w:leftChars="100" w:left="220"/>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il valore p è stato ottenuto confrontando a due a due la monoterapia con metotressato e la terapia associata adalimumab/metotressato utilizzando il test U Mann-Whitney.</w:t>
      </w:r>
    </w:p>
    <w:p w14:paraId="752EC2A7" w14:textId="77777777" w:rsidR="0075524C" w:rsidRPr="00C35766" w:rsidRDefault="0075524C" w:rsidP="008A6AF4">
      <w:pPr>
        <w:tabs>
          <w:tab w:val="left" w:pos="433"/>
        </w:tabs>
        <w:ind w:leftChars="100" w:left="220"/>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b</w:t>
      </w:r>
      <w:r w:rsidRPr="00C35766">
        <w:rPr>
          <w:rFonts w:ascii="Times New Roman" w:eastAsia="Times New Roman" w:hAnsi="Times New Roman" w:cs="Times New Roman"/>
          <w:position w:val="8"/>
          <w:lang w:val="it-IT"/>
        </w:rPr>
        <w:t xml:space="preserve"> il valore p è stato ottenuto confrontando a due a due la monoterapia con adalimumab e la terapia associata adalimumab/metotressato utilizzando il test U Mann-Whitney</w:t>
      </w:r>
    </w:p>
    <w:p w14:paraId="1DEE7256" w14:textId="77777777" w:rsidR="0075524C" w:rsidRPr="00C35766" w:rsidRDefault="0075524C" w:rsidP="008A6AF4">
      <w:pPr>
        <w:tabs>
          <w:tab w:val="left" w:pos="421"/>
        </w:tabs>
        <w:ind w:leftChars="100" w:left="220"/>
        <w:rPr>
          <w:rFonts w:ascii="Times New Roman" w:hAnsi="Times New Roman" w:cs="Times New Roman"/>
          <w:lang w:val="es-ES"/>
        </w:rPr>
      </w:pPr>
      <w:r w:rsidRPr="00C35766">
        <w:rPr>
          <w:rFonts w:ascii="Times New Roman" w:eastAsia="Times New Roman" w:hAnsi="Times New Roman" w:cs="Times New Roman"/>
          <w:position w:val="8"/>
          <w:vertAlign w:val="superscript"/>
          <w:lang w:val="it-IT"/>
        </w:rPr>
        <w:t xml:space="preserve">c </w:t>
      </w:r>
      <w:r w:rsidRPr="00C35766">
        <w:rPr>
          <w:rFonts w:ascii="Times New Roman" w:eastAsia="Times New Roman" w:hAnsi="Times New Roman" w:cs="Times New Roman"/>
          <w:position w:val="8"/>
          <w:lang w:val="it-IT"/>
        </w:rPr>
        <w:t>il valore p è stato ottenuto confrontando a due a due la monoterapia con adalimumab e la monoterapia con metotressato utilizzando il test U Mann-Whitney</w:t>
      </w:r>
    </w:p>
    <w:p w14:paraId="5FA515D9" w14:textId="77777777" w:rsidR="0075524C" w:rsidRPr="00C35766" w:rsidRDefault="0075524C" w:rsidP="0075524C">
      <w:pPr>
        <w:spacing w:before="5" w:line="170" w:lineRule="exact"/>
        <w:rPr>
          <w:rFonts w:ascii="Times New Roman" w:hAnsi="Times New Roman" w:cs="Times New Roman"/>
          <w:sz w:val="17"/>
          <w:szCs w:val="17"/>
          <w:lang w:val="es-ES"/>
        </w:rPr>
      </w:pPr>
    </w:p>
    <w:p w14:paraId="5B44000B" w14:textId="77777777" w:rsidR="0075524C" w:rsidRPr="00C35766" w:rsidRDefault="0075524C" w:rsidP="0075524C">
      <w:pPr>
        <w:pStyle w:val="a3"/>
        <w:rPr>
          <w:lang w:val="pt-BR"/>
        </w:rPr>
      </w:pPr>
      <w:r w:rsidRPr="00C35766">
        <w:rPr>
          <w:rFonts w:eastAsia="Times New Roman"/>
          <w:lang w:val="it-IT"/>
        </w:rPr>
        <w:t>Nella fase di estensione in aperto dello studio AR V, il tasso di risposta ACR è stato mantenuto nei pazienti seguiti fino a 10 anni. Dei 542 pazienti che erano stati randomizzati alla somministrazione di 40 mg di adalimumab a settimane alterne, 170 pazienti hanno continuato il trattamento con adalimumab 40 mg a settimane alterne per 10 anni. Di questi, 154 pazienti (90,6%) hanno avuto risposte ACR 20; 127 pazienti (74,7%) hanno avuto risposte ACR 50; e 102 pazienti (60,0%) hanno avuto risposte ACR 70.</w:t>
      </w:r>
    </w:p>
    <w:p w14:paraId="5AC29A82" w14:textId="77777777" w:rsidR="0075524C" w:rsidRPr="00C35766" w:rsidRDefault="0075524C" w:rsidP="0075524C">
      <w:pPr>
        <w:spacing w:before="13" w:line="240" w:lineRule="exact"/>
        <w:rPr>
          <w:rFonts w:ascii="Times New Roman" w:hAnsi="Times New Roman" w:cs="Times New Roman"/>
          <w:sz w:val="24"/>
          <w:szCs w:val="24"/>
          <w:lang w:val="pt-BR"/>
        </w:rPr>
      </w:pPr>
    </w:p>
    <w:p w14:paraId="76AE585F" w14:textId="77777777" w:rsidR="0075524C" w:rsidRPr="00C35766" w:rsidRDefault="0075524C" w:rsidP="0075524C">
      <w:pPr>
        <w:pStyle w:val="a3"/>
        <w:rPr>
          <w:lang w:val="pt-BR"/>
        </w:rPr>
      </w:pPr>
      <w:r w:rsidRPr="00C35766">
        <w:rPr>
          <w:rFonts w:eastAsia="Times New Roman"/>
          <w:lang w:val="it-IT"/>
        </w:rPr>
        <w:t>Alla settimana 52, il 42,9% dei pazienti che era stato sottoposto a terapia associata con adalimumab/metotressato ha raggiunto remissione clinica (DAS28 (PCR) &lt; 2,6) rispetto al 20,6% dei pazienti trattati con metotressato in monoterapia ed al 23,4% dei pazienti che aveva ricevuto adalimumab in monoterapia. La terapia associata adalimumab/metotressato si è rivelata superiore dal punto di vista clinico e statistico alle monoterapie con metotressato (p &lt; 0,001) e adalimumab (p &lt; 0,001) nel determinare una riduzione dell’attività di malattia in pazienti in cui era stata di recente diagnosticata artrite reumatoide di grado da moderato a severo. La risposta ottenuta nei due gruppi in monoterapia è stata simile (p = 0.447). Dei 342 pazienti che erano stati inizialmente randomizzati alla somministrazione di adalimumab in monoterapia o alla terapia associata adalimumab/metotressato e che erano stati arruolati nella fase di estensione in aperto dello studio, 171 hanno completato i 10 anni di trattamento con adalimumab. Di questi, è stato riportato che 109 pazienti (63,7%) erano in remissione a 10 anni.</w:t>
      </w:r>
    </w:p>
    <w:p w14:paraId="19812AFA" w14:textId="77777777" w:rsidR="0075524C" w:rsidRPr="00C35766" w:rsidRDefault="0075524C" w:rsidP="0075524C">
      <w:pPr>
        <w:pStyle w:val="a3"/>
        <w:rPr>
          <w:lang w:val="pt-BR"/>
        </w:rPr>
      </w:pPr>
    </w:p>
    <w:p w14:paraId="0B5A730B" w14:textId="77777777" w:rsidR="0075524C" w:rsidRPr="00C35766" w:rsidRDefault="0075524C" w:rsidP="0075524C">
      <w:pPr>
        <w:pStyle w:val="a3"/>
        <w:rPr>
          <w:rFonts w:eastAsia="Times New Roman"/>
          <w:lang w:val="pt-BR"/>
        </w:rPr>
      </w:pPr>
      <w:r w:rsidRPr="00C35766">
        <w:rPr>
          <w:rFonts w:eastAsia="Times New Roman"/>
          <w:i/>
          <w:iCs/>
          <w:spacing w:val="-1"/>
          <w:u w:val="single" w:color="000000"/>
          <w:lang w:val="it-IT"/>
        </w:rPr>
        <w:t>Risposta radiografica</w:t>
      </w:r>
    </w:p>
    <w:p w14:paraId="27FC25A5" w14:textId="77777777" w:rsidR="0075524C" w:rsidRPr="00C35766" w:rsidRDefault="0075524C" w:rsidP="0075524C">
      <w:pPr>
        <w:pStyle w:val="a3"/>
        <w:rPr>
          <w:sz w:val="18"/>
          <w:szCs w:val="18"/>
          <w:lang w:val="pt-BR"/>
        </w:rPr>
      </w:pPr>
    </w:p>
    <w:p w14:paraId="0F3CEAB5" w14:textId="1418EA18" w:rsidR="0075524C" w:rsidRPr="00C35766" w:rsidRDefault="0075524C" w:rsidP="0075524C">
      <w:pPr>
        <w:pStyle w:val="a3"/>
        <w:rPr>
          <w:lang w:val="it-IT"/>
        </w:rPr>
      </w:pPr>
      <w:r w:rsidRPr="00C35766">
        <w:rPr>
          <w:rFonts w:eastAsia="Times New Roman"/>
          <w:lang w:val="it-IT"/>
        </w:rPr>
        <w:t xml:space="preserve">Nello studio AR III, in cui i pazienti trattati con adalimumab avevano una durata media di artrite reumatoide di circa 11 anni, il danno strutturale è stato valutato radiograficamente ed espresso come variazione dell’Indice Totale di Sharp modificato (Total Sharp Score TSS) e dei relativi componenti, gli indici di erosione e di riduzione della rima articolare (Joint Space Narrowing). I pazienti trattati con adalimumab/MTX hanno mostrato una progressione radiologica significativamente inferiore ai pazienti che hanno ricevuto solo MTX, a 6 e 12 mesi (vedere Tabella </w:t>
      </w:r>
      <w:r w:rsidR="002452EF">
        <w:rPr>
          <w:rFonts w:eastAsia="Times New Roman"/>
          <w:lang w:val="it-IT"/>
        </w:rPr>
        <w:t>9</w:t>
      </w:r>
      <w:r w:rsidRPr="00C35766">
        <w:rPr>
          <w:rFonts w:eastAsia="Times New Roman"/>
          <w:lang w:val="it-IT"/>
        </w:rPr>
        <w:t>).</w:t>
      </w:r>
    </w:p>
    <w:p w14:paraId="2F04EB56" w14:textId="77777777" w:rsidR="0075524C" w:rsidRPr="00C35766" w:rsidRDefault="0075524C" w:rsidP="0075524C">
      <w:pPr>
        <w:pStyle w:val="a3"/>
        <w:rPr>
          <w:lang w:val="it-IT"/>
        </w:rPr>
      </w:pPr>
    </w:p>
    <w:p w14:paraId="6AC503F4" w14:textId="77777777" w:rsidR="0075524C" w:rsidRPr="00C35766" w:rsidRDefault="0075524C" w:rsidP="0075524C">
      <w:pPr>
        <w:pStyle w:val="a3"/>
        <w:rPr>
          <w:lang w:val="it-IT"/>
        </w:rPr>
      </w:pPr>
      <w:r w:rsidRPr="00C35766">
        <w:rPr>
          <w:rFonts w:eastAsia="Times New Roman"/>
          <w:lang w:val="it-IT"/>
        </w:rPr>
        <w:t xml:space="preserve">Nell’estensione in aperto dello studio AR III, la riduzione del tasso di progressione del danno strutturale è stata mantenuta per 8 e 10 anni in un sottogruppo di pazienti. A 8 anni, 81 pazienti su 207 originariamente trattati con adalimumab 40 mg a settimane alterne sono stati valutati radiologicamente. Tra questi, 48 pazienti non hanno mostrato progressione del danno strutturale definita attraverso una modifica del mTSS di 0,5 o meno rispetto al valore basale. A 10 anni, 79 pazienti su 207 originariamente trattati con adalimumab </w:t>
      </w:r>
      <w:r w:rsidRPr="00C35766">
        <w:rPr>
          <w:rFonts w:eastAsia="Times New Roman"/>
          <w:lang w:val="it-IT"/>
        </w:rPr>
        <w:lastRenderedPageBreak/>
        <w:t>40 mg a settimane alterne sono stati valutati radiologicamente. Di questi, 40 pazienti non hanno dimostrato una progressione del danno strutturale definito da un cambiamento del mTSS di 0,5 o minore dal valore basale.</w:t>
      </w:r>
    </w:p>
    <w:p w14:paraId="1E57516D" w14:textId="77777777" w:rsidR="005A5DEF" w:rsidRDefault="005A5DEF" w:rsidP="0075524C">
      <w:pPr>
        <w:pStyle w:val="a3"/>
        <w:jc w:val="center"/>
        <w:rPr>
          <w:rFonts w:eastAsia="Times New Roman"/>
          <w:b/>
          <w:bCs/>
          <w:lang w:val="it-IT"/>
        </w:rPr>
      </w:pPr>
    </w:p>
    <w:p w14:paraId="586CE991" w14:textId="7A154DD1" w:rsidR="0075524C" w:rsidRPr="00C35766" w:rsidRDefault="0075524C" w:rsidP="0075524C">
      <w:pPr>
        <w:pStyle w:val="a3"/>
        <w:jc w:val="center"/>
        <w:rPr>
          <w:b/>
          <w:lang w:val="es-ES"/>
        </w:rPr>
      </w:pPr>
      <w:r w:rsidRPr="00C35766">
        <w:rPr>
          <w:rFonts w:eastAsia="Times New Roman"/>
          <w:b/>
          <w:bCs/>
          <w:lang w:val="it-IT"/>
        </w:rPr>
        <w:t xml:space="preserve">Tabella </w:t>
      </w:r>
      <w:r w:rsidR="002452EF">
        <w:rPr>
          <w:rFonts w:eastAsia="Times New Roman"/>
          <w:b/>
          <w:bCs/>
          <w:lang w:val="it-IT"/>
        </w:rPr>
        <w:t>9</w:t>
      </w:r>
    </w:p>
    <w:p w14:paraId="65494EB8" w14:textId="77777777" w:rsidR="0075524C" w:rsidRPr="00C35766" w:rsidRDefault="0075524C" w:rsidP="0075524C">
      <w:pPr>
        <w:pStyle w:val="a3"/>
        <w:jc w:val="center"/>
        <w:rPr>
          <w:b/>
          <w:lang w:val="es-ES"/>
        </w:rPr>
      </w:pPr>
      <w:r w:rsidRPr="00C35766">
        <w:rPr>
          <w:rFonts w:eastAsia="Times New Roman"/>
          <w:b/>
          <w:bCs/>
          <w:lang w:val="it-IT"/>
        </w:rPr>
        <w:t>Variazione radiografica media dopo 12 mesi nello studio AR III</w:t>
      </w:r>
    </w:p>
    <w:p w14:paraId="485DCA07" w14:textId="77777777" w:rsidR="0075524C" w:rsidRPr="00C35766" w:rsidRDefault="0075524C" w:rsidP="0075524C">
      <w:pPr>
        <w:spacing w:before="14" w:line="240" w:lineRule="exact"/>
        <w:rPr>
          <w:rFonts w:ascii="Times New Roman" w:hAnsi="Times New Roman" w:cs="Times New Roman"/>
          <w:sz w:val="24"/>
          <w:szCs w:val="24"/>
          <w:lang w:val="es-ES"/>
        </w:rPr>
      </w:pPr>
    </w:p>
    <w:tbl>
      <w:tblPr>
        <w:tblStyle w:val="TableNormal1"/>
        <w:tblW w:w="5000" w:type="pct"/>
        <w:tblLayout w:type="fixed"/>
        <w:tblLook w:val="01E0" w:firstRow="1" w:lastRow="1" w:firstColumn="1" w:lastColumn="1" w:noHBand="0" w:noVBand="0"/>
      </w:tblPr>
      <w:tblGrid>
        <w:gridCol w:w="2489"/>
        <w:gridCol w:w="1319"/>
        <w:gridCol w:w="1939"/>
        <w:gridCol w:w="2165"/>
        <w:gridCol w:w="1676"/>
      </w:tblGrid>
      <w:tr w:rsidR="0075524C" w:rsidRPr="00C35766" w14:paraId="48086A16" w14:textId="77777777" w:rsidTr="008A6AF4">
        <w:tc>
          <w:tcPr>
            <w:tcW w:w="1298" w:type="pct"/>
            <w:tcBorders>
              <w:top w:val="single" w:sz="5" w:space="0" w:color="000000"/>
              <w:left w:val="single" w:sz="5" w:space="0" w:color="000000"/>
              <w:bottom w:val="single" w:sz="5" w:space="0" w:color="000000"/>
              <w:right w:val="single" w:sz="5" w:space="0" w:color="000000"/>
            </w:tcBorders>
            <w:vAlign w:val="center"/>
          </w:tcPr>
          <w:p w14:paraId="511C3892" w14:textId="77777777" w:rsidR="0075524C" w:rsidRPr="00C35766" w:rsidRDefault="0075524C" w:rsidP="00603A86">
            <w:pPr>
              <w:jc w:val="center"/>
              <w:rPr>
                <w:rFonts w:ascii="Times New Roman" w:hAnsi="Times New Roman" w:cs="Times New Roman"/>
                <w:lang w:val="es-ES"/>
              </w:rPr>
            </w:pPr>
          </w:p>
        </w:tc>
        <w:tc>
          <w:tcPr>
            <w:tcW w:w="688" w:type="pct"/>
            <w:tcBorders>
              <w:top w:val="single" w:sz="5" w:space="0" w:color="000000"/>
              <w:left w:val="single" w:sz="5" w:space="0" w:color="000000"/>
              <w:bottom w:val="single" w:sz="5" w:space="0" w:color="000000"/>
              <w:right w:val="single" w:sz="5" w:space="0" w:color="000000"/>
            </w:tcBorders>
            <w:vAlign w:val="center"/>
          </w:tcPr>
          <w:p w14:paraId="42B32490"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6D8E74E3" w14:textId="77777777" w:rsidR="0075524C" w:rsidRPr="00C35766" w:rsidRDefault="0075524C" w:rsidP="00603A86">
            <w:pPr>
              <w:pStyle w:val="TableParagraph"/>
              <w:spacing w:line="254"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a</w:t>
            </w:r>
          </w:p>
        </w:tc>
        <w:tc>
          <w:tcPr>
            <w:tcW w:w="1011" w:type="pct"/>
            <w:tcBorders>
              <w:top w:val="single" w:sz="5" w:space="0" w:color="000000"/>
              <w:left w:val="single" w:sz="5" w:space="0" w:color="000000"/>
              <w:bottom w:val="single" w:sz="5" w:space="0" w:color="000000"/>
              <w:right w:val="single" w:sz="5" w:space="0" w:color="000000"/>
            </w:tcBorders>
            <w:vAlign w:val="center"/>
          </w:tcPr>
          <w:p w14:paraId="0D271ABC" w14:textId="77777777" w:rsidR="0075524C" w:rsidRPr="00C35766" w:rsidRDefault="0075524C" w:rsidP="00603A86">
            <w:pPr>
              <w:pStyle w:val="TableParagraph"/>
              <w:spacing w:line="246" w:lineRule="exact"/>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Adalimumab/MTX</w:t>
            </w:r>
          </w:p>
          <w:p w14:paraId="303951EC" w14:textId="77777777" w:rsidR="0075524C" w:rsidRPr="00C35766" w:rsidRDefault="0075524C" w:rsidP="00603A86">
            <w:pPr>
              <w:pStyle w:val="TableParagraph"/>
              <w:spacing w:line="252" w:lineRule="exact"/>
              <w:ind w:hanging="63"/>
              <w:jc w:val="center"/>
              <w:rPr>
                <w:rFonts w:ascii="Times New Roman" w:hAnsi="Times New Roman" w:cs="Times New Roman"/>
                <w:lang w:val="it-IT"/>
              </w:rPr>
            </w:pPr>
            <w:r w:rsidRPr="00C35766">
              <w:rPr>
                <w:rFonts w:ascii="Times New Roman" w:eastAsia="Times New Roman" w:hAnsi="Times New Roman" w:cs="Times New Roman"/>
                <w:lang w:val="it-IT"/>
              </w:rPr>
              <w:t>40 mg a settimane alterne</w:t>
            </w:r>
          </w:p>
        </w:tc>
        <w:tc>
          <w:tcPr>
            <w:tcW w:w="1129" w:type="pct"/>
            <w:tcBorders>
              <w:top w:val="single" w:sz="5" w:space="0" w:color="000000"/>
              <w:left w:val="single" w:sz="5" w:space="0" w:color="000000"/>
              <w:bottom w:val="single" w:sz="5" w:space="0" w:color="000000"/>
              <w:right w:val="single" w:sz="5" w:space="0" w:color="000000"/>
            </w:tcBorders>
            <w:vAlign w:val="center"/>
          </w:tcPr>
          <w:p w14:paraId="2208AA58" w14:textId="77777777" w:rsidR="0075524C" w:rsidRPr="00C35766" w:rsidRDefault="0075524C" w:rsidP="00603A86">
            <w:pPr>
              <w:pStyle w:val="TableParagraph"/>
              <w:spacing w:line="246" w:lineRule="exact"/>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Placebo/MTX-</w:t>
            </w:r>
          </w:p>
          <w:p w14:paraId="417BC31E" w14:textId="77777777" w:rsidR="0075524C" w:rsidRPr="00C35766" w:rsidRDefault="0075524C" w:rsidP="00603A86">
            <w:pPr>
              <w:pStyle w:val="TableParagraph"/>
              <w:spacing w:line="237" w:lineRule="auto"/>
              <w:jc w:val="center"/>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adalimumab/MTX (intervallo di confidenza 95%</w:t>
            </w:r>
            <w:r w:rsidRPr="00C35766">
              <w:rPr>
                <w:rFonts w:ascii="Times New Roman" w:eastAsia="Times New Roman" w:hAnsi="Times New Roman" w:cs="Times New Roman"/>
                <w:spacing w:val="-1"/>
                <w:vertAlign w:val="superscript"/>
                <w:lang w:val="it-IT"/>
              </w:rPr>
              <w:t>b</w:t>
            </w:r>
            <w:r w:rsidRPr="00C35766">
              <w:rPr>
                <w:rFonts w:ascii="Times New Roman" w:eastAsia="Times New Roman" w:hAnsi="Times New Roman" w:cs="Times New Roman"/>
                <w:spacing w:val="-1"/>
                <w:lang w:val="it-IT"/>
              </w:rPr>
              <w:t>)</w:t>
            </w:r>
          </w:p>
        </w:tc>
        <w:tc>
          <w:tcPr>
            <w:tcW w:w="874" w:type="pct"/>
            <w:tcBorders>
              <w:top w:val="single" w:sz="5" w:space="0" w:color="000000"/>
              <w:left w:val="single" w:sz="5" w:space="0" w:color="000000"/>
              <w:bottom w:val="single" w:sz="5" w:space="0" w:color="000000"/>
              <w:right w:val="single" w:sz="5" w:space="0" w:color="000000"/>
            </w:tcBorders>
            <w:vAlign w:val="center"/>
          </w:tcPr>
          <w:p w14:paraId="43F924DF"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p>
        </w:tc>
      </w:tr>
      <w:tr w:rsidR="0075524C" w:rsidRPr="00C35766" w14:paraId="72BB790F" w14:textId="77777777" w:rsidTr="008A6AF4">
        <w:tc>
          <w:tcPr>
            <w:tcW w:w="1298" w:type="pct"/>
            <w:tcBorders>
              <w:top w:val="single" w:sz="5" w:space="0" w:color="000000"/>
              <w:left w:val="single" w:sz="5" w:space="0" w:color="000000"/>
              <w:bottom w:val="single" w:sz="5" w:space="0" w:color="000000"/>
              <w:right w:val="single" w:sz="5" w:space="0" w:color="000000"/>
            </w:tcBorders>
          </w:tcPr>
          <w:p w14:paraId="05DA9720" w14:textId="77777777" w:rsidR="0075524C" w:rsidRPr="00C35766" w:rsidRDefault="0075524C" w:rsidP="00603A86">
            <w:pPr>
              <w:pStyle w:val="TableParagraph"/>
              <w:spacing w:line="246" w:lineRule="exact"/>
              <w:ind w:left="243"/>
              <w:rPr>
                <w:rFonts w:ascii="Times New Roman" w:eastAsia="Times New Roman" w:hAnsi="Times New Roman" w:cs="Times New Roman"/>
              </w:rPr>
            </w:pPr>
            <w:r w:rsidRPr="00C35766">
              <w:rPr>
                <w:rFonts w:ascii="Times New Roman" w:eastAsia="Times New Roman" w:hAnsi="Times New Roman" w:cs="Times New Roman"/>
                <w:spacing w:val="-1"/>
                <w:lang w:val="it-IT"/>
              </w:rPr>
              <w:t>Indice totale di Sharp</w:t>
            </w:r>
          </w:p>
        </w:tc>
        <w:tc>
          <w:tcPr>
            <w:tcW w:w="688" w:type="pct"/>
            <w:tcBorders>
              <w:top w:val="single" w:sz="5" w:space="0" w:color="000000"/>
              <w:left w:val="single" w:sz="5" w:space="0" w:color="000000"/>
              <w:bottom w:val="single" w:sz="5" w:space="0" w:color="000000"/>
              <w:right w:val="single" w:sz="5" w:space="0" w:color="000000"/>
            </w:tcBorders>
          </w:tcPr>
          <w:p w14:paraId="2DE464E4" w14:textId="77777777" w:rsidR="0075524C" w:rsidRPr="00C35766" w:rsidRDefault="0075524C" w:rsidP="00603A86">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011" w:type="pct"/>
            <w:tcBorders>
              <w:top w:val="single" w:sz="5" w:space="0" w:color="000000"/>
              <w:left w:val="single" w:sz="5" w:space="0" w:color="000000"/>
              <w:bottom w:val="single" w:sz="5" w:space="0" w:color="000000"/>
              <w:right w:val="single" w:sz="5" w:space="0" w:color="000000"/>
            </w:tcBorders>
          </w:tcPr>
          <w:p w14:paraId="2DFF567F" w14:textId="77777777" w:rsidR="0075524C" w:rsidRPr="00C35766" w:rsidRDefault="0075524C" w:rsidP="00603A86">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129" w:type="pct"/>
            <w:tcBorders>
              <w:top w:val="single" w:sz="5" w:space="0" w:color="000000"/>
              <w:left w:val="single" w:sz="5" w:space="0" w:color="000000"/>
              <w:bottom w:val="single" w:sz="5" w:space="0" w:color="000000"/>
              <w:right w:val="single" w:sz="5" w:space="0" w:color="000000"/>
            </w:tcBorders>
          </w:tcPr>
          <w:p w14:paraId="37A60D8B" w14:textId="77777777" w:rsidR="0075524C" w:rsidRPr="00C35766" w:rsidRDefault="0075524C" w:rsidP="00603A86">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2,6 (1,4, 3,8)</w:t>
            </w:r>
          </w:p>
        </w:tc>
        <w:tc>
          <w:tcPr>
            <w:tcW w:w="874" w:type="pct"/>
            <w:tcBorders>
              <w:top w:val="single" w:sz="5" w:space="0" w:color="000000"/>
              <w:left w:val="single" w:sz="5" w:space="0" w:color="000000"/>
              <w:bottom w:val="single" w:sz="5" w:space="0" w:color="000000"/>
              <w:right w:val="single" w:sz="5" w:space="0" w:color="000000"/>
            </w:tcBorders>
          </w:tcPr>
          <w:p w14:paraId="78626B4E"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r w:rsidRPr="00C35766">
              <w:rPr>
                <w:rFonts w:ascii="Times New Roman" w:eastAsia="Times New Roman" w:hAnsi="Times New Roman" w:cs="Times New Roman"/>
                <w:vertAlign w:val="superscript"/>
                <w:lang w:val="it-IT"/>
              </w:rPr>
              <w:t>c</w:t>
            </w:r>
          </w:p>
        </w:tc>
      </w:tr>
      <w:tr w:rsidR="0075524C" w:rsidRPr="00C35766" w14:paraId="3EBBCC50" w14:textId="77777777" w:rsidTr="008A6AF4">
        <w:tc>
          <w:tcPr>
            <w:tcW w:w="1298" w:type="pct"/>
            <w:tcBorders>
              <w:top w:val="single" w:sz="5" w:space="0" w:color="000000"/>
              <w:left w:val="single" w:sz="5" w:space="0" w:color="000000"/>
              <w:bottom w:val="single" w:sz="5" w:space="0" w:color="000000"/>
              <w:right w:val="single" w:sz="5" w:space="0" w:color="000000"/>
            </w:tcBorders>
          </w:tcPr>
          <w:p w14:paraId="1D2019AE" w14:textId="77777777" w:rsidR="0075524C" w:rsidRPr="00C35766" w:rsidRDefault="0075524C" w:rsidP="00603A86">
            <w:pPr>
              <w:pStyle w:val="TableParagraph"/>
              <w:spacing w:line="246" w:lineRule="exact"/>
              <w:ind w:left="435"/>
              <w:rPr>
                <w:rFonts w:ascii="Times New Roman" w:eastAsia="Times New Roman" w:hAnsi="Times New Roman" w:cs="Times New Roman"/>
              </w:rPr>
            </w:pPr>
            <w:r w:rsidRPr="00C35766">
              <w:rPr>
                <w:rFonts w:ascii="Times New Roman" w:eastAsia="Times New Roman" w:hAnsi="Times New Roman" w:cs="Times New Roman"/>
                <w:spacing w:val="-1"/>
                <w:lang w:val="it-IT"/>
              </w:rPr>
              <w:t>Indice di erosione</w:t>
            </w:r>
          </w:p>
        </w:tc>
        <w:tc>
          <w:tcPr>
            <w:tcW w:w="688" w:type="pct"/>
            <w:tcBorders>
              <w:top w:val="single" w:sz="5" w:space="0" w:color="000000"/>
              <w:left w:val="single" w:sz="5" w:space="0" w:color="000000"/>
              <w:bottom w:val="single" w:sz="5" w:space="0" w:color="000000"/>
              <w:right w:val="single" w:sz="5" w:space="0" w:color="000000"/>
            </w:tcBorders>
          </w:tcPr>
          <w:p w14:paraId="7385EAF8" w14:textId="77777777" w:rsidR="0075524C" w:rsidRPr="00C35766" w:rsidRDefault="0075524C" w:rsidP="00603A86">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1.6</w:t>
            </w:r>
          </w:p>
        </w:tc>
        <w:tc>
          <w:tcPr>
            <w:tcW w:w="1011" w:type="pct"/>
            <w:tcBorders>
              <w:top w:val="single" w:sz="5" w:space="0" w:color="000000"/>
              <w:left w:val="single" w:sz="5" w:space="0" w:color="000000"/>
              <w:bottom w:val="single" w:sz="5" w:space="0" w:color="000000"/>
              <w:right w:val="single" w:sz="5" w:space="0" w:color="000000"/>
            </w:tcBorders>
          </w:tcPr>
          <w:p w14:paraId="73942639" w14:textId="77777777" w:rsidR="0075524C" w:rsidRPr="00C35766" w:rsidRDefault="0075524C" w:rsidP="00603A86">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0,0</w:t>
            </w:r>
          </w:p>
        </w:tc>
        <w:tc>
          <w:tcPr>
            <w:tcW w:w="1129" w:type="pct"/>
            <w:tcBorders>
              <w:top w:val="single" w:sz="5" w:space="0" w:color="000000"/>
              <w:left w:val="single" w:sz="5" w:space="0" w:color="000000"/>
              <w:bottom w:val="single" w:sz="5" w:space="0" w:color="000000"/>
              <w:right w:val="single" w:sz="5" w:space="0" w:color="000000"/>
            </w:tcBorders>
          </w:tcPr>
          <w:p w14:paraId="158B5BE9" w14:textId="77777777" w:rsidR="0075524C" w:rsidRPr="00C35766" w:rsidRDefault="0075524C" w:rsidP="00603A86">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1,6 (0,9, 2,2)</w:t>
            </w:r>
          </w:p>
        </w:tc>
        <w:tc>
          <w:tcPr>
            <w:tcW w:w="874" w:type="pct"/>
            <w:tcBorders>
              <w:top w:val="single" w:sz="5" w:space="0" w:color="000000"/>
              <w:left w:val="single" w:sz="5" w:space="0" w:color="000000"/>
              <w:bottom w:val="single" w:sz="5" w:space="0" w:color="000000"/>
              <w:right w:val="single" w:sz="5" w:space="0" w:color="000000"/>
            </w:tcBorders>
          </w:tcPr>
          <w:p w14:paraId="1E51AF38"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75524C" w:rsidRPr="00C35766" w14:paraId="4746DBCC" w14:textId="77777777" w:rsidTr="008A6AF4">
        <w:tc>
          <w:tcPr>
            <w:tcW w:w="1298" w:type="pct"/>
            <w:tcBorders>
              <w:top w:val="single" w:sz="5" w:space="0" w:color="000000"/>
              <w:left w:val="single" w:sz="5" w:space="0" w:color="000000"/>
              <w:bottom w:val="single" w:sz="5" w:space="0" w:color="000000"/>
              <w:right w:val="single" w:sz="5" w:space="0" w:color="000000"/>
            </w:tcBorders>
          </w:tcPr>
          <w:p w14:paraId="4599F227" w14:textId="77777777" w:rsidR="0075524C" w:rsidRPr="00C35766" w:rsidRDefault="0075524C" w:rsidP="00603A86">
            <w:pPr>
              <w:pStyle w:val="TableParagraph"/>
              <w:spacing w:line="246" w:lineRule="exact"/>
              <w:ind w:left="560"/>
              <w:rPr>
                <w:rFonts w:ascii="Times New Roman" w:eastAsia="Times New Roman" w:hAnsi="Times New Roman" w:cs="Times New Roman"/>
              </w:rPr>
            </w:pPr>
            <w:r w:rsidRPr="00C35766">
              <w:rPr>
                <w:rFonts w:ascii="Times New Roman" w:eastAsia="Times New Roman" w:hAnsi="Times New Roman" w:cs="Times New Roman"/>
                <w:spacing w:val="1"/>
                <w:lang w:val="it-IT"/>
              </w:rPr>
              <w:t>Punteggio JSN</w:t>
            </w:r>
            <w:r w:rsidRPr="00C35766">
              <w:rPr>
                <w:rFonts w:ascii="Times New Roman" w:eastAsia="Times New Roman" w:hAnsi="Times New Roman" w:cs="Times New Roman"/>
                <w:spacing w:val="1"/>
                <w:vertAlign w:val="superscript"/>
                <w:lang w:val="it-IT"/>
              </w:rPr>
              <w:t>d</w:t>
            </w:r>
          </w:p>
        </w:tc>
        <w:tc>
          <w:tcPr>
            <w:tcW w:w="688" w:type="pct"/>
            <w:tcBorders>
              <w:top w:val="single" w:sz="5" w:space="0" w:color="000000"/>
              <w:left w:val="single" w:sz="5" w:space="0" w:color="000000"/>
              <w:bottom w:val="single" w:sz="5" w:space="0" w:color="000000"/>
              <w:right w:val="single" w:sz="5" w:space="0" w:color="000000"/>
            </w:tcBorders>
          </w:tcPr>
          <w:p w14:paraId="3DEB9AE2" w14:textId="77777777" w:rsidR="0075524C" w:rsidRPr="00C35766" w:rsidRDefault="0075524C" w:rsidP="00603A86">
            <w:pPr>
              <w:pStyle w:val="TableParagraph"/>
              <w:spacing w:line="246" w:lineRule="exact"/>
              <w:ind w:rightChars="36" w:right="79"/>
              <w:jc w:val="center"/>
              <w:rPr>
                <w:rFonts w:ascii="Times New Roman" w:eastAsia="Times New Roman" w:hAnsi="Times New Roman" w:cs="Times New Roman"/>
              </w:rPr>
            </w:pPr>
            <w:r w:rsidRPr="00C35766">
              <w:rPr>
                <w:rFonts w:ascii="Times New Roman" w:eastAsia="Times New Roman" w:hAnsi="Times New Roman" w:cs="Times New Roman"/>
                <w:lang w:val="it-IT"/>
              </w:rPr>
              <w:t>1,0</w:t>
            </w:r>
          </w:p>
        </w:tc>
        <w:tc>
          <w:tcPr>
            <w:tcW w:w="1011" w:type="pct"/>
            <w:tcBorders>
              <w:top w:val="single" w:sz="5" w:space="0" w:color="000000"/>
              <w:left w:val="single" w:sz="5" w:space="0" w:color="000000"/>
              <w:bottom w:val="single" w:sz="5" w:space="0" w:color="000000"/>
              <w:right w:val="single" w:sz="5" w:space="0" w:color="000000"/>
            </w:tcBorders>
          </w:tcPr>
          <w:p w14:paraId="12A1AC57" w14:textId="77777777" w:rsidR="0075524C" w:rsidRPr="00C35766" w:rsidRDefault="0075524C" w:rsidP="00603A86">
            <w:pPr>
              <w:pStyle w:val="TableParagraph"/>
              <w:spacing w:line="246" w:lineRule="exact"/>
              <w:ind w:left="731" w:right="733"/>
              <w:jc w:val="center"/>
              <w:rPr>
                <w:rFonts w:ascii="Times New Roman" w:eastAsia="Times New Roman" w:hAnsi="Times New Roman" w:cs="Times New Roman"/>
              </w:rPr>
            </w:pPr>
            <w:r w:rsidRPr="00C35766">
              <w:rPr>
                <w:rFonts w:ascii="Times New Roman" w:eastAsia="Times New Roman" w:hAnsi="Times New Roman" w:cs="Times New Roman"/>
                <w:lang w:val="it-IT"/>
              </w:rPr>
              <w:t>0,1</w:t>
            </w:r>
          </w:p>
        </w:tc>
        <w:tc>
          <w:tcPr>
            <w:tcW w:w="1129" w:type="pct"/>
            <w:tcBorders>
              <w:top w:val="single" w:sz="5" w:space="0" w:color="000000"/>
              <w:left w:val="single" w:sz="5" w:space="0" w:color="000000"/>
              <w:bottom w:val="single" w:sz="5" w:space="0" w:color="000000"/>
              <w:right w:val="single" w:sz="5" w:space="0" w:color="000000"/>
            </w:tcBorders>
          </w:tcPr>
          <w:p w14:paraId="5F5D5015" w14:textId="77777777" w:rsidR="0075524C" w:rsidRPr="00C35766" w:rsidRDefault="0075524C" w:rsidP="00603A86">
            <w:pPr>
              <w:pStyle w:val="TableParagraph"/>
              <w:spacing w:line="246" w:lineRule="exact"/>
              <w:ind w:left="423"/>
              <w:rPr>
                <w:rFonts w:ascii="Times New Roman" w:eastAsia="Times New Roman" w:hAnsi="Times New Roman" w:cs="Times New Roman"/>
              </w:rPr>
            </w:pPr>
            <w:r w:rsidRPr="00C35766">
              <w:rPr>
                <w:rFonts w:ascii="Times New Roman" w:eastAsia="Times New Roman" w:hAnsi="Times New Roman" w:cs="Times New Roman"/>
                <w:spacing w:val="-1"/>
                <w:lang w:val="it-IT"/>
              </w:rPr>
              <w:t>0,9 (0,3, 1,4)</w:t>
            </w:r>
          </w:p>
        </w:tc>
        <w:tc>
          <w:tcPr>
            <w:tcW w:w="874" w:type="pct"/>
            <w:tcBorders>
              <w:top w:val="single" w:sz="5" w:space="0" w:color="000000"/>
              <w:left w:val="single" w:sz="5" w:space="0" w:color="000000"/>
              <w:bottom w:val="single" w:sz="5" w:space="0" w:color="000000"/>
              <w:right w:val="single" w:sz="5" w:space="0" w:color="000000"/>
            </w:tcBorders>
          </w:tcPr>
          <w:p w14:paraId="19D6249A"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0,002</w:t>
            </w:r>
          </w:p>
        </w:tc>
      </w:tr>
    </w:tbl>
    <w:p w14:paraId="046AEF43" w14:textId="77777777" w:rsidR="0075524C" w:rsidRPr="00C35766" w:rsidRDefault="0075524C">
      <w:pPr>
        <w:pStyle w:val="a3"/>
      </w:pPr>
      <w:r w:rsidRPr="00C35766">
        <w:rPr>
          <w:rFonts w:eastAsia="Times New Roman"/>
          <w:position w:val="8"/>
          <w:vertAlign w:val="superscript"/>
          <w:lang w:val="it-IT"/>
        </w:rPr>
        <w:t xml:space="preserve">a </w:t>
      </w:r>
      <w:r w:rsidRPr="00C35766">
        <w:rPr>
          <w:rFonts w:eastAsia="Times New Roman"/>
          <w:position w:val="8"/>
          <w:lang w:val="it-IT"/>
        </w:rPr>
        <w:t>metotressato</w:t>
      </w:r>
    </w:p>
    <w:p w14:paraId="1569A220" w14:textId="77777777" w:rsidR="0075524C" w:rsidRPr="00C35766" w:rsidRDefault="0075524C">
      <w:pPr>
        <w:pStyle w:val="a3"/>
        <w:rPr>
          <w:lang w:val="it-IT"/>
        </w:rPr>
      </w:pPr>
      <w:r w:rsidRPr="00C35766">
        <w:rPr>
          <w:rFonts w:eastAsia="Times New Roman"/>
          <w:position w:val="8"/>
          <w:vertAlign w:val="superscript"/>
          <w:lang w:val="it-IT"/>
        </w:rPr>
        <w:t>b</w:t>
      </w:r>
      <w:r w:rsidRPr="00C35766">
        <w:rPr>
          <w:rFonts w:eastAsia="Times New Roman"/>
          <w:position w:val="8"/>
          <w:lang w:val="it-IT"/>
        </w:rPr>
        <w:t xml:space="preserve"> Intervallo di confidenza del 95% per le differenze nelle variazioni degli indici tra metotressato e adalimumab.</w:t>
      </w:r>
    </w:p>
    <w:p w14:paraId="107D75BA" w14:textId="77777777" w:rsidR="0075524C" w:rsidRPr="00C35766" w:rsidRDefault="0075524C">
      <w:pPr>
        <w:pStyle w:val="a3"/>
        <w:rPr>
          <w:lang w:val="it-IT"/>
        </w:rPr>
      </w:pPr>
      <w:r w:rsidRPr="00C35766">
        <w:rPr>
          <w:rFonts w:eastAsia="Times New Roman"/>
          <w:position w:val="8"/>
          <w:vertAlign w:val="superscript"/>
          <w:lang w:val="it-IT"/>
        </w:rPr>
        <w:t>c</w:t>
      </w:r>
      <w:r w:rsidRPr="00C35766">
        <w:rPr>
          <w:rFonts w:eastAsia="Times New Roman"/>
          <w:position w:val="8"/>
          <w:lang w:val="it-IT"/>
        </w:rPr>
        <w:t xml:space="preserve"> Basato sull’analisi a ranghi</w:t>
      </w:r>
    </w:p>
    <w:p w14:paraId="381A1AB7" w14:textId="77777777" w:rsidR="0075524C" w:rsidRPr="00C35766" w:rsidRDefault="0075524C">
      <w:pPr>
        <w:pStyle w:val="a3"/>
        <w:rPr>
          <w:lang w:val="it-IT"/>
        </w:rPr>
      </w:pPr>
      <w:r w:rsidRPr="00C35766">
        <w:rPr>
          <w:rFonts w:eastAsia="Times New Roman"/>
          <w:position w:val="8"/>
          <w:vertAlign w:val="superscript"/>
          <w:lang w:val="it-IT"/>
        </w:rPr>
        <w:t>d</w:t>
      </w:r>
      <w:r w:rsidRPr="00C35766">
        <w:rPr>
          <w:rFonts w:eastAsia="Times New Roman"/>
          <w:position w:val="8"/>
          <w:lang w:val="it-IT"/>
        </w:rPr>
        <w:t>Joint Space Narrowing (riduzione della rima articolare)</w:t>
      </w:r>
    </w:p>
    <w:p w14:paraId="5C7FB685" w14:textId="77777777" w:rsidR="0075524C" w:rsidRPr="00C35766" w:rsidRDefault="0075524C" w:rsidP="0075524C">
      <w:pPr>
        <w:spacing w:before="17" w:line="240" w:lineRule="exact"/>
        <w:rPr>
          <w:rFonts w:ascii="Times New Roman" w:hAnsi="Times New Roman" w:cs="Times New Roman"/>
          <w:sz w:val="24"/>
          <w:lang w:val="it-IT"/>
        </w:rPr>
      </w:pPr>
    </w:p>
    <w:p w14:paraId="2A89F691" w14:textId="5E97DE76" w:rsidR="0075524C" w:rsidRPr="00C35766" w:rsidRDefault="0075524C" w:rsidP="0075524C">
      <w:pPr>
        <w:pStyle w:val="a3"/>
        <w:rPr>
          <w:lang w:val="it-IT"/>
        </w:rPr>
      </w:pPr>
      <w:r w:rsidRPr="00C35766">
        <w:rPr>
          <w:rFonts w:eastAsia="Times New Roman"/>
          <w:lang w:val="it-IT"/>
        </w:rPr>
        <w:t xml:space="preserve">Nello studio AR V, il danno articolare strutturale è stato valutato radiograficamente ed è espresso in termini di variazione dell’Indice Totale di Sharp modificato (vedere Tabella </w:t>
      </w:r>
      <w:r w:rsidR="002452EF">
        <w:rPr>
          <w:rFonts w:eastAsia="Times New Roman"/>
          <w:lang w:val="it-IT"/>
        </w:rPr>
        <w:t>10</w:t>
      </w:r>
      <w:r w:rsidRPr="00C35766">
        <w:rPr>
          <w:rFonts w:eastAsia="Times New Roman"/>
          <w:lang w:val="it-IT"/>
        </w:rPr>
        <w:t>).</w:t>
      </w:r>
    </w:p>
    <w:p w14:paraId="09C4E1E2" w14:textId="77777777" w:rsidR="0075524C" w:rsidRPr="00C35766" w:rsidRDefault="0075524C" w:rsidP="0075524C">
      <w:pPr>
        <w:spacing w:before="15" w:line="240" w:lineRule="exact"/>
        <w:rPr>
          <w:rFonts w:ascii="Times New Roman" w:hAnsi="Times New Roman" w:cs="Times New Roman"/>
          <w:sz w:val="24"/>
          <w:lang w:val="it-IT"/>
        </w:rPr>
      </w:pPr>
    </w:p>
    <w:p w14:paraId="611A6055" w14:textId="4DF0807E" w:rsidR="0075524C" w:rsidRPr="00C35766" w:rsidRDefault="0075524C" w:rsidP="0075524C">
      <w:pPr>
        <w:pStyle w:val="a3"/>
        <w:jc w:val="center"/>
        <w:rPr>
          <w:b/>
          <w:lang w:val="es-ES"/>
        </w:rPr>
      </w:pPr>
      <w:r w:rsidRPr="00C35766">
        <w:rPr>
          <w:rFonts w:eastAsia="Times New Roman"/>
          <w:b/>
          <w:bCs/>
          <w:lang w:val="it-IT"/>
        </w:rPr>
        <w:t xml:space="preserve">Tabella </w:t>
      </w:r>
      <w:r w:rsidR="002452EF">
        <w:rPr>
          <w:rFonts w:eastAsia="Times New Roman"/>
          <w:b/>
          <w:bCs/>
          <w:lang w:val="it-IT"/>
        </w:rPr>
        <w:t>10</w:t>
      </w:r>
    </w:p>
    <w:p w14:paraId="4BEE96C9" w14:textId="77777777" w:rsidR="0075524C" w:rsidRPr="00C35766" w:rsidRDefault="0075524C" w:rsidP="0075524C">
      <w:pPr>
        <w:pStyle w:val="a3"/>
        <w:jc w:val="center"/>
        <w:rPr>
          <w:b/>
          <w:lang w:val="es-ES"/>
        </w:rPr>
      </w:pPr>
      <w:r w:rsidRPr="00C35766">
        <w:rPr>
          <w:rFonts w:eastAsia="Times New Roman"/>
          <w:b/>
          <w:bCs/>
          <w:lang w:val="it-IT"/>
        </w:rPr>
        <w:t>Variazioni radiografiche medie alla settimana 52 nello studio AR V</w:t>
      </w:r>
    </w:p>
    <w:p w14:paraId="1B1B8B2B" w14:textId="77777777" w:rsidR="0075524C" w:rsidRPr="00C35766" w:rsidRDefault="0075524C" w:rsidP="0075524C">
      <w:pPr>
        <w:spacing w:before="11" w:line="240" w:lineRule="exact"/>
        <w:rPr>
          <w:rFonts w:ascii="Times New Roman" w:hAnsi="Times New Roman" w:cs="Times New Roman"/>
          <w:sz w:val="24"/>
          <w:szCs w:val="24"/>
          <w:lang w:val="es-ES"/>
        </w:rPr>
      </w:pPr>
    </w:p>
    <w:tbl>
      <w:tblPr>
        <w:tblStyle w:val="TableNormal1"/>
        <w:tblW w:w="5000" w:type="pct"/>
        <w:tblLayout w:type="fixed"/>
        <w:tblLook w:val="01E0" w:firstRow="1" w:lastRow="1" w:firstColumn="1" w:lastColumn="1" w:noHBand="0" w:noVBand="0"/>
      </w:tblPr>
      <w:tblGrid>
        <w:gridCol w:w="1485"/>
        <w:gridCol w:w="1605"/>
        <w:gridCol w:w="1540"/>
        <w:gridCol w:w="1923"/>
        <w:gridCol w:w="1012"/>
        <w:gridCol w:w="1011"/>
        <w:gridCol w:w="1012"/>
      </w:tblGrid>
      <w:tr w:rsidR="0075524C" w:rsidRPr="00C35766" w14:paraId="79342DCA" w14:textId="77777777" w:rsidTr="008A6AF4">
        <w:tc>
          <w:tcPr>
            <w:tcW w:w="774" w:type="pct"/>
            <w:tcBorders>
              <w:top w:val="single" w:sz="5" w:space="0" w:color="000000"/>
              <w:left w:val="single" w:sz="5" w:space="0" w:color="000000"/>
              <w:bottom w:val="single" w:sz="5" w:space="0" w:color="000000"/>
              <w:right w:val="single" w:sz="5" w:space="0" w:color="000000"/>
            </w:tcBorders>
          </w:tcPr>
          <w:p w14:paraId="0AB6A48D" w14:textId="77777777" w:rsidR="0075524C" w:rsidRPr="00C35766" w:rsidRDefault="0075524C" w:rsidP="00603A86">
            <w:pPr>
              <w:rPr>
                <w:rFonts w:ascii="Times New Roman" w:hAnsi="Times New Roman" w:cs="Times New Roman"/>
                <w:lang w:val="es-ES"/>
              </w:rPr>
            </w:pPr>
          </w:p>
        </w:tc>
        <w:tc>
          <w:tcPr>
            <w:tcW w:w="837" w:type="pct"/>
            <w:tcBorders>
              <w:top w:val="single" w:sz="5" w:space="0" w:color="000000"/>
              <w:left w:val="single" w:sz="5" w:space="0" w:color="000000"/>
              <w:bottom w:val="single" w:sz="5" w:space="0" w:color="000000"/>
              <w:right w:val="single" w:sz="5" w:space="0" w:color="000000"/>
            </w:tcBorders>
            <w:vAlign w:val="center"/>
          </w:tcPr>
          <w:p w14:paraId="1BD363FB"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MTX</w:t>
            </w:r>
          </w:p>
          <w:p w14:paraId="17AF54D9" w14:textId="77777777" w:rsidR="0075524C" w:rsidRPr="00C35766" w:rsidRDefault="0075524C" w:rsidP="00603A86">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n=257</w:t>
            </w:r>
          </w:p>
          <w:p w14:paraId="3C56D94E"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6ADB6252"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803" w:type="pct"/>
            <w:tcBorders>
              <w:top w:val="single" w:sz="5" w:space="0" w:color="000000"/>
              <w:left w:val="single" w:sz="5" w:space="0" w:color="000000"/>
              <w:bottom w:val="single" w:sz="5" w:space="0" w:color="000000"/>
              <w:right w:val="single" w:sz="5" w:space="0" w:color="000000"/>
            </w:tcBorders>
            <w:vAlign w:val="center"/>
          </w:tcPr>
          <w:p w14:paraId="7D57CD96"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w:t>
            </w:r>
          </w:p>
          <w:p w14:paraId="2C76DF9E" w14:textId="77777777" w:rsidR="0075524C" w:rsidRPr="00C35766" w:rsidRDefault="0075524C" w:rsidP="00603A86">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n=274</w:t>
            </w:r>
          </w:p>
          <w:p w14:paraId="676D6811"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6B3E52CD"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1003" w:type="pct"/>
            <w:tcBorders>
              <w:top w:val="single" w:sz="5" w:space="0" w:color="000000"/>
              <w:left w:val="single" w:sz="5" w:space="0" w:color="000000"/>
              <w:bottom w:val="single" w:sz="5" w:space="0" w:color="000000"/>
              <w:right w:val="single" w:sz="5" w:space="0" w:color="000000"/>
            </w:tcBorders>
            <w:vAlign w:val="center"/>
          </w:tcPr>
          <w:p w14:paraId="50FB81A0"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Adalimumab/MTX</w:t>
            </w:r>
          </w:p>
          <w:p w14:paraId="5BA8BA67" w14:textId="77777777" w:rsidR="0075524C" w:rsidRPr="00C35766" w:rsidRDefault="0075524C" w:rsidP="00603A86">
            <w:pPr>
              <w:pStyle w:val="TableParagraph"/>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n=268</w:t>
            </w:r>
          </w:p>
          <w:p w14:paraId="7303F51B"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lang w:val="it-IT"/>
              </w:rPr>
              <w:t>(95%</w:t>
            </w:r>
          </w:p>
          <w:p w14:paraId="79DEF807" w14:textId="77777777" w:rsidR="0075524C" w:rsidRPr="00C35766" w:rsidRDefault="0075524C" w:rsidP="00603A86">
            <w:pPr>
              <w:pStyle w:val="TableParagraph"/>
              <w:ind w:left="113" w:right="113"/>
              <w:jc w:val="center"/>
              <w:rPr>
                <w:rFonts w:ascii="Times New Roman" w:hAnsi="Times New Roman" w:cs="Times New Roman"/>
                <w:lang w:val="it-IT"/>
              </w:rPr>
            </w:pPr>
            <w:r w:rsidRPr="00C35766">
              <w:rPr>
                <w:rFonts w:ascii="Times New Roman" w:eastAsia="Times New Roman" w:hAnsi="Times New Roman" w:cs="Times New Roman"/>
                <w:spacing w:val="-1"/>
                <w:lang w:val="it-IT"/>
              </w:rPr>
              <w:t>d’intervallo di confidenza)</w:t>
            </w:r>
          </w:p>
        </w:tc>
        <w:tc>
          <w:tcPr>
            <w:tcW w:w="528" w:type="pct"/>
            <w:tcBorders>
              <w:top w:val="single" w:sz="5" w:space="0" w:color="000000"/>
              <w:left w:val="single" w:sz="5" w:space="0" w:color="000000"/>
              <w:bottom w:val="single" w:sz="5" w:space="0" w:color="000000"/>
              <w:right w:val="single" w:sz="5" w:space="0" w:color="000000"/>
            </w:tcBorders>
            <w:vAlign w:val="center"/>
          </w:tcPr>
          <w:p w14:paraId="79DE220B"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a</w:t>
            </w:r>
          </w:p>
        </w:tc>
        <w:tc>
          <w:tcPr>
            <w:tcW w:w="527" w:type="pct"/>
            <w:tcBorders>
              <w:top w:val="single" w:sz="5" w:space="0" w:color="000000"/>
              <w:left w:val="single" w:sz="5" w:space="0" w:color="000000"/>
              <w:bottom w:val="single" w:sz="5" w:space="0" w:color="000000"/>
              <w:right w:val="single" w:sz="5" w:space="0" w:color="000000"/>
            </w:tcBorders>
            <w:vAlign w:val="center"/>
          </w:tcPr>
          <w:p w14:paraId="59CD09CA"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b</w:t>
            </w:r>
          </w:p>
        </w:tc>
        <w:tc>
          <w:tcPr>
            <w:tcW w:w="528" w:type="pct"/>
            <w:tcBorders>
              <w:top w:val="single" w:sz="5" w:space="0" w:color="000000"/>
              <w:left w:val="single" w:sz="5" w:space="0" w:color="000000"/>
              <w:bottom w:val="single" w:sz="5" w:space="0" w:color="000000"/>
              <w:right w:val="single" w:sz="5" w:space="0" w:color="000000"/>
            </w:tcBorders>
            <w:vAlign w:val="center"/>
          </w:tcPr>
          <w:p w14:paraId="29FD65B9"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Valore p</w:t>
            </w:r>
            <w:r w:rsidRPr="00C35766">
              <w:rPr>
                <w:rFonts w:ascii="Times New Roman" w:eastAsia="Times New Roman" w:hAnsi="Times New Roman" w:cs="Times New Roman"/>
                <w:vertAlign w:val="superscript"/>
                <w:lang w:val="it-IT"/>
              </w:rPr>
              <w:t>c</w:t>
            </w:r>
          </w:p>
        </w:tc>
      </w:tr>
      <w:tr w:rsidR="0075524C" w:rsidRPr="00C35766" w14:paraId="1685A263" w14:textId="77777777" w:rsidTr="008A6AF4">
        <w:tc>
          <w:tcPr>
            <w:tcW w:w="774" w:type="pct"/>
            <w:tcBorders>
              <w:top w:val="single" w:sz="5" w:space="0" w:color="000000"/>
              <w:left w:val="single" w:sz="5" w:space="0" w:color="000000"/>
              <w:bottom w:val="single" w:sz="5" w:space="0" w:color="000000"/>
              <w:right w:val="single" w:sz="5" w:space="0" w:color="000000"/>
            </w:tcBorders>
          </w:tcPr>
          <w:p w14:paraId="61CD9870" w14:textId="77777777" w:rsidR="0075524C" w:rsidRPr="00C35766" w:rsidRDefault="0075524C" w:rsidP="00603A86">
            <w:pPr>
              <w:pStyle w:val="TableParagraph"/>
              <w:spacing w:line="246" w:lineRule="exact"/>
              <w:ind w:left="65" w:right="179"/>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 xml:space="preserve">Indice totale </w:t>
            </w:r>
            <w:r w:rsidRPr="00C35766">
              <w:rPr>
                <w:rFonts w:ascii="Times New Roman" w:eastAsia="Times New Roman" w:hAnsi="Times New Roman" w:cs="Times New Roman"/>
                <w:lang w:val="it-IT"/>
              </w:rPr>
              <w:t>di Sharp</w:t>
            </w:r>
          </w:p>
        </w:tc>
        <w:tc>
          <w:tcPr>
            <w:tcW w:w="837" w:type="pct"/>
            <w:tcBorders>
              <w:top w:val="single" w:sz="5" w:space="0" w:color="000000"/>
              <w:left w:val="single" w:sz="5" w:space="0" w:color="000000"/>
              <w:bottom w:val="single" w:sz="5" w:space="0" w:color="000000"/>
              <w:right w:val="single" w:sz="5" w:space="0" w:color="000000"/>
            </w:tcBorders>
          </w:tcPr>
          <w:p w14:paraId="275DFCD8" w14:textId="77777777" w:rsidR="0075524C" w:rsidRPr="00C35766" w:rsidRDefault="0075524C" w:rsidP="00603A86">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5,7 (4,2-7,3)</w:t>
            </w:r>
          </w:p>
        </w:tc>
        <w:tc>
          <w:tcPr>
            <w:tcW w:w="803" w:type="pct"/>
            <w:tcBorders>
              <w:top w:val="single" w:sz="5" w:space="0" w:color="000000"/>
              <w:left w:val="single" w:sz="5" w:space="0" w:color="000000"/>
              <w:bottom w:val="single" w:sz="5" w:space="0" w:color="000000"/>
              <w:right w:val="single" w:sz="5" w:space="0" w:color="000000"/>
            </w:tcBorders>
          </w:tcPr>
          <w:p w14:paraId="5BB9C37B"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3,0 (1,7-4,3)</w:t>
            </w:r>
          </w:p>
        </w:tc>
        <w:tc>
          <w:tcPr>
            <w:tcW w:w="1003" w:type="pct"/>
            <w:tcBorders>
              <w:top w:val="single" w:sz="5" w:space="0" w:color="000000"/>
              <w:left w:val="single" w:sz="5" w:space="0" w:color="000000"/>
              <w:bottom w:val="single" w:sz="5" w:space="0" w:color="000000"/>
              <w:right w:val="single" w:sz="5" w:space="0" w:color="000000"/>
            </w:tcBorders>
          </w:tcPr>
          <w:p w14:paraId="008D3DCC" w14:textId="77777777" w:rsidR="0075524C" w:rsidRPr="00C35766" w:rsidRDefault="0075524C" w:rsidP="00603A86">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528" w:type="pct"/>
            <w:tcBorders>
              <w:top w:val="single" w:sz="5" w:space="0" w:color="000000"/>
              <w:left w:val="single" w:sz="5" w:space="0" w:color="000000"/>
              <w:bottom w:val="single" w:sz="5" w:space="0" w:color="000000"/>
              <w:right w:val="single" w:sz="5" w:space="0" w:color="000000"/>
            </w:tcBorders>
          </w:tcPr>
          <w:p w14:paraId="4588751B" w14:textId="77777777" w:rsidR="0075524C" w:rsidRPr="00C35766" w:rsidRDefault="0075524C" w:rsidP="00603A86">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527" w:type="pct"/>
            <w:tcBorders>
              <w:top w:val="single" w:sz="5" w:space="0" w:color="000000"/>
              <w:left w:val="single" w:sz="5" w:space="0" w:color="000000"/>
              <w:bottom w:val="single" w:sz="5" w:space="0" w:color="000000"/>
              <w:right w:val="single" w:sz="5" w:space="0" w:color="000000"/>
            </w:tcBorders>
          </w:tcPr>
          <w:p w14:paraId="1F0156EB"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0,0020</w:t>
            </w:r>
          </w:p>
        </w:tc>
        <w:tc>
          <w:tcPr>
            <w:tcW w:w="528" w:type="pct"/>
            <w:tcBorders>
              <w:top w:val="single" w:sz="5" w:space="0" w:color="000000"/>
              <w:left w:val="single" w:sz="5" w:space="0" w:color="000000"/>
              <w:bottom w:val="single" w:sz="5" w:space="0" w:color="000000"/>
              <w:right w:val="single" w:sz="5" w:space="0" w:color="000000"/>
            </w:tcBorders>
          </w:tcPr>
          <w:p w14:paraId="1170269A" w14:textId="77777777" w:rsidR="0075524C" w:rsidRPr="00C35766" w:rsidRDefault="0075524C" w:rsidP="00603A86">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75524C" w:rsidRPr="00C35766" w14:paraId="4B74285F" w14:textId="77777777" w:rsidTr="008A6AF4">
        <w:tc>
          <w:tcPr>
            <w:tcW w:w="774" w:type="pct"/>
            <w:tcBorders>
              <w:top w:val="single" w:sz="5" w:space="0" w:color="000000"/>
              <w:left w:val="single" w:sz="5" w:space="0" w:color="000000"/>
              <w:bottom w:val="single" w:sz="5" w:space="0" w:color="000000"/>
              <w:right w:val="single" w:sz="5" w:space="0" w:color="000000"/>
            </w:tcBorders>
          </w:tcPr>
          <w:p w14:paraId="1FB36B89" w14:textId="77777777" w:rsidR="0075524C" w:rsidRPr="00C35766" w:rsidRDefault="0075524C" w:rsidP="00603A86">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Indice di erosione</w:t>
            </w:r>
          </w:p>
        </w:tc>
        <w:tc>
          <w:tcPr>
            <w:tcW w:w="837" w:type="pct"/>
            <w:tcBorders>
              <w:top w:val="single" w:sz="5" w:space="0" w:color="000000"/>
              <w:left w:val="single" w:sz="5" w:space="0" w:color="000000"/>
              <w:bottom w:val="single" w:sz="5" w:space="0" w:color="000000"/>
              <w:right w:val="single" w:sz="5" w:space="0" w:color="000000"/>
            </w:tcBorders>
          </w:tcPr>
          <w:p w14:paraId="413129C1" w14:textId="77777777" w:rsidR="0075524C" w:rsidRPr="00C35766" w:rsidRDefault="0075524C" w:rsidP="00603A86">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3,7 (2,7-4,7)</w:t>
            </w:r>
          </w:p>
        </w:tc>
        <w:tc>
          <w:tcPr>
            <w:tcW w:w="803" w:type="pct"/>
            <w:tcBorders>
              <w:top w:val="single" w:sz="5" w:space="0" w:color="000000"/>
              <w:left w:val="single" w:sz="5" w:space="0" w:color="000000"/>
              <w:bottom w:val="single" w:sz="5" w:space="0" w:color="000000"/>
              <w:right w:val="single" w:sz="5" w:space="0" w:color="000000"/>
            </w:tcBorders>
          </w:tcPr>
          <w:p w14:paraId="161BB9CA"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1,7 (1,0-2,4)</w:t>
            </w:r>
          </w:p>
        </w:tc>
        <w:tc>
          <w:tcPr>
            <w:tcW w:w="1003" w:type="pct"/>
            <w:tcBorders>
              <w:top w:val="single" w:sz="5" w:space="0" w:color="000000"/>
              <w:left w:val="single" w:sz="5" w:space="0" w:color="000000"/>
              <w:bottom w:val="single" w:sz="5" w:space="0" w:color="000000"/>
              <w:right w:val="single" w:sz="5" w:space="0" w:color="000000"/>
            </w:tcBorders>
          </w:tcPr>
          <w:p w14:paraId="40B34AB5" w14:textId="77777777" w:rsidR="0075524C" w:rsidRPr="00C35766" w:rsidRDefault="0075524C" w:rsidP="00603A86">
            <w:pPr>
              <w:pStyle w:val="TableParagraph"/>
              <w:spacing w:line="246" w:lineRule="exact"/>
              <w:ind w:left="188"/>
              <w:rPr>
                <w:rFonts w:ascii="Times New Roman" w:eastAsia="Times New Roman" w:hAnsi="Times New Roman" w:cs="Times New Roman"/>
              </w:rPr>
            </w:pPr>
            <w:r w:rsidRPr="00C35766">
              <w:rPr>
                <w:rFonts w:ascii="Times New Roman" w:eastAsia="Times New Roman" w:hAnsi="Times New Roman" w:cs="Times New Roman"/>
                <w:lang w:val="it-IT"/>
              </w:rPr>
              <w:t>0,8 (0,4; 1,2)</w:t>
            </w:r>
          </w:p>
        </w:tc>
        <w:tc>
          <w:tcPr>
            <w:tcW w:w="528" w:type="pct"/>
            <w:tcBorders>
              <w:top w:val="single" w:sz="5" w:space="0" w:color="000000"/>
              <w:left w:val="single" w:sz="5" w:space="0" w:color="000000"/>
              <w:bottom w:val="single" w:sz="5" w:space="0" w:color="000000"/>
              <w:right w:val="single" w:sz="5" w:space="0" w:color="000000"/>
            </w:tcBorders>
          </w:tcPr>
          <w:p w14:paraId="3945D0CE" w14:textId="77777777" w:rsidR="0075524C" w:rsidRPr="00C35766" w:rsidRDefault="0075524C" w:rsidP="00603A86">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527" w:type="pct"/>
            <w:tcBorders>
              <w:top w:val="single" w:sz="5" w:space="0" w:color="000000"/>
              <w:left w:val="single" w:sz="5" w:space="0" w:color="000000"/>
              <w:bottom w:val="single" w:sz="5" w:space="0" w:color="000000"/>
              <w:right w:val="single" w:sz="5" w:space="0" w:color="000000"/>
            </w:tcBorders>
          </w:tcPr>
          <w:p w14:paraId="46683A83"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0,0082</w:t>
            </w:r>
          </w:p>
        </w:tc>
        <w:tc>
          <w:tcPr>
            <w:tcW w:w="528" w:type="pct"/>
            <w:tcBorders>
              <w:top w:val="single" w:sz="5" w:space="0" w:color="000000"/>
              <w:left w:val="single" w:sz="5" w:space="0" w:color="000000"/>
              <w:bottom w:val="single" w:sz="5" w:space="0" w:color="000000"/>
              <w:right w:val="single" w:sz="5" w:space="0" w:color="000000"/>
            </w:tcBorders>
          </w:tcPr>
          <w:p w14:paraId="27999EF7" w14:textId="77777777" w:rsidR="0075524C" w:rsidRPr="00C35766" w:rsidRDefault="0075524C" w:rsidP="00603A86">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r>
      <w:tr w:rsidR="0075524C" w:rsidRPr="00C35766" w14:paraId="3B5AF3AD" w14:textId="77777777" w:rsidTr="008A6AF4">
        <w:tc>
          <w:tcPr>
            <w:tcW w:w="774" w:type="pct"/>
            <w:tcBorders>
              <w:top w:val="single" w:sz="5" w:space="0" w:color="000000"/>
              <w:left w:val="single" w:sz="5" w:space="0" w:color="000000"/>
              <w:bottom w:val="single" w:sz="5" w:space="0" w:color="000000"/>
              <w:right w:val="single" w:sz="5" w:space="0" w:color="000000"/>
            </w:tcBorders>
          </w:tcPr>
          <w:p w14:paraId="423D98A8" w14:textId="77777777" w:rsidR="0075524C" w:rsidRPr="00C35766" w:rsidRDefault="0075524C" w:rsidP="00603A86">
            <w:pPr>
              <w:pStyle w:val="TableParagraph"/>
              <w:spacing w:line="246" w:lineRule="exact"/>
              <w:ind w:left="65"/>
              <w:rPr>
                <w:rFonts w:ascii="Times New Roman" w:eastAsia="Times New Roman" w:hAnsi="Times New Roman" w:cs="Times New Roman"/>
              </w:rPr>
            </w:pPr>
            <w:r w:rsidRPr="00C35766">
              <w:rPr>
                <w:rFonts w:ascii="Times New Roman" w:eastAsia="Times New Roman" w:hAnsi="Times New Roman" w:cs="Times New Roman"/>
                <w:spacing w:val="-1"/>
                <w:lang w:val="it-IT"/>
              </w:rPr>
              <w:t>Indice JSN</w:t>
            </w:r>
          </w:p>
        </w:tc>
        <w:tc>
          <w:tcPr>
            <w:tcW w:w="837" w:type="pct"/>
            <w:tcBorders>
              <w:top w:val="single" w:sz="5" w:space="0" w:color="000000"/>
              <w:left w:val="single" w:sz="5" w:space="0" w:color="000000"/>
              <w:bottom w:val="single" w:sz="5" w:space="0" w:color="000000"/>
              <w:right w:val="single" w:sz="5" w:space="0" w:color="000000"/>
            </w:tcBorders>
          </w:tcPr>
          <w:p w14:paraId="50163E32" w14:textId="77777777" w:rsidR="0075524C" w:rsidRPr="00C35766" w:rsidRDefault="0075524C" w:rsidP="00603A86">
            <w:pPr>
              <w:pStyle w:val="TableParagraph"/>
              <w:spacing w:line="246" w:lineRule="exact"/>
              <w:ind w:left="215"/>
              <w:rPr>
                <w:rFonts w:ascii="Times New Roman" w:eastAsia="Times New Roman" w:hAnsi="Times New Roman" w:cs="Times New Roman"/>
              </w:rPr>
            </w:pPr>
            <w:r w:rsidRPr="00C35766">
              <w:rPr>
                <w:rFonts w:ascii="Times New Roman" w:eastAsia="Times New Roman" w:hAnsi="Times New Roman" w:cs="Times New Roman"/>
                <w:lang w:val="it-IT"/>
              </w:rPr>
              <w:t>2,0 (1,2-2,8)</w:t>
            </w:r>
          </w:p>
        </w:tc>
        <w:tc>
          <w:tcPr>
            <w:tcW w:w="803" w:type="pct"/>
            <w:tcBorders>
              <w:top w:val="single" w:sz="5" w:space="0" w:color="000000"/>
              <w:left w:val="single" w:sz="5" w:space="0" w:color="000000"/>
              <w:bottom w:val="single" w:sz="5" w:space="0" w:color="000000"/>
              <w:right w:val="single" w:sz="5" w:space="0" w:color="000000"/>
            </w:tcBorders>
          </w:tcPr>
          <w:p w14:paraId="005CE3DA"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1,3 (0,5-2,1)</w:t>
            </w:r>
          </w:p>
        </w:tc>
        <w:tc>
          <w:tcPr>
            <w:tcW w:w="1003" w:type="pct"/>
            <w:tcBorders>
              <w:top w:val="single" w:sz="5" w:space="0" w:color="000000"/>
              <w:left w:val="single" w:sz="5" w:space="0" w:color="000000"/>
              <w:bottom w:val="single" w:sz="5" w:space="0" w:color="000000"/>
              <w:right w:val="single" w:sz="5" w:space="0" w:color="000000"/>
            </w:tcBorders>
          </w:tcPr>
          <w:p w14:paraId="069DD3F4" w14:textId="77777777" w:rsidR="0075524C" w:rsidRPr="00C35766" w:rsidRDefault="0075524C" w:rsidP="00603A86">
            <w:pPr>
              <w:pStyle w:val="TableParagraph"/>
              <w:spacing w:line="246" w:lineRule="exact"/>
              <w:ind w:left="270"/>
              <w:rPr>
                <w:rFonts w:ascii="Times New Roman" w:eastAsia="Times New Roman" w:hAnsi="Times New Roman" w:cs="Times New Roman"/>
              </w:rPr>
            </w:pPr>
            <w:r w:rsidRPr="00C35766">
              <w:rPr>
                <w:rFonts w:ascii="Times New Roman" w:eastAsia="Times New Roman" w:hAnsi="Times New Roman" w:cs="Times New Roman"/>
                <w:lang w:val="it-IT"/>
              </w:rPr>
              <w:t>0,5 (0-1,0)</w:t>
            </w:r>
          </w:p>
        </w:tc>
        <w:tc>
          <w:tcPr>
            <w:tcW w:w="528" w:type="pct"/>
            <w:tcBorders>
              <w:top w:val="single" w:sz="5" w:space="0" w:color="000000"/>
              <w:left w:val="single" w:sz="5" w:space="0" w:color="000000"/>
              <w:bottom w:val="single" w:sz="5" w:space="0" w:color="000000"/>
              <w:right w:val="single" w:sz="5" w:space="0" w:color="000000"/>
            </w:tcBorders>
          </w:tcPr>
          <w:p w14:paraId="6FD8DC21" w14:textId="77777777" w:rsidR="0075524C" w:rsidRPr="00C35766" w:rsidRDefault="0075524C" w:rsidP="00603A86">
            <w:pPr>
              <w:pStyle w:val="TableParagraph"/>
              <w:spacing w:line="246" w:lineRule="exact"/>
              <w:ind w:left="150"/>
              <w:rPr>
                <w:rFonts w:ascii="Times New Roman" w:eastAsia="Times New Roman" w:hAnsi="Times New Roman" w:cs="Times New Roman"/>
              </w:rPr>
            </w:pPr>
            <w:r w:rsidRPr="00C35766">
              <w:rPr>
                <w:rFonts w:ascii="Times New Roman" w:eastAsia="Times New Roman" w:hAnsi="Times New Roman" w:cs="Times New Roman"/>
                <w:lang w:val="it-IT"/>
              </w:rPr>
              <w:t>&lt; 0,001</w:t>
            </w:r>
          </w:p>
        </w:tc>
        <w:tc>
          <w:tcPr>
            <w:tcW w:w="527" w:type="pct"/>
            <w:tcBorders>
              <w:top w:val="single" w:sz="5" w:space="0" w:color="000000"/>
              <w:left w:val="single" w:sz="5" w:space="0" w:color="000000"/>
              <w:bottom w:val="single" w:sz="5" w:space="0" w:color="000000"/>
              <w:right w:val="single" w:sz="5" w:space="0" w:color="000000"/>
            </w:tcBorders>
          </w:tcPr>
          <w:p w14:paraId="6D81D7CE" w14:textId="77777777" w:rsidR="0075524C" w:rsidRPr="00C35766" w:rsidRDefault="0075524C" w:rsidP="00603A86">
            <w:pPr>
              <w:pStyle w:val="TableParagraph"/>
              <w:spacing w:line="246" w:lineRule="exact"/>
              <w:ind w:left="183"/>
              <w:rPr>
                <w:rFonts w:ascii="Times New Roman" w:eastAsia="Times New Roman" w:hAnsi="Times New Roman" w:cs="Times New Roman"/>
              </w:rPr>
            </w:pPr>
            <w:r w:rsidRPr="00C35766">
              <w:rPr>
                <w:rFonts w:ascii="Times New Roman" w:eastAsia="Times New Roman" w:hAnsi="Times New Roman" w:cs="Times New Roman"/>
                <w:lang w:val="it-IT"/>
              </w:rPr>
              <w:t>0,0037</w:t>
            </w:r>
          </w:p>
        </w:tc>
        <w:tc>
          <w:tcPr>
            <w:tcW w:w="528" w:type="pct"/>
            <w:tcBorders>
              <w:top w:val="single" w:sz="5" w:space="0" w:color="000000"/>
              <w:left w:val="single" w:sz="5" w:space="0" w:color="000000"/>
              <w:bottom w:val="single" w:sz="5" w:space="0" w:color="000000"/>
              <w:right w:val="single" w:sz="5" w:space="0" w:color="000000"/>
            </w:tcBorders>
          </w:tcPr>
          <w:p w14:paraId="2940F099" w14:textId="77777777" w:rsidR="0075524C" w:rsidRPr="00C35766" w:rsidRDefault="0075524C" w:rsidP="00603A86">
            <w:pPr>
              <w:pStyle w:val="TableParagraph"/>
              <w:spacing w:line="246" w:lineRule="exact"/>
              <w:ind w:left="241"/>
              <w:rPr>
                <w:rFonts w:ascii="Times New Roman" w:eastAsia="Times New Roman" w:hAnsi="Times New Roman" w:cs="Times New Roman"/>
              </w:rPr>
            </w:pPr>
            <w:r w:rsidRPr="00C35766">
              <w:rPr>
                <w:rFonts w:ascii="Times New Roman" w:eastAsia="Times New Roman" w:hAnsi="Times New Roman" w:cs="Times New Roman"/>
                <w:lang w:val="it-IT"/>
              </w:rPr>
              <w:t>0,151</w:t>
            </w:r>
          </w:p>
        </w:tc>
      </w:tr>
    </w:tbl>
    <w:p w14:paraId="2B430260" w14:textId="19E6499F" w:rsidR="0075524C" w:rsidRPr="00C35766" w:rsidRDefault="00CB6AF5" w:rsidP="0075524C">
      <w:pPr>
        <w:pStyle w:val="a3"/>
        <w:rPr>
          <w:lang w:val="it-IT"/>
        </w:rPr>
      </w:pPr>
      <w:r w:rsidRPr="00C35766">
        <w:rPr>
          <w:rFonts w:eastAsia="Times New Roman"/>
          <w:position w:val="8"/>
          <w:vertAlign w:val="superscript"/>
          <w:lang w:val="it-IT"/>
        </w:rPr>
        <w:t>a</w:t>
      </w:r>
      <w:r w:rsidRPr="00C35766" w:rsidDel="00CB6AF5">
        <w:rPr>
          <w:rFonts w:eastAsia="Times New Roman"/>
          <w:position w:val="8"/>
          <w:sz w:val="14"/>
          <w:szCs w:val="14"/>
          <w:lang w:val="it-IT"/>
        </w:rPr>
        <w:t xml:space="preserve"> </w:t>
      </w:r>
      <w:r w:rsidR="0075524C" w:rsidRPr="00C35766">
        <w:rPr>
          <w:rFonts w:eastAsia="Times New Roman"/>
          <w:position w:val="8"/>
          <w:lang w:val="it-IT"/>
        </w:rPr>
        <w:t>il valore p è stato ottenuto confrontando a due a due la monoterapia con metotressato e la terapia associata adalimumab/metotressato utilizzando il test U Mann-Whitney.</w:t>
      </w:r>
    </w:p>
    <w:p w14:paraId="44BEDE23" w14:textId="3F558CE0" w:rsidR="0075524C" w:rsidRPr="00C35766" w:rsidRDefault="00CB6AF5" w:rsidP="0075524C">
      <w:pPr>
        <w:pStyle w:val="a3"/>
        <w:rPr>
          <w:lang w:val="it-IT"/>
        </w:rPr>
      </w:pPr>
      <w:r w:rsidRPr="00C35766">
        <w:rPr>
          <w:rFonts w:eastAsia="Times New Roman"/>
          <w:position w:val="8"/>
          <w:vertAlign w:val="superscript"/>
          <w:lang w:val="it-IT"/>
        </w:rPr>
        <w:t>b</w:t>
      </w:r>
      <w:r w:rsidRPr="00C35766">
        <w:rPr>
          <w:rFonts w:eastAsia="Times New Roman"/>
          <w:position w:val="8"/>
          <w:lang w:val="it-IT"/>
        </w:rPr>
        <w:t xml:space="preserve"> </w:t>
      </w:r>
      <w:r w:rsidR="0075524C" w:rsidRPr="00C35766">
        <w:rPr>
          <w:rFonts w:eastAsia="Times New Roman"/>
          <w:position w:val="8"/>
          <w:lang w:val="it-IT"/>
        </w:rPr>
        <w:t>il valore p è stato ottenuto confrontando a due a due la monoterapia con adalimumab e la terapia associata adalimumab/metotressato utilizzando il test U Mann-Whitney</w:t>
      </w:r>
    </w:p>
    <w:p w14:paraId="695CC692" w14:textId="7BEC4F49" w:rsidR="0075524C" w:rsidRPr="00C35766" w:rsidRDefault="00CB6AF5" w:rsidP="0075524C">
      <w:pPr>
        <w:pStyle w:val="a3"/>
        <w:rPr>
          <w:lang w:val="es-ES"/>
        </w:rPr>
      </w:pPr>
      <w:r w:rsidRPr="00C35766">
        <w:rPr>
          <w:rFonts w:eastAsia="Times New Roman"/>
          <w:position w:val="8"/>
          <w:vertAlign w:val="superscript"/>
          <w:lang w:val="it-IT"/>
        </w:rPr>
        <w:t>c</w:t>
      </w:r>
      <w:r w:rsidRPr="00C35766">
        <w:rPr>
          <w:rFonts w:eastAsia="Times New Roman"/>
          <w:position w:val="8"/>
          <w:lang w:val="it-IT"/>
        </w:rPr>
        <w:t xml:space="preserve"> </w:t>
      </w:r>
      <w:r w:rsidR="0075524C" w:rsidRPr="00C35766">
        <w:rPr>
          <w:rFonts w:eastAsia="Times New Roman"/>
          <w:position w:val="8"/>
          <w:lang w:val="it-IT"/>
        </w:rPr>
        <w:t>il valore p è stato ottenuto confrontando a due a due la monoterapia con adalimumab e la monoterapia con metotressato utilizzando il test U Mann-Whitney</w:t>
      </w:r>
    </w:p>
    <w:p w14:paraId="273AB16C" w14:textId="77777777" w:rsidR="0075524C" w:rsidRPr="00C35766" w:rsidRDefault="0075524C" w:rsidP="0075524C">
      <w:pPr>
        <w:spacing w:before="8" w:line="170" w:lineRule="exact"/>
        <w:rPr>
          <w:rFonts w:ascii="Times New Roman" w:hAnsi="Times New Roman" w:cs="Times New Roman"/>
          <w:sz w:val="17"/>
          <w:szCs w:val="17"/>
          <w:lang w:val="es-ES"/>
        </w:rPr>
      </w:pPr>
    </w:p>
    <w:p w14:paraId="11B542AC" w14:textId="77777777" w:rsidR="0075524C" w:rsidRPr="00C35766" w:rsidRDefault="0075524C" w:rsidP="0075524C">
      <w:pPr>
        <w:pStyle w:val="a3"/>
        <w:rPr>
          <w:lang w:val="es-ES"/>
        </w:rPr>
      </w:pPr>
      <w:r w:rsidRPr="00C35766">
        <w:rPr>
          <w:rFonts w:eastAsia="Times New Roman"/>
          <w:lang w:val="it-IT"/>
        </w:rPr>
        <w:t xml:space="preserve">Dopo 52 settimane e 104 settimane di trattamento, la percentuale di pazienti in cui non si è avuta progressione (variazione rispetto al valore basale dell’indice totale di Sharp modificato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0,5) è stata significativamente maggiore con la terapia associata adalimumab/metotressato (rispettivamente 63,8% e 61,2%) rispetto alla monoterapia con metotressato (rispettivamente 37,4% e 33,5%, p &lt; 0,001) e alla monoterapia con adalimumab (rispettivamente 50,7%, p &lt; 0,002 e 44,5%, p &lt; 0,001).</w:t>
      </w:r>
    </w:p>
    <w:p w14:paraId="71CB6A11" w14:textId="77777777" w:rsidR="0075524C" w:rsidRPr="00C35766" w:rsidRDefault="0075524C" w:rsidP="0075524C">
      <w:pPr>
        <w:spacing w:before="10" w:line="240" w:lineRule="exact"/>
        <w:rPr>
          <w:rFonts w:ascii="Times New Roman" w:hAnsi="Times New Roman" w:cs="Times New Roman"/>
          <w:sz w:val="24"/>
          <w:szCs w:val="24"/>
          <w:lang w:val="es-ES"/>
        </w:rPr>
      </w:pPr>
    </w:p>
    <w:p w14:paraId="23B1071D" w14:textId="77777777" w:rsidR="0075524C" w:rsidRPr="00C35766" w:rsidRDefault="0075524C" w:rsidP="0075524C">
      <w:pPr>
        <w:pStyle w:val="a3"/>
        <w:rPr>
          <w:lang w:val="pt-BR"/>
        </w:rPr>
      </w:pPr>
      <w:r w:rsidRPr="00C35766">
        <w:rPr>
          <w:rFonts w:eastAsia="Times New Roman"/>
          <w:lang w:val="it-IT"/>
        </w:rPr>
        <w:t xml:space="preserve">Nella fase di estensione in aperto dello studio AR V, la variazione media rispetto al valore basale all’Anno 10 dell’indice totale di Sharp modificato è stata, rispettivamente, di 10,8, 9,2 e 3,9 nei pazienti che erano stati inizialmente randomizzati alla somministrazione di metotressato in monoterapia, di adalimumab in monoterapia e della terapia associata adalimumab/metotressato. Le corrispondenti percentuali di pazienti </w:t>
      </w:r>
      <w:r w:rsidRPr="00C35766">
        <w:rPr>
          <w:rFonts w:eastAsia="Times New Roman"/>
          <w:lang w:val="it-IT"/>
        </w:rPr>
        <w:lastRenderedPageBreak/>
        <w:t>senza progressione radiologica sono state, rispettivamente, 31,3%, 23,7% e 36,7%.</w:t>
      </w:r>
    </w:p>
    <w:p w14:paraId="596A9D9A" w14:textId="77777777" w:rsidR="0075524C" w:rsidRPr="00C35766" w:rsidRDefault="0075524C" w:rsidP="0075524C">
      <w:pPr>
        <w:pStyle w:val="a3"/>
        <w:rPr>
          <w:sz w:val="24"/>
          <w:szCs w:val="24"/>
          <w:lang w:val="pt-BR"/>
        </w:rPr>
      </w:pPr>
    </w:p>
    <w:p w14:paraId="6A2D1461" w14:textId="77777777" w:rsidR="0075524C" w:rsidRPr="00C35766" w:rsidRDefault="0075524C" w:rsidP="0075524C">
      <w:pPr>
        <w:pStyle w:val="a3"/>
        <w:rPr>
          <w:rFonts w:eastAsia="Times New Roman"/>
          <w:lang w:val="pt-BR"/>
        </w:rPr>
      </w:pPr>
      <w:r w:rsidRPr="00C35766">
        <w:rPr>
          <w:rFonts w:eastAsia="Times New Roman"/>
          <w:i/>
          <w:iCs/>
          <w:spacing w:val="-1"/>
          <w:u w:val="single" w:color="000000"/>
          <w:lang w:val="it-IT"/>
        </w:rPr>
        <w:t>Qualità della vita e funzionalità fisica</w:t>
      </w:r>
    </w:p>
    <w:p w14:paraId="5E73BB9B" w14:textId="77777777" w:rsidR="0075524C" w:rsidRPr="00C35766" w:rsidRDefault="0075524C" w:rsidP="0075524C">
      <w:pPr>
        <w:pStyle w:val="a3"/>
        <w:rPr>
          <w:sz w:val="18"/>
          <w:szCs w:val="18"/>
          <w:lang w:val="pt-BR"/>
        </w:rPr>
      </w:pPr>
    </w:p>
    <w:p w14:paraId="18F11881" w14:textId="77777777" w:rsidR="0075524C" w:rsidRPr="00C35766" w:rsidRDefault="0075524C" w:rsidP="0075524C">
      <w:pPr>
        <w:pStyle w:val="a3"/>
        <w:rPr>
          <w:lang w:val="it-IT"/>
        </w:rPr>
      </w:pPr>
      <w:r w:rsidRPr="00C35766">
        <w:rPr>
          <w:rFonts w:eastAsia="Times New Roman"/>
          <w:lang w:val="it-IT"/>
        </w:rPr>
        <w:t>La qualità di vita correlata allo stato di salute e la funzionalità fisica sono state valutate con l’indice di disabilità ottenuto attraverso il questionario di valutazione dello stato di salute (Health Assessment Questionnaire - HAQ), in quattro studi originali, adeguati e ben controllati, che è stato un endpoint primario prespecificato dello studio AR III alla settimana 52. Tutti gli schemi terapeutici con adalimumab nei quattro studi hanno evidenziato miglioramenti maggiori in misura statisticamente significativa dell’indice di disabilità dell’HAQ tra il valore basale e il 6° mese rispetto al placebo e nello studio AR III il medesimo risultato è stato osservato alla settimana 52. L’analisi dello stato generale di salute, valutato attraverso lo Short Form Health Survey (SF-36) nei quattro studi, supporta queste conclusioni per tutti gli schemi di somministrazione di adalimumab con risultati statisticamente significativi per quanto riguarda gli indici di attività fisica, di dolore e dello stato di benessere, registrati con adalimumab 40 mg a settimane alterne. Una diminuzione statisticamente significativa della stanchezza così come risulta dagli indici della valutazione funzionale relativa al trattamento della patologia cronica (FACIT) è stata riscontrata in tutti i tre studi in cui è stata valutata (studi AR I, III, IV).</w:t>
      </w:r>
    </w:p>
    <w:p w14:paraId="7445D59E" w14:textId="77777777" w:rsidR="0075524C" w:rsidRPr="00C35766" w:rsidRDefault="0075524C" w:rsidP="0075524C">
      <w:pPr>
        <w:pStyle w:val="a3"/>
        <w:rPr>
          <w:sz w:val="24"/>
          <w:szCs w:val="24"/>
          <w:lang w:val="it-IT"/>
        </w:rPr>
      </w:pPr>
    </w:p>
    <w:p w14:paraId="3620F68D" w14:textId="77777777" w:rsidR="0075524C" w:rsidRPr="00C35766" w:rsidRDefault="0075524C" w:rsidP="0075524C">
      <w:pPr>
        <w:pStyle w:val="a3"/>
        <w:rPr>
          <w:lang w:val="pt-BR"/>
        </w:rPr>
      </w:pPr>
      <w:r w:rsidRPr="00C35766">
        <w:rPr>
          <w:rFonts w:eastAsia="Times New Roman"/>
          <w:lang w:val="it-IT"/>
        </w:rPr>
        <w:t>Nello studio AR III, la maggioranza dei soggetti che hanno raggiunto il miglioramento della funzionalità fisica e che hanno continuato il trattamento hanno mantenuto il miglioramento per 520 settimane (120 mesi) di trattamento in aperto. Il miglioramento della qualità di vita è stato misurato fino alla settimana 156 (36 mesi) ed il miglioramento è stato mantenuto nel tempo.</w:t>
      </w:r>
    </w:p>
    <w:p w14:paraId="299F4548" w14:textId="77777777" w:rsidR="0075524C" w:rsidRPr="00C35766" w:rsidRDefault="0075524C" w:rsidP="0075524C">
      <w:pPr>
        <w:pStyle w:val="a3"/>
        <w:rPr>
          <w:sz w:val="24"/>
          <w:szCs w:val="24"/>
          <w:lang w:val="pt-BR"/>
        </w:rPr>
      </w:pPr>
    </w:p>
    <w:p w14:paraId="5E31AEA0" w14:textId="77777777" w:rsidR="0075524C" w:rsidRPr="00C35766" w:rsidRDefault="0075524C" w:rsidP="0075524C">
      <w:pPr>
        <w:pStyle w:val="a3"/>
        <w:rPr>
          <w:lang w:val="it-IT"/>
        </w:rPr>
      </w:pPr>
      <w:r w:rsidRPr="00C35766">
        <w:rPr>
          <w:rFonts w:eastAsia="Times New Roman"/>
          <w:lang w:val="it-IT"/>
        </w:rPr>
        <w:t xml:space="preserve">Nello studio AR V, l’indice di disabilità valutato in base all’HAQ e la componente fisica dell’SF-36 hanno dimostrato un miglioramento superiore (p &lt; 0,001) quando è stata effettuata terapia associata adalimumab/metotressato </w:t>
      </w:r>
      <w:r w:rsidRPr="00C35766">
        <w:rPr>
          <w:rFonts w:eastAsia="Times New Roman"/>
          <w:i/>
          <w:iCs/>
          <w:lang w:val="it-IT"/>
        </w:rPr>
        <w:t>rispetto</w:t>
      </w:r>
      <w:r w:rsidRPr="00C35766">
        <w:rPr>
          <w:rFonts w:eastAsia="Times New Roman"/>
          <w:lang w:val="it-IT"/>
        </w:rPr>
        <w:t xml:space="preserve"> alla monoterapia con metotressato ed a quella con adalimumab alla settimana 52, e questo miglioramento si è mantenuto nell’arco di 104 settimane. Nei 250 pazienti che hanno completato la fase di estensione in aperto dello studio, i miglioramenti nella funzionalità fisica sono stati mantenuti nell’arco dei 10 anni di trattamento.</w:t>
      </w:r>
    </w:p>
    <w:p w14:paraId="3305174D" w14:textId="77777777" w:rsidR="0075524C" w:rsidRPr="00C35766" w:rsidRDefault="0075524C" w:rsidP="0075524C">
      <w:pPr>
        <w:pStyle w:val="a3"/>
        <w:rPr>
          <w:sz w:val="24"/>
          <w:szCs w:val="24"/>
          <w:lang w:val="it-IT"/>
        </w:rPr>
      </w:pPr>
    </w:p>
    <w:p w14:paraId="2203E2F1" w14:textId="77777777" w:rsidR="0075524C" w:rsidRPr="00C35766" w:rsidRDefault="0075524C" w:rsidP="0075524C">
      <w:pPr>
        <w:pStyle w:val="a3"/>
        <w:rPr>
          <w:rFonts w:eastAsia="Times New Roman"/>
          <w:lang w:val="it-IT"/>
        </w:rPr>
      </w:pPr>
      <w:r w:rsidRPr="00C35766">
        <w:rPr>
          <w:rFonts w:eastAsia="Times New Roman"/>
          <w:i/>
          <w:iCs/>
          <w:spacing w:val="-1"/>
          <w:lang w:val="it-IT"/>
        </w:rPr>
        <w:t>Psoriasi</w:t>
      </w:r>
    </w:p>
    <w:p w14:paraId="0A2607BA" w14:textId="77777777" w:rsidR="0075524C" w:rsidRPr="00C35766" w:rsidRDefault="0075524C" w:rsidP="0075524C">
      <w:pPr>
        <w:pStyle w:val="a3"/>
        <w:rPr>
          <w:sz w:val="24"/>
          <w:szCs w:val="24"/>
          <w:lang w:val="it-IT"/>
        </w:rPr>
      </w:pPr>
    </w:p>
    <w:p w14:paraId="70032BAE" w14:textId="77777777" w:rsidR="0075524C" w:rsidRPr="00C35766" w:rsidRDefault="0075524C" w:rsidP="0075524C">
      <w:pPr>
        <w:pStyle w:val="a3"/>
        <w:rPr>
          <w:lang w:val="it-IT"/>
        </w:rPr>
      </w:pPr>
      <w:r w:rsidRPr="00C35766">
        <w:rPr>
          <w:rFonts w:eastAsia="Times New Roman"/>
          <w:lang w:val="it-IT"/>
        </w:rPr>
        <w:t xml:space="preserve">La sicurezza e l’efficacia di adalimumab sono state studiate nei pazienti adulti affetti da psoriasi cronica a placche (BSA coinvolta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10% e Psoriasis Area and Severity Index (PASI)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12 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10), i quali erano candidati alla terapia sistemica o alla fototerapia, durante gli studi randomizzati in doppio cieco. Il 73% dei pazienti arruolati negli studi I e II sulla psoriasi erano stati precedentemente sottoposti a terapia sistemica o fototerapia. La sicurezza e l’efficacia di adalimumab sono state studiate anche nei pazienti adulti affetti da psoriasi cronica a placche da moderata a severa con concomitante psoriasi localizzata alla mano e/o al piede, i quali erano candidati alla terapia sistemica in uno studio randomizzato in doppio cieco (studio di fase III sulla psoriasi).</w:t>
      </w:r>
    </w:p>
    <w:p w14:paraId="44AFAC7E" w14:textId="77777777" w:rsidR="0075524C" w:rsidRPr="00C35766" w:rsidRDefault="0075524C" w:rsidP="0075524C">
      <w:pPr>
        <w:pStyle w:val="a3"/>
        <w:rPr>
          <w:lang w:val="it-IT"/>
        </w:rPr>
      </w:pPr>
    </w:p>
    <w:p w14:paraId="22794866" w14:textId="77777777" w:rsidR="0075524C" w:rsidRPr="00C35766" w:rsidRDefault="0075524C" w:rsidP="0075524C">
      <w:pPr>
        <w:pStyle w:val="a3"/>
        <w:rPr>
          <w:lang w:val="it-IT"/>
        </w:rPr>
      </w:pPr>
      <w:r w:rsidRPr="00C35766">
        <w:rPr>
          <w:rFonts w:eastAsia="Times New Roman"/>
          <w:lang w:val="it-IT"/>
        </w:rPr>
        <w:t xml:space="preserve">Lo studio I sulla psoriasi (REVEAL) ha valutato 1.212 pazienti entro tre periodi di trattamento. Nel corso del periodo A, ai pazienti è stato somministrato placebo o adalimumab a una dose iniziale di 80 mg, seguita da una dose di 40 mg, a settimane alterne, somministrata a partire dalla settimana successiva all’assunzione della dose iniziale. Dopo 16 settimane di terapia, i pazienti che hanno ottenuto almeno una risposta PASI 75 (in cui il punteggio PASI ha registrato un miglioramento pari ad almeno il 75% del valore al basale) sono stati ammessi al periodo B ed hanno ricevuto una dose di adalimumab pari a 40 mg, a settimane alterne, in aperto. I pazienti che hanno mantenuto una risposta </w:t>
      </w:r>
      <w:r w:rsidRPr="00C35766">
        <w:rPr>
          <w:rFonts w:eastAsia="Symbol"/>
          <w:lang w:val="it-IT"/>
        </w:rPr>
        <w:sym w:font="Symbol" w:char="F0B3"/>
      </w:r>
      <w:r w:rsidRPr="00C35766">
        <w:rPr>
          <w:rFonts w:eastAsia="Times New Roman"/>
          <w:lang w:val="it-IT"/>
        </w:rPr>
        <w:t>PASI 75 alla settimana 33 e che erano stati inizialmente randomizzati per la terapia attiva nel corso del periodo A sono stati nuovamente randomizzati nel periodo C a ricevere 40 mg di adalimumab a settimane alterne, o placebo per un ulteriore periodo di 19 settimane. In tutti i gruppi di trattamento il punteggio PASI medio al basale è risultato pari a 18,9 ed il punteggio relativo al Physician’s Global Assessment (PGA) è risultato di grado da “moderato” (53% dei soggetti inclusi) a “severo” (41%) fino a “molto severo” (6%).</w:t>
      </w:r>
    </w:p>
    <w:p w14:paraId="21DB36BD" w14:textId="77777777" w:rsidR="0075524C" w:rsidRPr="00C35766" w:rsidRDefault="0075524C" w:rsidP="0075524C">
      <w:pPr>
        <w:spacing w:before="14" w:line="240" w:lineRule="exact"/>
        <w:rPr>
          <w:rFonts w:ascii="Times New Roman" w:hAnsi="Times New Roman" w:cs="Times New Roman"/>
          <w:sz w:val="24"/>
          <w:szCs w:val="24"/>
          <w:lang w:val="it-IT"/>
        </w:rPr>
      </w:pPr>
    </w:p>
    <w:p w14:paraId="71CFC7A6" w14:textId="77777777" w:rsidR="0075524C" w:rsidRPr="00C35766" w:rsidRDefault="0075524C" w:rsidP="0075524C">
      <w:pPr>
        <w:pStyle w:val="a3"/>
        <w:rPr>
          <w:lang w:val="es-ES"/>
        </w:rPr>
      </w:pPr>
      <w:r w:rsidRPr="00C35766">
        <w:rPr>
          <w:rFonts w:eastAsia="Times New Roman"/>
          <w:lang w:val="it-IT"/>
        </w:rPr>
        <w:lastRenderedPageBreak/>
        <w:t xml:space="preserve">Lo studio II sulla psoriasi (CHAMPION) ha paragonato l’efficacia e la sicurezza di adalimumab </w:t>
      </w:r>
      <w:r w:rsidRPr="00C35766">
        <w:rPr>
          <w:lang w:val="it-IT"/>
        </w:rPr>
        <w:t>rispetto</w:t>
      </w:r>
      <w:r w:rsidRPr="00C35766">
        <w:rPr>
          <w:rFonts w:eastAsia="Times New Roman"/>
          <w:lang w:val="it-IT"/>
        </w:rPr>
        <w:t xml:space="preserve"> al metotressato e al placebo in 271 pazienti. Per un periodo di 16 settimane, i pazienti hanno ricevuto placebo, o metotressato con una dose iniziale pari a 7,5 mg successivamente elevata fino alla settimana 12 e con un massimo di 25 mg, o adalimumab alla dose iniziale di 80 mg seguita dalla dose di 40 mg somministrata a settimane alterne (a iniziare dalla settimana successiva all’assunzione della dose iniziale). Non sono disponibili dati che mettano a confronto adalimumab e metotressato oltre le 16 settimane di terapia. Nei pazienti trattati con metotressato che hanno raggiunto una risposta </w:t>
      </w:r>
      <w:r w:rsidRPr="00C35766">
        <w:rPr>
          <w:rFonts w:eastAsia="Symbol"/>
          <w:lang w:val="it-IT"/>
        </w:rPr>
        <w:sym w:font="Symbol" w:char="F0B3"/>
      </w:r>
      <w:r w:rsidRPr="00C35766">
        <w:rPr>
          <w:rFonts w:eastAsia="Times New Roman"/>
          <w:lang w:val="it-IT"/>
        </w:rPr>
        <w:t>PASI 50 alla settimana 8 e/o alla settimana 12, non sono stati effettuati incrementi della dose. In tutti i gruppi di trattamento, il punteggio PASI al basale medio è risultato pari a 19,7 ed il punteggio PGA al basale è risultato da “lieve” (&lt; 1%) a “moderato” (48%) a “severo” (46%) a “molto severo” (6%).</w:t>
      </w:r>
    </w:p>
    <w:p w14:paraId="4B2B2716" w14:textId="77777777" w:rsidR="0075524C" w:rsidRPr="00C35766" w:rsidRDefault="0075524C" w:rsidP="0075524C">
      <w:pPr>
        <w:spacing w:before="17" w:line="240" w:lineRule="exact"/>
        <w:rPr>
          <w:rFonts w:ascii="Times New Roman" w:hAnsi="Times New Roman" w:cs="Times New Roman"/>
          <w:sz w:val="24"/>
          <w:szCs w:val="24"/>
          <w:lang w:val="es-ES"/>
        </w:rPr>
      </w:pPr>
    </w:p>
    <w:p w14:paraId="51875387" w14:textId="77777777" w:rsidR="0075524C" w:rsidRPr="00C35766" w:rsidRDefault="0075524C" w:rsidP="0075524C">
      <w:pPr>
        <w:pStyle w:val="a3"/>
        <w:rPr>
          <w:lang w:val="es-ES"/>
        </w:rPr>
      </w:pPr>
      <w:r w:rsidRPr="00C35766">
        <w:rPr>
          <w:rFonts w:eastAsia="Times New Roman"/>
          <w:lang w:val="it-IT"/>
        </w:rPr>
        <w:t>I pazienti che hanno partecipato a tutti gli studi di fase 2 e fase 3 sulla psoriasi sono stati considerati idonei ad essere arruolati in uno studio di estensione in aperto, dove adalimumab è stato somministrato per un periodo aggiuntivo di almeno 108 settimane.</w:t>
      </w:r>
    </w:p>
    <w:p w14:paraId="4F9C4865" w14:textId="77777777" w:rsidR="0075524C" w:rsidRPr="00C35766" w:rsidRDefault="0075524C" w:rsidP="0075524C">
      <w:pPr>
        <w:spacing w:before="14" w:line="240" w:lineRule="exact"/>
        <w:rPr>
          <w:rFonts w:ascii="Times New Roman" w:hAnsi="Times New Roman" w:cs="Times New Roman"/>
          <w:sz w:val="24"/>
          <w:szCs w:val="24"/>
          <w:lang w:val="es-ES"/>
        </w:rPr>
      </w:pPr>
    </w:p>
    <w:p w14:paraId="3992292D" w14:textId="2A38C08F" w:rsidR="0075524C" w:rsidRPr="00C35766" w:rsidRDefault="0075524C" w:rsidP="0075524C">
      <w:pPr>
        <w:pStyle w:val="a3"/>
        <w:rPr>
          <w:lang w:val="es-ES"/>
        </w:rPr>
      </w:pPr>
      <w:r w:rsidRPr="00C35766">
        <w:rPr>
          <w:rFonts w:eastAsia="Times New Roman"/>
          <w:lang w:val="it-IT"/>
        </w:rPr>
        <w:t xml:space="preserve">Negli studi I e II sulla psoriasi, l’endpoint primario è stato rappresentato dalla percentuale di pazienti che ha ottenuto una risposta PASI 75 rispetto al valore basale alla settimana 16 (vedere Tabelle </w:t>
      </w:r>
      <w:r w:rsidR="00F729F7">
        <w:rPr>
          <w:rFonts w:eastAsia="Times New Roman"/>
          <w:lang w:val="it-IT"/>
        </w:rPr>
        <w:t>11</w:t>
      </w:r>
      <w:r w:rsidRPr="00C35766">
        <w:rPr>
          <w:rFonts w:eastAsia="Times New Roman"/>
          <w:lang w:val="it-IT"/>
        </w:rPr>
        <w:t xml:space="preserve"> e </w:t>
      </w:r>
      <w:r w:rsidR="00F729F7">
        <w:rPr>
          <w:rFonts w:eastAsia="Times New Roman"/>
          <w:lang w:val="it-IT"/>
        </w:rPr>
        <w:t>12</w:t>
      </w:r>
      <w:r w:rsidRPr="00C35766">
        <w:rPr>
          <w:rFonts w:eastAsia="Times New Roman"/>
          <w:lang w:val="it-IT"/>
        </w:rPr>
        <w:t>).</w:t>
      </w:r>
    </w:p>
    <w:p w14:paraId="37427F10" w14:textId="77777777" w:rsidR="0075524C" w:rsidRPr="00C35766" w:rsidRDefault="0075524C" w:rsidP="0075524C">
      <w:pPr>
        <w:rPr>
          <w:rFonts w:ascii="Times New Roman" w:hAnsi="Times New Roman" w:cs="Times New Roman"/>
          <w:b/>
          <w:lang w:val="es-ES"/>
        </w:rPr>
      </w:pPr>
    </w:p>
    <w:p w14:paraId="0D1148E1" w14:textId="6E85E5AA"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11</w:t>
      </w:r>
    </w:p>
    <w:p w14:paraId="3C6305CA" w14:textId="6853F1D9" w:rsidR="005A5DEF" w:rsidRDefault="0075524C" w:rsidP="0075524C">
      <w:pPr>
        <w:pStyle w:val="a3"/>
        <w:jc w:val="center"/>
        <w:rPr>
          <w:rFonts w:eastAsia="Times New Roman"/>
          <w:b/>
          <w:bCs/>
          <w:lang w:val="it-IT"/>
        </w:rPr>
      </w:pPr>
      <w:r w:rsidRPr="00C35766">
        <w:rPr>
          <w:rFonts w:eastAsia="Times New Roman"/>
          <w:b/>
          <w:bCs/>
          <w:lang w:val="it-IT"/>
        </w:rPr>
        <w:t>Studio I sulla psoriasi (REVEAL) - Risultati relativi all’efficacia alla settimana 16</w:t>
      </w:r>
    </w:p>
    <w:p w14:paraId="312E33F3" w14:textId="77777777" w:rsidR="00AF25F1" w:rsidRPr="00C35766" w:rsidRDefault="00AF25F1" w:rsidP="0075524C">
      <w:pPr>
        <w:pStyle w:val="a3"/>
        <w:jc w:val="center"/>
        <w:rPr>
          <w:b/>
          <w:lang w:val="it-IT"/>
        </w:rPr>
      </w:pPr>
    </w:p>
    <w:tbl>
      <w:tblPr>
        <w:tblStyle w:val="TableNormal1"/>
        <w:tblW w:w="4500" w:type="pct"/>
        <w:jc w:val="center"/>
        <w:tblLayout w:type="fixed"/>
        <w:tblLook w:val="01E0" w:firstRow="1" w:lastRow="1" w:firstColumn="1" w:lastColumn="1" w:noHBand="0" w:noVBand="0"/>
      </w:tblPr>
      <w:tblGrid>
        <w:gridCol w:w="3355"/>
        <w:gridCol w:w="1917"/>
        <w:gridCol w:w="3357"/>
      </w:tblGrid>
      <w:tr w:rsidR="0075524C" w:rsidRPr="00C35766" w14:paraId="61D72FE7" w14:textId="77777777" w:rsidTr="008A6AF4">
        <w:trPr>
          <w:jc w:val="center"/>
        </w:trPr>
        <w:tc>
          <w:tcPr>
            <w:tcW w:w="1944" w:type="pct"/>
            <w:tcBorders>
              <w:top w:val="single" w:sz="5" w:space="0" w:color="000000"/>
              <w:left w:val="single" w:sz="5" w:space="0" w:color="000000"/>
              <w:bottom w:val="single" w:sz="5" w:space="0" w:color="000000"/>
              <w:right w:val="single" w:sz="5" w:space="0" w:color="000000"/>
            </w:tcBorders>
          </w:tcPr>
          <w:p w14:paraId="1D4B029C" w14:textId="77777777" w:rsidR="0075524C" w:rsidRPr="00C35766" w:rsidRDefault="0075524C" w:rsidP="00603A86">
            <w:pPr>
              <w:rPr>
                <w:rFonts w:ascii="Times New Roman" w:hAnsi="Times New Roman" w:cs="Times New Roman"/>
                <w:lang w:val="it-IT"/>
              </w:rPr>
            </w:pPr>
          </w:p>
        </w:tc>
        <w:tc>
          <w:tcPr>
            <w:tcW w:w="1111" w:type="pct"/>
            <w:tcBorders>
              <w:top w:val="single" w:sz="5" w:space="0" w:color="000000"/>
              <w:left w:val="single" w:sz="5" w:space="0" w:color="000000"/>
              <w:bottom w:val="single" w:sz="5" w:space="0" w:color="000000"/>
              <w:right w:val="single" w:sz="5" w:space="0" w:color="000000"/>
            </w:tcBorders>
          </w:tcPr>
          <w:p w14:paraId="61AFDB2F" w14:textId="77777777" w:rsidR="0075524C" w:rsidRPr="00C35766" w:rsidRDefault="0075524C" w:rsidP="00603A86">
            <w:pPr>
              <w:pStyle w:val="TableParagraph"/>
              <w:spacing w:before="3" w:line="252" w:lineRule="exact"/>
              <w:ind w:left="498" w:right="433" w:hanging="60"/>
              <w:jc w:val="both"/>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 xml:space="preserve">Placebo N=398 </w:t>
            </w:r>
          </w:p>
          <w:p w14:paraId="327882FA" w14:textId="77777777" w:rsidR="0075524C" w:rsidRPr="00C35766" w:rsidRDefault="0075524C" w:rsidP="00603A86">
            <w:pPr>
              <w:pStyle w:val="TableParagraph"/>
              <w:spacing w:before="3" w:line="252" w:lineRule="exact"/>
              <w:ind w:left="498" w:right="433" w:hanging="60"/>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w:t>
            </w:r>
          </w:p>
        </w:tc>
        <w:tc>
          <w:tcPr>
            <w:tcW w:w="1945" w:type="pct"/>
            <w:tcBorders>
              <w:top w:val="single" w:sz="5" w:space="0" w:color="000000"/>
              <w:left w:val="single" w:sz="5" w:space="0" w:color="000000"/>
              <w:bottom w:val="single" w:sz="5" w:space="0" w:color="000000"/>
              <w:right w:val="single" w:sz="5" w:space="0" w:color="000000"/>
            </w:tcBorders>
          </w:tcPr>
          <w:p w14:paraId="54456FAF" w14:textId="77777777" w:rsidR="0075524C" w:rsidRPr="00C35766" w:rsidRDefault="0075524C" w:rsidP="00603A86">
            <w:pPr>
              <w:pStyle w:val="TableParagraph"/>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Adalimumab 40 mg a settimane alterne </w:t>
            </w:r>
          </w:p>
          <w:p w14:paraId="06DA75A1" w14:textId="77777777" w:rsidR="0075524C" w:rsidRPr="00C35766" w:rsidRDefault="0075524C" w:rsidP="00603A86">
            <w:pPr>
              <w:pStyle w:val="TableParagraph"/>
              <w:spacing w:before="3" w:line="252" w:lineRule="exact"/>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 xml:space="preserve">N=814 </w:t>
            </w:r>
          </w:p>
          <w:p w14:paraId="05DF47EE" w14:textId="77777777" w:rsidR="0075524C" w:rsidRPr="00C35766" w:rsidRDefault="0075524C" w:rsidP="00603A86">
            <w:pPr>
              <w:pStyle w:val="TableParagraph"/>
              <w:spacing w:before="3" w:line="252" w:lineRule="exact"/>
              <w:ind w:left="277" w:right="271"/>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75524C" w:rsidRPr="00C35766" w14:paraId="10E387F5" w14:textId="77777777" w:rsidTr="008A6AF4">
        <w:trPr>
          <w:jc w:val="center"/>
        </w:trPr>
        <w:tc>
          <w:tcPr>
            <w:tcW w:w="1944" w:type="pct"/>
            <w:tcBorders>
              <w:top w:val="single" w:sz="5" w:space="0" w:color="000000"/>
              <w:left w:val="single" w:sz="5" w:space="0" w:color="000000"/>
              <w:bottom w:val="single" w:sz="5" w:space="0" w:color="000000"/>
              <w:right w:val="single" w:sz="5" w:space="0" w:color="000000"/>
            </w:tcBorders>
          </w:tcPr>
          <w:p w14:paraId="1755A4D6" w14:textId="77777777" w:rsidR="0075524C" w:rsidRPr="00C35766" w:rsidRDefault="0075524C" w:rsidP="00603A86">
            <w:pPr>
              <w:pStyle w:val="TableParagraph"/>
              <w:spacing w:line="267" w:lineRule="exact"/>
              <w:ind w:left="320"/>
              <w:rPr>
                <w:rFonts w:ascii="Times New Roman" w:eastAsia="Times New Roman" w:hAnsi="Times New Roman" w:cs="Times New Roman"/>
              </w:rPr>
            </w:pPr>
            <w:r w:rsidRPr="00C35766">
              <w:rPr>
                <w:rFonts w:ascii="Times New Roman" w:eastAsia="Symbol" w:hAnsi="Times New Roman" w:cs="Times New Roman"/>
                <w:b/>
                <w:bCs/>
                <w:lang w:val="it-IT"/>
              </w:rPr>
              <w:sym w:font="Symbol" w:char="F0B3"/>
            </w:r>
            <w:r w:rsidRPr="00C35766">
              <w:rPr>
                <w:rFonts w:ascii="Times New Roman" w:eastAsia="Symbol" w:hAnsi="Times New Roman" w:cs="Times New Roman"/>
                <w:b/>
                <w:bCs/>
                <w:lang w:val="it-IT"/>
              </w:rPr>
              <w:sym w:font="Symbol" w:char="F020"/>
            </w:r>
            <w:r w:rsidRPr="00C35766">
              <w:rPr>
                <w:rFonts w:ascii="Times New Roman" w:eastAsia="Times New Roman" w:hAnsi="Times New Roman" w:cs="Times New Roman"/>
                <w:b/>
                <w:bCs/>
                <w:lang w:val="it-IT"/>
              </w:rPr>
              <w:t>PASI 75</w:t>
            </w:r>
            <w:r w:rsidRPr="00C35766">
              <w:rPr>
                <w:rFonts w:ascii="Times New Roman" w:eastAsia="Times New Roman" w:hAnsi="Times New Roman" w:cs="Times New Roman"/>
                <w:b/>
                <w:bCs/>
                <w:vertAlign w:val="superscript"/>
                <w:lang w:val="it-IT"/>
              </w:rPr>
              <w:t>a</w:t>
            </w:r>
          </w:p>
        </w:tc>
        <w:tc>
          <w:tcPr>
            <w:tcW w:w="1111" w:type="pct"/>
            <w:tcBorders>
              <w:top w:val="single" w:sz="5" w:space="0" w:color="000000"/>
              <w:left w:val="single" w:sz="5" w:space="0" w:color="000000"/>
              <w:bottom w:val="single" w:sz="5" w:space="0" w:color="000000"/>
              <w:right w:val="single" w:sz="5" w:space="0" w:color="000000"/>
            </w:tcBorders>
          </w:tcPr>
          <w:p w14:paraId="4BA15925" w14:textId="77777777" w:rsidR="0075524C" w:rsidRPr="00C35766" w:rsidRDefault="0075524C" w:rsidP="00603A86">
            <w:pPr>
              <w:pStyle w:val="TableParagraph"/>
              <w:spacing w:line="246" w:lineRule="exact"/>
              <w:ind w:left="457"/>
              <w:rPr>
                <w:rFonts w:ascii="Times New Roman" w:eastAsia="Times New Roman" w:hAnsi="Times New Roman" w:cs="Times New Roman"/>
              </w:rPr>
            </w:pPr>
            <w:r w:rsidRPr="00C35766">
              <w:rPr>
                <w:rFonts w:ascii="Times New Roman" w:eastAsia="Times New Roman" w:hAnsi="Times New Roman" w:cs="Times New Roman"/>
                <w:spacing w:val="-1"/>
                <w:lang w:val="it-IT"/>
              </w:rPr>
              <w:t>26 (6,5)</w:t>
            </w:r>
          </w:p>
        </w:tc>
        <w:tc>
          <w:tcPr>
            <w:tcW w:w="1945" w:type="pct"/>
            <w:tcBorders>
              <w:top w:val="single" w:sz="5" w:space="0" w:color="000000"/>
              <w:left w:val="single" w:sz="5" w:space="0" w:color="000000"/>
              <w:bottom w:val="single" w:sz="5" w:space="0" w:color="000000"/>
              <w:right w:val="single" w:sz="5" w:space="0" w:color="000000"/>
            </w:tcBorders>
          </w:tcPr>
          <w:p w14:paraId="07E5AB26" w14:textId="77777777" w:rsidR="0075524C" w:rsidRPr="00C35766" w:rsidRDefault="0075524C" w:rsidP="00603A86">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578 (70,9)</w:t>
            </w:r>
            <w:r w:rsidRPr="00C35766">
              <w:rPr>
                <w:rFonts w:ascii="Times New Roman" w:eastAsia="Times New Roman" w:hAnsi="Times New Roman" w:cs="Times New Roman"/>
                <w:spacing w:val="-1"/>
                <w:vertAlign w:val="superscript"/>
                <w:lang w:val="it-IT"/>
              </w:rPr>
              <w:t>b</w:t>
            </w:r>
          </w:p>
        </w:tc>
      </w:tr>
      <w:tr w:rsidR="0075524C" w:rsidRPr="00C35766" w14:paraId="26157E90" w14:textId="77777777" w:rsidTr="008A6AF4">
        <w:trPr>
          <w:jc w:val="center"/>
        </w:trPr>
        <w:tc>
          <w:tcPr>
            <w:tcW w:w="1944" w:type="pct"/>
            <w:tcBorders>
              <w:top w:val="single" w:sz="5" w:space="0" w:color="000000"/>
              <w:left w:val="single" w:sz="5" w:space="0" w:color="000000"/>
              <w:bottom w:val="single" w:sz="5" w:space="0" w:color="000000"/>
              <w:right w:val="single" w:sz="5" w:space="0" w:color="000000"/>
            </w:tcBorders>
          </w:tcPr>
          <w:p w14:paraId="03E3697F" w14:textId="77777777" w:rsidR="0075524C" w:rsidRPr="00C35766" w:rsidRDefault="0075524C" w:rsidP="00603A86">
            <w:pPr>
              <w:pStyle w:val="TableParagraph"/>
              <w:spacing w:line="251"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t>PASI 100</w:t>
            </w:r>
          </w:p>
        </w:tc>
        <w:tc>
          <w:tcPr>
            <w:tcW w:w="1111" w:type="pct"/>
            <w:tcBorders>
              <w:top w:val="single" w:sz="5" w:space="0" w:color="000000"/>
              <w:left w:val="single" w:sz="5" w:space="0" w:color="000000"/>
              <w:bottom w:val="single" w:sz="5" w:space="0" w:color="000000"/>
              <w:right w:val="single" w:sz="5" w:space="0" w:color="000000"/>
            </w:tcBorders>
          </w:tcPr>
          <w:p w14:paraId="4652D60C" w14:textId="77777777" w:rsidR="0075524C" w:rsidRPr="00C35766" w:rsidRDefault="0075524C" w:rsidP="00603A86">
            <w:pPr>
              <w:pStyle w:val="TableParagraph"/>
              <w:spacing w:line="246" w:lineRule="exact"/>
              <w:ind w:left="512"/>
              <w:rPr>
                <w:rFonts w:ascii="Times New Roman" w:eastAsia="Times New Roman" w:hAnsi="Times New Roman" w:cs="Times New Roman"/>
              </w:rPr>
            </w:pPr>
            <w:r w:rsidRPr="00C35766">
              <w:rPr>
                <w:rFonts w:ascii="Times New Roman" w:eastAsia="Times New Roman" w:hAnsi="Times New Roman" w:cs="Times New Roman"/>
                <w:lang w:val="it-IT"/>
              </w:rPr>
              <w:t>3 (0,8)</w:t>
            </w:r>
          </w:p>
        </w:tc>
        <w:tc>
          <w:tcPr>
            <w:tcW w:w="1945" w:type="pct"/>
            <w:tcBorders>
              <w:top w:val="single" w:sz="5" w:space="0" w:color="000000"/>
              <w:left w:val="single" w:sz="5" w:space="0" w:color="000000"/>
              <w:bottom w:val="single" w:sz="5" w:space="0" w:color="000000"/>
              <w:right w:val="single" w:sz="5" w:space="0" w:color="000000"/>
            </w:tcBorders>
          </w:tcPr>
          <w:p w14:paraId="72EA6AF0" w14:textId="77777777" w:rsidR="0075524C" w:rsidRPr="00C35766" w:rsidRDefault="0075524C" w:rsidP="00603A86">
            <w:pPr>
              <w:pStyle w:val="TableParagraph"/>
              <w:spacing w:line="246" w:lineRule="exact"/>
              <w:ind w:left="678"/>
              <w:rPr>
                <w:rFonts w:ascii="Times New Roman" w:eastAsia="Times New Roman" w:hAnsi="Times New Roman" w:cs="Times New Roman"/>
                <w:vertAlign w:val="superscript"/>
              </w:rPr>
            </w:pPr>
            <w:r w:rsidRPr="00C35766">
              <w:rPr>
                <w:rFonts w:ascii="Times New Roman" w:eastAsia="Times New Roman" w:hAnsi="Times New Roman" w:cs="Times New Roman"/>
                <w:spacing w:val="-1"/>
                <w:lang w:val="it-IT"/>
              </w:rPr>
              <w:t>163 (20,0)</w:t>
            </w:r>
            <w:r w:rsidRPr="00C35766">
              <w:rPr>
                <w:rFonts w:ascii="Times New Roman" w:hAnsi="Times New Roman" w:cs="Times New Roman"/>
                <w:spacing w:val="-1"/>
                <w:vertAlign w:val="superscript"/>
                <w:lang w:val="it-IT"/>
              </w:rPr>
              <w:t>b</w:t>
            </w:r>
          </w:p>
        </w:tc>
      </w:tr>
      <w:tr w:rsidR="0075524C" w:rsidRPr="00C35766" w14:paraId="638DB1CC" w14:textId="77777777" w:rsidTr="008A6AF4">
        <w:trPr>
          <w:jc w:val="center"/>
        </w:trPr>
        <w:tc>
          <w:tcPr>
            <w:tcW w:w="1944" w:type="pct"/>
            <w:tcBorders>
              <w:top w:val="single" w:sz="5" w:space="0" w:color="000000"/>
              <w:left w:val="single" w:sz="5" w:space="0" w:color="000000"/>
              <w:bottom w:val="single" w:sz="5" w:space="0" w:color="000000"/>
              <w:right w:val="single" w:sz="5" w:space="0" w:color="000000"/>
            </w:tcBorders>
          </w:tcPr>
          <w:p w14:paraId="21A51A14" w14:textId="77777777" w:rsidR="0075524C" w:rsidRPr="00C35766" w:rsidRDefault="0075524C" w:rsidP="00603A86">
            <w:pPr>
              <w:pStyle w:val="TableParagraph"/>
              <w:spacing w:line="250" w:lineRule="exact"/>
              <w:ind w:left="323"/>
              <w:rPr>
                <w:rFonts w:ascii="Times New Roman" w:eastAsia="Times New Roman" w:hAnsi="Times New Roman" w:cs="Times New Roman"/>
              </w:rPr>
            </w:pPr>
            <w:r w:rsidRPr="00C35766">
              <w:rPr>
                <w:rFonts w:ascii="Times New Roman" w:eastAsia="Times New Roman" w:hAnsi="Times New Roman" w:cs="Times New Roman"/>
                <w:b/>
                <w:bCs/>
                <w:spacing w:val="-1"/>
                <w:lang w:val="it-IT"/>
              </w:rPr>
              <w:t>PGA: Guarigione/Marcato miglioramento</w:t>
            </w:r>
          </w:p>
        </w:tc>
        <w:tc>
          <w:tcPr>
            <w:tcW w:w="1111" w:type="pct"/>
            <w:tcBorders>
              <w:top w:val="single" w:sz="5" w:space="0" w:color="000000"/>
              <w:left w:val="single" w:sz="5" w:space="0" w:color="000000"/>
              <w:bottom w:val="single" w:sz="5" w:space="0" w:color="000000"/>
              <w:right w:val="single" w:sz="5" w:space="0" w:color="000000"/>
            </w:tcBorders>
          </w:tcPr>
          <w:p w14:paraId="55E63AD8" w14:textId="77777777" w:rsidR="0075524C" w:rsidRPr="00C35766" w:rsidRDefault="0075524C" w:rsidP="00603A86">
            <w:pPr>
              <w:pStyle w:val="TableParagraph"/>
              <w:spacing w:line="246" w:lineRule="exact"/>
              <w:ind w:left="457"/>
              <w:rPr>
                <w:rFonts w:ascii="Times New Roman" w:eastAsia="Times New Roman" w:hAnsi="Times New Roman" w:cs="Times New Roman"/>
              </w:rPr>
            </w:pPr>
            <w:r w:rsidRPr="00C35766">
              <w:rPr>
                <w:rFonts w:ascii="Times New Roman" w:eastAsia="Times New Roman" w:hAnsi="Times New Roman" w:cs="Times New Roman"/>
                <w:spacing w:val="-1"/>
                <w:lang w:val="it-IT"/>
              </w:rPr>
              <w:t>17 (4,3)</w:t>
            </w:r>
          </w:p>
        </w:tc>
        <w:tc>
          <w:tcPr>
            <w:tcW w:w="1945" w:type="pct"/>
            <w:tcBorders>
              <w:top w:val="single" w:sz="5" w:space="0" w:color="000000"/>
              <w:left w:val="single" w:sz="5" w:space="0" w:color="000000"/>
              <w:bottom w:val="single" w:sz="5" w:space="0" w:color="000000"/>
              <w:right w:val="single" w:sz="5" w:space="0" w:color="000000"/>
            </w:tcBorders>
          </w:tcPr>
          <w:p w14:paraId="7C6C588A" w14:textId="77777777" w:rsidR="0075524C" w:rsidRPr="00C35766" w:rsidRDefault="0075524C" w:rsidP="00603A86">
            <w:pPr>
              <w:pStyle w:val="TableParagraph"/>
              <w:spacing w:line="246" w:lineRule="exact"/>
              <w:ind w:left="678"/>
              <w:rPr>
                <w:rFonts w:ascii="Times New Roman" w:eastAsia="Times New Roman" w:hAnsi="Times New Roman" w:cs="Times New Roman"/>
              </w:rPr>
            </w:pPr>
            <w:r w:rsidRPr="00C35766">
              <w:rPr>
                <w:rFonts w:ascii="Times New Roman" w:eastAsia="Times New Roman" w:hAnsi="Times New Roman" w:cs="Times New Roman"/>
                <w:spacing w:val="-1"/>
                <w:lang w:val="it-IT"/>
              </w:rPr>
              <w:t>506 (62,2)</w:t>
            </w:r>
            <w:r w:rsidRPr="00C35766">
              <w:rPr>
                <w:rFonts w:ascii="Times New Roman" w:eastAsia="Times New Roman" w:hAnsi="Times New Roman" w:cs="Times New Roman"/>
                <w:spacing w:val="-1"/>
                <w:vertAlign w:val="superscript"/>
                <w:lang w:val="it-IT"/>
              </w:rPr>
              <w:t>b</w:t>
            </w:r>
          </w:p>
        </w:tc>
      </w:tr>
      <w:tr w:rsidR="0075524C" w:rsidRPr="00C35766" w14:paraId="0B629A4E" w14:textId="77777777" w:rsidTr="008A6AF4">
        <w:trPr>
          <w:jc w:val="center"/>
        </w:trPr>
        <w:tc>
          <w:tcPr>
            <w:tcW w:w="5000" w:type="pct"/>
            <w:gridSpan w:val="3"/>
            <w:tcBorders>
              <w:top w:val="single" w:sz="5" w:space="0" w:color="000000"/>
              <w:left w:val="single" w:sz="5" w:space="0" w:color="000000"/>
              <w:bottom w:val="single" w:sz="5" w:space="0" w:color="000000"/>
              <w:right w:val="single" w:sz="5" w:space="0" w:color="000000"/>
            </w:tcBorders>
          </w:tcPr>
          <w:p w14:paraId="4DEACF20" w14:textId="77777777" w:rsidR="0075524C" w:rsidRPr="00C35766" w:rsidRDefault="0075524C" w:rsidP="00603A86">
            <w:pPr>
              <w:pStyle w:val="TableParagraph"/>
              <w:ind w:left="102"/>
              <w:rPr>
                <w:rFonts w:ascii="Times New Roman" w:eastAsia="Times New Roman" w:hAnsi="Times New Roman" w:cs="Times New Roman"/>
                <w:position w:val="8"/>
                <w:lang w:val="it-IT"/>
              </w:rPr>
            </w:pPr>
            <w:r w:rsidRPr="00C35766">
              <w:rPr>
                <w:rFonts w:ascii="Times New Roman" w:eastAsia="Times New Roman" w:hAnsi="Times New Roman" w:cs="Times New Roman"/>
                <w:position w:val="8"/>
                <w:vertAlign w:val="superscript"/>
                <w:lang w:val="it-IT"/>
              </w:rPr>
              <w:t>a</w:t>
            </w:r>
            <w:r w:rsidRPr="00C35766">
              <w:rPr>
                <w:rFonts w:ascii="Times New Roman" w:eastAsia="Times New Roman" w:hAnsi="Times New Roman" w:cs="Times New Roman"/>
                <w:position w:val="8"/>
                <w:lang w:val="it-IT"/>
              </w:rPr>
              <w:t xml:space="preserve"> La percentuale di pazienti che ha ottenuto una risposta PASI 75 è stata calcolata sotto forma di centre-adjusted rate</w:t>
            </w:r>
          </w:p>
          <w:p w14:paraId="4418EDAB" w14:textId="77777777" w:rsidR="0075524C" w:rsidRPr="00C35766" w:rsidRDefault="0075524C" w:rsidP="00603A86">
            <w:pPr>
              <w:pStyle w:val="TableParagraph"/>
              <w:ind w:left="102"/>
              <w:rPr>
                <w:rFonts w:ascii="Times New Roman" w:hAnsi="Times New Roman" w:cs="Times New Roman"/>
                <w:position w:val="8"/>
              </w:rPr>
            </w:pPr>
            <w:r w:rsidRPr="00C35766">
              <w:rPr>
                <w:rFonts w:ascii="Times New Roman" w:hAnsi="Times New Roman" w:cs="Times New Roman"/>
                <w:position w:val="8"/>
                <w:vertAlign w:val="superscript"/>
              </w:rPr>
              <w:t xml:space="preserve">b </w:t>
            </w:r>
            <w:r w:rsidRPr="00C35766">
              <w:rPr>
                <w:rFonts w:ascii="Times New Roman" w:hAnsi="Times New Roman" w:cs="Times New Roman"/>
                <w:position w:val="8"/>
              </w:rPr>
              <w:t xml:space="preserve">p &lt; 0,001, adalimumab </w:t>
            </w:r>
            <w:r w:rsidRPr="00C35766">
              <w:rPr>
                <w:rFonts w:ascii="Times New Roman" w:eastAsia="Times New Roman" w:hAnsi="Times New Roman" w:cs="Times New Roman"/>
                <w:position w:val="8"/>
              </w:rPr>
              <w:t xml:space="preserve">vs. </w:t>
            </w:r>
            <w:r w:rsidRPr="00C35766">
              <w:rPr>
                <w:rFonts w:ascii="Times New Roman" w:hAnsi="Times New Roman" w:cs="Times New Roman"/>
                <w:position w:val="8"/>
              </w:rPr>
              <w:t>placebo</w:t>
            </w:r>
          </w:p>
        </w:tc>
      </w:tr>
    </w:tbl>
    <w:p w14:paraId="60C66C5D" w14:textId="77777777" w:rsidR="0075524C" w:rsidRPr="006501B3" w:rsidRDefault="0075524C" w:rsidP="0075524C">
      <w:pPr>
        <w:spacing w:line="110" w:lineRule="exact"/>
        <w:rPr>
          <w:rFonts w:ascii="Times New Roman" w:hAnsi="Times New Roman" w:cs="Times New Roman"/>
          <w:sz w:val="11"/>
          <w:szCs w:val="11"/>
        </w:rPr>
      </w:pPr>
    </w:p>
    <w:p w14:paraId="3738174F" w14:textId="77777777" w:rsidR="0075524C" w:rsidRPr="006501B3" w:rsidRDefault="0075524C" w:rsidP="0075524C">
      <w:pPr>
        <w:spacing w:before="3" w:line="170" w:lineRule="exact"/>
        <w:rPr>
          <w:rFonts w:ascii="Times New Roman" w:hAnsi="Times New Roman" w:cs="Times New Roman"/>
          <w:sz w:val="17"/>
          <w:szCs w:val="17"/>
        </w:rPr>
      </w:pPr>
    </w:p>
    <w:p w14:paraId="7DE2FE46" w14:textId="1F1FD0B5"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12</w:t>
      </w:r>
    </w:p>
    <w:p w14:paraId="6234C8BE" w14:textId="07FAD7DE" w:rsidR="005A5DEF" w:rsidRDefault="0075524C" w:rsidP="0075524C">
      <w:pPr>
        <w:pStyle w:val="a3"/>
        <w:jc w:val="center"/>
        <w:rPr>
          <w:rFonts w:eastAsia="Times New Roman"/>
          <w:b/>
          <w:bCs/>
          <w:lang w:val="it-IT"/>
        </w:rPr>
      </w:pPr>
      <w:r w:rsidRPr="00C35766">
        <w:rPr>
          <w:rFonts w:eastAsia="Times New Roman"/>
          <w:b/>
          <w:bCs/>
          <w:lang w:val="it-IT"/>
        </w:rPr>
        <w:t>Studio II sulla psoriasi (CHAMPION) - Risultati relativi all’efficacia alla settimana 16</w:t>
      </w:r>
    </w:p>
    <w:p w14:paraId="556AF5FA" w14:textId="77777777" w:rsidR="00AF25F1" w:rsidRPr="00C35766" w:rsidRDefault="00AF25F1" w:rsidP="0075524C">
      <w:pPr>
        <w:pStyle w:val="a3"/>
        <w:jc w:val="center"/>
        <w:rPr>
          <w:b/>
          <w:lang w:val="it-IT"/>
        </w:rPr>
      </w:pPr>
    </w:p>
    <w:tbl>
      <w:tblPr>
        <w:tblStyle w:val="ac"/>
        <w:tblW w:w="4605" w:type="pct"/>
        <w:jc w:val="center"/>
        <w:tblLayout w:type="fixed"/>
        <w:tblLook w:val="04A0" w:firstRow="1" w:lastRow="0" w:firstColumn="1" w:lastColumn="0" w:noHBand="0" w:noVBand="1"/>
      </w:tblPr>
      <w:tblGrid>
        <w:gridCol w:w="2405"/>
        <w:gridCol w:w="1886"/>
        <w:gridCol w:w="1887"/>
        <w:gridCol w:w="2654"/>
      </w:tblGrid>
      <w:tr w:rsidR="0075524C" w:rsidRPr="00C35766" w14:paraId="51AD46FC" w14:textId="77777777" w:rsidTr="00AF25F1">
        <w:trPr>
          <w:jc w:val="center"/>
        </w:trPr>
        <w:tc>
          <w:tcPr>
            <w:tcW w:w="2405" w:type="dxa"/>
            <w:vAlign w:val="center"/>
          </w:tcPr>
          <w:p w14:paraId="5BE447A7" w14:textId="77777777" w:rsidR="0075524C" w:rsidRPr="00C35766" w:rsidRDefault="0075524C" w:rsidP="00603A86">
            <w:pPr>
              <w:pStyle w:val="a3"/>
              <w:rPr>
                <w:lang w:val="it-IT"/>
              </w:rPr>
            </w:pPr>
          </w:p>
        </w:tc>
        <w:tc>
          <w:tcPr>
            <w:tcW w:w="1886" w:type="dxa"/>
            <w:vAlign w:val="center"/>
          </w:tcPr>
          <w:p w14:paraId="5F9DB146" w14:textId="10A105F0" w:rsidR="0075524C" w:rsidRPr="00C35766" w:rsidRDefault="00AF25F1" w:rsidP="00AF25F1">
            <w:pPr>
              <w:pStyle w:val="TableParagraph"/>
              <w:spacing w:before="4"/>
              <w:ind w:right="220"/>
              <w:jc w:val="center"/>
              <w:rPr>
                <w:rFonts w:ascii="Times New Roman" w:eastAsia="Times New Roman" w:hAnsi="Times New Roman" w:cs="Times New Roman"/>
                <w:b/>
                <w:bCs/>
                <w:spacing w:val="-1"/>
              </w:rPr>
            </w:pPr>
            <w:r>
              <w:rPr>
                <w:rFonts w:ascii="Times New Roman" w:eastAsia="Times New Roman" w:hAnsi="Times New Roman" w:cs="Times New Roman"/>
                <w:b/>
                <w:bCs/>
                <w:lang w:val="it-IT"/>
              </w:rPr>
              <w:t xml:space="preserve">    </w:t>
            </w:r>
            <w:r w:rsidR="0075524C" w:rsidRPr="00C35766">
              <w:rPr>
                <w:rFonts w:ascii="Times New Roman" w:eastAsia="Times New Roman" w:hAnsi="Times New Roman" w:cs="Times New Roman"/>
                <w:b/>
                <w:bCs/>
                <w:lang w:val="it-IT"/>
              </w:rPr>
              <w:t xml:space="preserve">Placebo </w:t>
            </w:r>
            <w:r>
              <w:rPr>
                <w:rFonts w:ascii="Times New Roman" w:eastAsia="Times New Roman" w:hAnsi="Times New Roman" w:cs="Times New Roman"/>
                <w:b/>
                <w:bCs/>
                <w:lang w:val="it-IT"/>
              </w:rPr>
              <w:t xml:space="preserve">           </w:t>
            </w:r>
            <w:r w:rsidR="0075524C" w:rsidRPr="00C35766">
              <w:rPr>
                <w:rFonts w:ascii="Times New Roman" w:eastAsia="Times New Roman" w:hAnsi="Times New Roman" w:cs="Times New Roman"/>
                <w:b/>
                <w:bCs/>
                <w:lang w:val="it-IT"/>
              </w:rPr>
              <w:t>N=53</w:t>
            </w:r>
          </w:p>
          <w:p w14:paraId="3FA6C1F1" w14:textId="2E1BFB10" w:rsidR="0075524C" w:rsidRPr="00C35766" w:rsidRDefault="00AF25F1" w:rsidP="00AF25F1">
            <w:pPr>
              <w:pStyle w:val="TableParagraph"/>
              <w:spacing w:before="4"/>
              <w:ind w:right="361"/>
              <w:jc w:val="center"/>
              <w:rPr>
                <w:rFonts w:ascii="Times New Roman" w:hAnsi="Times New Roman" w:cs="Times New Roman"/>
                <w:b/>
              </w:rPr>
            </w:pPr>
            <w:r>
              <w:rPr>
                <w:rFonts w:ascii="Times New Roman" w:eastAsia="Times New Roman" w:hAnsi="Times New Roman" w:cs="Times New Roman"/>
                <w:b/>
                <w:bCs/>
                <w:lang w:val="it-IT"/>
              </w:rPr>
              <w:t xml:space="preserve">   </w:t>
            </w:r>
            <w:r w:rsidR="0075524C" w:rsidRPr="00C35766">
              <w:rPr>
                <w:rFonts w:ascii="Times New Roman" w:eastAsia="Times New Roman" w:hAnsi="Times New Roman" w:cs="Times New Roman"/>
                <w:b/>
                <w:bCs/>
                <w:lang w:val="it-IT"/>
              </w:rPr>
              <w:t>n (%)</w:t>
            </w:r>
          </w:p>
        </w:tc>
        <w:tc>
          <w:tcPr>
            <w:tcW w:w="1887" w:type="dxa"/>
            <w:vAlign w:val="center"/>
          </w:tcPr>
          <w:p w14:paraId="7B6B0986" w14:textId="77777777" w:rsidR="0075524C" w:rsidRPr="00C35766" w:rsidRDefault="0075524C" w:rsidP="00AF25F1">
            <w:pPr>
              <w:pStyle w:val="a3"/>
              <w:jc w:val="center"/>
              <w:rPr>
                <w:b/>
              </w:rPr>
            </w:pPr>
            <w:r w:rsidRPr="00C35766">
              <w:rPr>
                <w:rFonts w:eastAsia="Times New Roman"/>
                <w:b/>
                <w:bCs/>
                <w:lang w:val="it-IT"/>
              </w:rPr>
              <w:t>MTX</w:t>
            </w:r>
          </w:p>
          <w:p w14:paraId="545944C0" w14:textId="77777777" w:rsidR="0075524C" w:rsidRPr="00C35766" w:rsidRDefault="0075524C" w:rsidP="00AF25F1">
            <w:pPr>
              <w:pStyle w:val="a3"/>
              <w:jc w:val="center"/>
              <w:rPr>
                <w:b/>
              </w:rPr>
            </w:pPr>
            <w:r w:rsidRPr="00C35766">
              <w:rPr>
                <w:rFonts w:eastAsia="Times New Roman"/>
                <w:b/>
                <w:bCs/>
                <w:lang w:val="it-IT"/>
              </w:rPr>
              <w:t>N=110</w:t>
            </w:r>
          </w:p>
          <w:p w14:paraId="7FAF6951" w14:textId="77777777" w:rsidR="0075524C" w:rsidRPr="00C35766" w:rsidRDefault="0075524C" w:rsidP="00AF25F1">
            <w:pPr>
              <w:pStyle w:val="a3"/>
              <w:jc w:val="center"/>
            </w:pPr>
            <w:r w:rsidRPr="00C35766">
              <w:rPr>
                <w:rFonts w:eastAsia="Times New Roman"/>
                <w:b/>
                <w:bCs/>
                <w:lang w:val="it-IT"/>
              </w:rPr>
              <w:t>n (%)</w:t>
            </w:r>
          </w:p>
        </w:tc>
        <w:tc>
          <w:tcPr>
            <w:tcW w:w="2654" w:type="dxa"/>
            <w:vAlign w:val="center"/>
          </w:tcPr>
          <w:p w14:paraId="07683407" w14:textId="77777777" w:rsidR="0075524C" w:rsidRPr="00C35766" w:rsidRDefault="0075524C" w:rsidP="00603A86">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Adalimumab 40 mg a settimane alterne</w:t>
            </w:r>
          </w:p>
          <w:p w14:paraId="43A09DBA" w14:textId="77777777" w:rsidR="0075524C" w:rsidRPr="00C35766" w:rsidRDefault="0075524C" w:rsidP="00603A86">
            <w:pPr>
              <w:pStyle w:val="TableParagraph"/>
              <w:spacing w:before="4"/>
              <w:ind w:left="113" w:right="113"/>
              <w:jc w:val="center"/>
              <w:rPr>
                <w:rFonts w:ascii="Times New Roman" w:eastAsia="Times New Roman" w:hAnsi="Times New Roman" w:cs="Times New Roman"/>
                <w:b/>
                <w:bCs/>
                <w:spacing w:val="-1"/>
                <w:lang w:val="pt-PT"/>
              </w:rPr>
            </w:pPr>
            <w:r w:rsidRPr="00C35766">
              <w:rPr>
                <w:rFonts w:ascii="Times New Roman" w:eastAsia="Times New Roman" w:hAnsi="Times New Roman" w:cs="Times New Roman"/>
                <w:b/>
                <w:bCs/>
                <w:spacing w:val="-1"/>
                <w:lang w:val="it-IT"/>
              </w:rPr>
              <w:t>N=108</w:t>
            </w:r>
          </w:p>
          <w:p w14:paraId="03CFB05B" w14:textId="77777777" w:rsidR="0075524C" w:rsidRPr="00C35766" w:rsidRDefault="0075524C" w:rsidP="00603A86">
            <w:pPr>
              <w:pStyle w:val="TableParagraph"/>
              <w:spacing w:before="4"/>
              <w:ind w:left="113" w:right="113"/>
              <w:jc w:val="center"/>
              <w:rPr>
                <w:rFonts w:ascii="Times New Roman" w:eastAsia="Times New Roman" w:hAnsi="Times New Roman" w:cs="Times New Roman"/>
                <w:lang w:val="pt-PT"/>
              </w:rPr>
            </w:pPr>
            <w:r w:rsidRPr="00C35766">
              <w:rPr>
                <w:rFonts w:ascii="Times New Roman" w:eastAsia="Times New Roman" w:hAnsi="Times New Roman" w:cs="Times New Roman"/>
                <w:b/>
                <w:bCs/>
                <w:lang w:val="it-IT"/>
              </w:rPr>
              <w:t>n (%)</w:t>
            </w:r>
          </w:p>
        </w:tc>
      </w:tr>
      <w:tr w:rsidR="0075524C" w:rsidRPr="00C35766" w14:paraId="155CD952" w14:textId="77777777" w:rsidTr="00AF25F1">
        <w:trPr>
          <w:jc w:val="center"/>
        </w:trPr>
        <w:tc>
          <w:tcPr>
            <w:tcW w:w="2405" w:type="dxa"/>
          </w:tcPr>
          <w:p w14:paraId="7F8906A9" w14:textId="77777777" w:rsidR="0075524C" w:rsidRPr="00C35766" w:rsidRDefault="0075524C" w:rsidP="00603A86">
            <w:pPr>
              <w:pStyle w:val="a3"/>
              <w:rPr>
                <w:b/>
              </w:rPr>
            </w:pPr>
            <w:r w:rsidRPr="00C35766">
              <w:rPr>
                <w:rFonts w:eastAsia="Symbol"/>
                <w:b/>
                <w:lang w:val="it-IT"/>
              </w:rPr>
              <w:sym w:font="Symbol" w:char="F0B3"/>
            </w:r>
            <w:r w:rsidRPr="00C35766">
              <w:rPr>
                <w:rFonts w:eastAsia="Symbol"/>
                <w:b/>
                <w:lang w:val="it-IT"/>
              </w:rPr>
              <w:sym w:font="Symbol" w:char="F020"/>
            </w:r>
            <w:r w:rsidRPr="00C35766">
              <w:rPr>
                <w:rFonts w:eastAsia="Times New Roman"/>
                <w:b/>
                <w:lang w:val="it-IT"/>
              </w:rPr>
              <w:t>PASI 75</w:t>
            </w:r>
          </w:p>
        </w:tc>
        <w:tc>
          <w:tcPr>
            <w:tcW w:w="1886" w:type="dxa"/>
          </w:tcPr>
          <w:p w14:paraId="46D18EC9" w14:textId="77777777" w:rsidR="0075524C" w:rsidRPr="00C35766" w:rsidRDefault="0075524C" w:rsidP="00603A86">
            <w:pPr>
              <w:pStyle w:val="a3"/>
              <w:jc w:val="center"/>
              <w:rPr>
                <w:b/>
              </w:rPr>
            </w:pPr>
            <w:r w:rsidRPr="00C35766">
              <w:rPr>
                <w:rFonts w:eastAsia="Times New Roman"/>
                <w:lang w:val="it-IT"/>
              </w:rPr>
              <w:t>10 (18,9)</w:t>
            </w:r>
          </w:p>
        </w:tc>
        <w:tc>
          <w:tcPr>
            <w:tcW w:w="1887" w:type="dxa"/>
          </w:tcPr>
          <w:p w14:paraId="705F8591" w14:textId="77777777" w:rsidR="0075524C" w:rsidRPr="00C35766" w:rsidRDefault="0075524C" w:rsidP="00603A86">
            <w:pPr>
              <w:pStyle w:val="a3"/>
              <w:jc w:val="center"/>
              <w:rPr>
                <w:b/>
              </w:rPr>
            </w:pPr>
            <w:r w:rsidRPr="00C35766">
              <w:rPr>
                <w:rFonts w:eastAsia="Times New Roman"/>
                <w:lang w:val="it-IT"/>
              </w:rPr>
              <w:t>39 (35,5)</w:t>
            </w:r>
          </w:p>
        </w:tc>
        <w:tc>
          <w:tcPr>
            <w:tcW w:w="2654" w:type="dxa"/>
          </w:tcPr>
          <w:p w14:paraId="1B93EFA2" w14:textId="77777777" w:rsidR="0075524C" w:rsidRPr="00C35766" w:rsidRDefault="0075524C" w:rsidP="00603A86">
            <w:pPr>
              <w:pStyle w:val="a3"/>
              <w:jc w:val="center"/>
              <w:rPr>
                <w:b/>
              </w:rPr>
            </w:pPr>
            <w:r w:rsidRPr="00C35766">
              <w:rPr>
                <w:rFonts w:eastAsia="Times New Roman"/>
                <w:spacing w:val="-1"/>
                <w:lang w:val="it-IT"/>
              </w:rPr>
              <w:t xml:space="preserve">86 (79,6) </w:t>
            </w:r>
            <w:r w:rsidRPr="00C35766">
              <w:rPr>
                <w:rFonts w:eastAsia="Times New Roman"/>
                <w:spacing w:val="-1"/>
                <w:vertAlign w:val="superscript"/>
                <w:lang w:val="it-IT"/>
              </w:rPr>
              <w:t>a, b</w:t>
            </w:r>
          </w:p>
        </w:tc>
      </w:tr>
      <w:tr w:rsidR="0075524C" w:rsidRPr="00C35766" w14:paraId="6E118CE0" w14:textId="77777777" w:rsidTr="00AF25F1">
        <w:trPr>
          <w:jc w:val="center"/>
        </w:trPr>
        <w:tc>
          <w:tcPr>
            <w:tcW w:w="2405" w:type="dxa"/>
          </w:tcPr>
          <w:p w14:paraId="2609CC7F" w14:textId="77777777" w:rsidR="0075524C" w:rsidRPr="00C35766" w:rsidRDefault="0075524C" w:rsidP="00603A86">
            <w:pPr>
              <w:pStyle w:val="a3"/>
              <w:rPr>
                <w:b/>
              </w:rPr>
            </w:pPr>
            <w:r w:rsidRPr="00C35766">
              <w:rPr>
                <w:rFonts w:eastAsia="Times New Roman"/>
                <w:b/>
                <w:lang w:val="it-IT"/>
              </w:rPr>
              <w:t>PASI 100</w:t>
            </w:r>
          </w:p>
        </w:tc>
        <w:tc>
          <w:tcPr>
            <w:tcW w:w="1886" w:type="dxa"/>
          </w:tcPr>
          <w:p w14:paraId="60F6F655" w14:textId="77777777" w:rsidR="0075524C" w:rsidRPr="00C35766" w:rsidRDefault="0075524C" w:rsidP="00603A86">
            <w:pPr>
              <w:pStyle w:val="a3"/>
              <w:jc w:val="center"/>
              <w:rPr>
                <w:b/>
              </w:rPr>
            </w:pPr>
            <w:r w:rsidRPr="00C35766">
              <w:rPr>
                <w:rFonts w:eastAsia="Times New Roman"/>
                <w:lang w:val="it-IT"/>
              </w:rPr>
              <w:t>1 (1,9)</w:t>
            </w:r>
          </w:p>
        </w:tc>
        <w:tc>
          <w:tcPr>
            <w:tcW w:w="1887" w:type="dxa"/>
          </w:tcPr>
          <w:p w14:paraId="7D54FEAE" w14:textId="77777777" w:rsidR="0075524C" w:rsidRPr="00C35766" w:rsidRDefault="0075524C" w:rsidP="00603A86">
            <w:pPr>
              <w:pStyle w:val="a3"/>
              <w:jc w:val="center"/>
              <w:rPr>
                <w:b/>
              </w:rPr>
            </w:pPr>
            <w:r w:rsidRPr="00C35766">
              <w:rPr>
                <w:rFonts w:eastAsia="Times New Roman"/>
                <w:lang w:val="it-IT"/>
              </w:rPr>
              <w:t>8 (7,3)</w:t>
            </w:r>
          </w:p>
        </w:tc>
        <w:tc>
          <w:tcPr>
            <w:tcW w:w="2654" w:type="dxa"/>
          </w:tcPr>
          <w:p w14:paraId="40BB5751" w14:textId="77777777" w:rsidR="0075524C" w:rsidRPr="00C35766" w:rsidRDefault="0075524C" w:rsidP="00603A86">
            <w:pPr>
              <w:pStyle w:val="a3"/>
              <w:jc w:val="center"/>
              <w:rPr>
                <w:b/>
              </w:rPr>
            </w:pPr>
            <w:r w:rsidRPr="00C35766">
              <w:rPr>
                <w:rFonts w:eastAsia="Times New Roman"/>
                <w:spacing w:val="-1"/>
                <w:lang w:val="it-IT"/>
              </w:rPr>
              <w:t xml:space="preserve">18 (16,7) </w:t>
            </w:r>
            <w:r w:rsidRPr="00C35766">
              <w:rPr>
                <w:rFonts w:eastAsia="Times New Roman"/>
                <w:spacing w:val="-1"/>
                <w:vertAlign w:val="superscript"/>
                <w:lang w:val="it-IT"/>
              </w:rPr>
              <w:t>c, d</w:t>
            </w:r>
          </w:p>
        </w:tc>
      </w:tr>
      <w:tr w:rsidR="0075524C" w:rsidRPr="00C35766" w14:paraId="7B90C2A8" w14:textId="77777777" w:rsidTr="00AF25F1">
        <w:trPr>
          <w:jc w:val="center"/>
        </w:trPr>
        <w:tc>
          <w:tcPr>
            <w:tcW w:w="2405" w:type="dxa"/>
          </w:tcPr>
          <w:p w14:paraId="32564E09" w14:textId="77777777" w:rsidR="0075524C" w:rsidRPr="00C35766" w:rsidRDefault="0075524C" w:rsidP="00603A86">
            <w:pPr>
              <w:pStyle w:val="TableParagraph"/>
              <w:rPr>
                <w:rFonts w:ascii="Times New Roman" w:hAnsi="Times New Roman" w:cs="Times New Roman"/>
                <w:b/>
              </w:rPr>
            </w:pPr>
            <w:r w:rsidRPr="00C35766">
              <w:rPr>
                <w:rFonts w:ascii="Times New Roman" w:eastAsia="Times New Roman" w:hAnsi="Times New Roman" w:cs="Times New Roman"/>
                <w:b/>
                <w:bCs/>
                <w:lang w:val="it-IT"/>
              </w:rPr>
              <w:t>PGA: Guarigione/Marcato miglioramento</w:t>
            </w:r>
          </w:p>
        </w:tc>
        <w:tc>
          <w:tcPr>
            <w:tcW w:w="1886" w:type="dxa"/>
          </w:tcPr>
          <w:p w14:paraId="33FC6F09" w14:textId="77777777" w:rsidR="0075524C" w:rsidRPr="00C35766" w:rsidRDefault="0075524C" w:rsidP="00603A86">
            <w:pPr>
              <w:pStyle w:val="a3"/>
              <w:jc w:val="center"/>
              <w:rPr>
                <w:b/>
              </w:rPr>
            </w:pPr>
            <w:r w:rsidRPr="00C35766">
              <w:rPr>
                <w:rFonts w:eastAsia="Times New Roman"/>
                <w:lang w:val="it-IT"/>
              </w:rPr>
              <w:t>6 (11,3)</w:t>
            </w:r>
          </w:p>
        </w:tc>
        <w:tc>
          <w:tcPr>
            <w:tcW w:w="1887" w:type="dxa"/>
          </w:tcPr>
          <w:p w14:paraId="763C75D9" w14:textId="77777777" w:rsidR="0075524C" w:rsidRPr="00C35766" w:rsidRDefault="0075524C" w:rsidP="00603A86">
            <w:pPr>
              <w:pStyle w:val="a3"/>
              <w:jc w:val="center"/>
              <w:rPr>
                <w:b/>
              </w:rPr>
            </w:pPr>
            <w:r w:rsidRPr="00C35766">
              <w:rPr>
                <w:rFonts w:eastAsia="Times New Roman"/>
                <w:lang w:val="it-IT"/>
              </w:rPr>
              <w:t>33 (30,0)</w:t>
            </w:r>
          </w:p>
        </w:tc>
        <w:tc>
          <w:tcPr>
            <w:tcW w:w="2654" w:type="dxa"/>
          </w:tcPr>
          <w:p w14:paraId="0881EDE9" w14:textId="77777777" w:rsidR="0075524C" w:rsidRPr="00C35766" w:rsidRDefault="0075524C" w:rsidP="00603A86">
            <w:pPr>
              <w:pStyle w:val="a3"/>
              <w:jc w:val="center"/>
              <w:rPr>
                <w:b/>
              </w:rPr>
            </w:pPr>
            <w:r w:rsidRPr="00C35766">
              <w:rPr>
                <w:rFonts w:eastAsia="Times New Roman"/>
                <w:spacing w:val="-1"/>
                <w:lang w:val="it-IT"/>
              </w:rPr>
              <w:t xml:space="preserve">79 (73,1) </w:t>
            </w:r>
            <w:r w:rsidRPr="00C35766">
              <w:rPr>
                <w:rFonts w:eastAsia="Times New Roman"/>
                <w:spacing w:val="-1"/>
                <w:vertAlign w:val="superscript"/>
                <w:lang w:val="it-IT"/>
              </w:rPr>
              <w:t>a, b</w:t>
            </w:r>
          </w:p>
        </w:tc>
      </w:tr>
      <w:tr w:rsidR="0075524C" w:rsidRPr="006501B3" w14:paraId="5AACEA2F" w14:textId="77777777" w:rsidTr="00AF25F1">
        <w:trPr>
          <w:jc w:val="center"/>
        </w:trPr>
        <w:tc>
          <w:tcPr>
            <w:tcW w:w="8832" w:type="dxa"/>
            <w:gridSpan w:val="4"/>
          </w:tcPr>
          <w:p w14:paraId="7B889E04" w14:textId="77777777" w:rsidR="0075524C" w:rsidRPr="00C35766" w:rsidRDefault="0075524C" w:rsidP="00603A86">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 xml:space="preserve">a </w:t>
            </w:r>
            <w:r w:rsidRPr="00C35766">
              <w:rPr>
                <w:rFonts w:ascii="Times New Roman" w:hAnsi="Times New Roman" w:cs="Times New Roman"/>
                <w:position w:val="8"/>
              </w:rPr>
              <w:t>p &lt; 0,001, adalimumab vs placebo</w:t>
            </w:r>
          </w:p>
          <w:p w14:paraId="4322EA60" w14:textId="77777777" w:rsidR="0075524C" w:rsidRPr="00C35766" w:rsidRDefault="0075524C" w:rsidP="00603A86">
            <w:pPr>
              <w:pStyle w:val="TableParagraph"/>
              <w:rPr>
                <w:rFonts w:ascii="Times New Roman" w:eastAsia="Times New Roman" w:hAnsi="Times New Roman" w:cs="Times New Roman"/>
              </w:rPr>
            </w:pPr>
            <w:r w:rsidRPr="00C35766">
              <w:rPr>
                <w:rFonts w:ascii="Times New Roman" w:hAnsi="Times New Roman" w:cs="Times New Roman"/>
                <w:position w:val="8"/>
                <w:vertAlign w:val="superscript"/>
              </w:rPr>
              <w:t>b</w:t>
            </w:r>
            <w:r w:rsidRPr="00C35766">
              <w:rPr>
                <w:rFonts w:ascii="Times New Roman" w:hAnsi="Times New Roman" w:cs="Times New Roman"/>
                <w:position w:val="8"/>
              </w:rPr>
              <w:t xml:space="preserve"> p &lt; 0,001 adalimumab vs. metotressato</w:t>
            </w:r>
          </w:p>
          <w:p w14:paraId="2D864682" w14:textId="77777777" w:rsidR="0075524C" w:rsidRPr="00C35766" w:rsidRDefault="0075524C" w:rsidP="00603A86">
            <w:pPr>
              <w:pStyle w:val="TableParagraph"/>
              <w:rPr>
                <w:rFonts w:ascii="Times New Roman" w:eastAsia="Times New Roman" w:hAnsi="Times New Roman" w:cs="Times New Roman"/>
              </w:rPr>
            </w:pPr>
            <w:r w:rsidRPr="00C35766">
              <w:rPr>
                <w:rFonts w:ascii="Times New Roman" w:eastAsia="Times New Roman" w:hAnsi="Times New Roman" w:cs="Times New Roman"/>
                <w:position w:val="8"/>
                <w:vertAlign w:val="superscript"/>
              </w:rPr>
              <w:t>c</w:t>
            </w:r>
            <w:r w:rsidRPr="00C35766">
              <w:rPr>
                <w:rFonts w:ascii="Times New Roman" w:hAnsi="Times New Roman" w:cs="Times New Roman"/>
                <w:position w:val="8"/>
              </w:rPr>
              <w:t xml:space="preserve"> p &lt; 0,01, adalimumab vs. placebo</w:t>
            </w:r>
          </w:p>
          <w:p w14:paraId="134BB6B5" w14:textId="77777777" w:rsidR="0075524C" w:rsidRPr="00C35766" w:rsidRDefault="0075524C" w:rsidP="00603A86">
            <w:pPr>
              <w:pStyle w:val="a3"/>
              <w:rPr>
                <w:b/>
                <w:lang w:val="it-IT"/>
              </w:rPr>
            </w:pPr>
            <w:r w:rsidRPr="00C35766">
              <w:rPr>
                <w:rFonts w:eastAsia="Times New Roman"/>
                <w:position w:val="8"/>
                <w:vertAlign w:val="superscript"/>
                <w:lang w:val="it-IT"/>
              </w:rPr>
              <w:t xml:space="preserve">d </w:t>
            </w:r>
            <w:r w:rsidRPr="00C35766">
              <w:rPr>
                <w:rFonts w:eastAsia="Times New Roman"/>
                <w:position w:val="8"/>
                <w:lang w:val="it-IT"/>
              </w:rPr>
              <w:t>p &lt; 0,05 adalimumab vs. metotressato</w:t>
            </w:r>
          </w:p>
        </w:tc>
      </w:tr>
    </w:tbl>
    <w:p w14:paraId="36A10243" w14:textId="77777777" w:rsidR="0075524C" w:rsidRPr="00C35766" w:rsidRDefault="0075524C" w:rsidP="0075524C">
      <w:pPr>
        <w:pStyle w:val="a3"/>
        <w:rPr>
          <w:lang w:val="it-IT"/>
        </w:rPr>
      </w:pPr>
    </w:p>
    <w:p w14:paraId="59E0A179" w14:textId="77777777" w:rsidR="0075524C" w:rsidRPr="00C35766" w:rsidRDefault="0075524C" w:rsidP="0075524C">
      <w:pPr>
        <w:pStyle w:val="a3"/>
        <w:rPr>
          <w:lang w:val="it-IT"/>
        </w:rPr>
      </w:pPr>
      <w:r w:rsidRPr="00C35766">
        <w:rPr>
          <w:rFonts w:eastAsia="Times New Roman"/>
          <w:spacing w:val="-2"/>
          <w:lang w:val="it-IT"/>
        </w:rPr>
        <w:t xml:space="preserve">Nel corso dello studio I sulla psoriasi, nel 28% dei pazienti randomizzati a placebo alla settimana 33 dopo aver ottenuto una risposta PASI 75 rispetto al 5% di pazienti che ha proseguito la terapia con adalimumab, p &lt; </w:t>
      </w:r>
      <w:r w:rsidRPr="00C35766">
        <w:rPr>
          <w:rFonts w:eastAsia="Times New Roman"/>
          <w:spacing w:val="-2"/>
          <w:lang w:val="it-IT"/>
        </w:rPr>
        <w:lastRenderedPageBreak/>
        <w:t>0,001, si è verificata una “perdita di risposta adeguata” (definita da un punteggio PASI che dopo la settimana 33 e prima o alla scadenza della settimana 52 sia risultato &lt; PASI 50 rispetto al valore basale con un aumento minimo di 6 punti del punteggio PASI relativo alla settimana 33). Tra i pazienti in cui si è verificata la “perdita di risposta adeguata” dopo la ri-randomizzazione per ricevere placebo, e che sono stati successivamente arruolati nello studio d’estensione in aperto, il 38% (25/66) ed il 55% (36/66) sono riusciti ad ottenere una risposta PASI 75 rispettivamente dopo 12 e 24 settimane di ri-trattamento.</w:t>
      </w:r>
    </w:p>
    <w:p w14:paraId="199F96B2" w14:textId="77777777" w:rsidR="0075524C" w:rsidRPr="00C35766" w:rsidRDefault="0075524C" w:rsidP="0075524C">
      <w:pPr>
        <w:spacing w:before="11" w:line="240" w:lineRule="exact"/>
        <w:rPr>
          <w:rFonts w:ascii="Times New Roman" w:hAnsi="Times New Roman" w:cs="Times New Roman"/>
          <w:sz w:val="24"/>
          <w:szCs w:val="24"/>
          <w:lang w:val="it-IT"/>
        </w:rPr>
      </w:pPr>
    </w:p>
    <w:p w14:paraId="1A64E82F" w14:textId="77777777" w:rsidR="0075524C" w:rsidRPr="00C35766" w:rsidRDefault="0075524C" w:rsidP="0075524C">
      <w:pPr>
        <w:pStyle w:val="a3"/>
        <w:rPr>
          <w:lang w:val="it-IT"/>
        </w:rPr>
      </w:pPr>
      <w:r w:rsidRPr="00C35766">
        <w:rPr>
          <w:rFonts w:eastAsia="Times New Roman"/>
          <w:lang w:val="it-IT"/>
        </w:rPr>
        <w:t>Durante lo studio I sulla psoriasi, un totale di 233 pazienti tra coloro che avevano ottenuto una risposta PASI 75 alla settimana 16 e alla settimana 33 e che avevano continuato la terapia con adalimumab fino alla settimana 52 hanno continuato la somministrazione di adalimumab nello studio di estensione in aperto. In questi pazienti, le percentuali di risposta PASI 75 e PGA corrispondente a remissione totale della malattia o a persistenza di malattia minima sono state rispettivamente 74,7% e 59,0%, dopo un ulteriore periodo di 108 settimane di terapia somministrata in aperto (per un totale di 160 settimane) In un’analisi effettuata su tutti i pazienti che avevano interrotto lo studio per eventi avversi o per mancanza di efficacia, o che avevano aumentato la posologia e che per tali motivi erano stati considerati come non rispondenti alla terapia, analogamente le percentuali di risposta PASI 75 e PGA corrispondente a remissione totale della malattia o a persistenza di malattia minima, sono state rispettivamente del 69,6% e del 55,7%, dopo un ulteriore periodo di 108 settimane di terapia in aperto (per un totale di 160 settimane).</w:t>
      </w:r>
    </w:p>
    <w:p w14:paraId="2C2C0B6C" w14:textId="77777777" w:rsidR="0075524C" w:rsidRPr="00C35766" w:rsidRDefault="0075524C" w:rsidP="0075524C">
      <w:pPr>
        <w:spacing w:before="13" w:line="240" w:lineRule="exact"/>
        <w:rPr>
          <w:rFonts w:ascii="Times New Roman" w:hAnsi="Times New Roman" w:cs="Times New Roman"/>
          <w:sz w:val="24"/>
          <w:szCs w:val="24"/>
          <w:lang w:val="it-IT"/>
        </w:rPr>
      </w:pPr>
    </w:p>
    <w:p w14:paraId="30BEF87D" w14:textId="77777777" w:rsidR="0075524C" w:rsidRPr="00C35766" w:rsidRDefault="0075524C" w:rsidP="0075524C">
      <w:pPr>
        <w:pStyle w:val="a3"/>
        <w:rPr>
          <w:lang w:val="es-ES"/>
        </w:rPr>
      </w:pPr>
      <w:r w:rsidRPr="00C35766">
        <w:rPr>
          <w:rFonts w:eastAsia="Times New Roman"/>
          <w:lang w:val="it-IT"/>
        </w:rPr>
        <w:t>Un totale di 347 pazienti, caratterizzati da una risposta stabile alla terapia, ha preso parte ad uno studio di estensione in aperto per la valutazione degli effetti della sospensione e della ripresa del trattamento.  Durante il periodo di sospensione della terapia, i sintomi della psoriasi si sono ripresentati in maniera progressiva con un tempo mediano alla recidiva (progredendo fino ad uno stadio PGA “moderato” o peggiore) di circa 5 mesi. Nessuno di questi pazienti ha manifestato fenomeni di rebound durante il periodo di sospensione del trattamento. Complessivamente, il 76,5% dei pazienti (218/285) che erano entrati nella fase di ri-trattamento aveva ottenuto una risposta PGA corrispondente a remissione totale della malattia o a malattia minima dopo sedici settimane di terapia, indipendentemente dal fatto di aver avuto o meno riacutizzazione della malattia durante il periodo di sospensione del farmaco (rispettivamente il 69,1%[123/178] e 88,8%[95/107] dei pazienti che avevano avuto o meno una riacutizzazione della malattia durante il periodo di sospensione). Durante la ripresa del trattamento è stato osservato un profilo di sicurezza del tutto simile a quello osservato durante il periodo precedente alla sospensione della terapia.</w:t>
      </w:r>
    </w:p>
    <w:p w14:paraId="294FAD7A" w14:textId="77777777" w:rsidR="0075524C" w:rsidRPr="00C35766" w:rsidRDefault="0075524C" w:rsidP="0075524C">
      <w:pPr>
        <w:pStyle w:val="a3"/>
        <w:rPr>
          <w:lang w:val="es-ES"/>
        </w:rPr>
      </w:pPr>
    </w:p>
    <w:p w14:paraId="70BEE188" w14:textId="77777777" w:rsidR="0075524C" w:rsidRPr="00C35766" w:rsidRDefault="0075524C" w:rsidP="0075524C">
      <w:pPr>
        <w:pStyle w:val="a3"/>
        <w:rPr>
          <w:lang w:val="pt-BR"/>
        </w:rPr>
      </w:pPr>
      <w:r w:rsidRPr="00C35766">
        <w:rPr>
          <w:rFonts w:eastAsia="Times New Roman"/>
          <w:lang w:val="it-IT"/>
        </w:rPr>
        <w:t>Miglioramenti significativi del DLQI (Dermatology Life Quality Index) sono stati dimostrati alla settimana 16 a partire dal valore basale rispetto al placebo (studi I e II) e all’MTX (studio II). Nel corso dello studio I, anche i miglioramenti relativi ai punteggi complessivi delle componenti fisiche e mentali del SF-36 sono risultati significativi rispetto al placebo.</w:t>
      </w:r>
    </w:p>
    <w:p w14:paraId="65DF11CB" w14:textId="77777777" w:rsidR="0075524C" w:rsidRPr="00C35766" w:rsidRDefault="0075524C" w:rsidP="0075524C">
      <w:pPr>
        <w:spacing w:before="13" w:line="240" w:lineRule="exact"/>
        <w:rPr>
          <w:rFonts w:ascii="Times New Roman" w:hAnsi="Times New Roman" w:cs="Times New Roman"/>
          <w:sz w:val="24"/>
          <w:szCs w:val="24"/>
          <w:lang w:val="pt-BR"/>
        </w:rPr>
      </w:pPr>
    </w:p>
    <w:p w14:paraId="39BA8E76" w14:textId="77777777" w:rsidR="0075524C" w:rsidRPr="00C35766" w:rsidRDefault="0075524C" w:rsidP="0075524C">
      <w:pPr>
        <w:pStyle w:val="a3"/>
        <w:rPr>
          <w:lang w:val="pt-BR"/>
        </w:rPr>
      </w:pPr>
      <w:r w:rsidRPr="00C35766">
        <w:rPr>
          <w:rFonts w:eastAsia="Times New Roman"/>
          <w:lang w:val="it-IT"/>
        </w:rPr>
        <w:t>In uno studio d’estensione in aperto, tra i pazienti che a causa di risposta PASI inferiore al 50% avevano ricevuto incrementi della dose da 40 mg a settimane alterne alla dose di 40 mg ogni settimana, il 26,4% (92/349) e il 37,8% (132/349) ha ottenuto una risposta PASI 75 alla settimana 12 e 24, rispettivamente.</w:t>
      </w:r>
    </w:p>
    <w:p w14:paraId="44F8060E" w14:textId="77777777" w:rsidR="0075524C" w:rsidRPr="00C35766" w:rsidRDefault="0075524C" w:rsidP="0075524C">
      <w:pPr>
        <w:spacing w:before="17" w:line="240" w:lineRule="exact"/>
        <w:rPr>
          <w:rFonts w:ascii="Times New Roman" w:hAnsi="Times New Roman" w:cs="Times New Roman"/>
          <w:sz w:val="24"/>
          <w:szCs w:val="24"/>
          <w:lang w:val="pt-BR"/>
        </w:rPr>
      </w:pPr>
    </w:p>
    <w:p w14:paraId="7A0D21F9" w14:textId="77777777" w:rsidR="0075524C" w:rsidRPr="00C35766" w:rsidRDefault="0075524C" w:rsidP="0075524C">
      <w:pPr>
        <w:pStyle w:val="a3"/>
        <w:rPr>
          <w:lang w:val="it-IT"/>
        </w:rPr>
      </w:pPr>
      <w:r w:rsidRPr="00C35766">
        <w:rPr>
          <w:rFonts w:eastAsia="Times New Roman"/>
          <w:lang w:val="it-IT"/>
        </w:rPr>
        <w:t xml:space="preserve">Lo studio di fase III sulla psoriasi (REACH) ha paragonato l’efficacia e la sicurezza di adalimumab </w:t>
      </w:r>
      <w:r w:rsidRPr="00C35766">
        <w:rPr>
          <w:lang w:val="it-IT"/>
        </w:rPr>
        <w:t>rispetto al</w:t>
      </w:r>
      <w:r w:rsidRPr="00C35766">
        <w:rPr>
          <w:rFonts w:eastAsia="Times New Roman"/>
          <w:lang w:val="it-IT"/>
        </w:rPr>
        <w:t xml:space="preserve"> placebo in 72 pazienti affetti da psoriasi cronica a placche da moderata a severa e psoriasi localizzata alla mano e/o al piede. I pazienti hanno ricevuto una dose iniziale di 80 mg di adalimumab seguita dalla dose di 40 mg somministrata a settimane alterne (a iniziare dalla settimana successiva all’assunzione della dose iniziale) o placebo per 16 settimane. Alla settimana 16, una percentuale maggiore in misura statisticamente significativa di pazienti che aveva ricevuto adalimumab, ha ottenuto una risposta PGA corrispondente a remissione totale o pressochè totale della malattia alle mani e/o ai piedi rispetto ai pazienti che avevano ricevuto il placebo (rispettivamente 30,6% vs. 4,3%, [p = 0,014]).</w:t>
      </w:r>
    </w:p>
    <w:p w14:paraId="64DD33F5" w14:textId="77777777" w:rsidR="0075524C" w:rsidRPr="00C35766" w:rsidRDefault="0075524C" w:rsidP="0075524C">
      <w:pPr>
        <w:spacing w:before="13" w:line="240" w:lineRule="exact"/>
        <w:rPr>
          <w:rFonts w:ascii="Times New Roman" w:hAnsi="Times New Roman" w:cs="Times New Roman"/>
          <w:sz w:val="24"/>
          <w:szCs w:val="24"/>
          <w:lang w:val="it-IT"/>
        </w:rPr>
      </w:pPr>
    </w:p>
    <w:p w14:paraId="151F2A6E" w14:textId="5ED71856" w:rsidR="0075524C" w:rsidRPr="00C35766" w:rsidRDefault="0075524C" w:rsidP="0075524C">
      <w:pPr>
        <w:pStyle w:val="a3"/>
        <w:rPr>
          <w:lang w:val="it-IT"/>
        </w:rPr>
      </w:pPr>
      <w:r w:rsidRPr="00C35766">
        <w:rPr>
          <w:rFonts w:eastAsia="Times New Roman"/>
          <w:lang w:val="it-IT"/>
        </w:rPr>
        <w:t xml:space="preserve">Lo studio IV sulla psoriasi ha paragonato l’efficacia e la sicurezza di adalimumab rispetto al placebo in 217 pazienti adulti affetti da psoriasi ungueale da moderata a severa. I pazienti hanno ricevuto una dose iniziale di 80 mg di adalimumab seguita da 40 mg a settimane alterne (a partire da una settimana dopo la dose iniziale) o di placebo per 26 settimane seguita da un trattamento in aperto con adalimumab per altre 26 </w:t>
      </w:r>
      <w:r w:rsidRPr="00C35766">
        <w:rPr>
          <w:rFonts w:eastAsia="Times New Roman"/>
          <w:lang w:val="it-IT"/>
        </w:rPr>
        <w:lastRenderedPageBreak/>
        <w:t xml:space="preserve">settimane. Le valutazioni della psoriasi ungueale comprendevano il Modified Nail Psoriasis Severity Index (mNAPSI), il Physician’s Global Assessment of Fingernail Psoriasis (PGA-F) e il Nail Psoriasis Severity Index (NAPSI) (vedere Tabella </w:t>
      </w:r>
      <w:r w:rsidR="00F729F7">
        <w:rPr>
          <w:rFonts w:eastAsia="Times New Roman"/>
          <w:lang w:val="it-IT"/>
        </w:rPr>
        <w:t>13</w:t>
      </w:r>
      <w:r w:rsidRPr="00C35766">
        <w:rPr>
          <w:rFonts w:eastAsia="Times New Roman"/>
          <w:lang w:val="it-IT"/>
        </w:rPr>
        <w:t>). Il trattamento con adalimumab ha dimostrato un beneficio terapeutico nei pazienti affetti da psoriasi ungueale con coinvolgimento cutaneo di grado variabile (BSA ≥ 10% (60% dei pazienti) e BSA&lt; 10% e ≥ 5% (40% dei pazienti)).</w:t>
      </w:r>
    </w:p>
    <w:p w14:paraId="67AB6B11" w14:textId="77777777" w:rsidR="0075524C" w:rsidRPr="00C35766" w:rsidRDefault="0075524C" w:rsidP="0075524C">
      <w:pPr>
        <w:pStyle w:val="a3"/>
        <w:jc w:val="center"/>
        <w:rPr>
          <w:rFonts w:eastAsia="Times New Roman"/>
          <w:b/>
          <w:bCs/>
          <w:lang w:val="it-IT"/>
        </w:rPr>
      </w:pPr>
    </w:p>
    <w:p w14:paraId="3637525A" w14:textId="684E3848" w:rsidR="0075524C" w:rsidRPr="00C35766" w:rsidRDefault="0075524C" w:rsidP="0075524C">
      <w:pPr>
        <w:pStyle w:val="a3"/>
        <w:jc w:val="center"/>
        <w:rPr>
          <w:b/>
          <w:lang w:val="es-ES"/>
        </w:rPr>
      </w:pPr>
      <w:r w:rsidRPr="00C35766">
        <w:rPr>
          <w:rFonts w:eastAsia="Times New Roman"/>
          <w:b/>
          <w:bCs/>
          <w:lang w:val="it-IT"/>
        </w:rPr>
        <w:t xml:space="preserve">Tabella </w:t>
      </w:r>
      <w:r w:rsidR="00F729F7">
        <w:rPr>
          <w:rFonts w:eastAsia="Times New Roman"/>
          <w:b/>
          <w:bCs/>
          <w:lang w:val="it-IT"/>
        </w:rPr>
        <w:t>13</w:t>
      </w:r>
    </w:p>
    <w:p w14:paraId="035F251C" w14:textId="77777777" w:rsidR="0075524C" w:rsidRDefault="0075524C" w:rsidP="0075524C">
      <w:pPr>
        <w:pStyle w:val="a3"/>
        <w:jc w:val="center"/>
        <w:rPr>
          <w:rFonts w:eastAsia="Times New Roman"/>
          <w:b/>
          <w:bCs/>
          <w:lang w:val="it-IT"/>
        </w:rPr>
      </w:pPr>
      <w:r w:rsidRPr="00C35766">
        <w:rPr>
          <w:rFonts w:eastAsia="Times New Roman"/>
          <w:b/>
          <w:bCs/>
          <w:lang w:val="it-IT"/>
        </w:rPr>
        <w:t>Risultati di efficacia dello Studio Ps IV alle settimane 16, 26 e 52</w:t>
      </w:r>
    </w:p>
    <w:p w14:paraId="6855185F" w14:textId="77777777" w:rsidR="00AF25F1" w:rsidRPr="00C35766" w:rsidRDefault="00AF25F1" w:rsidP="0075524C">
      <w:pPr>
        <w:pStyle w:val="a3"/>
        <w:jc w:val="center"/>
        <w:rPr>
          <w:b/>
          <w:lang w:val="es-ES"/>
        </w:rPr>
      </w:pPr>
    </w:p>
    <w:tbl>
      <w:tblPr>
        <w:tblStyle w:val="TableNormal1"/>
        <w:tblW w:w="9576" w:type="dxa"/>
        <w:tblInd w:w="110" w:type="dxa"/>
        <w:tblLayout w:type="fixed"/>
        <w:tblLook w:val="01E0" w:firstRow="1" w:lastRow="1" w:firstColumn="1" w:lastColumn="1" w:noHBand="0" w:noVBand="0"/>
      </w:tblPr>
      <w:tblGrid>
        <w:gridCol w:w="2578"/>
        <w:gridCol w:w="1221"/>
        <w:gridCol w:w="1330"/>
        <w:gridCol w:w="1276"/>
        <w:gridCol w:w="1276"/>
        <w:gridCol w:w="1895"/>
      </w:tblGrid>
      <w:tr w:rsidR="0075524C" w:rsidRPr="00C35766" w14:paraId="1C82F170" w14:textId="77777777" w:rsidTr="00AF25F1">
        <w:tc>
          <w:tcPr>
            <w:tcW w:w="2578" w:type="dxa"/>
            <w:vMerge w:val="restart"/>
            <w:tcBorders>
              <w:top w:val="single" w:sz="5" w:space="0" w:color="000000"/>
              <w:left w:val="single" w:sz="5" w:space="0" w:color="000000"/>
              <w:right w:val="single" w:sz="5" w:space="0" w:color="000000"/>
            </w:tcBorders>
          </w:tcPr>
          <w:p w14:paraId="741F518D"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Endpoint</w:t>
            </w:r>
          </w:p>
        </w:tc>
        <w:tc>
          <w:tcPr>
            <w:tcW w:w="2551" w:type="dxa"/>
            <w:gridSpan w:val="2"/>
            <w:tcBorders>
              <w:top w:val="single" w:sz="5" w:space="0" w:color="000000"/>
              <w:left w:val="single" w:sz="5" w:space="0" w:color="000000"/>
              <w:bottom w:val="single" w:sz="5" w:space="0" w:color="000000"/>
              <w:right w:val="single" w:sz="5" w:space="0" w:color="000000"/>
            </w:tcBorders>
          </w:tcPr>
          <w:p w14:paraId="708878C5" w14:textId="77777777" w:rsidR="0075524C" w:rsidRPr="00C35766" w:rsidRDefault="0075524C" w:rsidP="00603A86">
            <w:pPr>
              <w:pStyle w:val="TableParagraph"/>
              <w:spacing w:line="246" w:lineRule="exact"/>
              <w:ind w:right="4"/>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16</w:t>
            </w:r>
          </w:p>
          <w:p w14:paraId="3E8E02CC" w14:textId="77777777" w:rsidR="0075524C" w:rsidRPr="00C35766" w:rsidRDefault="0075524C" w:rsidP="00603A86">
            <w:pPr>
              <w:pStyle w:val="TableParagraph"/>
              <w:spacing w:line="252" w:lineRule="exact"/>
              <w:ind w:left="293" w:right="295"/>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2552" w:type="dxa"/>
            <w:gridSpan w:val="2"/>
            <w:tcBorders>
              <w:top w:val="single" w:sz="5" w:space="0" w:color="000000"/>
              <w:left w:val="single" w:sz="5" w:space="0" w:color="000000"/>
              <w:bottom w:val="single" w:sz="5" w:space="0" w:color="000000"/>
              <w:right w:val="single" w:sz="5" w:space="0" w:color="000000"/>
            </w:tcBorders>
          </w:tcPr>
          <w:p w14:paraId="690E0EDE" w14:textId="77777777" w:rsidR="0075524C" w:rsidRPr="00C35766" w:rsidRDefault="0075524C" w:rsidP="00603A86">
            <w:pPr>
              <w:pStyle w:val="TableParagraph"/>
              <w:spacing w:line="246" w:lineRule="exact"/>
              <w:ind w:left="705" w:right="33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26</w:t>
            </w:r>
          </w:p>
          <w:p w14:paraId="5B5D54C8" w14:textId="77777777" w:rsidR="0075524C" w:rsidRPr="00C35766" w:rsidRDefault="0075524C" w:rsidP="00603A86">
            <w:pPr>
              <w:pStyle w:val="TableParagraph"/>
              <w:spacing w:line="252" w:lineRule="exact"/>
              <w:ind w:left="247" w:right="336"/>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Controllato con placebo</w:t>
            </w:r>
          </w:p>
        </w:tc>
        <w:tc>
          <w:tcPr>
            <w:tcW w:w="1895" w:type="dxa"/>
            <w:tcBorders>
              <w:top w:val="single" w:sz="5" w:space="0" w:color="000000"/>
              <w:left w:val="single" w:sz="5" w:space="0" w:color="000000"/>
              <w:bottom w:val="single" w:sz="5" w:space="0" w:color="000000"/>
              <w:right w:val="single" w:sz="5" w:space="0" w:color="000000"/>
            </w:tcBorders>
          </w:tcPr>
          <w:p w14:paraId="268A5958" w14:textId="77777777" w:rsidR="0075524C" w:rsidRPr="00C35766" w:rsidRDefault="0075524C" w:rsidP="00603A86">
            <w:pPr>
              <w:pStyle w:val="TableParagraph"/>
              <w:spacing w:line="246" w:lineRule="exact"/>
              <w:ind w:left="373" w:right="336"/>
              <w:rPr>
                <w:rFonts w:ascii="Times New Roman" w:eastAsia="Times New Roman" w:hAnsi="Times New Roman" w:cs="Times New Roman"/>
              </w:rPr>
            </w:pPr>
            <w:r w:rsidRPr="00C35766">
              <w:rPr>
                <w:rFonts w:ascii="Times New Roman" w:eastAsia="Times New Roman" w:hAnsi="Times New Roman" w:cs="Times New Roman"/>
                <w:spacing w:val="-1"/>
                <w:lang w:val="it-IT"/>
              </w:rPr>
              <w:t>Settimana 52</w:t>
            </w:r>
          </w:p>
          <w:p w14:paraId="249252E5" w14:textId="77777777" w:rsidR="0075524C" w:rsidRPr="00C35766" w:rsidRDefault="0075524C" w:rsidP="00603A86">
            <w:pPr>
              <w:pStyle w:val="TableParagraph"/>
              <w:spacing w:line="252" w:lineRule="exact"/>
              <w:ind w:left="639"/>
              <w:rPr>
                <w:rFonts w:ascii="Times New Roman" w:eastAsia="Times New Roman" w:hAnsi="Times New Roman" w:cs="Times New Roman"/>
              </w:rPr>
            </w:pPr>
            <w:r w:rsidRPr="00C35766">
              <w:rPr>
                <w:rFonts w:ascii="Times New Roman" w:eastAsia="Times New Roman" w:hAnsi="Times New Roman" w:cs="Times New Roman"/>
                <w:spacing w:val="-1"/>
                <w:lang w:val="it-IT"/>
              </w:rPr>
              <w:t>In aperto</w:t>
            </w:r>
          </w:p>
        </w:tc>
      </w:tr>
      <w:tr w:rsidR="0075524C" w:rsidRPr="00494E69" w14:paraId="3A096090" w14:textId="77777777" w:rsidTr="00AF25F1">
        <w:tc>
          <w:tcPr>
            <w:tcW w:w="2578" w:type="dxa"/>
            <w:vMerge/>
            <w:tcBorders>
              <w:left w:val="single" w:sz="5" w:space="0" w:color="000000"/>
              <w:bottom w:val="single" w:sz="5" w:space="0" w:color="000000"/>
              <w:right w:val="single" w:sz="5" w:space="0" w:color="000000"/>
            </w:tcBorders>
          </w:tcPr>
          <w:p w14:paraId="66750BC9" w14:textId="77777777" w:rsidR="0075524C" w:rsidRPr="00C35766" w:rsidRDefault="0075524C" w:rsidP="00603A86">
            <w:pPr>
              <w:rPr>
                <w:rFonts w:ascii="Times New Roman" w:hAnsi="Times New Roman" w:cs="Times New Roman"/>
              </w:rPr>
            </w:pPr>
          </w:p>
        </w:tc>
        <w:tc>
          <w:tcPr>
            <w:tcW w:w="1221" w:type="dxa"/>
            <w:tcBorders>
              <w:top w:val="single" w:sz="5" w:space="0" w:color="000000"/>
              <w:left w:val="single" w:sz="5" w:space="0" w:color="000000"/>
              <w:bottom w:val="single" w:sz="5" w:space="0" w:color="000000"/>
              <w:right w:val="single" w:sz="5" w:space="0" w:color="000000"/>
            </w:tcBorders>
          </w:tcPr>
          <w:p w14:paraId="3351FD68" w14:textId="77777777" w:rsidR="0075524C" w:rsidRPr="00C35766" w:rsidRDefault="0075524C" w:rsidP="00603A86">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6B733B05" w14:textId="77777777" w:rsidR="0075524C" w:rsidRPr="00C35766" w:rsidRDefault="0075524C" w:rsidP="00603A86">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330" w:type="dxa"/>
            <w:tcBorders>
              <w:top w:val="single" w:sz="5" w:space="0" w:color="000000"/>
              <w:left w:val="single" w:sz="5" w:space="0" w:color="000000"/>
              <w:bottom w:val="single" w:sz="5" w:space="0" w:color="000000"/>
              <w:right w:val="single" w:sz="5" w:space="0" w:color="000000"/>
            </w:tcBorders>
          </w:tcPr>
          <w:p w14:paraId="3EAC3085" w14:textId="77777777" w:rsidR="0075524C" w:rsidRPr="00C35766" w:rsidRDefault="0075524C" w:rsidP="00603A86">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 40 mg a settimane alterne N=109</w:t>
            </w:r>
          </w:p>
        </w:tc>
        <w:tc>
          <w:tcPr>
            <w:tcW w:w="1276" w:type="dxa"/>
            <w:tcBorders>
              <w:top w:val="single" w:sz="5" w:space="0" w:color="000000"/>
              <w:left w:val="single" w:sz="5" w:space="0" w:color="000000"/>
              <w:bottom w:val="single" w:sz="5" w:space="0" w:color="000000"/>
              <w:right w:val="single" w:sz="5" w:space="0" w:color="000000"/>
            </w:tcBorders>
          </w:tcPr>
          <w:p w14:paraId="6ECE21F9" w14:textId="77777777" w:rsidR="0075524C" w:rsidRPr="00C35766" w:rsidRDefault="0075524C" w:rsidP="00603A86">
            <w:pPr>
              <w:pStyle w:val="TableParagraph"/>
              <w:spacing w:line="246"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74FA4E7B" w14:textId="77777777" w:rsidR="0075524C" w:rsidRPr="00C35766" w:rsidRDefault="0075524C" w:rsidP="00603A86">
            <w:pPr>
              <w:pStyle w:val="TableParagraph"/>
              <w:spacing w:line="252" w:lineRule="exact"/>
              <w:ind w:left="57" w:right="5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N=108</w:t>
            </w:r>
          </w:p>
        </w:tc>
        <w:tc>
          <w:tcPr>
            <w:tcW w:w="1276" w:type="dxa"/>
            <w:tcBorders>
              <w:top w:val="single" w:sz="5" w:space="0" w:color="000000"/>
              <w:left w:val="single" w:sz="5" w:space="0" w:color="000000"/>
              <w:bottom w:val="single" w:sz="5" w:space="0" w:color="000000"/>
              <w:right w:val="single" w:sz="5" w:space="0" w:color="000000"/>
            </w:tcBorders>
          </w:tcPr>
          <w:p w14:paraId="41A1BCCB" w14:textId="77777777" w:rsidR="0075524C" w:rsidRPr="00C35766" w:rsidRDefault="0075524C" w:rsidP="00603A86">
            <w:pPr>
              <w:pStyle w:val="TableParagraph"/>
              <w:spacing w:line="246"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w:t>
            </w:r>
          </w:p>
          <w:p w14:paraId="74D4982D" w14:textId="77777777" w:rsidR="0075524C" w:rsidRPr="00C35766" w:rsidRDefault="0075524C" w:rsidP="00603A86">
            <w:pPr>
              <w:pStyle w:val="TableParagraph"/>
              <w:spacing w:before="1" w:line="254" w:lineRule="exact"/>
              <w:ind w:left="57" w:right="57"/>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t>40 mg a settimane alterne N=109</w:t>
            </w:r>
          </w:p>
        </w:tc>
        <w:tc>
          <w:tcPr>
            <w:tcW w:w="1895" w:type="dxa"/>
            <w:tcBorders>
              <w:top w:val="single" w:sz="5" w:space="0" w:color="000000"/>
              <w:left w:val="single" w:sz="5" w:space="0" w:color="000000"/>
              <w:bottom w:val="single" w:sz="5" w:space="0" w:color="000000"/>
              <w:right w:val="single" w:sz="5" w:space="0" w:color="000000"/>
            </w:tcBorders>
          </w:tcPr>
          <w:p w14:paraId="1ADEEDC9" w14:textId="77777777" w:rsidR="0075524C" w:rsidRPr="00C35766" w:rsidRDefault="0075524C" w:rsidP="00603A86">
            <w:pPr>
              <w:pStyle w:val="TableParagraph"/>
              <w:spacing w:line="246"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Adalimumab</w:t>
            </w:r>
          </w:p>
          <w:p w14:paraId="7555002C" w14:textId="77777777" w:rsidR="0075524C" w:rsidRPr="00C35766" w:rsidRDefault="0075524C" w:rsidP="00603A86">
            <w:pPr>
              <w:pStyle w:val="TableParagraph"/>
              <w:spacing w:before="1" w:line="254" w:lineRule="exact"/>
              <w:ind w:left="113" w:right="113"/>
              <w:jc w:val="center"/>
              <w:rPr>
                <w:rFonts w:ascii="Times New Roman" w:eastAsia="Times New Roman" w:hAnsi="Times New Roman" w:cs="Times New Roman"/>
                <w:lang w:val="it-IT"/>
              </w:rPr>
            </w:pPr>
            <w:r w:rsidRPr="00C35766">
              <w:rPr>
                <w:rFonts w:ascii="Times New Roman" w:eastAsia="Times New Roman" w:hAnsi="Times New Roman" w:cs="Times New Roman"/>
                <w:lang w:val="it-IT"/>
              </w:rPr>
              <w:t xml:space="preserve">40 mg a settimane alterne </w:t>
            </w:r>
          </w:p>
          <w:p w14:paraId="58F4951D" w14:textId="77777777" w:rsidR="0075524C" w:rsidRPr="00C35766" w:rsidRDefault="0075524C" w:rsidP="00603A86">
            <w:pPr>
              <w:pStyle w:val="TableParagraph"/>
              <w:spacing w:before="1" w:line="254" w:lineRule="exact"/>
              <w:ind w:left="113" w:right="113"/>
              <w:jc w:val="center"/>
              <w:rPr>
                <w:rFonts w:ascii="Times New Roman" w:eastAsia="Times New Roman" w:hAnsi="Times New Roman" w:cs="Times New Roman"/>
                <w:lang w:val="pt-BR"/>
              </w:rPr>
            </w:pPr>
            <w:r w:rsidRPr="00C35766">
              <w:rPr>
                <w:rFonts w:ascii="Times New Roman" w:eastAsia="Times New Roman" w:hAnsi="Times New Roman" w:cs="Times New Roman"/>
                <w:lang w:val="it-IT"/>
              </w:rPr>
              <w:t>N=80</w:t>
            </w:r>
          </w:p>
        </w:tc>
      </w:tr>
      <w:tr w:rsidR="0075524C" w:rsidRPr="00C35766" w14:paraId="283B467D" w14:textId="77777777" w:rsidTr="00AF25F1">
        <w:tc>
          <w:tcPr>
            <w:tcW w:w="2578" w:type="dxa"/>
            <w:tcBorders>
              <w:top w:val="single" w:sz="5" w:space="0" w:color="000000"/>
              <w:left w:val="single" w:sz="5" w:space="0" w:color="000000"/>
              <w:bottom w:val="single" w:sz="5" w:space="0" w:color="000000"/>
              <w:right w:val="single" w:sz="5" w:space="0" w:color="000000"/>
            </w:tcBorders>
          </w:tcPr>
          <w:p w14:paraId="14CA44CA"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 mNAPSI 75 (%)</w:t>
            </w:r>
          </w:p>
        </w:tc>
        <w:tc>
          <w:tcPr>
            <w:tcW w:w="1221" w:type="dxa"/>
            <w:tcBorders>
              <w:top w:val="single" w:sz="5" w:space="0" w:color="000000"/>
              <w:left w:val="single" w:sz="5" w:space="0" w:color="000000"/>
              <w:bottom w:val="single" w:sz="5" w:space="0" w:color="000000"/>
              <w:right w:val="single" w:sz="5" w:space="0" w:color="000000"/>
            </w:tcBorders>
          </w:tcPr>
          <w:p w14:paraId="2EBDB002" w14:textId="77777777" w:rsidR="0075524C" w:rsidRPr="00C35766" w:rsidRDefault="0075524C" w:rsidP="00603A86">
            <w:pPr>
              <w:pStyle w:val="TableParagraph"/>
              <w:spacing w:line="246" w:lineRule="exact"/>
              <w:ind w:left="373" w:right="380"/>
              <w:jc w:val="center"/>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330" w:type="dxa"/>
            <w:tcBorders>
              <w:top w:val="single" w:sz="5" w:space="0" w:color="000000"/>
              <w:left w:val="single" w:sz="5" w:space="0" w:color="000000"/>
              <w:bottom w:val="single" w:sz="5" w:space="0" w:color="000000"/>
              <w:right w:val="single" w:sz="5" w:space="0" w:color="000000"/>
            </w:tcBorders>
          </w:tcPr>
          <w:p w14:paraId="3E16002A" w14:textId="77777777" w:rsidR="0075524C" w:rsidRPr="00C35766" w:rsidRDefault="0075524C" w:rsidP="00603A86">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26,0</w:t>
            </w:r>
            <w:r w:rsidRPr="00C35766">
              <w:rPr>
                <w:rFonts w:ascii="Times New Roman" w:eastAsia="Times New Roman" w:hAnsi="Times New Roman" w:cs="Times New Roman"/>
                <w:vertAlign w:val="superscript"/>
                <w:lang w:val="it-IT"/>
              </w:rPr>
              <w:t>a</w:t>
            </w:r>
          </w:p>
        </w:tc>
        <w:tc>
          <w:tcPr>
            <w:tcW w:w="1276" w:type="dxa"/>
            <w:tcBorders>
              <w:top w:val="single" w:sz="5" w:space="0" w:color="000000"/>
              <w:left w:val="single" w:sz="5" w:space="0" w:color="000000"/>
              <w:bottom w:val="single" w:sz="5" w:space="0" w:color="000000"/>
              <w:right w:val="single" w:sz="5" w:space="0" w:color="000000"/>
            </w:tcBorders>
          </w:tcPr>
          <w:p w14:paraId="6D111103" w14:textId="77777777" w:rsidR="0075524C" w:rsidRPr="00C35766" w:rsidRDefault="0075524C" w:rsidP="00603A86">
            <w:pPr>
              <w:pStyle w:val="TableParagraph"/>
              <w:spacing w:line="246" w:lineRule="exact"/>
              <w:ind w:left="327" w:right="334"/>
              <w:jc w:val="center"/>
              <w:rPr>
                <w:rFonts w:ascii="Times New Roman" w:eastAsia="Times New Roman" w:hAnsi="Times New Roman" w:cs="Times New Roman"/>
              </w:rPr>
            </w:pPr>
            <w:r w:rsidRPr="00C35766">
              <w:rPr>
                <w:rFonts w:ascii="Times New Roman" w:eastAsia="Times New Roman" w:hAnsi="Times New Roman" w:cs="Times New Roman"/>
                <w:lang w:val="it-IT"/>
              </w:rPr>
              <w:t>3,4</w:t>
            </w:r>
          </w:p>
        </w:tc>
        <w:tc>
          <w:tcPr>
            <w:tcW w:w="1276" w:type="dxa"/>
            <w:tcBorders>
              <w:top w:val="single" w:sz="5" w:space="0" w:color="000000"/>
              <w:left w:val="single" w:sz="5" w:space="0" w:color="000000"/>
              <w:bottom w:val="single" w:sz="5" w:space="0" w:color="000000"/>
              <w:right w:val="single" w:sz="5" w:space="0" w:color="000000"/>
            </w:tcBorders>
          </w:tcPr>
          <w:p w14:paraId="42C6A46A" w14:textId="77777777" w:rsidR="0075524C" w:rsidRPr="00C35766" w:rsidRDefault="0075524C" w:rsidP="00603A86">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46,6</w:t>
            </w:r>
            <w:r w:rsidRPr="00C35766">
              <w:rPr>
                <w:rFonts w:ascii="Times New Roman" w:eastAsia="Times New Roman" w:hAnsi="Times New Roman" w:cs="Times New Roman"/>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Pr>
          <w:p w14:paraId="599E47F4" w14:textId="77777777" w:rsidR="0075524C" w:rsidRPr="00C35766" w:rsidRDefault="0075524C" w:rsidP="00603A86">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lang w:val="it-IT"/>
              </w:rPr>
              <w:t>65,0</w:t>
            </w:r>
          </w:p>
        </w:tc>
      </w:tr>
      <w:tr w:rsidR="0075524C" w:rsidRPr="00C35766" w14:paraId="6BB2DB0A" w14:textId="77777777" w:rsidTr="00AF25F1">
        <w:tc>
          <w:tcPr>
            <w:tcW w:w="2578" w:type="dxa"/>
            <w:tcBorders>
              <w:top w:val="single" w:sz="5" w:space="0" w:color="000000"/>
              <w:left w:val="single" w:sz="5" w:space="0" w:color="000000"/>
              <w:bottom w:val="single" w:sz="5" w:space="0" w:color="000000"/>
              <w:right w:val="single" w:sz="5" w:space="0" w:color="000000"/>
            </w:tcBorders>
          </w:tcPr>
          <w:p w14:paraId="050C0401" w14:textId="77777777" w:rsidR="0075524C" w:rsidRPr="00C35766" w:rsidRDefault="0075524C" w:rsidP="00603A86">
            <w:pPr>
              <w:pStyle w:val="TableParagraph"/>
              <w:spacing w:line="246" w:lineRule="exact"/>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PGA-F guarigione/marcato miglioramento e </w:t>
            </w:r>
            <w:r w:rsidRPr="00C35766">
              <w:rPr>
                <w:rFonts w:ascii="Times New Roman" w:eastAsia="Times New Roman" w:hAnsi="Times New Roman" w:cs="Times New Roman"/>
                <w:spacing w:val="1"/>
                <w:lang w:val="it-IT"/>
              </w:rPr>
              <w:t>miglioramento di grado ≥ 2(%)</w:t>
            </w:r>
          </w:p>
        </w:tc>
        <w:tc>
          <w:tcPr>
            <w:tcW w:w="1221" w:type="dxa"/>
            <w:tcBorders>
              <w:top w:val="single" w:sz="5" w:space="0" w:color="000000"/>
              <w:left w:val="single" w:sz="5" w:space="0" w:color="000000"/>
              <w:bottom w:val="single" w:sz="5" w:space="0" w:color="000000"/>
              <w:right w:val="single" w:sz="5" w:space="0" w:color="000000"/>
            </w:tcBorders>
          </w:tcPr>
          <w:p w14:paraId="39023EA1" w14:textId="77777777" w:rsidR="0075524C" w:rsidRPr="00C35766" w:rsidRDefault="0075524C" w:rsidP="00603A86">
            <w:pPr>
              <w:pStyle w:val="TableParagraph"/>
              <w:spacing w:line="246" w:lineRule="exact"/>
              <w:ind w:left="373" w:right="380"/>
              <w:jc w:val="center"/>
              <w:rPr>
                <w:rFonts w:ascii="Times New Roman" w:eastAsia="Times New Roman" w:hAnsi="Times New Roman" w:cs="Times New Roman"/>
              </w:rPr>
            </w:pPr>
            <w:r w:rsidRPr="00C35766">
              <w:rPr>
                <w:rFonts w:ascii="Times New Roman" w:eastAsia="Times New Roman" w:hAnsi="Times New Roman" w:cs="Times New Roman"/>
                <w:lang w:val="it-IT"/>
              </w:rPr>
              <w:t>2,9</w:t>
            </w:r>
          </w:p>
        </w:tc>
        <w:tc>
          <w:tcPr>
            <w:tcW w:w="1330" w:type="dxa"/>
            <w:tcBorders>
              <w:top w:val="single" w:sz="5" w:space="0" w:color="000000"/>
              <w:left w:val="single" w:sz="5" w:space="0" w:color="000000"/>
              <w:bottom w:val="single" w:sz="5" w:space="0" w:color="000000"/>
              <w:right w:val="single" w:sz="5" w:space="0" w:color="000000"/>
            </w:tcBorders>
          </w:tcPr>
          <w:p w14:paraId="26297D08" w14:textId="77777777" w:rsidR="0075524C" w:rsidRPr="00C35766" w:rsidRDefault="0075524C" w:rsidP="00603A86">
            <w:pPr>
              <w:pStyle w:val="TableParagraph"/>
              <w:spacing w:line="246" w:lineRule="exact"/>
              <w:ind w:left="397"/>
              <w:rPr>
                <w:rFonts w:ascii="Times New Roman" w:eastAsia="Times New Roman" w:hAnsi="Times New Roman" w:cs="Times New Roman"/>
              </w:rPr>
            </w:pPr>
            <w:r w:rsidRPr="00C35766">
              <w:rPr>
                <w:rFonts w:ascii="Times New Roman" w:eastAsia="Times New Roman" w:hAnsi="Times New Roman" w:cs="Times New Roman"/>
                <w:lang w:val="it-IT"/>
              </w:rPr>
              <w:t>29,7</w:t>
            </w:r>
            <w:r w:rsidRPr="00C35766">
              <w:rPr>
                <w:rFonts w:ascii="Times New Roman" w:eastAsia="Times New Roman" w:hAnsi="Times New Roman" w:cs="Times New Roman"/>
                <w:vertAlign w:val="superscript"/>
                <w:lang w:val="it-IT"/>
              </w:rPr>
              <w:t>a</w:t>
            </w:r>
          </w:p>
        </w:tc>
        <w:tc>
          <w:tcPr>
            <w:tcW w:w="1276" w:type="dxa"/>
            <w:tcBorders>
              <w:top w:val="single" w:sz="5" w:space="0" w:color="000000"/>
              <w:left w:val="single" w:sz="5" w:space="0" w:color="000000"/>
              <w:bottom w:val="single" w:sz="5" w:space="0" w:color="000000"/>
              <w:right w:val="single" w:sz="5" w:space="0" w:color="000000"/>
            </w:tcBorders>
          </w:tcPr>
          <w:p w14:paraId="20AE6DE1" w14:textId="77777777" w:rsidR="0075524C" w:rsidRPr="00C35766" w:rsidRDefault="0075524C" w:rsidP="00603A86">
            <w:pPr>
              <w:pStyle w:val="TableParagraph"/>
              <w:spacing w:line="246" w:lineRule="exact"/>
              <w:ind w:left="327" w:right="334"/>
              <w:jc w:val="center"/>
              <w:rPr>
                <w:rFonts w:ascii="Times New Roman" w:eastAsia="Times New Roman" w:hAnsi="Times New Roman" w:cs="Times New Roman"/>
              </w:rPr>
            </w:pPr>
            <w:r w:rsidRPr="00C35766">
              <w:rPr>
                <w:rFonts w:ascii="Times New Roman" w:eastAsia="Times New Roman" w:hAnsi="Times New Roman" w:cs="Times New Roman"/>
                <w:lang w:val="it-IT"/>
              </w:rPr>
              <w:t>6,9</w:t>
            </w:r>
          </w:p>
        </w:tc>
        <w:tc>
          <w:tcPr>
            <w:tcW w:w="1276" w:type="dxa"/>
            <w:tcBorders>
              <w:top w:val="single" w:sz="5" w:space="0" w:color="000000"/>
              <w:left w:val="single" w:sz="5" w:space="0" w:color="000000"/>
              <w:bottom w:val="single" w:sz="5" w:space="0" w:color="000000"/>
              <w:right w:val="single" w:sz="5" w:space="0" w:color="000000"/>
            </w:tcBorders>
          </w:tcPr>
          <w:p w14:paraId="5EBA1FA3" w14:textId="77777777" w:rsidR="0075524C" w:rsidRPr="00C35766" w:rsidRDefault="0075524C" w:rsidP="00603A86">
            <w:pPr>
              <w:pStyle w:val="TableParagraph"/>
              <w:spacing w:line="246" w:lineRule="exact"/>
              <w:ind w:left="399"/>
              <w:rPr>
                <w:rFonts w:ascii="Times New Roman" w:eastAsia="Times New Roman" w:hAnsi="Times New Roman" w:cs="Times New Roman"/>
              </w:rPr>
            </w:pPr>
            <w:r w:rsidRPr="00C35766">
              <w:rPr>
                <w:rFonts w:ascii="Times New Roman" w:eastAsia="Times New Roman" w:hAnsi="Times New Roman" w:cs="Times New Roman"/>
                <w:lang w:val="it-IT"/>
              </w:rPr>
              <w:t>48,9</w:t>
            </w:r>
            <w:r w:rsidRPr="00C35766">
              <w:rPr>
                <w:rFonts w:ascii="Times New Roman" w:eastAsia="Times New Roman" w:hAnsi="Times New Roman" w:cs="Times New Roman"/>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Pr>
          <w:p w14:paraId="255C9452" w14:textId="77777777" w:rsidR="0075524C" w:rsidRPr="00C35766" w:rsidRDefault="0075524C" w:rsidP="00603A86">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61,3</w:t>
            </w:r>
          </w:p>
        </w:tc>
      </w:tr>
      <w:tr w:rsidR="0075524C" w:rsidRPr="00C35766" w14:paraId="4ED2B38F" w14:textId="77777777" w:rsidTr="00AF25F1">
        <w:tc>
          <w:tcPr>
            <w:tcW w:w="2578" w:type="dxa"/>
            <w:tcBorders>
              <w:top w:val="single" w:sz="5" w:space="0" w:color="000000"/>
              <w:left w:val="single" w:sz="5" w:space="0" w:color="000000"/>
              <w:bottom w:val="single" w:sz="5" w:space="0" w:color="000000"/>
              <w:right w:val="single" w:sz="5" w:space="0" w:color="000000"/>
            </w:tcBorders>
          </w:tcPr>
          <w:p w14:paraId="4789F2E3" w14:textId="77777777" w:rsidR="0075524C" w:rsidRPr="00C35766" w:rsidRDefault="0075524C" w:rsidP="00603A86">
            <w:pPr>
              <w:pStyle w:val="TableParagraph"/>
              <w:spacing w:line="246" w:lineRule="exact"/>
              <w:ind w:left="102"/>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Variazione percentuale nel punteggio NAPSI totale (%)</w:t>
            </w:r>
          </w:p>
        </w:tc>
        <w:tc>
          <w:tcPr>
            <w:tcW w:w="1221" w:type="dxa"/>
            <w:tcBorders>
              <w:top w:val="single" w:sz="5" w:space="0" w:color="000000"/>
              <w:left w:val="single" w:sz="5" w:space="0" w:color="000000"/>
              <w:bottom w:val="single" w:sz="5" w:space="0" w:color="000000"/>
              <w:right w:val="single" w:sz="5" w:space="0" w:color="000000"/>
            </w:tcBorders>
          </w:tcPr>
          <w:p w14:paraId="1237C9CE" w14:textId="77777777" w:rsidR="0075524C" w:rsidRPr="00C35766" w:rsidRDefault="0075524C" w:rsidP="00603A86">
            <w:pPr>
              <w:pStyle w:val="TableParagraph"/>
              <w:spacing w:line="246" w:lineRule="exact"/>
              <w:ind w:left="337" w:right="346"/>
              <w:jc w:val="center"/>
              <w:rPr>
                <w:rFonts w:ascii="Times New Roman" w:eastAsia="Times New Roman" w:hAnsi="Times New Roman" w:cs="Times New Roman"/>
              </w:rPr>
            </w:pPr>
            <w:r w:rsidRPr="00C35766">
              <w:rPr>
                <w:rFonts w:ascii="Times New Roman" w:eastAsia="Times New Roman" w:hAnsi="Times New Roman" w:cs="Times New Roman"/>
                <w:spacing w:val="-4"/>
                <w:lang w:val="it-IT"/>
              </w:rPr>
              <w:t>-7,8</w:t>
            </w:r>
          </w:p>
        </w:tc>
        <w:tc>
          <w:tcPr>
            <w:tcW w:w="1330" w:type="dxa"/>
            <w:tcBorders>
              <w:top w:val="single" w:sz="5" w:space="0" w:color="000000"/>
              <w:left w:val="single" w:sz="5" w:space="0" w:color="000000"/>
              <w:bottom w:val="single" w:sz="5" w:space="0" w:color="000000"/>
              <w:right w:val="single" w:sz="5" w:space="0" w:color="000000"/>
            </w:tcBorders>
          </w:tcPr>
          <w:p w14:paraId="0145A76D" w14:textId="77777777" w:rsidR="0075524C" w:rsidRPr="00C35766" w:rsidRDefault="0075524C" w:rsidP="00603A86">
            <w:pPr>
              <w:pStyle w:val="TableParagraph"/>
              <w:spacing w:line="246" w:lineRule="exact"/>
              <w:ind w:left="344"/>
              <w:rPr>
                <w:rFonts w:ascii="Times New Roman" w:eastAsia="Times New Roman" w:hAnsi="Times New Roman" w:cs="Times New Roman"/>
              </w:rPr>
            </w:pPr>
            <w:r w:rsidRPr="00C35766">
              <w:rPr>
                <w:rFonts w:ascii="Times New Roman" w:eastAsia="Times New Roman" w:hAnsi="Times New Roman" w:cs="Times New Roman"/>
                <w:spacing w:val="-4"/>
                <w:lang w:val="it-IT"/>
              </w:rPr>
              <w:t>-44,2</w:t>
            </w:r>
            <w:r w:rsidRPr="00C35766">
              <w:rPr>
                <w:rFonts w:ascii="Times New Roman" w:eastAsia="Times New Roman" w:hAnsi="Times New Roman" w:cs="Times New Roman"/>
                <w:spacing w:val="-4"/>
                <w:vertAlign w:val="superscript"/>
                <w:lang w:val="it-IT"/>
              </w:rPr>
              <w:t>a</w:t>
            </w:r>
          </w:p>
        </w:tc>
        <w:tc>
          <w:tcPr>
            <w:tcW w:w="1276" w:type="dxa"/>
            <w:tcBorders>
              <w:top w:val="single" w:sz="5" w:space="0" w:color="000000"/>
              <w:left w:val="single" w:sz="5" w:space="0" w:color="000000"/>
              <w:bottom w:val="single" w:sz="5" w:space="0" w:color="000000"/>
              <w:right w:val="single" w:sz="5" w:space="0" w:color="000000"/>
            </w:tcBorders>
          </w:tcPr>
          <w:p w14:paraId="6834ADED" w14:textId="77777777" w:rsidR="0075524C" w:rsidRPr="00C35766" w:rsidRDefault="0075524C" w:rsidP="00603A86">
            <w:pPr>
              <w:pStyle w:val="TableParagraph"/>
              <w:spacing w:line="246" w:lineRule="exact"/>
              <w:ind w:left="255"/>
              <w:rPr>
                <w:rFonts w:ascii="Times New Roman" w:eastAsia="Times New Roman" w:hAnsi="Times New Roman" w:cs="Times New Roman"/>
              </w:rPr>
            </w:pPr>
            <w:r w:rsidRPr="00C35766">
              <w:rPr>
                <w:rFonts w:ascii="Times New Roman" w:eastAsia="Times New Roman" w:hAnsi="Times New Roman" w:cs="Times New Roman"/>
                <w:spacing w:val="-4"/>
                <w:lang w:val="it-IT"/>
              </w:rPr>
              <w:t>-11,5</w:t>
            </w:r>
          </w:p>
        </w:tc>
        <w:tc>
          <w:tcPr>
            <w:tcW w:w="1276" w:type="dxa"/>
            <w:tcBorders>
              <w:top w:val="single" w:sz="5" w:space="0" w:color="000000"/>
              <w:left w:val="single" w:sz="5" w:space="0" w:color="000000"/>
              <w:bottom w:val="single" w:sz="5" w:space="0" w:color="000000"/>
              <w:right w:val="single" w:sz="5" w:space="0" w:color="000000"/>
            </w:tcBorders>
          </w:tcPr>
          <w:p w14:paraId="4801592E" w14:textId="77777777" w:rsidR="0075524C" w:rsidRPr="00C35766" w:rsidRDefault="0075524C" w:rsidP="00603A86">
            <w:pPr>
              <w:pStyle w:val="TableParagraph"/>
              <w:spacing w:line="246" w:lineRule="exact"/>
              <w:ind w:left="363"/>
              <w:rPr>
                <w:rFonts w:ascii="Times New Roman" w:eastAsia="Times New Roman" w:hAnsi="Times New Roman" w:cs="Times New Roman"/>
              </w:rPr>
            </w:pPr>
            <w:r w:rsidRPr="00C35766">
              <w:rPr>
                <w:rFonts w:ascii="Times New Roman" w:eastAsia="Times New Roman" w:hAnsi="Times New Roman" w:cs="Times New Roman"/>
                <w:spacing w:val="-4"/>
                <w:lang w:val="it-IT"/>
              </w:rPr>
              <w:t>-56,2</w:t>
            </w:r>
            <w:r w:rsidRPr="00C35766">
              <w:rPr>
                <w:rFonts w:ascii="Times New Roman" w:eastAsia="Times New Roman" w:hAnsi="Times New Roman" w:cs="Times New Roman"/>
                <w:spacing w:val="-4"/>
                <w:vertAlign w:val="superscript"/>
                <w:lang w:val="it-IT"/>
              </w:rPr>
              <w:t>a</w:t>
            </w:r>
          </w:p>
        </w:tc>
        <w:tc>
          <w:tcPr>
            <w:tcW w:w="1895" w:type="dxa"/>
            <w:tcBorders>
              <w:top w:val="single" w:sz="5" w:space="0" w:color="000000"/>
              <w:left w:val="single" w:sz="5" w:space="0" w:color="000000"/>
              <w:bottom w:val="single" w:sz="5" w:space="0" w:color="000000"/>
              <w:right w:val="single" w:sz="5" w:space="0" w:color="000000"/>
            </w:tcBorders>
          </w:tcPr>
          <w:p w14:paraId="76C71738" w14:textId="77777777" w:rsidR="0075524C" w:rsidRPr="00C35766" w:rsidRDefault="0075524C" w:rsidP="00603A86">
            <w:pPr>
              <w:pStyle w:val="TableParagraph"/>
              <w:spacing w:line="246" w:lineRule="exact"/>
              <w:ind w:left="425" w:right="478"/>
              <w:jc w:val="center"/>
              <w:rPr>
                <w:rFonts w:ascii="Times New Roman" w:eastAsia="Times New Roman" w:hAnsi="Times New Roman" w:cs="Times New Roman"/>
              </w:rPr>
            </w:pPr>
            <w:r w:rsidRPr="00C35766">
              <w:rPr>
                <w:rFonts w:ascii="Times New Roman" w:eastAsia="Times New Roman" w:hAnsi="Times New Roman" w:cs="Times New Roman"/>
              </w:rPr>
              <w:t>-72,2</w:t>
            </w:r>
          </w:p>
        </w:tc>
      </w:tr>
      <w:tr w:rsidR="0075524C" w:rsidRPr="00C35766" w14:paraId="0A2BFF2A" w14:textId="77777777" w:rsidTr="00603A86">
        <w:tc>
          <w:tcPr>
            <w:tcW w:w="9576" w:type="dxa"/>
            <w:gridSpan w:val="6"/>
            <w:tcBorders>
              <w:top w:val="single" w:sz="5" w:space="0" w:color="000000"/>
              <w:left w:val="single" w:sz="5" w:space="0" w:color="000000"/>
              <w:bottom w:val="single" w:sz="5" w:space="0" w:color="000000"/>
              <w:right w:val="single" w:sz="5" w:space="0" w:color="000000"/>
            </w:tcBorders>
          </w:tcPr>
          <w:p w14:paraId="043F444D" w14:textId="77777777" w:rsidR="0075524C" w:rsidRPr="00C35766" w:rsidRDefault="0075524C" w:rsidP="00603A86">
            <w:pPr>
              <w:pStyle w:val="TableParagraph"/>
              <w:ind w:left="102"/>
              <w:rPr>
                <w:rFonts w:ascii="Times New Roman" w:eastAsia="Times New Roman" w:hAnsi="Times New Roman" w:cs="Times New Roman"/>
              </w:rPr>
            </w:pPr>
            <w:r w:rsidRPr="00C35766">
              <w:rPr>
                <w:rFonts w:ascii="Times New Roman" w:hAnsi="Times New Roman" w:cs="Times New Roman"/>
                <w:position w:val="8"/>
                <w:vertAlign w:val="superscript"/>
              </w:rPr>
              <w:t>a</w:t>
            </w:r>
            <w:r w:rsidRPr="00C35766">
              <w:rPr>
                <w:rFonts w:ascii="Times New Roman" w:hAnsi="Times New Roman" w:cs="Times New Roman"/>
                <w:position w:val="8"/>
              </w:rPr>
              <w:t xml:space="preserve"> p &lt; 0,001, adalimumab </w:t>
            </w:r>
            <w:r w:rsidRPr="00C35766">
              <w:rPr>
                <w:rFonts w:ascii="Times New Roman" w:hAnsi="Times New Roman" w:cs="Times New Roman"/>
                <w:i/>
                <w:position w:val="8"/>
              </w:rPr>
              <w:t xml:space="preserve">vs. </w:t>
            </w:r>
            <w:r w:rsidRPr="00C35766">
              <w:rPr>
                <w:rFonts w:ascii="Times New Roman" w:hAnsi="Times New Roman" w:cs="Times New Roman"/>
                <w:position w:val="8"/>
              </w:rPr>
              <w:t>placebo</w:t>
            </w:r>
          </w:p>
        </w:tc>
      </w:tr>
    </w:tbl>
    <w:p w14:paraId="54E8A2C8" w14:textId="77777777" w:rsidR="0075524C" w:rsidRPr="00C35766" w:rsidRDefault="0075524C" w:rsidP="0075524C">
      <w:pPr>
        <w:spacing w:before="5" w:line="170" w:lineRule="exact"/>
        <w:rPr>
          <w:rFonts w:ascii="Times New Roman" w:hAnsi="Times New Roman" w:cs="Times New Roman"/>
          <w:sz w:val="17"/>
          <w:szCs w:val="17"/>
        </w:rPr>
      </w:pPr>
    </w:p>
    <w:p w14:paraId="7BB9B928" w14:textId="77777777" w:rsidR="0075524C" w:rsidRPr="00C35766" w:rsidRDefault="0075524C" w:rsidP="0075524C">
      <w:pPr>
        <w:pStyle w:val="a3"/>
        <w:rPr>
          <w:lang w:val="it-IT"/>
        </w:rPr>
      </w:pPr>
      <w:r w:rsidRPr="00C35766">
        <w:rPr>
          <w:rFonts w:eastAsia="Times New Roman"/>
          <w:lang w:val="it-IT"/>
        </w:rPr>
        <w:t>I pazienti trattati con adalimumab hanno mostrato miglioramenti statisticamente significativi alla settimana 26 rispetto al placebo nel DLQI.</w:t>
      </w:r>
    </w:p>
    <w:p w14:paraId="1F011FF4" w14:textId="77777777" w:rsidR="0075524C" w:rsidRPr="00C35766" w:rsidRDefault="0075524C" w:rsidP="0075524C">
      <w:pPr>
        <w:pStyle w:val="a3"/>
        <w:rPr>
          <w:sz w:val="24"/>
          <w:szCs w:val="24"/>
          <w:lang w:val="it-IT"/>
        </w:rPr>
      </w:pPr>
    </w:p>
    <w:p w14:paraId="323E7303" w14:textId="45DA3C61" w:rsidR="0075524C" w:rsidRPr="005C2D5B" w:rsidRDefault="00F729F7" w:rsidP="0075524C">
      <w:pPr>
        <w:pStyle w:val="a3"/>
        <w:rPr>
          <w:rFonts w:eastAsia="Times New Roman"/>
          <w:i/>
          <w:iCs/>
          <w:spacing w:val="-1"/>
          <w:lang w:val="it-IT"/>
        </w:rPr>
      </w:pPr>
      <w:r w:rsidRPr="005C2D5B">
        <w:rPr>
          <w:rFonts w:eastAsia="Times New Roman"/>
          <w:i/>
          <w:iCs/>
          <w:spacing w:val="-1"/>
          <w:lang w:val="it-IT"/>
        </w:rPr>
        <w:t>Malattia di Crohn negli adulti</w:t>
      </w:r>
    </w:p>
    <w:p w14:paraId="20CF0F23" w14:textId="77777777" w:rsidR="0075524C" w:rsidRPr="00C35766" w:rsidRDefault="0075524C" w:rsidP="0075524C">
      <w:pPr>
        <w:pStyle w:val="a3"/>
        <w:rPr>
          <w:sz w:val="24"/>
          <w:szCs w:val="24"/>
          <w:lang w:val="it-IT"/>
        </w:rPr>
      </w:pPr>
    </w:p>
    <w:p w14:paraId="42846B69" w14:textId="77777777" w:rsidR="0075524C" w:rsidRPr="00C35766" w:rsidRDefault="0075524C" w:rsidP="0075524C">
      <w:pPr>
        <w:pStyle w:val="a3"/>
        <w:rPr>
          <w:lang w:val="it-IT"/>
        </w:rPr>
      </w:pPr>
      <w:r w:rsidRPr="00C35766">
        <w:rPr>
          <w:rFonts w:eastAsia="Times New Roman"/>
          <w:lang w:val="it-IT"/>
        </w:rPr>
        <w:t xml:space="preserve">La sicurezza e l’efficacia di adalimumab sono state valutate in oltre 1.500 pazienti affetti da malattia di Crohn, da moderatamente a severamente attiva (Crohn’s Disease Activity Index = indice di attività della malattia di Crohn (CDAI)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220 e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450) in studi randomizzati, in doppio cieco, controllati con placebo. È stata consentita la somministrazione concomitante di dosi costanti di aminosalicilati, di corticosteroidi, e/o di agenti immunomodulatori e l’80% dei pazienti ha continuato ad assumere almeno uno di questi farmaci.</w:t>
      </w:r>
    </w:p>
    <w:p w14:paraId="6D196FBC" w14:textId="77777777" w:rsidR="0075524C" w:rsidRPr="00C35766" w:rsidRDefault="0075524C" w:rsidP="0075524C">
      <w:pPr>
        <w:pStyle w:val="a3"/>
        <w:rPr>
          <w:sz w:val="24"/>
          <w:szCs w:val="24"/>
          <w:lang w:val="it-IT"/>
        </w:rPr>
      </w:pPr>
    </w:p>
    <w:p w14:paraId="03E08247" w14:textId="77777777" w:rsidR="0075524C" w:rsidRPr="00C35766" w:rsidRDefault="0075524C" w:rsidP="0075524C">
      <w:pPr>
        <w:pStyle w:val="a3"/>
        <w:rPr>
          <w:lang w:val="it-IT"/>
        </w:rPr>
      </w:pPr>
      <w:r w:rsidRPr="00C35766">
        <w:rPr>
          <w:rFonts w:eastAsia="Times New Roman"/>
          <w:lang w:val="it-IT"/>
        </w:rPr>
        <w:t>L’induzione della remissione clinica (definita come CDAI &lt; 150) è stata valutata in due studi, studio CD I (CLASSIC I) e studio CD II (GAIN). Nello studio CD I, 299 pazienti mai trattati con anti-TNF sono stati randomizzati ad uno dei quattro gruppi di trattamento; il gruppo trattato con placebo alla settimana 0 e 2, il gruppo trattato con 160 mg di adalimumab alla settimana 0 e con 80 mg alla settimana 2, il gruppo trattato con 80 mg alla settimana 0 e 40 mg alla settimana 2, e il gruppo trattato con 40 mg alla settimana 0 e 20 mg alla settimana 2. Nello studio CD II, 325 pazienti che avevano perso la risposta o si sono rivelati intolleranti ad infliximab sono stati randomizzati per ricevere160 mg di adalimumab alla settimana 0 ed 80 mg di adalimumab alla settimana 2 oppure placebo alla settimana 0 ed alla settimana 2. I non-responder primari sono stati esclusi dagli studi e, di conseguenza, questi pazienti non sono stati sottoposti ad ulteriori valutazioni.</w:t>
      </w:r>
    </w:p>
    <w:p w14:paraId="56F27E63" w14:textId="77777777" w:rsidR="0075524C" w:rsidRPr="00C35766" w:rsidRDefault="0075524C" w:rsidP="0075524C">
      <w:pPr>
        <w:pStyle w:val="a3"/>
        <w:rPr>
          <w:sz w:val="24"/>
          <w:szCs w:val="24"/>
          <w:lang w:val="it-IT"/>
        </w:rPr>
      </w:pPr>
    </w:p>
    <w:p w14:paraId="2FE77654" w14:textId="77777777" w:rsidR="0075524C" w:rsidRPr="00C35766" w:rsidRDefault="0075524C" w:rsidP="0075524C">
      <w:pPr>
        <w:pStyle w:val="a3"/>
        <w:rPr>
          <w:lang w:val="es-ES"/>
        </w:rPr>
      </w:pPr>
      <w:r w:rsidRPr="00C35766">
        <w:rPr>
          <w:rFonts w:eastAsia="Times New Roman"/>
          <w:lang w:val="it-IT"/>
        </w:rPr>
        <w:t xml:space="preserve">Il mantenimento della remissione clinica è stato valutato nello studio CD III (CHARM). Nello studio CD III, 854 pazienti hanno ricevuto in aperto 80 mg di adalimumab alla settimana 0 e 40 mg alla settimana 2. Alla settimana 4, i pazienti sono stati randomizzati per ricevere 40 mg a settimane alterne, 40 mg ogni settimana, oppure il placebo; la durata totale dello studio è stata pari a 56 settimane. I pazienti che hanno manifestato una risposta clinica (diminuzione dell’indice CDAI ≥ 70) alla settimana 4 sono stati stratificati ed analizzati </w:t>
      </w:r>
      <w:r w:rsidRPr="00C35766">
        <w:rPr>
          <w:rFonts w:eastAsia="Times New Roman"/>
          <w:lang w:val="it-IT"/>
        </w:rPr>
        <w:lastRenderedPageBreak/>
        <w:t>separatamente da coloro che non hanno manifestato una risposta clinica alla settimana 4. È stata consentita una riduzione graduale della dose di corticosteroidi dopo la settimana 8.</w:t>
      </w:r>
    </w:p>
    <w:p w14:paraId="5DB3509A" w14:textId="77777777" w:rsidR="0075524C" w:rsidRPr="00C35766" w:rsidRDefault="0075524C" w:rsidP="0075524C">
      <w:pPr>
        <w:spacing w:before="11" w:line="240" w:lineRule="exact"/>
        <w:rPr>
          <w:rFonts w:ascii="Times New Roman" w:hAnsi="Times New Roman" w:cs="Times New Roman"/>
          <w:sz w:val="24"/>
          <w:szCs w:val="24"/>
          <w:lang w:val="es-ES"/>
        </w:rPr>
      </w:pPr>
    </w:p>
    <w:p w14:paraId="432806DA" w14:textId="1BF93D63" w:rsidR="0075524C" w:rsidRPr="00C35766" w:rsidRDefault="0075524C" w:rsidP="0075524C">
      <w:pPr>
        <w:pStyle w:val="a3"/>
        <w:rPr>
          <w:lang w:val="es-ES"/>
        </w:rPr>
      </w:pPr>
      <w:r w:rsidRPr="00C35766">
        <w:rPr>
          <w:rFonts w:eastAsia="Times New Roman"/>
          <w:lang w:val="it-IT"/>
        </w:rPr>
        <w:t xml:space="preserve">Le percentuali relative all’induzione della remissione e della risposta clinica dello studio CD I e dello studio CD II sono riportate nella Tabella </w:t>
      </w:r>
      <w:r w:rsidR="00F729F7">
        <w:rPr>
          <w:rFonts w:eastAsia="Times New Roman"/>
          <w:lang w:val="it-IT"/>
        </w:rPr>
        <w:t>14</w:t>
      </w:r>
      <w:r w:rsidRPr="00C35766">
        <w:rPr>
          <w:rFonts w:eastAsia="Times New Roman"/>
          <w:lang w:val="it-IT"/>
        </w:rPr>
        <w:t>.</w:t>
      </w:r>
    </w:p>
    <w:p w14:paraId="20904051" w14:textId="77777777" w:rsidR="005A5DEF" w:rsidRDefault="005A5DEF" w:rsidP="0075524C">
      <w:pPr>
        <w:pStyle w:val="a3"/>
        <w:jc w:val="center"/>
        <w:rPr>
          <w:rFonts w:eastAsia="Times New Roman"/>
          <w:b/>
          <w:bCs/>
          <w:lang w:val="it-IT"/>
        </w:rPr>
      </w:pPr>
    </w:p>
    <w:p w14:paraId="7BD74175" w14:textId="5C7F73F4"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14</w:t>
      </w:r>
    </w:p>
    <w:p w14:paraId="0BF72137" w14:textId="77777777" w:rsidR="0075524C" w:rsidRDefault="0075524C" w:rsidP="0075524C">
      <w:pPr>
        <w:pStyle w:val="a3"/>
        <w:jc w:val="center"/>
        <w:rPr>
          <w:rFonts w:eastAsia="Times New Roman"/>
          <w:b/>
          <w:bCs/>
          <w:lang w:val="it-IT"/>
        </w:rPr>
      </w:pPr>
      <w:r w:rsidRPr="00C35766">
        <w:rPr>
          <w:rFonts w:eastAsia="Times New Roman"/>
          <w:b/>
          <w:bCs/>
          <w:lang w:val="it-IT"/>
        </w:rPr>
        <w:t>Induzione della remissione e della risposta clinica (percentuale di pazienti)</w:t>
      </w:r>
    </w:p>
    <w:p w14:paraId="19942368" w14:textId="77777777" w:rsidR="005A5DEF" w:rsidRPr="00C35766" w:rsidRDefault="005A5DEF" w:rsidP="0075524C">
      <w:pPr>
        <w:pStyle w:val="a3"/>
        <w:jc w:val="center"/>
        <w:rPr>
          <w:b/>
          <w:lang w:val="it-IT"/>
        </w:rPr>
      </w:pPr>
    </w:p>
    <w:p w14:paraId="22C1EA43" w14:textId="77777777" w:rsidR="0075524C" w:rsidRPr="00C35766" w:rsidRDefault="0075524C" w:rsidP="0075524C">
      <w:pPr>
        <w:spacing w:before="3" w:line="10" w:lineRule="exact"/>
        <w:rPr>
          <w:rFonts w:ascii="Times New Roman" w:hAnsi="Times New Roman" w:cs="Times New Roman"/>
          <w:sz w:val="4"/>
          <w:lang w:val="it-IT"/>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75524C" w:rsidRPr="003557F0" w14:paraId="1589F28E" w14:textId="77777777" w:rsidTr="00603A86">
        <w:tc>
          <w:tcPr>
            <w:tcW w:w="2311" w:type="dxa"/>
            <w:tcBorders>
              <w:top w:val="single" w:sz="5" w:space="0" w:color="000000"/>
              <w:left w:val="single" w:sz="5" w:space="0" w:color="000000"/>
              <w:bottom w:val="single" w:sz="5" w:space="0" w:color="000000"/>
              <w:right w:val="single" w:sz="5" w:space="0" w:color="000000"/>
            </w:tcBorders>
          </w:tcPr>
          <w:p w14:paraId="0444D76C" w14:textId="77777777" w:rsidR="0075524C" w:rsidRPr="00C35766" w:rsidRDefault="0075524C" w:rsidP="00603A86">
            <w:pPr>
              <w:rPr>
                <w:rFonts w:ascii="Times New Roman" w:hAnsi="Times New Roman" w:cs="Times New Roman"/>
                <w:lang w:val="it-IT"/>
              </w:rPr>
            </w:pPr>
          </w:p>
        </w:tc>
        <w:tc>
          <w:tcPr>
            <w:tcW w:w="3779" w:type="dxa"/>
            <w:gridSpan w:val="3"/>
            <w:tcBorders>
              <w:top w:val="single" w:sz="5" w:space="0" w:color="000000"/>
              <w:left w:val="single" w:sz="5" w:space="0" w:color="000000"/>
              <w:bottom w:val="single" w:sz="5" w:space="0" w:color="000000"/>
              <w:right w:val="single" w:sz="5" w:space="0" w:color="000000"/>
            </w:tcBorders>
          </w:tcPr>
          <w:p w14:paraId="6008FDDC" w14:textId="77777777" w:rsidR="0075524C" w:rsidRPr="00C35766" w:rsidRDefault="0075524C" w:rsidP="00603A86">
            <w:pPr>
              <w:pStyle w:val="TableParagraph"/>
              <w:spacing w:before="39" w:line="240" w:lineRule="exact"/>
              <w:ind w:left="102" w:right="15"/>
              <w:rPr>
                <w:rFonts w:ascii="Times New Roman" w:hAnsi="Times New Roman" w:cs="Times New Roman"/>
                <w:lang w:val="it-IT"/>
              </w:rPr>
            </w:pPr>
            <w:r w:rsidRPr="00C35766">
              <w:rPr>
                <w:rFonts w:ascii="Times New Roman" w:eastAsia="Times New Roman" w:hAnsi="Times New Roman" w:cs="Times New Roman"/>
                <w:b/>
                <w:bCs/>
                <w:spacing w:val="-1"/>
                <w:lang w:val="it-IT"/>
              </w:rPr>
              <w:t>Studio CD I: pazienti mai trattati con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53FFC088" w14:textId="77777777" w:rsidR="0075524C" w:rsidRPr="00C35766" w:rsidRDefault="0075524C" w:rsidP="00603A86">
            <w:pPr>
              <w:pStyle w:val="TableParagraph"/>
              <w:spacing w:before="39" w:line="240" w:lineRule="exact"/>
              <w:ind w:left="102"/>
              <w:rPr>
                <w:rFonts w:ascii="Times New Roman" w:hAnsi="Times New Roman" w:cs="Times New Roman"/>
                <w:lang w:val="it-IT"/>
              </w:rPr>
            </w:pPr>
            <w:r w:rsidRPr="00C35766">
              <w:rPr>
                <w:rFonts w:ascii="Times New Roman" w:eastAsia="Times New Roman" w:hAnsi="Times New Roman" w:cs="Times New Roman"/>
                <w:b/>
                <w:bCs/>
                <w:spacing w:val="-1"/>
                <w:lang w:val="it-IT"/>
              </w:rPr>
              <w:t>Studio CD II: Pazienti precedentemente trattati con Infliximab</w:t>
            </w:r>
          </w:p>
        </w:tc>
      </w:tr>
      <w:tr w:rsidR="0075524C" w:rsidRPr="00C35766" w14:paraId="71C607A6" w14:textId="77777777" w:rsidTr="00603A86">
        <w:tc>
          <w:tcPr>
            <w:tcW w:w="2311" w:type="dxa"/>
            <w:tcBorders>
              <w:top w:val="single" w:sz="5" w:space="0" w:color="000000"/>
              <w:left w:val="single" w:sz="5" w:space="0" w:color="000000"/>
              <w:bottom w:val="single" w:sz="5" w:space="0" w:color="000000"/>
              <w:right w:val="single" w:sz="5" w:space="0" w:color="000000"/>
            </w:tcBorders>
          </w:tcPr>
          <w:p w14:paraId="682B008F" w14:textId="77777777" w:rsidR="0075524C" w:rsidRPr="00C35766" w:rsidRDefault="0075524C" w:rsidP="00603A86">
            <w:pPr>
              <w:rPr>
                <w:rFonts w:ascii="Times New Roman" w:hAnsi="Times New Roman" w:cs="Times New Roman"/>
                <w:lang w:val="it-IT"/>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54C15905" w14:textId="77777777" w:rsidR="0075524C" w:rsidRPr="00C35766" w:rsidRDefault="0075524C" w:rsidP="00603A86">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18810450" w14:textId="77777777" w:rsidR="0075524C" w:rsidRPr="00C35766" w:rsidRDefault="0075524C" w:rsidP="00603A86">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288F2F54" w14:textId="77777777" w:rsidR="0075524C" w:rsidRPr="00C35766" w:rsidRDefault="0075524C" w:rsidP="00603A86">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 xml:space="preserve">Adalimumab 80/40 mg </w:t>
            </w:r>
            <w:r w:rsidRPr="00C35766">
              <w:rPr>
                <w:rFonts w:ascii="Times New Roman" w:eastAsia="Times New Roman" w:hAnsi="Times New Roman" w:cs="Times New Roman"/>
                <w:b/>
                <w:bCs/>
                <w:lang w:val="it-IT"/>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1817812F" w14:textId="77777777" w:rsidR="0075524C" w:rsidRPr="00C35766" w:rsidRDefault="0075524C" w:rsidP="00603A86">
            <w:pPr>
              <w:pStyle w:val="TableParagraph"/>
              <w:spacing w:before="24" w:line="24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58C3AF7B" w14:textId="77777777" w:rsidR="0075524C" w:rsidRPr="00C35766" w:rsidRDefault="0075524C" w:rsidP="00603A86">
            <w:pPr>
              <w:pStyle w:val="TableParagraph"/>
              <w:spacing w:before="24" w:line="24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662FDF7E" w14:textId="77777777" w:rsidR="0075524C" w:rsidRPr="00C35766" w:rsidRDefault="0075524C" w:rsidP="00603A86">
            <w:pPr>
              <w:pStyle w:val="TableParagraph"/>
              <w:spacing w:before="24" w:line="268" w:lineRule="auto"/>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Placebo</w:t>
            </w:r>
          </w:p>
          <w:p w14:paraId="559DCE7F" w14:textId="77777777" w:rsidR="0075524C" w:rsidRPr="00C35766" w:rsidRDefault="0075524C" w:rsidP="00603A86">
            <w:pPr>
              <w:pStyle w:val="TableParagraph"/>
              <w:spacing w:before="24" w:line="268" w:lineRule="auto"/>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2207C34B" w14:textId="77777777" w:rsidR="0075524C" w:rsidRPr="00C35766" w:rsidRDefault="0075524C" w:rsidP="00603A86">
            <w:pPr>
              <w:pStyle w:val="TableParagraph"/>
              <w:spacing w:before="24" w:line="266" w:lineRule="auto"/>
              <w:ind w:hanging="4"/>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Adalimumab 160/80 mg</w:t>
            </w:r>
          </w:p>
          <w:p w14:paraId="1EDBCFF7" w14:textId="77777777" w:rsidR="0075524C" w:rsidRPr="00C35766" w:rsidRDefault="0075524C" w:rsidP="00603A86">
            <w:pPr>
              <w:pStyle w:val="TableParagraph"/>
              <w:spacing w:before="24" w:line="266" w:lineRule="auto"/>
              <w:ind w:hanging="4"/>
              <w:jc w:val="center"/>
              <w:rPr>
                <w:rFonts w:ascii="Times New Roman" w:eastAsia="Times New Roman" w:hAnsi="Times New Roman" w:cs="Times New Roman"/>
              </w:rPr>
            </w:pPr>
            <w:r w:rsidRPr="00C35766">
              <w:rPr>
                <w:rFonts w:ascii="Times New Roman" w:eastAsia="Times New Roman" w:hAnsi="Times New Roman" w:cs="Times New Roman"/>
                <w:b/>
                <w:bCs/>
                <w:lang w:val="it-IT"/>
              </w:rPr>
              <w:t>N=159</w:t>
            </w:r>
          </w:p>
        </w:tc>
      </w:tr>
      <w:tr w:rsidR="0075524C" w:rsidRPr="00C35766" w14:paraId="5D697870" w14:textId="77777777" w:rsidTr="00603A86">
        <w:tc>
          <w:tcPr>
            <w:tcW w:w="2311" w:type="dxa"/>
            <w:tcBorders>
              <w:top w:val="single" w:sz="5" w:space="0" w:color="000000"/>
              <w:left w:val="single" w:sz="5" w:space="0" w:color="000000"/>
              <w:bottom w:val="single" w:sz="5" w:space="0" w:color="000000"/>
              <w:right w:val="single" w:sz="5" w:space="0" w:color="000000"/>
            </w:tcBorders>
          </w:tcPr>
          <w:p w14:paraId="5520721A"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lang w:val="it-IT"/>
              </w:rPr>
              <w:t>Settimana 4</w:t>
            </w:r>
          </w:p>
        </w:tc>
        <w:tc>
          <w:tcPr>
            <w:tcW w:w="1085" w:type="dxa"/>
            <w:tcBorders>
              <w:top w:val="single" w:sz="5" w:space="0" w:color="000000"/>
              <w:left w:val="single" w:sz="5" w:space="0" w:color="000000"/>
              <w:bottom w:val="single" w:sz="5" w:space="0" w:color="000000"/>
              <w:right w:val="single" w:sz="5" w:space="0" w:color="000000"/>
            </w:tcBorders>
          </w:tcPr>
          <w:p w14:paraId="58C62097" w14:textId="77777777" w:rsidR="0075524C" w:rsidRPr="00C35766" w:rsidRDefault="0075524C" w:rsidP="00603A86">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43DD3631" w14:textId="77777777" w:rsidR="0075524C" w:rsidRPr="00C35766" w:rsidRDefault="0075524C" w:rsidP="00603A86">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1874E0E0" w14:textId="77777777" w:rsidR="0075524C" w:rsidRPr="00C35766" w:rsidRDefault="0075524C" w:rsidP="00603A86">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56E3BA81" w14:textId="77777777" w:rsidR="0075524C" w:rsidRPr="00C35766" w:rsidRDefault="0075524C" w:rsidP="00603A86">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7976CB7D" w14:textId="77777777" w:rsidR="0075524C" w:rsidRPr="00C35766" w:rsidRDefault="0075524C" w:rsidP="00603A86">
            <w:pPr>
              <w:rPr>
                <w:rFonts w:ascii="Times New Roman" w:hAnsi="Times New Roman" w:cs="Times New Roman"/>
              </w:rPr>
            </w:pPr>
          </w:p>
        </w:tc>
      </w:tr>
      <w:tr w:rsidR="0075524C" w:rsidRPr="00C35766" w14:paraId="795378B1" w14:textId="77777777" w:rsidTr="00603A86">
        <w:tc>
          <w:tcPr>
            <w:tcW w:w="2311" w:type="dxa"/>
            <w:tcBorders>
              <w:top w:val="single" w:sz="5" w:space="0" w:color="000000"/>
              <w:left w:val="single" w:sz="5" w:space="0" w:color="000000"/>
              <w:bottom w:val="single" w:sz="5" w:space="0" w:color="000000"/>
              <w:right w:val="single" w:sz="5" w:space="0" w:color="000000"/>
            </w:tcBorders>
          </w:tcPr>
          <w:p w14:paraId="323E4E9C"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085" w:type="dxa"/>
            <w:tcBorders>
              <w:top w:val="single" w:sz="5" w:space="0" w:color="000000"/>
              <w:left w:val="single" w:sz="5" w:space="0" w:color="000000"/>
              <w:bottom w:val="single" w:sz="5" w:space="0" w:color="000000"/>
              <w:right w:val="single" w:sz="5" w:space="0" w:color="000000"/>
            </w:tcBorders>
          </w:tcPr>
          <w:p w14:paraId="1B5A7C0F" w14:textId="77777777" w:rsidR="0075524C" w:rsidRPr="00C35766" w:rsidRDefault="0075524C" w:rsidP="00603A86">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356" w:type="dxa"/>
            <w:tcBorders>
              <w:top w:val="single" w:sz="5" w:space="0" w:color="000000"/>
              <w:left w:val="single" w:sz="5" w:space="0" w:color="000000"/>
              <w:bottom w:val="single" w:sz="5" w:space="0" w:color="000000"/>
              <w:right w:val="single" w:sz="5" w:space="0" w:color="000000"/>
            </w:tcBorders>
          </w:tcPr>
          <w:p w14:paraId="79560691" w14:textId="77777777" w:rsidR="0075524C" w:rsidRPr="00C35766" w:rsidRDefault="0075524C" w:rsidP="00603A86">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38" w:type="dxa"/>
            <w:tcBorders>
              <w:top w:val="single" w:sz="5" w:space="0" w:color="000000"/>
              <w:left w:val="single" w:sz="5" w:space="0" w:color="000000"/>
              <w:bottom w:val="single" w:sz="5" w:space="0" w:color="000000"/>
              <w:right w:val="single" w:sz="5" w:space="0" w:color="000000"/>
            </w:tcBorders>
          </w:tcPr>
          <w:p w14:paraId="7446CE93" w14:textId="77777777" w:rsidR="0075524C" w:rsidRPr="00C35766" w:rsidRDefault="0075524C" w:rsidP="00603A86">
            <w:pPr>
              <w:pStyle w:val="TableParagraph"/>
              <w:spacing w:before="18"/>
              <w:ind w:left="344"/>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36%</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5B6FDECD" w14:textId="77777777" w:rsidR="0075524C" w:rsidRPr="00C35766" w:rsidRDefault="0075524C" w:rsidP="00603A86">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7%</w:t>
            </w:r>
          </w:p>
        </w:tc>
        <w:tc>
          <w:tcPr>
            <w:tcW w:w="1843" w:type="dxa"/>
            <w:tcBorders>
              <w:top w:val="single" w:sz="5" w:space="0" w:color="000000"/>
              <w:left w:val="single" w:sz="5" w:space="0" w:color="000000"/>
              <w:bottom w:val="single" w:sz="5" w:space="0" w:color="000000"/>
              <w:right w:val="single" w:sz="5" w:space="0" w:color="000000"/>
            </w:tcBorders>
          </w:tcPr>
          <w:p w14:paraId="6DC352FC" w14:textId="77777777" w:rsidR="0075524C" w:rsidRPr="00C35766" w:rsidRDefault="0075524C" w:rsidP="00603A86">
            <w:pPr>
              <w:pStyle w:val="TableParagraph"/>
              <w:spacing w:before="18"/>
              <w:ind w:left="644" w:right="644"/>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21%</w:t>
            </w:r>
            <w:r w:rsidRPr="00C35766">
              <w:rPr>
                <w:rFonts w:ascii="Times New Roman" w:hAnsi="Times New Roman" w:cs="Times New Roman"/>
                <w:vertAlign w:val="superscript"/>
                <w:lang w:val="it-IT"/>
              </w:rPr>
              <w:t>*</w:t>
            </w:r>
          </w:p>
        </w:tc>
      </w:tr>
      <w:tr w:rsidR="0075524C" w:rsidRPr="00C35766" w14:paraId="10E401FB" w14:textId="77777777" w:rsidTr="00603A86">
        <w:tc>
          <w:tcPr>
            <w:tcW w:w="2311" w:type="dxa"/>
            <w:tcBorders>
              <w:top w:val="single" w:sz="5" w:space="0" w:color="000000"/>
              <w:left w:val="single" w:sz="5" w:space="0" w:color="000000"/>
              <w:bottom w:val="single" w:sz="5" w:space="0" w:color="000000"/>
              <w:right w:val="single" w:sz="5" w:space="0" w:color="000000"/>
            </w:tcBorders>
          </w:tcPr>
          <w:p w14:paraId="124A14EA" w14:textId="77777777" w:rsidR="0075524C" w:rsidRPr="00C35766" w:rsidRDefault="0075524C" w:rsidP="00603A86">
            <w:pPr>
              <w:pStyle w:val="TableParagraph"/>
              <w:spacing w:before="40" w:line="240"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(CR- 100)</w:t>
            </w:r>
          </w:p>
        </w:tc>
        <w:tc>
          <w:tcPr>
            <w:tcW w:w="1085" w:type="dxa"/>
            <w:tcBorders>
              <w:top w:val="single" w:sz="5" w:space="0" w:color="000000"/>
              <w:left w:val="single" w:sz="5" w:space="0" w:color="000000"/>
              <w:bottom w:val="single" w:sz="5" w:space="0" w:color="000000"/>
              <w:right w:val="single" w:sz="5" w:space="0" w:color="000000"/>
            </w:tcBorders>
          </w:tcPr>
          <w:p w14:paraId="3F111D2A" w14:textId="77777777" w:rsidR="0075524C" w:rsidRPr="00C35766" w:rsidRDefault="0075524C" w:rsidP="00603A86">
            <w:pPr>
              <w:pStyle w:val="TableParagraph"/>
              <w:spacing w:before="24"/>
              <w:ind w:left="387"/>
              <w:rPr>
                <w:rFonts w:ascii="Times New Roman" w:eastAsia="Times New Roman" w:hAnsi="Times New Roman" w:cs="Times New Roman"/>
              </w:rPr>
            </w:pPr>
            <w:r w:rsidRPr="00C35766">
              <w:rPr>
                <w:rFonts w:ascii="Times New Roman" w:eastAsia="Times New Roman" w:hAnsi="Times New Roman" w:cs="Times New Roman"/>
                <w:lang w:val="it-IT"/>
              </w:rPr>
              <w:t>24%</w:t>
            </w:r>
          </w:p>
        </w:tc>
        <w:tc>
          <w:tcPr>
            <w:tcW w:w="1356" w:type="dxa"/>
            <w:tcBorders>
              <w:top w:val="single" w:sz="5" w:space="0" w:color="000000"/>
              <w:left w:val="single" w:sz="5" w:space="0" w:color="000000"/>
              <w:bottom w:val="single" w:sz="5" w:space="0" w:color="000000"/>
              <w:right w:val="single" w:sz="5" w:space="0" w:color="000000"/>
            </w:tcBorders>
          </w:tcPr>
          <w:p w14:paraId="0E98AB07" w14:textId="77777777" w:rsidR="0075524C" w:rsidRPr="00C35766" w:rsidRDefault="0075524C" w:rsidP="00603A86">
            <w:pPr>
              <w:pStyle w:val="TableParagraph"/>
              <w:spacing w:before="24"/>
              <w:ind w:left="395" w:right="398"/>
              <w:jc w:val="center"/>
              <w:rPr>
                <w:rFonts w:ascii="Times New Roman" w:eastAsia="Times New Roman" w:hAnsi="Times New Roman" w:cs="Times New Roman"/>
              </w:rPr>
            </w:pPr>
            <w:r w:rsidRPr="00C35766">
              <w:rPr>
                <w:rFonts w:ascii="Times New Roman" w:eastAsia="Times New Roman" w:hAnsi="Times New Roman" w:cs="Times New Roman"/>
                <w:lang w:val="it-IT"/>
              </w:rPr>
              <w:t>37%</w:t>
            </w:r>
          </w:p>
        </w:tc>
        <w:tc>
          <w:tcPr>
            <w:tcW w:w="1338" w:type="dxa"/>
            <w:tcBorders>
              <w:top w:val="single" w:sz="5" w:space="0" w:color="000000"/>
              <w:left w:val="single" w:sz="5" w:space="0" w:color="000000"/>
              <w:bottom w:val="single" w:sz="5" w:space="0" w:color="000000"/>
              <w:right w:val="single" w:sz="5" w:space="0" w:color="000000"/>
            </w:tcBorders>
          </w:tcPr>
          <w:p w14:paraId="11E5EC0F" w14:textId="77777777" w:rsidR="0075524C" w:rsidRPr="00C35766" w:rsidRDefault="0075524C" w:rsidP="00603A86">
            <w:pPr>
              <w:pStyle w:val="TableParagraph"/>
              <w:spacing w:before="18"/>
              <w:ind w:left="311"/>
              <w:rPr>
                <w:rFonts w:ascii="Times New Roman" w:eastAsia="Times New Roman" w:hAnsi="Times New Roman" w:cs="Times New Roman"/>
                <w:sz w:val="14"/>
                <w:szCs w:val="14"/>
              </w:rPr>
            </w:pPr>
            <w:r w:rsidRPr="00C35766">
              <w:rPr>
                <w:rFonts w:ascii="Times New Roman" w:eastAsia="Times New Roman" w:hAnsi="Times New Roman" w:cs="Times New Roman"/>
                <w:lang w:val="it-IT"/>
              </w:rPr>
              <w:t>49%</w:t>
            </w:r>
            <w:r w:rsidRPr="00C35766">
              <w:rPr>
                <w:rFonts w:ascii="Times New Roman" w:hAnsi="Times New Roman" w:cs="Times New Roman"/>
                <w:vertAlign w:val="superscript"/>
                <w:lang w:val="it-IT"/>
              </w:rPr>
              <w:t>**</w:t>
            </w:r>
          </w:p>
        </w:tc>
        <w:tc>
          <w:tcPr>
            <w:tcW w:w="1559" w:type="dxa"/>
            <w:tcBorders>
              <w:top w:val="single" w:sz="5" w:space="0" w:color="000000"/>
              <w:left w:val="single" w:sz="5" w:space="0" w:color="000000"/>
              <w:bottom w:val="single" w:sz="5" w:space="0" w:color="000000"/>
              <w:right w:val="single" w:sz="5" w:space="0" w:color="000000"/>
            </w:tcBorders>
          </w:tcPr>
          <w:p w14:paraId="3C9DBDFC" w14:textId="77777777" w:rsidR="0075524C" w:rsidRPr="00C35766" w:rsidRDefault="0075524C" w:rsidP="00603A86">
            <w:pPr>
              <w:pStyle w:val="TableParagraph"/>
              <w:spacing w:before="24"/>
              <w:ind w:left="519" w:right="520"/>
              <w:jc w:val="center"/>
              <w:rPr>
                <w:rFonts w:ascii="Times New Roman" w:eastAsia="Times New Roman" w:hAnsi="Times New Roman" w:cs="Times New Roman"/>
              </w:rPr>
            </w:pPr>
            <w:r w:rsidRPr="00C35766">
              <w:rPr>
                <w:rFonts w:ascii="Times New Roman" w:eastAsia="Times New Roman" w:hAnsi="Times New Roman" w:cs="Times New Roman"/>
                <w:lang w:val="it-IT"/>
              </w:rPr>
              <w:t>25%</w:t>
            </w:r>
          </w:p>
        </w:tc>
        <w:tc>
          <w:tcPr>
            <w:tcW w:w="1843" w:type="dxa"/>
            <w:tcBorders>
              <w:top w:val="single" w:sz="5" w:space="0" w:color="000000"/>
              <w:left w:val="single" w:sz="5" w:space="0" w:color="000000"/>
              <w:bottom w:val="single" w:sz="5" w:space="0" w:color="000000"/>
              <w:right w:val="single" w:sz="5" w:space="0" w:color="000000"/>
            </w:tcBorders>
          </w:tcPr>
          <w:p w14:paraId="0A8E51C7" w14:textId="77777777" w:rsidR="0075524C" w:rsidRPr="00C35766" w:rsidRDefault="0075524C" w:rsidP="00603A86">
            <w:pPr>
              <w:pStyle w:val="TableParagraph"/>
              <w:spacing w:before="18"/>
              <w:ind w:left="609" w:right="616"/>
              <w:jc w:val="center"/>
              <w:rPr>
                <w:rFonts w:ascii="Times New Roman" w:eastAsia="Times New Roman" w:hAnsi="Times New Roman" w:cs="Times New Roman"/>
                <w:sz w:val="14"/>
                <w:szCs w:val="14"/>
              </w:rPr>
            </w:pPr>
            <w:r w:rsidRPr="00C35766">
              <w:rPr>
                <w:rFonts w:ascii="Times New Roman" w:eastAsia="Times New Roman" w:hAnsi="Times New Roman" w:cs="Times New Roman"/>
                <w:lang w:val="it-IT"/>
              </w:rPr>
              <w:t>38%</w:t>
            </w:r>
            <w:r w:rsidRPr="00C35766">
              <w:rPr>
                <w:rFonts w:ascii="Times New Roman" w:hAnsi="Times New Roman" w:cs="Times New Roman"/>
                <w:vertAlign w:val="superscript"/>
                <w:lang w:val="it-IT"/>
              </w:rPr>
              <w:t>**</w:t>
            </w:r>
          </w:p>
        </w:tc>
      </w:tr>
    </w:tbl>
    <w:p w14:paraId="162CC6FD" w14:textId="77777777" w:rsidR="0075524C" w:rsidRPr="00C35766" w:rsidRDefault="0075524C" w:rsidP="0075524C">
      <w:pPr>
        <w:pStyle w:val="a3"/>
        <w:rPr>
          <w:lang w:val="it-IT"/>
        </w:rPr>
      </w:pPr>
      <w:r w:rsidRPr="00C35766">
        <w:rPr>
          <w:rFonts w:eastAsia="Times New Roman"/>
          <w:lang w:val="it-IT"/>
        </w:rPr>
        <w:t xml:space="preserve">Tutti i valori p rappresentano i confronti a coppie delle percentuali di adalimumab </w:t>
      </w:r>
      <w:r w:rsidRPr="00C35766">
        <w:rPr>
          <w:lang w:val="it-IT"/>
        </w:rPr>
        <w:t>rispetto a</w:t>
      </w:r>
      <w:r w:rsidRPr="00C35766">
        <w:rPr>
          <w:rFonts w:eastAsia="Times New Roman"/>
          <w:lang w:val="it-IT"/>
        </w:rPr>
        <w:t xml:space="preserve"> placebo</w:t>
      </w:r>
    </w:p>
    <w:p w14:paraId="4EDA925B" w14:textId="2426F334" w:rsidR="0075524C" w:rsidRPr="00C35766" w:rsidRDefault="0075524C" w:rsidP="008A6AF4">
      <w:pPr>
        <w:tabs>
          <w:tab w:val="left" w:pos="506"/>
        </w:tabs>
        <w:spacing w:before="22"/>
        <w:rPr>
          <w:lang w:val="it-IT"/>
        </w:rPr>
      </w:pPr>
      <w:r w:rsidRPr="00C35766">
        <w:rPr>
          <w:rFonts w:eastAsia="Times New Roman"/>
          <w:position w:val="8"/>
          <w:sz w:val="14"/>
          <w:szCs w:val="14"/>
          <w:lang w:val="it-IT"/>
        </w:rPr>
        <w:t>*</w:t>
      </w:r>
      <w:r w:rsidR="00C768B8">
        <w:rPr>
          <w:rFonts w:eastAsia="Times New Roman"/>
          <w:position w:val="8"/>
          <w:sz w:val="14"/>
          <w:szCs w:val="14"/>
          <w:lang w:val="it-IT"/>
        </w:rPr>
        <w:tab/>
      </w:r>
      <w:r w:rsidRPr="00C35766">
        <w:rPr>
          <w:rFonts w:eastAsia="Times New Roman"/>
          <w:position w:val="8"/>
          <w:lang w:val="it-IT"/>
        </w:rPr>
        <w:t>p &lt; 0,001</w:t>
      </w:r>
    </w:p>
    <w:p w14:paraId="322D7A9C" w14:textId="39F9C0B5" w:rsidR="0075524C" w:rsidRPr="00C35766" w:rsidRDefault="0075524C" w:rsidP="0075524C">
      <w:pPr>
        <w:tabs>
          <w:tab w:val="left" w:pos="506"/>
        </w:tabs>
        <w:spacing w:before="22"/>
        <w:rPr>
          <w:rFonts w:ascii="Times New Roman" w:hAnsi="Times New Roman" w:cs="Times New Roman"/>
          <w:lang w:val="it-IT"/>
        </w:rPr>
      </w:pPr>
      <w:r w:rsidRPr="00C35766">
        <w:rPr>
          <w:rFonts w:ascii="Times New Roman" w:eastAsia="Times New Roman" w:hAnsi="Times New Roman" w:cs="Times New Roman"/>
          <w:position w:val="8"/>
          <w:sz w:val="14"/>
          <w:szCs w:val="14"/>
          <w:lang w:val="it-IT"/>
        </w:rPr>
        <w:t>**</w:t>
      </w:r>
      <w:r w:rsidR="00C768B8">
        <w:rPr>
          <w:rFonts w:ascii="Times New Roman" w:eastAsia="Times New Roman" w:hAnsi="Times New Roman" w:cs="Times New Roman"/>
          <w:position w:val="8"/>
          <w:sz w:val="14"/>
          <w:szCs w:val="14"/>
          <w:lang w:val="it-IT"/>
        </w:rPr>
        <w:tab/>
      </w:r>
      <w:r w:rsidRPr="00C35766">
        <w:rPr>
          <w:rFonts w:ascii="Times New Roman" w:eastAsia="Times New Roman" w:hAnsi="Times New Roman" w:cs="Times New Roman"/>
          <w:position w:val="8"/>
          <w:lang w:val="it-IT"/>
        </w:rPr>
        <w:t>p &lt; 0,01</w:t>
      </w:r>
    </w:p>
    <w:p w14:paraId="15C58C70" w14:textId="77777777" w:rsidR="0075524C" w:rsidRPr="00C35766" w:rsidRDefault="0075524C" w:rsidP="0075524C">
      <w:pPr>
        <w:spacing w:before="15" w:line="200" w:lineRule="exact"/>
        <w:rPr>
          <w:rFonts w:ascii="Times New Roman" w:hAnsi="Times New Roman" w:cs="Times New Roman"/>
          <w:sz w:val="20"/>
          <w:lang w:val="it-IT"/>
        </w:rPr>
      </w:pPr>
    </w:p>
    <w:p w14:paraId="56A96F64" w14:textId="77777777" w:rsidR="0075524C" w:rsidRPr="00C35766" w:rsidRDefault="0075524C" w:rsidP="0075524C">
      <w:pPr>
        <w:pStyle w:val="a3"/>
        <w:rPr>
          <w:lang w:val="it-IT"/>
        </w:rPr>
      </w:pPr>
      <w:r w:rsidRPr="00C35766">
        <w:rPr>
          <w:rFonts w:eastAsia="Times New Roman"/>
          <w:lang w:val="it-IT"/>
        </w:rPr>
        <w:t>Percentuali di remissione simili sono state osservate nel gruppo trattato con la dose di induzione pari a 160/80 mg ed a 80/40 mg entro la settimana 8 e gli eventi avversi si sono manifestati più frequentemente nel gruppo trattato con il dosaggio pari a 160/80 mg.</w:t>
      </w:r>
    </w:p>
    <w:p w14:paraId="3D232CD7" w14:textId="77777777" w:rsidR="0075524C" w:rsidRPr="00C35766" w:rsidRDefault="0075524C" w:rsidP="0075524C">
      <w:pPr>
        <w:spacing w:before="11" w:line="240" w:lineRule="exact"/>
        <w:rPr>
          <w:rFonts w:ascii="Times New Roman" w:hAnsi="Times New Roman" w:cs="Times New Roman"/>
          <w:sz w:val="24"/>
          <w:lang w:val="it-IT"/>
        </w:rPr>
      </w:pPr>
    </w:p>
    <w:p w14:paraId="097C01F6" w14:textId="125B16A9" w:rsidR="0075524C" w:rsidRPr="00C35766" w:rsidRDefault="0075524C" w:rsidP="0075524C">
      <w:pPr>
        <w:pStyle w:val="a3"/>
        <w:rPr>
          <w:lang w:val="it-IT"/>
        </w:rPr>
      </w:pPr>
      <w:r w:rsidRPr="00C35766">
        <w:rPr>
          <w:rFonts w:eastAsia="Times New Roman"/>
          <w:lang w:val="it-IT"/>
        </w:rPr>
        <w:t xml:space="preserve">Nello studio CD III, alla settimana 4, il 58% (499/854) dei pazienti ha manifestato una risposta clinica ed è stato valutato nell’analisi primaria. Tra i pazienti che hanno manifestato una risposta clinica alla settimana 4, il 48% era stato esposto precedentemente a terapia con altri farmaci antagonisti del TNF. Le percentuali relative al mantenimento della remissione e della risposta clinica sono riportate nella Tabella </w:t>
      </w:r>
      <w:r w:rsidR="00F729F7">
        <w:rPr>
          <w:rFonts w:eastAsia="Times New Roman"/>
          <w:lang w:val="it-IT"/>
        </w:rPr>
        <w:t>15</w:t>
      </w:r>
      <w:r w:rsidRPr="00C35766">
        <w:rPr>
          <w:rFonts w:eastAsia="Times New Roman"/>
          <w:lang w:val="it-IT"/>
        </w:rPr>
        <w:t>. I risultati relativi alla remissione clinica sono rimasti relativamente costanti a prescindere dall’esposizione precedente a farmaci anti-TNF.</w:t>
      </w:r>
    </w:p>
    <w:p w14:paraId="7563E346" w14:textId="77777777" w:rsidR="0075524C" w:rsidRPr="00C35766" w:rsidRDefault="0075524C" w:rsidP="0075524C">
      <w:pPr>
        <w:spacing w:before="13" w:line="240" w:lineRule="exact"/>
        <w:rPr>
          <w:rFonts w:ascii="Times New Roman" w:hAnsi="Times New Roman" w:cs="Times New Roman"/>
          <w:sz w:val="24"/>
          <w:szCs w:val="24"/>
          <w:lang w:val="it-IT"/>
        </w:rPr>
      </w:pPr>
    </w:p>
    <w:p w14:paraId="1412FB61" w14:textId="77777777" w:rsidR="0075524C" w:rsidRPr="00C35766" w:rsidRDefault="0075524C" w:rsidP="0075524C">
      <w:pPr>
        <w:pStyle w:val="a3"/>
        <w:rPr>
          <w:lang w:val="it-IT"/>
        </w:rPr>
      </w:pPr>
      <w:r w:rsidRPr="00C35766">
        <w:rPr>
          <w:rFonts w:eastAsia="Times New Roman"/>
          <w:lang w:val="it-IT"/>
        </w:rPr>
        <w:t>Alla settimana 56 il ricovero ospedaliero correlato alla malattia e gli interventi chirurgici erano ridotti in modo statisticamente significativo con adalimumab rispetto al placebo.</w:t>
      </w:r>
    </w:p>
    <w:p w14:paraId="374270F6" w14:textId="77777777" w:rsidR="0075524C" w:rsidRPr="00C35766" w:rsidRDefault="0075524C" w:rsidP="0075524C">
      <w:pPr>
        <w:pStyle w:val="a3"/>
        <w:jc w:val="center"/>
        <w:rPr>
          <w:rFonts w:eastAsia="Times New Roman"/>
          <w:b/>
          <w:bCs/>
          <w:lang w:val="it-IT"/>
        </w:rPr>
      </w:pPr>
    </w:p>
    <w:p w14:paraId="0AF4541A" w14:textId="36E418F6"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15</w:t>
      </w:r>
    </w:p>
    <w:p w14:paraId="5A4B2EE7" w14:textId="77777777" w:rsidR="0075524C" w:rsidRDefault="0075524C" w:rsidP="0075524C">
      <w:pPr>
        <w:pStyle w:val="a3"/>
        <w:jc w:val="center"/>
        <w:rPr>
          <w:rFonts w:eastAsia="Times New Roman"/>
          <w:b/>
          <w:bCs/>
          <w:lang w:val="it-IT"/>
        </w:rPr>
      </w:pPr>
      <w:r w:rsidRPr="00C35766">
        <w:rPr>
          <w:rFonts w:eastAsia="Times New Roman"/>
          <w:b/>
          <w:bCs/>
          <w:lang w:val="it-IT"/>
        </w:rPr>
        <w:t>Mantenimento della remissione e della risposta clinica (percentuale di pazienti)</w:t>
      </w:r>
    </w:p>
    <w:p w14:paraId="1EC2DB37" w14:textId="77777777" w:rsidR="00AF25F1" w:rsidRPr="00C35766" w:rsidRDefault="00AF25F1" w:rsidP="0075524C">
      <w:pPr>
        <w:pStyle w:val="a3"/>
        <w:jc w:val="center"/>
        <w:rPr>
          <w:b/>
          <w:lang w:val="it-IT"/>
        </w:rPr>
      </w:pPr>
    </w:p>
    <w:p w14:paraId="11533C5F" w14:textId="77777777" w:rsidR="0075524C" w:rsidRPr="00C35766" w:rsidRDefault="0075524C" w:rsidP="0075524C">
      <w:pPr>
        <w:spacing w:before="6" w:line="10" w:lineRule="exact"/>
        <w:rPr>
          <w:rFonts w:ascii="Times New Roman" w:hAnsi="Times New Roman" w:cs="Times New Roman"/>
          <w:sz w:val="4"/>
          <w:lang w:val="it-IT"/>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75524C" w:rsidRPr="00494E69" w14:paraId="7EB8C082"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413FC3EE" w14:textId="77777777" w:rsidR="0075524C" w:rsidRPr="00C35766" w:rsidRDefault="0075524C" w:rsidP="00603A86">
            <w:pPr>
              <w:jc w:val="center"/>
              <w:rPr>
                <w:rFonts w:ascii="Times New Roman" w:hAnsi="Times New Roman" w:cs="Times New Roman"/>
                <w:lang w:val="it-IT"/>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464C5CE0"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lang w:val="it-IT"/>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7A93C7ED" w14:textId="77777777" w:rsidR="0075524C" w:rsidRPr="00C35766" w:rsidRDefault="0075524C" w:rsidP="00603A86">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a settimane alterne</w:t>
            </w:r>
          </w:p>
        </w:tc>
        <w:tc>
          <w:tcPr>
            <w:tcW w:w="2150" w:type="dxa"/>
            <w:tcBorders>
              <w:top w:val="single" w:sz="5" w:space="0" w:color="000000"/>
              <w:left w:val="single" w:sz="5" w:space="0" w:color="000000"/>
              <w:bottom w:val="single" w:sz="5" w:space="0" w:color="000000"/>
              <w:right w:val="single" w:sz="5" w:space="0" w:color="000000"/>
            </w:tcBorders>
            <w:vAlign w:val="center"/>
          </w:tcPr>
          <w:p w14:paraId="1269C50A" w14:textId="77777777" w:rsidR="0075524C" w:rsidRPr="00C35766" w:rsidRDefault="0075524C" w:rsidP="00603A86">
            <w:pPr>
              <w:pStyle w:val="TableParagraph"/>
              <w:spacing w:line="240"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 mg di adalimumab ogni settimana</w:t>
            </w:r>
          </w:p>
        </w:tc>
      </w:tr>
      <w:tr w:rsidR="0075524C" w:rsidRPr="00C35766" w14:paraId="38E7E7A4"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10BE3E0E"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6D5F5841"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7DC9A627"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BF81FC7"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75524C" w:rsidRPr="00C35766" w14:paraId="42DB2CD6"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33AE49F5"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40580B81"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0CBE22FE"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40%*</w:t>
            </w:r>
          </w:p>
        </w:tc>
        <w:tc>
          <w:tcPr>
            <w:tcW w:w="2150" w:type="dxa"/>
            <w:tcBorders>
              <w:top w:val="single" w:sz="5" w:space="0" w:color="000000"/>
              <w:left w:val="single" w:sz="5" w:space="0" w:color="000000"/>
              <w:bottom w:val="single" w:sz="5" w:space="0" w:color="000000"/>
              <w:right w:val="single" w:sz="5" w:space="0" w:color="000000"/>
            </w:tcBorders>
            <w:vAlign w:val="center"/>
          </w:tcPr>
          <w:p w14:paraId="7551168E"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47%*</w:t>
            </w:r>
          </w:p>
        </w:tc>
      </w:tr>
      <w:tr w:rsidR="0075524C" w:rsidRPr="00C35766" w14:paraId="3FB163B1"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6D53F345"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48A87CA0"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27%</w:t>
            </w:r>
          </w:p>
        </w:tc>
        <w:tc>
          <w:tcPr>
            <w:tcW w:w="1985" w:type="dxa"/>
            <w:tcBorders>
              <w:top w:val="single" w:sz="5" w:space="0" w:color="000000"/>
              <w:left w:val="single" w:sz="5" w:space="0" w:color="000000"/>
              <w:bottom w:val="single" w:sz="5" w:space="0" w:color="000000"/>
              <w:right w:val="single" w:sz="5" w:space="0" w:color="000000"/>
            </w:tcBorders>
            <w:vAlign w:val="center"/>
          </w:tcPr>
          <w:p w14:paraId="02C1E8F6"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c>
          <w:tcPr>
            <w:tcW w:w="2150" w:type="dxa"/>
            <w:tcBorders>
              <w:top w:val="single" w:sz="5" w:space="0" w:color="000000"/>
              <w:left w:val="single" w:sz="5" w:space="0" w:color="000000"/>
              <w:bottom w:val="single" w:sz="5" w:space="0" w:color="000000"/>
              <w:right w:val="single" w:sz="5" w:space="0" w:color="000000"/>
            </w:tcBorders>
            <w:vAlign w:val="center"/>
          </w:tcPr>
          <w:p w14:paraId="6412C8E2"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52%*</w:t>
            </w:r>
          </w:p>
        </w:tc>
      </w:tr>
      <w:tr w:rsidR="0075524C" w:rsidRPr="00C35766" w14:paraId="14B01AB9"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134A42C3" w14:textId="77777777" w:rsidR="0075524C" w:rsidRPr="00C35766" w:rsidRDefault="0075524C" w:rsidP="00603A86">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t>Pazienti in remissione senza trattamento steroideo per ≥ 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22EFF4EE"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6A9409E0"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19%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4C4BD826"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15% (11/74)**</w:t>
            </w:r>
          </w:p>
        </w:tc>
      </w:tr>
      <w:tr w:rsidR="0075524C" w:rsidRPr="00C35766" w14:paraId="412B0004"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42FDFAC8"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b/>
                <w:bCs/>
                <w:lang w:val="it-IT"/>
              </w:rPr>
              <w:t>Settimana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248AA0C0"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 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7545B446"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0E21C90F"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N=157</w:t>
            </w:r>
          </w:p>
        </w:tc>
      </w:tr>
      <w:tr w:rsidR="0075524C" w:rsidRPr="00C35766" w14:paraId="7B6FC14F"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29AC82CE"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417" w:type="dxa"/>
            <w:tcBorders>
              <w:top w:val="single" w:sz="5" w:space="0" w:color="000000"/>
              <w:left w:val="single" w:sz="5" w:space="0" w:color="000000"/>
              <w:bottom w:val="single" w:sz="5" w:space="0" w:color="000000"/>
              <w:right w:val="single" w:sz="5" w:space="0" w:color="000000"/>
            </w:tcBorders>
            <w:vAlign w:val="center"/>
          </w:tcPr>
          <w:p w14:paraId="5A22DB25"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12%</w:t>
            </w:r>
          </w:p>
        </w:tc>
        <w:tc>
          <w:tcPr>
            <w:tcW w:w="1985" w:type="dxa"/>
            <w:tcBorders>
              <w:top w:val="single" w:sz="5" w:space="0" w:color="000000"/>
              <w:left w:val="single" w:sz="5" w:space="0" w:color="000000"/>
              <w:bottom w:val="single" w:sz="5" w:space="0" w:color="000000"/>
              <w:right w:val="single" w:sz="5" w:space="0" w:color="000000"/>
            </w:tcBorders>
            <w:vAlign w:val="center"/>
          </w:tcPr>
          <w:p w14:paraId="063E1122"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36%*</w:t>
            </w:r>
          </w:p>
        </w:tc>
        <w:tc>
          <w:tcPr>
            <w:tcW w:w="2150" w:type="dxa"/>
            <w:tcBorders>
              <w:top w:val="single" w:sz="5" w:space="0" w:color="000000"/>
              <w:left w:val="single" w:sz="5" w:space="0" w:color="000000"/>
              <w:bottom w:val="single" w:sz="5" w:space="0" w:color="000000"/>
              <w:right w:val="single" w:sz="5" w:space="0" w:color="000000"/>
            </w:tcBorders>
            <w:vAlign w:val="center"/>
          </w:tcPr>
          <w:p w14:paraId="1623EE0A"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r>
      <w:tr w:rsidR="0075524C" w:rsidRPr="00C35766" w14:paraId="0D46CEEA"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0957DF13" w14:textId="77777777" w:rsidR="0075524C" w:rsidRPr="00C35766" w:rsidRDefault="0075524C" w:rsidP="00603A86">
            <w:pPr>
              <w:pStyle w:val="TableParagraph"/>
              <w:spacing w:before="24"/>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B159A9F"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17%</w:t>
            </w:r>
          </w:p>
        </w:tc>
        <w:tc>
          <w:tcPr>
            <w:tcW w:w="1985" w:type="dxa"/>
            <w:tcBorders>
              <w:top w:val="single" w:sz="5" w:space="0" w:color="000000"/>
              <w:left w:val="single" w:sz="5" w:space="0" w:color="000000"/>
              <w:bottom w:val="single" w:sz="5" w:space="0" w:color="000000"/>
              <w:right w:val="single" w:sz="5" w:space="0" w:color="000000"/>
            </w:tcBorders>
            <w:vAlign w:val="center"/>
          </w:tcPr>
          <w:p w14:paraId="56D97A83"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41%*</w:t>
            </w:r>
          </w:p>
        </w:tc>
        <w:tc>
          <w:tcPr>
            <w:tcW w:w="2150" w:type="dxa"/>
            <w:tcBorders>
              <w:top w:val="single" w:sz="5" w:space="0" w:color="000000"/>
              <w:left w:val="single" w:sz="5" w:space="0" w:color="000000"/>
              <w:bottom w:val="single" w:sz="5" w:space="0" w:color="000000"/>
              <w:right w:val="single" w:sz="5" w:space="0" w:color="000000"/>
            </w:tcBorders>
            <w:vAlign w:val="center"/>
          </w:tcPr>
          <w:p w14:paraId="703DC8A1"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lang w:val="it-IT"/>
              </w:rPr>
              <w:t>48%*</w:t>
            </w:r>
          </w:p>
        </w:tc>
      </w:tr>
      <w:tr w:rsidR="0075524C" w:rsidRPr="00C35766" w14:paraId="5F8CD07E" w14:textId="77777777" w:rsidTr="00603A86">
        <w:tc>
          <w:tcPr>
            <w:tcW w:w="3467" w:type="dxa"/>
            <w:tcBorders>
              <w:top w:val="single" w:sz="5" w:space="0" w:color="000000"/>
              <w:left w:val="single" w:sz="5" w:space="0" w:color="000000"/>
              <w:bottom w:val="single" w:sz="5" w:space="0" w:color="000000"/>
              <w:right w:val="single" w:sz="5" w:space="0" w:color="000000"/>
            </w:tcBorders>
            <w:vAlign w:val="center"/>
          </w:tcPr>
          <w:p w14:paraId="707C9563" w14:textId="77777777" w:rsidR="0075524C" w:rsidRPr="00C35766" w:rsidRDefault="0075524C" w:rsidP="00603A86">
            <w:pPr>
              <w:pStyle w:val="TableParagraph"/>
              <w:spacing w:before="40" w:line="240" w:lineRule="exact"/>
              <w:ind w:left="462" w:right="64"/>
              <w:rPr>
                <w:rFonts w:ascii="Times New Roman" w:hAnsi="Times New Roman" w:cs="Times New Roman"/>
                <w:lang w:val="it-IT"/>
              </w:rPr>
            </w:pPr>
            <w:r w:rsidRPr="00C35766">
              <w:rPr>
                <w:rFonts w:ascii="Times New Roman" w:eastAsia="Times New Roman" w:hAnsi="Times New Roman" w:cs="Times New Roman"/>
                <w:spacing w:val="-1"/>
                <w:lang w:val="it-IT"/>
              </w:rPr>
              <w:lastRenderedPageBreak/>
              <w:t>Pazienti in remissione senza trattamento steroideo per ≥ 90 giorni</w:t>
            </w:r>
            <w:r w:rsidRPr="00C35766">
              <w:rPr>
                <w:rFonts w:ascii="Times New Roman" w:eastAsia="Times New Roman" w:hAnsi="Times New Roman" w:cs="Times New Roman"/>
                <w:spacing w:val="-1"/>
                <w:vertAlign w:val="superscript"/>
                <w:lang w:val="it-IT"/>
              </w:rPr>
              <w:t xml:space="preserve">a </w:t>
            </w:r>
          </w:p>
        </w:tc>
        <w:tc>
          <w:tcPr>
            <w:tcW w:w="1417" w:type="dxa"/>
            <w:tcBorders>
              <w:top w:val="single" w:sz="5" w:space="0" w:color="000000"/>
              <w:left w:val="single" w:sz="5" w:space="0" w:color="000000"/>
              <w:bottom w:val="single" w:sz="5" w:space="0" w:color="000000"/>
              <w:right w:val="single" w:sz="5" w:space="0" w:color="000000"/>
            </w:tcBorders>
            <w:vAlign w:val="center"/>
          </w:tcPr>
          <w:p w14:paraId="767BE183"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5%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98743D2"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29%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2541920D" w14:textId="77777777" w:rsidR="0075524C" w:rsidRPr="00C35766" w:rsidRDefault="0075524C" w:rsidP="00603A86">
            <w:pPr>
              <w:pStyle w:val="TableParagraph"/>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20% (15/74)**</w:t>
            </w:r>
          </w:p>
        </w:tc>
      </w:tr>
    </w:tbl>
    <w:p w14:paraId="38274E76" w14:textId="5089EC14" w:rsidR="0075524C" w:rsidRPr="00C35766" w:rsidRDefault="0075524C" w:rsidP="008A6AF4">
      <w:pPr>
        <w:pStyle w:val="a3"/>
        <w:ind w:leftChars="100" w:left="220"/>
        <w:rPr>
          <w:lang w:val="it-IT"/>
        </w:rPr>
      </w:pPr>
      <w:r w:rsidRPr="00C35766">
        <w:rPr>
          <w:rFonts w:eastAsia="Times New Roman"/>
          <w:lang w:val="it-IT"/>
        </w:rPr>
        <w:t>*</w:t>
      </w:r>
      <w:r w:rsidR="00C768B8">
        <w:rPr>
          <w:rFonts w:eastAsia="Times New Roman"/>
          <w:lang w:val="it-IT"/>
        </w:rPr>
        <w:tab/>
      </w:r>
      <w:r w:rsidRPr="00C35766">
        <w:rPr>
          <w:rFonts w:eastAsia="Times New Roman"/>
          <w:lang w:val="it-IT"/>
        </w:rPr>
        <w:t xml:space="preserve">p &lt; 0,001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56F9D2CB" w14:textId="255070AF" w:rsidR="0075524C" w:rsidRPr="00C35766" w:rsidRDefault="0075524C" w:rsidP="008A6AF4">
      <w:pPr>
        <w:pStyle w:val="a3"/>
        <w:ind w:leftChars="100" w:left="220"/>
        <w:rPr>
          <w:lang w:val="it-IT"/>
        </w:rPr>
      </w:pPr>
      <w:r w:rsidRPr="00C35766">
        <w:rPr>
          <w:rFonts w:eastAsia="Times New Roman"/>
          <w:lang w:val="it-IT"/>
        </w:rPr>
        <w:t>**</w:t>
      </w:r>
      <w:r w:rsidR="00C768B8">
        <w:rPr>
          <w:rFonts w:eastAsia="Times New Roman"/>
          <w:lang w:val="it-IT"/>
        </w:rPr>
        <w:tab/>
      </w:r>
      <w:r w:rsidRPr="00C35766">
        <w:rPr>
          <w:rFonts w:eastAsia="Times New Roman"/>
          <w:lang w:val="it-IT"/>
        </w:rPr>
        <w:t xml:space="preserve">p &lt; 0,02 per confronti a coppie delle percentuali di adalimumab </w:t>
      </w:r>
      <w:r w:rsidRPr="00C35766">
        <w:rPr>
          <w:lang w:val="it-IT"/>
        </w:rPr>
        <w:t>rispetto al</w:t>
      </w:r>
      <w:r w:rsidRPr="00C35766">
        <w:rPr>
          <w:rFonts w:eastAsia="Times New Roman"/>
          <w:i/>
          <w:iCs/>
          <w:lang w:val="it-IT"/>
        </w:rPr>
        <w:t xml:space="preserve"> </w:t>
      </w:r>
      <w:r w:rsidRPr="00C35766">
        <w:rPr>
          <w:rFonts w:eastAsia="Times New Roman"/>
          <w:lang w:val="it-IT"/>
        </w:rPr>
        <w:t>placebo</w:t>
      </w:r>
    </w:p>
    <w:p w14:paraId="49188BFD" w14:textId="21F56835" w:rsidR="0075524C" w:rsidRPr="00C35766" w:rsidRDefault="0075524C" w:rsidP="008A6AF4">
      <w:pPr>
        <w:pStyle w:val="a3"/>
        <w:ind w:leftChars="100" w:left="220"/>
        <w:rPr>
          <w:lang w:val="es-ES"/>
        </w:rPr>
      </w:pPr>
      <w:r w:rsidRPr="00C35766">
        <w:rPr>
          <w:rFonts w:eastAsia="Times New Roman"/>
          <w:position w:val="8"/>
          <w:vertAlign w:val="superscript"/>
          <w:lang w:val="it-IT"/>
        </w:rPr>
        <w:t>a</w:t>
      </w:r>
      <w:r w:rsidRPr="00C35766">
        <w:rPr>
          <w:rFonts w:eastAsia="Times New Roman"/>
          <w:position w:val="8"/>
          <w:lang w:val="it-IT"/>
        </w:rPr>
        <w:t xml:space="preserve"> </w:t>
      </w:r>
      <w:r w:rsidR="00015639">
        <w:rPr>
          <w:rFonts w:eastAsia="Times New Roman"/>
          <w:position w:val="8"/>
          <w:lang w:val="it-IT"/>
        </w:rPr>
        <w:tab/>
      </w:r>
      <w:r w:rsidRPr="00C35766">
        <w:rPr>
          <w:rFonts w:eastAsia="Times New Roman"/>
          <w:position w:val="8"/>
          <w:lang w:val="it-IT"/>
        </w:rPr>
        <w:t>di coloro che sono stati trattati con corticosteroidi al basale</w:t>
      </w:r>
    </w:p>
    <w:p w14:paraId="4DBF455F" w14:textId="77777777" w:rsidR="0075524C" w:rsidRPr="00C35766" w:rsidRDefault="0075524C" w:rsidP="0075524C">
      <w:pPr>
        <w:pStyle w:val="a3"/>
        <w:rPr>
          <w:lang w:val="es-ES"/>
        </w:rPr>
      </w:pPr>
    </w:p>
    <w:p w14:paraId="3DD52CE5" w14:textId="77777777" w:rsidR="0075524C" w:rsidRPr="00C35766" w:rsidRDefault="0075524C" w:rsidP="0075524C">
      <w:pPr>
        <w:pStyle w:val="a3"/>
        <w:rPr>
          <w:lang w:val="it-IT"/>
        </w:rPr>
      </w:pPr>
      <w:r w:rsidRPr="00C35766">
        <w:rPr>
          <w:rFonts w:eastAsia="Times New Roman"/>
          <w:spacing w:val="1"/>
          <w:lang w:val="it-IT"/>
        </w:rPr>
        <w:t>Tra i pazienti che non hanno evidenziato una risposta alla settimana 4, il 43% dei pazienti trattati con terapia di mantenimento a base di adalimumab ha manifestato una risposta entro la settimana 12 rispetto al 30% dei pazienti trattati con placebo. Tali risultati suggeriscono che alcuni pazienti che non hanno manifestato una risposta alla settimana 4 traggono giovamento dalla terapia di mantenimento continuata fino alla settimana 12. La terapia proseguita oltre le 12 settimane non ha portato ad un numero significativamente più elevato di risposte (vedere paragrafo 4.2).</w:t>
      </w:r>
    </w:p>
    <w:p w14:paraId="36282FCC" w14:textId="77777777" w:rsidR="0075524C" w:rsidRPr="00C35766" w:rsidRDefault="0075524C" w:rsidP="0075524C">
      <w:pPr>
        <w:pStyle w:val="a3"/>
        <w:rPr>
          <w:lang w:val="it-IT"/>
        </w:rPr>
      </w:pPr>
    </w:p>
    <w:p w14:paraId="3EBE8073" w14:textId="77777777" w:rsidR="0075524C" w:rsidRPr="00C35766" w:rsidRDefault="0075524C" w:rsidP="0075524C">
      <w:pPr>
        <w:pStyle w:val="a3"/>
        <w:rPr>
          <w:lang w:val="it-IT"/>
        </w:rPr>
      </w:pPr>
      <w:r w:rsidRPr="00C35766">
        <w:rPr>
          <w:rFonts w:eastAsia="Times New Roman"/>
          <w:lang w:val="it-IT"/>
        </w:rPr>
        <w:t>117/276 pazienti dallo studio CD I e 272/777 pazienti provenienti dagli studi CD II e III sono stati seguiti per almeno 3 anni di terapia con adalimumab in aperto. Rispettivamente 88 e 189 pazienti hanno continuato a mantenere la remissione clinica. La risposta clinica (CR-100) è stata mantenuta rispettivamente in 102 e 233 pazienti.</w:t>
      </w:r>
    </w:p>
    <w:p w14:paraId="2D527F5D" w14:textId="77777777" w:rsidR="0075524C" w:rsidRPr="00C35766" w:rsidRDefault="0075524C" w:rsidP="0075524C">
      <w:pPr>
        <w:pStyle w:val="a3"/>
        <w:rPr>
          <w:lang w:val="it-IT"/>
        </w:rPr>
      </w:pPr>
    </w:p>
    <w:p w14:paraId="50ECE67B" w14:textId="77777777" w:rsidR="0075524C" w:rsidRPr="00C35766" w:rsidRDefault="0075524C" w:rsidP="0075524C">
      <w:pPr>
        <w:pStyle w:val="a3"/>
        <w:rPr>
          <w:rFonts w:eastAsia="Times New Roman"/>
          <w:lang w:val="it-IT"/>
        </w:rPr>
      </w:pPr>
      <w:r w:rsidRPr="00C35766">
        <w:rPr>
          <w:rFonts w:eastAsia="Times New Roman"/>
          <w:i/>
          <w:iCs/>
          <w:spacing w:val="-1"/>
          <w:u w:val="single" w:color="000000"/>
          <w:lang w:val="it-IT"/>
        </w:rPr>
        <w:t>Qualità della vita</w:t>
      </w:r>
    </w:p>
    <w:p w14:paraId="2B52D267" w14:textId="77777777" w:rsidR="0075524C" w:rsidRPr="00C35766" w:rsidRDefault="0075524C" w:rsidP="0075524C">
      <w:pPr>
        <w:pStyle w:val="a3"/>
        <w:rPr>
          <w:sz w:val="18"/>
          <w:szCs w:val="18"/>
          <w:lang w:val="it-IT"/>
        </w:rPr>
      </w:pPr>
    </w:p>
    <w:p w14:paraId="235E8B77" w14:textId="77777777" w:rsidR="0075524C" w:rsidRPr="00C35766" w:rsidRDefault="0075524C" w:rsidP="0075524C">
      <w:pPr>
        <w:pStyle w:val="a3"/>
        <w:rPr>
          <w:lang w:val="it-IT"/>
        </w:rPr>
      </w:pPr>
      <w:r w:rsidRPr="00C35766">
        <w:rPr>
          <w:rFonts w:eastAsia="Times New Roman"/>
          <w:lang w:val="it-IT"/>
        </w:rPr>
        <w:t>Negli studi CD I e CD II, alla settimana 4 era raggiunto un miglioramento statisticamente significativo del punteggio totale del questionario IBDQ (inflammatory bowel disease questionnaire) nei pazienti randomizzati ad adalimumab 80/40 mg e 160/80 mg rispetto al placebo ed era visto alle settimane 26 e 56 nello studio CD III come pure tra i gruppi trattati con adalimumab rispetto al gruppo trattato con placebo.</w:t>
      </w:r>
    </w:p>
    <w:p w14:paraId="7D192A18" w14:textId="77777777" w:rsidR="0075524C" w:rsidRPr="00C35766" w:rsidRDefault="0075524C" w:rsidP="0075524C">
      <w:pPr>
        <w:spacing w:before="13" w:line="240" w:lineRule="exact"/>
        <w:rPr>
          <w:rFonts w:ascii="Times New Roman" w:hAnsi="Times New Roman" w:cs="Times New Roman"/>
          <w:sz w:val="24"/>
          <w:szCs w:val="24"/>
          <w:lang w:val="it-IT"/>
        </w:rPr>
      </w:pPr>
    </w:p>
    <w:p w14:paraId="6BF23F01" w14:textId="5C50B8F9" w:rsidR="0075524C" w:rsidRPr="005C2D5B" w:rsidRDefault="00F729F7" w:rsidP="0075524C">
      <w:pPr>
        <w:pStyle w:val="a3"/>
        <w:rPr>
          <w:rFonts w:eastAsia="Times New Roman"/>
          <w:i/>
          <w:iCs/>
          <w:lang w:val="it-IT"/>
        </w:rPr>
      </w:pPr>
      <w:r w:rsidRPr="005C2D5B">
        <w:rPr>
          <w:rFonts w:eastAsia="Times New Roman"/>
          <w:i/>
          <w:iCs/>
          <w:lang w:val="it-IT"/>
        </w:rPr>
        <w:t>Uveite dell’adulto</w:t>
      </w:r>
    </w:p>
    <w:p w14:paraId="4767F509" w14:textId="77777777" w:rsidR="0075524C" w:rsidRPr="00C35766" w:rsidRDefault="0075524C" w:rsidP="0075524C">
      <w:pPr>
        <w:pStyle w:val="a3"/>
        <w:rPr>
          <w:sz w:val="24"/>
          <w:szCs w:val="24"/>
          <w:lang w:val="es-ES"/>
        </w:rPr>
      </w:pPr>
    </w:p>
    <w:p w14:paraId="7A3034DB" w14:textId="77777777" w:rsidR="0075524C" w:rsidRPr="00C35766" w:rsidRDefault="0075524C" w:rsidP="0075524C">
      <w:pPr>
        <w:pStyle w:val="a3"/>
        <w:rPr>
          <w:lang w:val="fr-FR"/>
        </w:rPr>
      </w:pPr>
      <w:r w:rsidRPr="00C35766">
        <w:rPr>
          <w:rFonts w:eastAsia="Times New Roman"/>
          <w:lang w:val="it-IT"/>
        </w:rPr>
        <w:t>La sicurezza e l'efficacia di adalimumab sono state valutate in pazienti adulti con uveite non-infettiva intermedia, posteriore e panuveite, escludendo i pazienti con uveite anteriore isolata, in due studi randomizzati, in doppio cieco, controllati con placebo (UV I e II). I pazienti hanno ricevuto placebo o adalimumab a una dose iniziale di 80 mg seguita da 40 mg a settimane alterne a partire da una settimana dopo la dose iniziale. Erano consentite dosi stabili concomitanti di un immunosoppressore non biologico.</w:t>
      </w:r>
    </w:p>
    <w:p w14:paraId="2668A68D" w14:textId="77777777" w:rsidR="0075524C" w:rsidRPr="00C35766" w:rsidRDefault="0075524C" w:rsidP="0075524C">
      <w:pPr>
        <w:pStyle w:val="a3"/>
        <w:rPr>
          <w:sz w:val="24"/>
          <w:szCs w:val="24"/>
          <w:lang w:val="fr-FR"/>
        </w:rPr>
      </w:pPr>
    </w:p>
    <w:p w14:paraId="17CA45C5" w14:textId="77777777" w:rsidR="0075524C" w:rsidRPr="00C35766" w:rsidRDefault="0075524C" w:rsidP="0075524C">
      <w:pPr>
        <w:pStyle w:val="a3"/>
        <w:rPr>
          <w:lang w:val="it-IT"/>
        </w:rPr>
      </w:pPr>
      <w:r w:rsidRPr="00C35766">
        <w:rPr>
          <w:rFonts w:eastAsia="Times New Roman"/>
          <w:lang w:val="it-IT"/>
        </w:rPr>
        <w:t>Lo Studio UV I ha valutato 217 pazienti con uveite attiva nonostante il trattamento con corticosteroidi (prednisone orale a una dose di 10-60 mg/die). Tutti i pazienti hanno ricevuto una dose standardizzata di prednisone pari a 60 mg/die all’ingresso nello studio per 2 settimane seguita da un programma obbligatorio di riduzione del dosaggio, fino alla sospensione totale del corticosteroide alla settimana 15.</w:t>
      </w:r>
    </w:p>
    <w:p w14:paraId="45E3422D" w14:textId="77777777" w:rsidR="0075524C" w:rsidRPr="00C35766" w:rsidRDefault="0075524C" w:rsidP="0075524C">
      <w:pPr>
        <w:pStyle w:val="a3"/>
        <w:rPr>
          <w:sz w:val="24"/>
          <w:szCs w:val="24"/>
          <w:lang w:val="it-IT"/>
        </w:rPr>
      </w:pPr>
    </w:p>
    <w:p w14:paraId="3A6E873F" w14:textId="77777777" w:rsidR="0075524C" w:rsidRPr="00C35766" w:rsidRDefault="0075524C" w:rsidP="0075524C">
      <w:pPr>
        <w:pStyle w:val="a3"/>
        <w:rPr>
          <w:lang w:val="es-ES"/>
        </w:rPr>
      </w:pPr>
      <w:r w:rsidRPr="00C35766">
        <w:rPr>
          <w:rFonts w:eastAsia="Times New Roman"/>
          <w:lang w:val="it-IT"/>
        </w:rPr>
        <w:t>Lo Studio UV II ha valutato 226 pazienti con uveite inattiva che al basale necessitavano di trattamento cronico con corticosteroide (prednisone orale da 10 a 35 mg/die) per controllare la loro malattia. I pazienti sono stati sottoposti successivamente a un programma obbligatorio di riduzione del dosaggio, fino alla sospensione totale del corticosteroide alla settimana 19.</w:t>
      </w:r>
    </w:p>
    <w:p w14:paraId="3D475FFE" w14:textId="77777777" w:rsidR="0075524C" w:rsidRPr="00C35766" w:rsidRDefault="0075524C" w:rsidP="0075524C">
      <w:pPr>
        <w:pStyle w:val="a3"/>
        <w:rPr>
          <w:sz w:val="24"/>
          <w:szCs w:val="24"/>
          <w:lang w:val="es-ES"/>
        </w:rPr>
      </w:pPr>
    </w:p>
    <w:p w14:paraId="763A6086" w14:textId="77777777" w:rsidR="0075524C" w:rsidRPr="00C35766" w:rsidRDefault="0075524C" w:rsidP="0075524C">
      <w:pPr>
        <w:pStyle w:val="a3"/>
        <w:rPr>
          <w:lang w:val="it-IT"/>
        </w:rPr>
      </w:pPr>
      <w:r w:rsidRPr="00C35766">
        <w:rPr>
          <w:rFonts w:eastAsia="Times New Roman"/>
          <w:lang w:val="it-IT"/>
        </w:rPr>
        <w:t>L'endpoint primario di efficacia in entrambi gli studi era il “tempo al fallimento del trattamento”. Il fallimento del trattamento è stato definito attraverso un parametro a più componenti basato su lesioni vascolari infiammatorie corioretiniche e/o retiniche , numero di cellule in camera anteriore (anterior chamber, AC), grado di opacità del vitreo (vitreous haze, VH) e migliore acuità visiva corretta (best corrected visual acuity, BCVA).</w:t>
      </w:r>
    </w:p>
    <w:p w14:paraId="3895D8EF" w14:textId="77777777" w:rsidR="0075524C" w:rsidRPr="00C35766" w:rsidRDefault="0075524C" w:rsidP="0075524C">
      <w:pPr>
        <w:pStyle w:val="a3"/>
        <w:rPr>
          <w:sz w:val="24"/>
          <w:szCs w:val="24"/>
          <w:lang w:val="it-IT"/>
        </w:rPr>
      </w:pPr>
    </w:p>
    <w:p w14:paraId="67B02429" w14:textId="77777777" w:rsidR="0075524C" w:rsidRPr="00C35766" w:rsidRDefault="0075524C" w:rsidP="0075524C">
      <w:pPr>
        <w:pStyle w:val="a3"/>
        <w:rPr>
          <w:lang w:val="it-IT"/>
        </w:rPr>
      </w:pPr>
      <w:r w:rsidRPr="00C35766">
        <w:rPr>
          <w:rFonts w:eastAsia="Times New Roman"/>
          <w:lang w:val="it-IT"/>
        </w:rPr>
        <w:t>I pazienti che hanno completato gli Studi UV I e UV II erano eleggibili per essere arruolati in uno studio di estensione a lungo termine non controllato della durata originariamente programmata di 78 settimane. I pazienti sono stati autorizzati a continuare il medicinale in studio oltre la Settimana 78 fino a quando hanno avuto accesso ad adalimumab.</w:t>
      </w:r>
    </w:p>
    <w:p w14:paraId="6B6822D7" w14:textId="77777777" w:rsidR="0075524C" w:rsidRPr="00C35766" w:rsidRDefault="0075524C" w:rsidP="0075524C">
      <w:pPr>
        <w:pStyle w:val="a3"/>
        <w:rPr>
          <w:sz w:val="24"/>
          <w:szCs w:val="24"/>
          <w:lang w:val="it-IT"/>
        </w:rPr>
      </w:pPr>
    </w:p>
    <w:p w14:paraId="150D8C2B" w14:textId="77777777" w:rsidR="0075524C" w:rsidRPr="00C35766" w:rsidRDefault="0075524C" w:rsidP="0075524C">
      <w:pPr>
        <w:pStyle w:val="a3"/>
        <w:rPr>
          <w:rFonts w:eastAsia="Times New Roman"/>
          <w:lang w:val="it-IT"/>
        </w:rPr>
      </w:pPr>
      <w:r w:rsidRPr="00C35766">
        <w:rPr>
          <w:rFonts w:eastAsia="Times New Roman"/>
          <w:i/>
          <w:iCs/>
          <w:spacing w:val="-1"/>
          <w:u w:val="single" w:color="000000"/>
          <w:lang w:val="it-IT"/>
        </w:rPr>
        <w:t>Risposta clinica</w:t>
      </w:r>
    </w:p>
    <w:p w14:paraId="43C6FD0D" w14:textId="77777777" w:rsidR="0075524C" w:rsidRPr="00C35766" w:rsidRDefault="0075524C" w:rsidP="0075524C">
      <w:pPr>
        <w:pStyle w:val="a3"/>
        <w:rPr>
          <w:sz w:val="18"/>
          <w:szCs w:val="18"/>
          <w:lang w:val="it-IT"/>
        </w:rPr>
      </w:pPr>
    </w:p>
    <w:p w14:paraId="43E6B4BD" w14:textId="320A0371" w:rsidR="0075524C" w:rsidRPr="00C35766" w:rsidRDefault="0075524C" w:rsidP="0075524C">
      <w:pPr>
        <w:pStyle w:val="a3"/>
        <w:rPr>
          <w:lang w:val="it-IT"/>
        </w:rPr>
      </w:pPr>
      <w:r w:rsidRPr="00C35766">
        <w:rPr>
          <w:rFonts w:eastAsia="Times New Roman"/>
          <w:lang w:val="it-IT"/>
        </w:rPr>
        <w:t xml:space="preserve">I risultati di entrambi gli studi hanno dimostrato la riduzione statisticamente significativa del rischio di fallimento del trattamento nei pazienti trattati con adalimumab rispetto ai pazienti trattati con placebo (vedere Tabella </w:t>
      </w:r>
      <w:r w:rsidR="00F729F7">
        <w:rPr>
          <w:rFonts w:eastAsia="Times New Roman"/>
          <w:lang w:val="it-IT"/>
        </w:rPr>
        <w:t>16</w:t>
      </w:r>
      <w:r w:rsidRPr="00C35766">
        <w:rPr>
          <w:rFonts w:eastAsia="Times New Roman"/>
          <w:lang w:val="it-IT"/>
        </w:rPr>
        <w:t xml:space="preserve">). Entrambi gli studi hanno dimostrato un effetto precoce e prolungato di adalimumab sul tasso di fallimento del trattamento rispetto al placebo (vedere Figura </w:t>
      </w:r>
      <w:r w:rsidR="00F729F7">
        <w:rPr>
          <w:rFonts w:eastAsia="Times New Roman"/>
          <w:lang w:val="it-IT"/>
        </w:rPr>
        <w:t>1</w:t>
      </w:r>
      <w:r w:rsidRPr="00C35766">
        <w:rPr>
          <w:rFonts w:eastAsia="Times New Roman"/>
          <w:lang w:val="it-IT"/>
        </w:rPr>
        <w:t>).</w:t>
      </w:r>
    </w:p>
    <w:p w14:paraId="04B08869" w14:textId="77777777" w:rsidR="0075524C" w:rsidRPr="00C35766" w:rsidRDefault="0075524C" w:rsidP="0075524C">
      <w:pPr>
        <w:pStyle w:val="a3"/>
        <w:rPr>
          <w:lang w:val="it-IT"/>
        </w:rPr>
      </w:pPr>
    </w:p>
    <w:p w14:paraId="036DDE25" w14:textId="5FFD3D35"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16</w:t>
      </w:r>
    </w:p>
    <w:p w14:paraId="28EFD52F" w14:textId="77777777" w:rsidR="0075524C" w:rsidRPr="00C35766" w:rsidRDefault="0075524C" w:rsidP="0075524C">
      <w:pPr>
        <w:pStyle w:val="a3"/>
        <w:jc w:val="center"/>
        <w:rPr>
          <w:b/>
          <w:lang w:val="it-IT"/>
        </w:rPr>
      </w:pPr>
      <w:r w:rsidRPr="00C35766">
        <w:rPr>
          <w:rFonts w:eastAsia="Times New Roman"/>
          <w:b/>
          <w:bCs/>
          <w:lang w:val="it-IT"/>
        </w:rPr>
        <w:t>Tempo al fallimento del trattamento negli Studi UV I e UV II</w:t>
      </w:r>
    </w:p>
    <w:p w14:paraId="13D23834" w14:textId="77777777" w:rsidR="0075524C" w:rsidRPr="00C35766" w:rsidRDefault="0075524C" w:rsidP="0075524C">
      <w:pPr>
        <w:pStyle w:val="a3"/>
        <w:jc w:val="center"/>
        <w:rPr>
          <w:b/>
          <w:lang w:val="it-IT"/>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9"/>
        <w:gridCol w:w="546"/>
        <w:gridCol w:w="1221"/>
        <w:gridCol w:w="2963"/>
        <w:gridCol w:w="613"/>
        <w:gridCol w:w="1552"/>
        <w:gridCol w:w="1015"/>
      </w:tblGrid>
      <w:tr w:rsidR="0075524C" w:rsidRPr="00C35766" w14:paraId="28D3F400" w14:textId="77777777" w:rsidTr="00603A86">
        <w:trPr>
          <w:jc w:val="center"/>
        </w:trPr>
        <w:tc>
          <w:tcPr>
            <w:tcW w:w="0" w:type="auto"/>
            <w:tcBorders>
              <w:top w:val="single" w:sz="4" w:space="0" w:color="auto"/>
              <w:bottom w:val="single" w:sz="4" w:space="0" w:color="auto"/>
            </w:tcBorders>
            <w:vAlign w:val="center"/>
          </w:tcPr>
          <w:p w14:paraId="02C2EB5A" w14:textId="77777777" w:rsidR="0075524C" w:rsidRPr="00C35766" w:rsidRDefault="0075524C" w:rsidP="00603A86">
            <w:pPr>
              <w:pStyle w:val="a3"/>
              <w:jc w:val="center"/>
              <w:rPr>
                <w:b/>
                <w:lang w:eastAsia="ko-KR"/>
              </w:rPr>
            </w:pPr>
            <w:r w:rsidRPr="00C35766">
              <w:rPr>
                <w:rFonts w:eastAsia="Times New Roman"/>
                <w:b/>
                <w:bCs/>
                <w:lang w:val="it-IT" w:eastAsia="ko-KR"/>
              </w:rPr>
              <w:t>Analisi trattamento</w:t>
            </w:r>
          </w:p>
        </w:tc>
        <w:tc>
          <w:tcPr>
            <w:tcW w:w="0" w:type="auto"/>
            <w:tcBorders>
              <w:top w:val="single" w:sz="4" w:space="0" w:color="auto"/>
              <w:bottom w:val="single" w:sz="4" w:space="0" w:color="auto"/>
            </w:tcBorders>
            <w:vAlign w:val="center"/>
          </w:tcPr>
          <w:p w14:paraId="0ACB819D" w14:textId="77777777" w:rsidR="0075524C" w:rsidRPr="00C35766" w:rsidRDefault="0075524C" w:rsidP="00603A86">
            <w:pPr>
              <w:pStyle w:val="a3"/>
              <w:jc w:val="center"/>
              <w:rPr>
                <w:b/>
              </w:rPr>
            </w:pPr>
            <w:r w:rsidRPr="00C35766">
              <w:rPr>
                <w:rFonts w:eastAsia="Times New Roman"/>
                <w:b/>
                <w:bCs/>
                <w:lang w:val="it-IT"/>
              </w:rPr>
              <w:t>N</w:t>
            </w:r>
          </w:p>
        </w:tc>
        <w:tc>
          <w:tcPr>
            <w:tcW w:w="0" w:type="auto"/>
            <w:tcBorders>
              <w:top w:val="single" w:sz="4" w:space="0" w:color="auto"/>
              <w:bottom w:val="single" w:sz="4" w:space="0" w:color="auto"/>
            </w:tcBorders>
            <w:vAlign w:val="center"/>
          </w:tcPr>
          <w:p w14:paraId="3C381411" w14:textId="77777777" w:rsidR="0075524C" w:rsidRPr="00C35766" w:rsidRDefault="0075524C" w:rsidP="00603A86">
            <w:pPr>
              <w:pStyle w:val="a3"/>
              <w:jc w:val="center"/>
              <w:rPr>
                <w:rFonts w:eastAsia="Times New Roman"/>
                <w:b/>
                <w:bCs/>
                <w:spacing w:val="-1"/>
                <w:lang w:val="it-IT"/>
              </w:rPr>
            </w:pPr>
            <w:r w:rsidRPr="00C35766">
              <w:rPr>
                <w:rFonts w:eastAsia="Times New Roman"/>
                <w:b/>
                <w:bCs/>
                <w:spacing w:val="-1"/>
                <w:lang w:val="it-IT"/>
              </w:rPr>
              <w:t xml:space="preserve">Fallimento </w:t>
            </w:r>
          </w:p>
          <w:p w14:paraId="4E66AB34" w14:textId="77777777" w:rsidR="0075524C" w:rsidRPr="00C35766" w:rsidRDefault="0075524C" w:rsidP="00603A86">
            <w:pPr>
              <w:pStyle w:val="a3"/>
              <w:jc w:val="center"/>
              <w:rPr>
                <w:b/>
              </w:rPr>
            </w:pPr>
            <w:r w:rsidRPr="00C35766">
              <w:rPr>
                <w:rFonts w:eastAsia="Times New Roman"/>
                <w:b/>
                <w:bCs/>
                <w:spacing w:val="-1"/>
                <w:lang w:val="it-IT"/>
              </w:rPr>
              <w:t>N (%)</w:t>
            </w:r>
          </w:p>
        </w:tc>
        <w:tc>
          <w:tcPr>
            <w:tcW w:w="0" w:type="auto"/>
            <w:tcBorders>
              <w:top w:val="single" w:sz="4" w:space="0" w:color="auto"/>
              <w:bottom w:val="single" w:sz="4" w:space="0" w:color="auto"/>
            </w:tcBorders>
          </w:tcPr>
          <w:p w14:paraId="53C2CF0B" w14:textId="77777777" w:rsidR="0075524C" w:rsidRPr="00C35766" w:rsidRDefault="0075524C" w:rsidP="00603A86">
            <w:pPr>
              <w:pStyle w:val="a3"/>
              <w:jc w:val="center"/>
              <w:rPr>
                <w:b/>
                <w:bCs/>
                <w:spacing w:val="-1"/>
                <w:lang w:val="es-ES" w:eastAsia="ko-KR"/>
              </w:rPr>
            </w:pPr>
            <w:r w:rsidRPr="00C35766">
              <w:rPr>
                <w:rFonts w:eastAsia="Times New Roman"/>
                <w:b/>
                <w:bCs/>
                <w:spacing w:val="-1"/>
                <w:lang w:val="it-IT" w:eastAsia="ko-KR"/>
              </w:rPr>
              <w:t>Mediana del tempo al fallimento (mesi)</w:t>
            </w:r>
          </w:p>
        </w:tc>
        <w:tc>
          <w:tcPr>
            <w:tcW w:w="0" w:type="auto"/>
            <w:tcBorders>
              <w:top w:val="single" w:sz="4" w:space="0" w:color="auto"/>
              <w:bottom w:val="single" w:sz="4" w:space="0" w:color="auto"/>
            </w:tcBorders>
            <w:vAlign w:val="center"/>
          </w:tcPr>
          <w:p w14:paraId="738DBB13" w14:textId="77777777" w:rsidR="0075524C" w:rsidRPr="00C35766" w:rsidRDefault="0075524C" w:rsidP="00603A86">
            <w:pPr>
              <w:pStyle w:val="a3"/>
              <w:jc w:val="center"/>
              <w:rPr>
                <w:b/>
                <w:bCs/>
                <w:spacing w:val="-1"/>
                <w:lang w:eastAsia="ko-KR"/>
              </w:rPr>
            </w:pPr>
            <w:r w:rsidRPr="00C35766">
              <w:rPr>
                <w:rFonts w:eastAsia="Times New Roman"/>
                <w:b/>
                <w:bCs/>
                <w:spacing w:val="-1"/>
                <w:lang w:val="it-IT" w:eastAsia="ko-KR"/>
              </w:rPr>
              <w:t>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1F4EBF31" w14:textId="77777777" w:rsidR="0075524C" w:rsidRPr="00C35766" w:rsidRDefault="0075524C" w:rsidP="00603A86">
            <w:pPr>
              <w:pStyle w:val="a3"/>
              <w:jc w:val="center"/>
              <w:rPr>
                <w:b/>
                <w:bCs/>
                <w:spacing w:val="-1"/>
                <w:lang w:eastAsia="ko-KR"/>
              </w:rPr>
            </w:pPr>
            <w:r w:rsidRPr="00C35766">
              <w:rPr>
                <w:rFonts w:eastAsia="Times New Roman"/>
                <w:b/>
                <w:bCs/>
                <w:spacing w:val="-1"/>
                <w:lang w:val="it-IT" w:eastAsia="ko-KR"/>
              </w:rPr>
              <w:t>IC al 95% per HR</w:t>
            </w:r>
            <w:r w:rsidRPr="00C35766">
              <w:rPr>
                <w:rFonts w:eastAsia="Times New Roman"/>
                <w:b/>
                <w:bCs/>
                <w:spacing w:val="-1"/>
                <w:vertAlign w:val="superscript"/>
                <w:lang w:val="it-IT" w:eastAsia="ko-KR"/>
              </w:rPr>
              <w:t>a</w:t>
            </w:r>
          </w:p>
        </w:tc>
        <w:tc>
          <w:tcPr>
            <w:tcW w:w="0" w:type="auto"/>
            <w:tcBorders>
              <w:top w:val="single" w:sz="4" w:space="0" w:color="auto"/>
              <w:bottom w:val="single" w:sz="4" w:space="0" w:color="auto"/>
            </w:tcBorders>
            <w:vAlign w:val="center"/>
          </w:tcPr>
          <w:p w14:paraId="2B0974DF" w14:textId="77777777" w:rsidR="0075524C" w:rsidRPr="00C35766" w:rsidRDefault="0075524C" w:rsidP="00603A86">
            <w:pPr>
              <w:pStyle w:val="a3"/>
              <w:jc w:val="center"/>
              <w:rPr>
                <w:b/>
              </w:rPr>
            </w:pPr>
            <w:r w:rsidRPr="00C35766">
              <w:rPr>
                <w:b/>
                <w:spacing w:val="-1"/>
                <w:lang w:val="it-IT"/>
              </w:rPr>
              <w:t>Valore</w:t>
            </w:r>
            <w:r w:rsidRPr="00C35766">
              <w:rPr>
                <w:rFonts w:eastAsia="Times New Roman"/>
                <w:b/>
                <w:bCs/>
                <w:spacing w:val="-1"/>
                <w:lang w:val="it-IT" w:eastAsia="ko-KR"/>
              </w:rPr>
              <w:t xml:space="preserve"> p</w:t>
            </w:r>
            <w:r w:rsidRPr="00C35766">
              <w:rPr>
                <w:rFonts w:eastAsia="Times New Roman"/>
                <w:b/>
                <w:bCs/>
                <w:spacing w:val="-1"/>
                <w:vertAlign w:val="superscript"/>
                <w:lang w:val="it-IT" w:eastAsia="ko-KR"/>
              </w:rPr>
              <w:t>b</w:t>
            </w:r>
          </w:p>
          <w:p w14:paraId="24D56016" w14:textId="77777777" w:rsidR="0075524C" w:rsidRPr="00C35766" w:rsidRDefault="0075524C" w:rsidP="00603A86">
            <w:pPr>
              <w:pStyle w:val="a3"/>
              <w:jc w:val="center"/>
              <w:rPr>
                <w:rFonts w:eastAsia="Times New Roman"/>
                <w:b/>
                <w:bCs/>
                <w:spacing w:val="-1"/>
              </w:rPr>
            </w:pPr>
          </w:p>
        </w:tc>
      </w:tr>
      <w:tr w:rsidR="0075524C" w:rsidRPr="00C35766" w14:paraId="007C3082" w14:textId="77777777" w:rsidTr="00603A86">
        <w:trPr>
          <w:jc w:val="center"/>
        </w:trPr>
        <w:tc>
          <w:tcPr>
            <w:tcW w:w="0" w:type="auto"/>
            <w:gridSpan w:val="7"/>
            <w:tcBorders>
              <w:top w:val="single" w:sz="4" w:space="0" w:color="auto"/>
              <w:bottom w:val="single" w:sz="4" w:space="0" w:color="auto"/>
            </w:tcBorders>
            <w:vAlign w:val="center"/>
          </w:tcPr>
          <w:p w14:paraId="66446CD4" w14:textId="77777777" w:rsidR="0075524C" w:rsidRPr="00C35766" w:rsidRDefault="0075524C" w:rsidP="00603A86">
            <w:pPr>
              <w:pStyle w:val="a3"/>
              <w:rPr>
                <w:b/>
                <w:lang w:val="es-ES"/>
              </w:rPr>
            </w:pPr>
            <w:r w:rsidRPr="00C35766">
              <w:rPr>
                <w:rFonts w:eastAsia="Times New Roman"/>
                <w:b/>
                <w:bCs/>
                <w:lang w:val="it-IT"/>
              </w:rPr>
              <w:t>Tempo al fallimento del trattamento alla o dopo la settimana 6 nello Studio UV I</w:t>
            </w:r>
          </w:p>
          <w:p w14:paraId="6A0FF022" w14:textId="77777777" w:rsidR="0075524C" w:rsidRPr="00C35766" w:rsidRDefault="0075524C" w:rsidP="00603A86">
            <w:pPr>
              <w:pStyle w:val="a3"/>
              <w:jc w:val="both"/>
            </w:pPr>
            <w:r w:rsidRPr="00C35766">
              <w:rPr>
                <w:rFonts w:eastAsia="Times New Roman"/>
                <w:b/>
                <w:bCs/>
                <w:lang w:val="it-IT"/>
              </w:rPr>
              <w:t>Analisi primaria (ITT)</w:t>
            </w:r>
          </w:p>
        </w:tc>
      </w:tr>
      <w:tr w:rsidR="0075524C" w:rsidRPr="00C35766" w14:paraId="3D6C0D50" w14:textId="77777777" w:rsidTr="00603A86">
        <w:trPr>
          <w:jc w:val="center"/>
        </w:trPr>
        <w:tc>
          <w:tcPr>
            <w:tcW w:w="0" w:type="auto"/>
            <w:tcBorders>
              <w:top w:val="single" w:sz="4" w:space="0" w:color="auto"/>
            </w:tcBorders>
            <w:vAlign w:val="center"/>
          </w:tcPr>
          <w:p w14:paraId="375D8AC6" w14:textId="77777777" w:rsidR="0075524C" w:rsidRPr="00C35766" w:rsidRDefault="0075524C" w:rsidP="00603A86">
            <w:pPr>
              <w:pStyle w:val="a3"/>
              <w:jc w:val="center"/>
            </w:pPr>
            <w:r w:rsidRPr="00C35766">
              <w:rPr>
                <w:rFonts w:eastAsia="Times New Roman"/>
                <w:lang w:val="it-IT"/>
              </w:rPr>
              <w:t>placebo</w:t>
            </w:r>
          </w:p>
        </w:tc>
        <w:tc>
          <w:tcPr>
            <w:tcW w:w="0" w:type="auto"/>
            <w:tcBorders>
              <w:top w:val="single" w:sz="4" w:space="0" w:color="auto"/>
            </w:tcBorders>
          </w:tcPr>
          <w:p w14:paraId="1AA19378" w14:textId="77777777" w:rsidR="0075524C" w:rsidRPr="00C35766" w:rsidRDefault="0075524C" w:rsidP="00603A86">
            <w:pPr>
              <w:pStyle w:val="a3"/>
              <w:jc w:val="center"/>
            </w:pPr>
            <w:r w:rsidRPr="00C35766">
              <w:rPr>
                <w:rFonts w:eastAsia="Times New Roman"/>
                <w:lang w:val="it-IT"/>
              </w:rPr>
              <w:t xml:space="preserve">107 </w:t>
            </w:r>
          </w:p>
        </w:tc>
        <w:tc>
          <w:tcPr>
            <w:tcW w:w="0" w:type="auto"/>
            <w:tcBorders>
              <w:top w:val="single" w:sz="4" w:space="0" w:color="auto"/>
            </w:tcBorders>
          </w:tcPr>
          <w:p w14:paraId="43A310C0" w14:textId="77777777" w:rsidR="0075524C" w:rsidRPr="00C35766" w:rsidRDefault="0075524C" w:rsidP="00603A86">
            <w:pPr>
              <w:pStyle w:val="a3"/>
              <w:jc w:val="center"/>
            </w:pPr>
            <w:r w:rsidRPr="00C35766">
              <w:rPr>
                <w:rFonts w:eastAsia="Times New Roman"/>
                <w:lang w:val="it-IT"/>
              </w:rPr>
              <w:t xml:space="preserve">84 (78,5) </w:t>
            </w:r>
          </w:p>
        </w:tc>
        <w:tc>
          <w:tcPr>
            <w:tcW w:w="0" w:type="auto"/>
            <w:tcBorders>
              <w:top w:val="single" w:sz="4" w:space="0" w:color="auto"/>
            </w:tcBorders>
          </w:tcPr>
          <w:p w14:paraId="61C66B64" w14:textId="77777777" w:rsidR="0075524C" w:rsidRPr="00C35766" w:rsidRDefault="0075524C" w:rsidP="00603A86">
            <w:pPr>
              <w:pStyle w:val="a3"/>
              <w:jc w:val="center"/>
            </w:pPr>
            <w:r w:rsidRPr="00C35766">
              <w:rPr>
                <w:rFonts w:eastAsia="Times New Roman"/>
                <w:lang w:val="it-IT"/>
              </w:rPr>
              <w:t xml:space="preserve">3,0 </w:t>
            </w:r>
          </w:p>
        </w:tc>
        <w:tc>
          <w:tcPr>
            <w:tcW w:w="0" w:type="auto"/>
            <w:tcBorders>
              <w:top w:val="single" w:sz="4" w:space="0" w:color="auto"/>
            </w:tcBorders>
          </w:tcPr>
          <w:p w14:paraId="1412CCC6" w14:textId="77777777" w:rsidR="0075524C" w:rsidRPr="00C35766" w:rsidRDefault="0075524C" w:rsidP="00603A86">
            <w:pPr>
              <w:pStyle w:val="a3"/>
              <w:jc w:val="center"/>
            </w:pPr>
            <w:r w:rsidRPr="00C35766">
              <w:t xml:space="preserve">-- </w:t>
            </w:r>
          </w:p>
        </w:tc>
        <w:tc>
          <w:tcPr>
            <w:tcW w:w="0" w:type="auto"/>
            <w:tcBorders>
              <w:top w:val="single" w:sz="4" w:space="0" w:color="auto"/>
            </w:tcBorders>
          </w:tcPr>
          <w:p w14:paraId="30467B8E" w14:textId="77777777" w:rsidR="0075524C" w:rsidRPr="00C35766" w:rsidRDefault="0075524C" w:rsidP="00603A86">
            <w:pPr>
              <w:pStyle w:val="a3"/>
              <w:jc w:val="center"/>
            </w:pPr>
            <w:r w:rsidRPr="00C35766">
              <w:t xml:space="preserve">-- </w:t>
            </w:r>
          </w:p>
        </w:tc>
        <w:tc>
          <w:tcPr>
            <w:tcW w:w="0" w:type="auto"/>
            <w:tcBorders>
              <w:top w:val="single" w:sz="4" w:space="0" w:color="auto"/>
            </w:tcBorders>
          </w:tcPr>
          <w:p w14:paraId="1AFED632" w14:textId="77777777" w:rsidR="0075524C" w:rsidRPr="00C35766" w:rsidRDefault="0075524C" w:rsidP="00603A86">
            <w:pPr>
              <w:pStyle w:val="a3"/>
              <w:jc w:val="center"/>
            </w:pPr>
            <w:r w:rsidRPr="00C35766">
              <w:t xml:space="preserve">-- </w:t>
            </w:r>
          </w:p>
        </w:tc>
      </w:tr>
      <w:tr w:rsidR="0075524C" w:rsidRPr="00C35766" w14:paraId="4542553A" w14:textId="77777777" w:rsidTr="00603A86">
        <w:trPr>
          <w:jc w:val="center"/>
        </w:trPr>
        <w:tc>
          <w:tcPr>
            <w:tcW w:w="0" w:type="auto"/>
            <w:tcBorders>
              <w:bottom w:val="single" w:sz="4" w:space="0" w:color="auto"/>
            </w:tcBorders>
            <w:vAlign w:val="center"/>
          </w:tcPr>
          <w:p w14:paraId="75478509" w14:textId="77777777" w:rsidR="0075524C" w:rsidRPr="00C35766" w:rsidRDefault="0075524C" w:rsidP="00603A86">
            <w:pPr>
              <w:pStyle w:val="a3"/>
              <w:jc w:val="center"/>
            </w:pPr>
            <w:r w:rsidRPr="00C35766">
              <w:rPr>
                <w:rFonts w:eastAsia="Times New Roman"/>
                <w:lang w:val="it-IT"/>
              </w:rPr>
              <w:t>adalimumab</w:t>
            </w:r>
          </w:p>
        </w:tc>
        <w:tc>
          <w:tcPr>
            <w:tcW w:w="0" w:type="auto"/>
            <w:tcBorders>
              <w:bottom w:val="single" w:sz="4" w:space="0" w:color="auto"/>
            </w:tcBorders>
          </w:tcPr>
          <w:p w14:paraId="53C79557" w14:textId="77777777" w:rsidR="0075524C" w:rsidRPr="00C35766" w:rsidRDefault="0075524C" w:rsidP="00603A86">
            <w:pPr>
              <w:pStyle w:val="a3"/>
              <w:jc w:val="center"/>
            </w:pPr>
            <w:r w:rsidRPr="00C35766">
              <w:rPr>
                <w:rFonts w:eastAsia="Times New Roman"/>
                <w:lang w:val="it-IT"/>
              </w:rPr>
              <w:t xml:space="preserve">110 </w:t>
            </w:r>
          </w:p>
        </w:tc>
        <w:tc>
          <w:tcPr>
            <w:tcW w:w="0" w:type="auto"/>
            <w:tcBorders>
              <w:bottom w:val="single" w:sz="4" w:space="0" w:color="auto"/>
            </w:tcBorders>
          </w:tcPr>
          <w:p w14:paraId="2AB91A2D" w14:textId="77777777" w:rsidR="0075524C" w:rsidRPr="00C35766" w:rsidRDefault="0075524C" w:rsidP="00603A86">
            <w:pPr>
              <w:pStyle w:val="a3"/>
              <w:jc w:val="center"/>
            </w:pPr>
            <w:r w:rsidRPr="00C35766">
              <w:rPr>
                <w:rFonts w:eastAsia="Times New Roman"/>
                <w:lang w:val="it-IT"/>
              </w:rPr>
              <w:t xml:space="preserve">60 (54,5) </w:t>
            </w:r>
          </w:p>
        </w:tc>
        <w:tc>
          <w:tcPr>
            <w:tcW w:w="0" w:type="auto"/>
            <w:tcBorders>
              <w:bottom w:val="single" w:sz="4" w:space="0" w:color="auto"/>
            </w:tcBorders>
          </w:tcPr>
          <w:p w14:paraId="1A2DF596" w14:textId="77777777" w:rsidR="0075524C" w:rsidRPr="00C35766" w:rsidRDefault="0075524C" w:rsidP="00603A86">
            <w:pPr>
              <w:pStyle w:val="a3"/>
              <w:jc w:val="center"/>
            </w:pPr>
            <w:r w:rsidRPr="00C35766">
              <w:rPr>
                <w:rFonts w:eastAsia="Times New Roman"/>
                <w:lang w:val="it-IT"/>
              </w:rPr>
              <w:t xml:space="preserve">5,6 </w:t>
            </w:r>
          </w:p>
        </w:tc>
        <w:tc>
          <w:tcPr>
            <w:tcW w:w="0" w:type="auto"/>
            <w:tcBorders>
              <w:bottom w:val="single" w:sz="4" w:space="0" w:color="auto"/>
            </w:tcBorders>
          </w:tcPr>
          <w:p w14:paraId="703328AC" w14:textId="77777777" w:rsidR="0075524C" w:rsidRPr="00C35766" w:rsidRDefault="0075524C" w:rsidP="00603A86">
            <w:pPr>
              <w:pStyle w:val="a3"/>
              <w:jc w:val="center"/>
            </w:pPr>
            <w:r w:rsidRPr="00C35766">
              <w:rPr>
                <w:rFonts w:eastAsia="Times New Roman"/>
                <w:lang w:val="it-IT"/>
              </w:rPr>
              <w:t xml:space="preserve">0,50 </w:t>
            </w:r>
          </w:p>
        </w:tc>
        <w:tc>
          <w:tcPr>
            <w:tcW w:w="0" w:type="auto"/>
            <w:tcBorders>
              <w:bottom w:val="single" w:sz="4" w:space="0" w:color="auto"/>
            </w:tcBorders>
          </w:tcPr>
          <w:p w14:paraId="75AC3CA0" w14:textId="77777777" w:rsidR="0075524C" w:rsidRPr="00C35766" w:rsidRDefault="0075524C" w:rsidP="00603A86">
            <w:pPr>
              <w:pStyle w:val="a3"/>
              <w:jc w:val="center"/>
            </w:pPr>
            <w:r w:rsidRPr="00C35766">
              <w:rPr>
                <w:rFonts w:eastAsia="Times New Roman"/>
                <w:lang w:val="it-IT"/>
              </w:rPr>
              <w:t xml:space="preserve">0,36, 0,70 </w:t>
            </w:r>
          </w:p>
        </w:tc>
        <w:tc>
          <w:tcPr>
            <w:tcW w:w="0" w:type="auto"/>
            <w:tcBorders>
              <w:bottom w:val="single" w:sz="4" w:space="0" w:color="auto"/>
            </w:tcBorders>
          </w:tcPr>
          <w:p w14:paraId="6B9EC6ED" w14:textId="77777777" w:rsidR="0075524C" w:rsidRPr="00C35766" w:rsidRDefault="0075524C" w:rsidP="00603A86">
            <w:pPr>
              <w:pStyle w:val="a3"/>
              <w:jc w:val="center"/>
            </w:pPr>
            <w:r w:rsidRPr="00C35766">
              <w:rPr>
                <w:rFonts w:eastAsia="Times New Roman"/>
                <w:lang w:val="it-IT"/>
              </w:rPr>
              <w:t xml:space="preserve">&lt; 0,001 </w:t>
            </w:r>
          </w:p>
        </w:tc>
      </w:tr>
      <w:tr w:rsidR="0075524C" w:rsidRPr="00C35766" w14:paraId="59D97A52" w14:textId="77777777" w:rsidTr="00603A86">
        <w:trPr>
          <w:jc w:val="center"/>
        </w:trPr>
        <w:tc>
          <w:tcPr>
            <w:tcW w:w="0" w:type="auto"/>
            <w:gridSpan w:val="7"/>
            <w:tcBorders>
              <w:top w:val="single" w:sz="4" w:space="0" w:color="auto"/>
              <w:bottom w:val="single" w:sz="4" w:space="0" w:color="auto"/>
            </w:tcBorders>
            <w:vAlign w:val="center"/>
          </w:tcPr>
          <w:p w14:paraId="1CCC77E6" w14:textId="77777777" w:rsidR="0075524C" w:rsidRPr="00C35766" w:rsidRDefault="0075524C" w:rsidP="00603A86">
            <w:pPr>
              <w:pStyle w:val="a3"/>
              <w:jc w:val="both"/>
              <w:rPr>
                <w:b/>
                <w:lang w:val="es-ES"/>
              </w:rPr>
            </w:pPr>
            <w:r w:rsidRPr="00C35766">
              <w:rPr>
                <w:rFonts w:eastAsia="Times New Roman"/>
                <w:b/>
                <w:bCs/>
                <w:lang w:val="it-IT"/>
              </w:rPr>
              <w:t>Tempo al fallimento del trattamento alla o dopo la settimana 2 nello Studio UV II</w:t>
            </w:r>
          </w:p>
          <w:p w14:paraId="6B20869F" w14:textId="77777777" w:rsidR="0075524C" w:rsidRPr="00C35766" w:rsidRDefault="0075524C" w:rsidP="00603A86">
            <w:pPr>
              <w:pStyle w:val="a3"/>
              <w:jc w:val="both"/>
            </w:pPr>
            <w:r w:rsidRPr="00C35766">
              <w:rPr>
                <w:rFonts w:eastAsia="Times New Roman"/>
                <w:b/>
                <w:bCs/>
                <w:lang w:val="it-IT"/>
              </w:rPr>
              <w:t>Analisi primaria (ITT)</w:t>
            </w:r>
          </w:p>
        </w:tc>
      </w:tr>
      <w:tr w:rsidR="0075524C" w:rsidRPr="00C35766" w14:paraId="23691D50" w14:textId="77777777" w:rsidTr="00603A86">
        <w:trPr>
          <w:jc w:val="center"/>
        </w:trPr>
        <w:tc>
          <w:tcPr>
            <w:tcW w:w="0" w:type="auto"/>
            <w:tcBorders>
              <w:top w:val="single" w:sz="4" w:space="0" w:color="auto"/>
            </w:tcBorders>
          </w:tcPr>
          <w:p w14:paraId="07367FAC" w14:textId="77777777" w:rsidR="0075524C" w:rsidRPr="00C35766" w:rsidRDefault="0075524C" w:rsidP="00603A86">
            <w:pPr>
              <w:pStyle w:val="a3"/>
              <w:jc w:val="center"/>
            </w:pPr>
            <w:r w:rsidRPr="00C35766">
              <w:rPr>
                <w:rFonts w:eastAsia="Times New Roman"/>
                <w:lang w:val="it-IT"/>
              </w:rPr>
              <w:t xml:space="preserve">placebo </w:t>
            </w:r>
          </w:p>
        </w:tc>
        <w:tc>
          <w:tcPr>
            <w:tcW w:w="0" w:type="auto"/>
            <w:tcBorders>
              <w:top w:val="single" w:sz="4" w:space="0" w:color="auto"/>
            </w:tcBorders>
          </w:tcPr>
          <w:p w14:paraId="50CCA1D4" w14:textId="77777777" w:rsidR="0075524C" w:rsidRPr="00C35766" w:rsidRDefault="0075524C" w:rsidP="00603A86">
            <w:pPr>
              <w:pStyle w:val="a3"/>
              <w:jc w:val="center"/>
            </w:pPr>
            <w:r w:rsidRPr="00C35766">
              <w:rPr>
                <w:rFonts w:eastAsia="Times New Roman"/>
                <w:lang w:val="it-IT"/>
              </w:rPr>
              <w:t xml:space="preserve">111 </w:t>
            </w:r>
          </w:p>
        </w:tc>
        <w:tc>
          <w:tcPr>
            <w:tcW w:w="0" w:type="auto"/>
            <w:tcBorders>
              <w:top w:val="single" w:sz="4" w:space="0" w:color="auto"/>
            </w:tcBorders>
          </w:tcPr>
          <w:p w14:paraId="556932A2" w14:textId="77777777" w:rsidR="0075524C" w:rsidRPr="00C35766" w:rsidRDefault="0075524C" w:rsidP="00603A86">
            <w:pPr>
              <w:pStyle w:val="a3"/>
              <w:jc w:val="center"/>
            </w:pPr>
            <w:r w:rsidRPr="00C35766">
              <w:rPr>
                <w:rFonts w:eastAsia="Times New Roman"/>
                <w:lang w:val="it-IT"/>
              </w:rPr>
              <w:t xml:space="preserve">61 (55,0) </w:t>
            </w:r>
          </w:p>
        </w:tc>
        <w:tc>
          <w:tcPr>
            <w:tcW w:w="0" w:type="auto"/>
            <w:tcBorders>
              <w:top w:val="single" w:sz="4" w:space="0" w:color="auto"/>
            </w:tcBorders>
          </w:tcPr>
          <w:p w14:paraId="3FC84AEA" w14:textId="77777777" w:rsidR="0075524C" w:rsidRPr="00C35766" w:rsidRDefault="0075524C" w:rsidP="00603A86">
            <w:pPr>
              <w:pStyle w:val="a3"/>
              <w:jc w:val="center"/>
            </w:pPr>
            <w:r w:rsidRPr="00C35766">
              <w:rPr>
                <w:rFonts w:eastAsia="Times New Roman"/>
                <w:lang w:val="it-IT"/>
              </w:rPr>
              <w:t xml:space="preserve">8,3 </w:t>
            </w:r>
          </w:p>
        </w:tc>
        <w:tc>
          <w:tcPr>
            <w:tcW w:w="0" w:type="auto"/>
            <w:tcBorders>
              <w:top w:val="single" w:sz="4" w:space="0" w:color="auto"/>
            </w:tcBorders>
          </w:tcPr>
          <w:p w14:paraId="01EED997" w14:textId="77777777" w:rsidR="0075524C" w:rsidRPr="00C35766" w:rsidRDefault="0075524C" w:rsidP="00603A86">
            <w:pPr>
              <w:pStyle w:val="a3"/>
              <w:jc w:val="center"/>
            </w:pPr>
            <w:r w:rsidRPr="00C35766">
              <w:t xml:space="preserve">-- </w:t>
            </w:r>
          </w:p>
        </w:tc>
        <w:tc>
          <w:tcPr>
            <w:tcW w:w="0" w:type="auto"/>
            <w:tcBorders>
              <w:top w:val="single" w:sz="4" w:space="0" w:color="auto"/>
            </w:tcBorders>
          </w:tcPr>
          <w:p w14:paraId="431E1C85" w14:textId="77777777" w:rsidR="0075524C" w:rsidRPr="00C35766" w:rsidRDefault="0075524C" w:rsidP="00603A86">
            <w:pPr>
              <w:pStyle w:val="a3"/>
              <w:jc w:val="center"/>
            </w:pPr>
            <w:r w:rsidRPr="00C35766">
              <w:t xml:space="preserve">-- </w:t>
            </w:r>
          </w:p>
        </w:tc>
        <w:tc>
          <w:tcPr>
            <w:tcW w:w="0" w:type="auto"/>
            <w:tcBorders>
              <w:top w:val="single" w:sz="4" w:space="0" w:color="auto"/>
            </w:tcBorders>
          </w:tcPr>
          <w:p w14:paraId="7538E9AA" w14:textId="77777777" w:rsidR="0075524C" w:rsidRPr="00C35766" w:rsidRDefault="0075524C" w:rsidP="00603A86">
            <w:pPr>
              <w:pStyle w:val="a3"/>
              <w:jc w:val="center"/>
            </w:pPr>
            <w:r w:rsidRPr="00C35766">
              <w:t xml:space="preserve">-- </w:t>
            </w:r>
          </w:p>
        </w:tc>
      </w:tr>
      <w:tr w:rsidR="0075524C" w:rsidRPr="00C35766" w14:paraId="25E0BA82" w14:textId="77777777" w:rsidTr="00603A86">
        <w:trPr>
          <w:jc w:val="center"/>
        </w:trPr>
        <w:tc>
          <w:tcPr>
            <w:tcW w:w="0" w:type="auto"/>
            <w:tcBorders>
              <w:bottom w:val="single" w:sz="4" w:space="0" w:color="auto"/>
            </w:tcBorders>
          </w:tcPr>
          <w:p w14:paraId="129657F6" w14:textId="77777777" w:rsidR="0075524C" w:rsidRPr="00C35766" w:rsidRDefault="0075524C" w:rsidP="00603A86">
            <w:pPr>
              <w:pStyle w:val="a3"/>
              <w:jc w:val="center"/>
            </w:pPr>
            <w:r w:rsidRPr="00C35766">
              <w:rPr>
                <w:rFonts w:eastAsia="Times New Roman"/>
                <w:lang w:val="it-IT"/>
              </w:rPr>
              <w:t xml:space="preserve">adalimumab </w:t>
            </w:r>
          </w:p>
        </w:tc>
        <w:tc>
          <w:tcPr>
            <w:tcW w:w="0" w:type="auto"/>
            <w:tcBorders>
              <w:bottom w:val="single" w:sz="4" w:space="0" w:color="auto"/>
            </w:tcBorders>
          </w:tcPr>
          <w:p w14:paraId="2CB9404D" w14:textId="77777777" w:rsidR="0075524C" w:rsidRPr="00C35766" w:rsidRDefault="0075524C" w:rsidP="00603A86">
            <w:pPr>
              <w:pStyle w:val="a3"/>
              <w:jc w:val="center"/>
            </w:pPr>
            <w:r w:rsidRPr="00C35766">
              <w:rPr>
                <w:rFonts w:eastAsia="Times New Roman"/>
                <w:lang w:val="it-IT"/>
              </w:rPr>
              <w:t xml:space="preserve">115 </w:t>
            </w:r>
          </w:p>
        </w:tc>
        <w:tc>
          <w:tcPr>
            <w:tcW w:w="0" w:type="auto"/>
            <w:tcBorders>
              <w:bottom w:val="single" w:sz="4" w:space="0" w:color="auto"/>
            </w:tcBorders>
          </w:tcPr>
          <w:p w14:paraId="59E48BD5" w14:textId="77777777" w:rsidR="0075524C" w:rsidRPr="00C35766" w:rsidRDefault="0075524C" w:rsidP="00603A86">
            <w:pPr>
              <w:pStyle w:val="a3"/>
              <w:jc w:val="center"/>
            </w:pPr>
            <w:r w:rsidRPr="00C35766">
              <w:rPr>
                <w:rFonts w:eastAsia="Times New Roman"/>
                <w:lang w:val="it-IT"/>
              </w:rPr>
              <w:t xml:space="preserve">45 (39,1) </w:t>
            </w:r>
          </w:p>
        </w:tc>
        <w:tc>
          <w:tcPr>
            <w:tcW w:w="0" w:type="auto"/>
            <w:tcBorders>
              <w:bottom w:val="single" w:sz="4" w:space="0" w:color="auto"/>
            </w:tcBorders>
          </w:tcPr>
          <w:p w14:paraId="2FD55D9F" w14:textId="77777777" w:rsidR="0075524C" w:rsidRPr="00C35766" w:rsidRDefault="0075524C" w:rsidP="00603A86">
            <w:pPr>
              <w:pStyle w:val="a3"/>
              <w:jc w:val="center"/>
            </w:pPr>
            <w:r w:rsidRPr="00C35766">
              <w:rPr>
                <w:rFonts w:eastAsia="Times New Roman"/>
                <w:lang w:val="it-IT"/>
              </w:rPr>
              <w:t>NV</w:t>
            </w:r>
            <w:r w:rsidRPr="00C35766">
              <w:rPr>
                <w:vertAlign w:val="superscript"/>
                <w:lang w:val="it-IT"/>
              </w:rPr>
              <w:t>c</w:t>
            </w:r>
            <w:r w:rsidRPr="00C35766">
              <w:rPr>
                <w:rFonts w:eastAsia="Times New Roman"/>
                <w:lang w:val="it-IT"/>
              </w:rPr>
              <w:t xml:space="preserve"> </w:t>
            </w:r>
          </w:p>
        </w:tc>
        <w:tc>
          <w:tcPr>
            <w:tcW w:w="0" w:type="auto"/>
            <w:tcBorders>
              <w:bottom w:val="single" w:sz="4" w:space="0" w:color="auto"/>
            </w:tcBorders>
          </w:tcPr>
          <w:p w14:paraId="27755E2D" w14:textId="77777777" w:rsidR="0075524C" w:rsidRPr="00C35766" w:rsidRDefault="0075524C" w:rsidP="00603A86">
            <w:pPr>
              <w:pStyle w:val="a3"/>
              <w:jc w:val="center"/>
            </w:pPr>
            <w:r w:rsidRPr="00C35766">
              <w:rPr>
                <w:rFonts w:eastAsia="Times New Roman"/>
                <w:lang w:val="it-IT"/>
              </w:rPr>
              <w:t xml:space="preserve">0,57 </w:t>
            </w:r>
          </w:p>
        </w:tc>
        <w:tc>
          <w:tcPr>
            <w:tcW w:w="0" w:type="auto"/>
            <w:tcBorders>
              <w:bottom w:val="single" w:sz="4" w:space="0" w:color="auto"/>
            </w:tcBorders>
          </w:tcPr>
          <w:p w14:paraId="5CAAADC7" w14:textId="77777777" w:rsidR="0075524C" w:rsidRPr="00C35766" w:rsidRDefault="0075524C" w:rsidP="00603A86">
            <w:pPr>
              <w:pStyle w:val="a3"/>
              <w:jc w:val="center"/>
            </w:pPr>
            <w:r w:rsidRPr="00C35766">
              <w:rPr>
                <w:rFonts w:eastAsia="Times New Roman"/>
                <w:lang w:val="it-IT"/>
              </w:rPr>
              <w:t xml:space="preserve">0,39, 0,84 </w:t>
            </w:r>
          </w:p>
        </w:tc>
        <w:tc>
          <w:tcPr>
            <w:tcW w:w="0" w:type="auto"/>
            <w:tcBorders>
              <w:bottom w:val="single" w:sz="4" w:space="0" w:color="auto"/>
            </w:tcBorders>
          </w:tcPr>
          <w:p w14:paraId="1AD9856F" w14:textId="77777777" w:rsidR="0075524C" w:rsidRPr="00C35766" w:rsidRDefault="0075524C" w:rsidP="00603A86">
            <w:pPr>
              <w:pStyle w:val="a3"/>
              <w:jc w:val="center"/>
            </w:pPr>
            <w:r w:rsidRPr="00C35766">
              <w:rPr>
                <w:rFonts w:eastAsia="Times New Roman"/>
                <w:lang w:val="it-IT"/>
              </w:rPr>
              <w:t xml:space="preserve">0,004 </w:t>
            </w:r>
          </w:p>
        </w:tc>
      </w:tr>
    </w:tbl>
    <w:p w14:paraId="395FD622" w14:textId="77777777" w:rsidR="0075524C" w:rsidRPr="00C35766" w:rsidRDefault="0075524C" w:rsidP="0075524C">
      <w:pPr>
        <w:pStyle w:val="a3"/>
        <w:rPr>
          <w:lang w:val="it-IT"/>
        </w:rPr>
      </w:pPr>
      <w:r w:rsidRPr="00C35766">
        <w:rPr>
          <w:rFonts w:eastAsia="Times New Roman"/>
          <w:lang w:val="it-IT"/>
        </w:rPr>
        <w:t>Nota: il fallimento del trattamento alla o dopo la settimana 6 (Studio UV I) oppure alla o dopo la settimana 2 (Studio UV II) è stato contato come evento. Gli abbandoni a causa di motivi diversi dal fallimento del trattamento sono stati censurati al momento dell’abbandono.</w:t>
      </w:r>
    </w:p>
    <w:p w14:paraId="2CA6A614" w14:textId="603B2D90" w:rsidR="0075524C" w:rsidRPr="00C35766" w:rsidRDefault="00015639" w:rsidP="008A6AF4">
      <w:pPr>
        <w:pStyle w:val="a3"/>
        <w:numPr>
          <w:ilvl w:val="0"/>
          <w:numId w:val="0"/>
        </w:numPr>
        <w:rPr>
          <w:lang w:val="it-IT"/>
        </w:rPr>
      </w:pPr>
      <w:r w:rsidRPr="008A6AF4">
        <w:rPr>
          <w:rFonts w:eastAsia="Times New Roman"/>
          <w:vertAlign w:val="superscript"/>
          <w:lang w:val="it-IT"/>
        </w:rPr>
        <w:t>a</w:t>
      </w:r>
      <w:r>
        <w:rPr>
          <w:rFonts w:eastAsia="Times New Roman"/>
          <w:vertAlign w:val="superscript"/>
          <w:lang w:val="it-IT"/>
        </w:rPr>
        <w:t xml:space="preserve"> </w:t>
      </w:r>
      <w:r w:rsidR="0075524C" w:rsidRPr="00C35766">
        <w:rPr>
          <w:rFonts w:eastAsia="Times New Roman"/>
          <w:lang w:val="it-IT"/>
        </w:rPr>
        <w:t>HR di adalimumab rispetto al placebo dalla regressione proporzionale dei rischi con il trattamento come fattore.</w:t>
      </w:r>
    </w:p>
    <w:p w14:paraId="103E0AEF" w14:textId="1AB548C1" w:rsidR="0075524C" w:rsidRPr="00C35766" w:rsidRDefault="00015639" w:rsidP="008A6AF4">
      <w:pPr>
        <w:pStyle w:val="a3"/>
        <w:numPr>
          <w:ilvl w:val="0"/>
          <w:numId w:val="0"/>
        </w:numPr>
        <w:rPr>
          <w:lang w:val="fr-FR"/>
        </w:rPr>
      </w:pPr>
      <w:r w:rsidRPr="008A6AF4">
        <w:rPr>
          <w:rFonts w:eastAsia="Times New Roman"/>
          <w:vertAlign w:val="superscript"/>
          <w:lang w:val="it-IT"/>
        </w:rPr>
        <w:t>b</w:t>
      </w:r>
      <w:r>
        <w:rPr>
          <w:rFonts w:eastAsia="Times New Roman"/>
          <w:vertAlign w:val="superscript"/>
          <w:lang w:val="it-IT"/>
        </w:rPr>
        <w:t xml:space="preserve"> </w:t>
      </w:r>
      <w:r w:rsidR="0075524C" w:rsidRPr="00C35766">
        <w:rPr>
          <w:rFonts w:eastAsia="Times New Roman"/>
          <w:lang w:val="it-IT"/>
        </w:rPr>
        <w:t>Valore p</w:t>
      </w:r>
      <w:r w:rsidR="0075524C" w:rsidRPr="00C35766">
        <w:rPr>
          <w:rFonts w:eastAsia="Times New Roman"/>
          <w:i/>
          <w:iCs/>
          <w:lang w:val="it-IT"/>
        </w:rPr>
        <w:t xml:space="preserve"> </w:t>
      </w:r>
      <w:r w:rsidR="0075524C" w:rsidRPr="00C35766">
        <w:rPr>
          <w:rFonts w:eastAsia="Times New Roman"/>
          <w:lang w:val="it-IT"/>
        </w:rPr>
        <w:t>bilaterale dal test dei ranghi logaritmici.</w:t>
      </w:r>
    </w:p>
    <w:p w14:paraId="3736391C" w14:textId="747A2DEC" w:rsidR="0075524C" w:rsidRPr="00C35766" w:rsidRDefault="00015639" w:rsidP="008A6AF4">
      <w:pPr>
        <w:pStyle w:val="a3"/>
        <w:numPr>
          <w:ilvl w:val="0"/>
          <w:numId w:val="0"/>
        </w:numPr>
        <w:rPr>
          <w:lang w:val="it-IT"/>
        </w:rPr>
      </w:pPr>
      <w:r w:rsidRPr="008A6AF4">
        <w:rPr>
          <w:rFonts w:eastAsia="Times New Roman"/>
          <w:vertAlign w:val="superscript"/>
          <w:lang w:val="it-IT"/>
        </w:rPr>
        <w:t>c</w:t>
      </w:r>
      <w:r>
        <w:rPr>
          <w:rFonts w:eastAsia="Times New Roman"/>
          <w:vertAlign w:val="superscript"/>
          <w:lang w:val="it-IT"/>
        </w:rPr>
        <w:t xml:space="preserve"> </w:t>
      </w:r>
      <w:r w:rsidR="0075524C" w:rsidRPr="00C35766">
        <w:rPr>
          <w:rFonts w:eastAsia="Times New Roman"/>
          <w:lang w:val="it-IT"/>
        </w:rPr>
        <w:t>NV = non valutabile. Meno della metà dei soggetti a rischio ha avuto un evento.</w:t>
      </w:r>
    </w:p>
    <w:p w14:paraId="3639A92F" w14:textId="77777777" w:rsidR="0075524C" w:rsidRPr="00C35766" w:rsidRDefault="0075524C" w:rsidP="0075524C">
      <w:pPr>
        <w:pStyle w:val="a3"/>
        <w:rPr>
          <w:lang w:val="it-IT"/>
        </w:rPr>
      </w:pPr>
    </w:p>
    <w:p w14:paraId="5BCCA116" w14:textId="77777777" w:rsidR="00AF25F1" w:rsidRDefault="00AF25F1">
      <w:pPr>
        <w:rPr>
          <w:rFonts w:ascii="Times New Roman" w:eastAsia="Times New Roman" w:hAnsi="Times New Roman" w:cs="Times New Roman"/>
          <w:b/>
          <w:bCs/>
          <w:lang w:val="it-IT"/>
        </w:rPr>
      </w:pPr>
      <w:r>
        <w:rPr>
          <w:rFonts w:eastAsia="Times New Roman"/>
          <w:b/>
          <w:bCs/>
          <w:lang w:val="it-IT"/>
        </w:rPr>
        <w:br w:type="page"/>
      </w:r>
    </w:p>
    <w:p w14:paraId="5D1C4AE3" w14:textId="00EB3E96" w:rsidR="0075524C" w:rsidRPr="00C35766" w:rsidRDefault="0075524C" w:rsidP="0075524C">
      <w:pPr>
        <w:pStyle w:val="a3"/>
        <w:jc w:val="center"/>
        <w:rPr>
          <w:b/>
          <w:lang w:val="es-ES"/>
        </w:rPr>
      </w:pPr>
      <w:r w:rsidRPr="00C35766">
        <w:rPr>
          <w:rFonts w:eastAsia="Times New Roman"/>
          <w:b/>
          <w:bCs/>
          <w:lang w:val="it-IT"/>
        </w:rPr>
        <w:lastRenderedPageBreak/>
        <w:t xml:space="preserve">Figura </w:t>
      </w:r>
      <w:r w:rsidR="00F729F7">
        <w:rPr>
          <w:rFonts w:eastAsia="Times New Roman"/>
          <w:b/>
          <w:bCs/>
          <w:lang w:val="it-IT"/>
        </w:rPr>
        <w:t>1</w:t>
      </w:r>
      <w:r w:rsidRPr="00C35766">
        <w:rPr>
          <w:rFonts w:eastAsia="Times New Roman"/>
          <w:b/>
          <w:bCs/>
          <w:lang w:val="it-IT"/>
        </w:rPr>
        <w:t>: curve di Kaplan-Meier del tempo al fallimento del trattamento alla o dopo la settimana 6 (Studio UV I) o la settimana 2 (Studio UV II)</w:t>
      </w:r>
    </w:p>
    <w:p w14:paraId="2171C600" w14:textId="7C66B0C0" w:rsidR="0075524C" w:rsidRPr="00C35766" w:rsidRDefault="0075524C" w:rsidP="0075524C">
      <w:pPr>
        <w:spacing w:line="200" w:lineRule="exact"/>
        <w:rPr>
          <w:rFonts w:ascii="Times New Roman" w:hAnsi="Times New Roman" w:cs="Times New Roman"/>
          <w:sz w:val="20"/>
          <w:szCs w:val="20"/>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55" behindDoc="1" locked="0" layoutInCell="1" allowOverlap="1" wp14:anchorId="00B56353" wp14:editId="49B01D7A">
                <wp:simplePos x="0" y="0"/>
                <wp:positionH relativeFrom="margin">
                  <wp:posOffset>76200</wp:posOffset>
                </wp:positionH>
                <wp:positionV relativeFrom="paragraph">
                  <wp:posOffset>-362</wp:posOffset>
                </wp:positionV>
                <wp:extent cx="312420" cy="2084251"/>
                <wp:effectExtent l="0" t="0" r="11430" b="11430"/>
                <wp:wrapNone/>
                <wp:docPr id="3960"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2084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F4F7C" w14:textId="77777777" w:rsidR="00D97785" w:rsidRPr="00824699" w:rsidRDefault="00D97785" w:rsidP="0075524C">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56353" id="_x0000_s1043" type="#_x0000_t202" style="position:absolute;margin-left:6pt;margin-top:-.05pt;width:24.6pt;height:164.1pt;z-index:-2516581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" filled="f" stroked="f">
                <v:textbox style="layout-flow:vertical;mso-layout-flow-alt:bottom-to-top" inset="0,0,0,0">
                  <w:txbxContent>
                    <w:p w14:paraId="1FDF4F7C" w14:textId="77777777" w:rsidR="00D97785" w:rsidRPr="00824699" w:rsidRDefault="00D97785" w:rsidP="0075524C">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margin"/>
              </v:shape>
            </w:pict>
          </mc:Fallback>
        </mc:AlternateContent>
      </w:r>
    </w:p>
    <w:p w14:paraId="24C5B82E" w14:textId="06C01863" w:rsidR="0075524C" w:rsidRPr="00C35766" w:rsidRDefault="0075524C" w:rsidP="0075524C">
      <w:pPr>
        <w:ind w:left="701" w:right="10920"/>
        <w:rPr>
          <w:rFonts w:ascii="Times New Roman" w:eastAsia="Times New Roman" w:hAnsi="Times New Roman" w:cs="Times New Roman"/>
          <w:sz w:val="20"/>
          <w:szCs w:val="20"/>
        </w:rPr>
      </w:pPr>
      <w:r w:rsidRPr="00C35766">
        <w:rPr>
          <w:rFonts w:ascii="Times New Roman" w:hAnsi="Times New Roman" w:cs="Times New Roman"/>
          <w:b/>
          <w:noProof/>
          <w:lang w:eastAsia="ko-KR"/>
        </w:rPr>
        <mc:AlternateContent>
          <mc:Choice Requires="wps">
            <w:drawing>
              <wp:anchor distT="0" distB="0" distL="114300" distR="114300" simplePos="0" relativeHeight="251658357" behindDoc="0" locked="0" layoutInCell="1" allowOverlap="1" wp14:anchorId="04679F40" wp14:editId="16551599">
                <wp:simplePos x="0" y="0"/>
                <wp:positionH relativeFrom="column">
                  <wp:posOffset>605254</wp:posOffset>
                </wp:positionH>
                <wp:positionV relativeFrom="paragraph">
                  <wp:posOffset>2004761</wp:posOffset>
                </wp:positionV>
                <wp:extent cx="436880" cy="273997"/>
                <wp:effectExtent l="0" t="0" r="1270" b="0"/>
                <wp:wrapNone/>
                <wp:docPr id="3961" name="Text Box 3961"/>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39B27"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7DC419E1"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4679F40" id="Text Box 3961" o:spid="_x0000_s1044" type="#_x0000_t202" style="position:absolute;left:0;text-align:left;margin-left:47.65pt;margin-top:157.85pt;width:34.4pt;height:21.5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" fillcolor="white [3212]" stroked="f" strokeweight=".5pt">
                <v:textbox inset="0,0,0,0">
                  <w:txbxContent>
                    <w:p w14:paraId="73E39B27"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P#0/107</w:t>
                      </w:r>
                    </w:p>
                    <w:p w14:paraId="7DC419E1"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A#0/110</w:t>
                      </w:r>
                    </w:p>
                  </w:txbxContent>
                </v:textbox>
              </v:shape>
            </w:pict>
          </mc:Fallback>
        </mc:AlternateContent>
      </w:r>
      <w:r w:rsidRPr="00C35766">
        <w:rPr>
          <w:rFonts w:ascii="Times New Roman" w:hAnsi="Times New Roman" w:cs="Times New Roman"/>
          <w:noProof/>
          <w:lang w:eastAsia="ko-KR"/>
        </w:rPr>
        <w:drawing>
          <wp:inline distT="0" distB="0" distL="0" distR="0" wp14:anchorId="592A3CA9" wp14:editId="4466146F">
            <wp:extent cx="5518150" cy="2222500"/>
            <wp:effectExtent l="0" t="0" r="0" b="0"/>
            <wp:docPr id="3969"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50378FCE" w14:textId="77777777" w:rsidR="0075524C" w:rsidRPr="00C35766" w:rsidRDefault="0075524C" w:rsidP="0075524C">
      <w:pPr>
        <w:spacing w:line="233" w:lineRule="exact"/>
        <w:ind w:left="4099" w:right="372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7E94BC88" w14:textId="77777777" w:rsidR="0075524C" w:rsidRPr="00C35766" w:rsidRDefault="0075524C" w:rsidP="0075524C">
      <w:pPr>
        <w:pStyle w:val="a3"/>
        <w:ind w:firstLine="701"/>
        <w:rPr>
          <w:lang w:val="pt-BR"/>
        </w:rPr>
      </w:pPr>
      <w:r w:rsidRPr="00C35766">
        <w:rPr>
          <w:noProof/>
          <w:lang w:eastAsia="ko-KR"/>
        </w:rPr>
        <w:drawing>
          <wp:anchor distT="0" distB="0" distL="114300" distR="114300" simplePos="0" relativeHeight="251658353" behindDoc="1" locked="0" layoutInCell="1" allowOverlap="1" wp14:anchorId="1B2AB587" wp14:editId="5082AF4B">
            <wp:simplePos x="0" y="0"/>
            <wp:positionH relativeFrom="page">
              <wp:posOffset>3696970</wp:posOffset>
            </wp:positionH>
            <wp:positionV relativeFrom="paragraph">
              <wp:posOffset>1905</wp:posOffset>
            </wp:positionV>
            <wp:extent cx="397510" cy="182880"/>
            <wp:effectExtent l="0" t="0" r="0" b="0"/>
            <wp:wrapNone/>
            <wp:docPr id="3970" name="그림 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noProof/>
          <w:lang w:eastAsia="ko-KR"/>
        </w:rPr>
        <w:drawing>
          <wp:anchor distT="0" distB="0" distL="114300" distR="114300" simplePos="0" relativeHeight="251658354" behindDoc="1" locked="0" layoutInCell="1" allowOverlap="1" wp14:anchorId="408BB360" wp14:editId="4A6D4FA1">
            <wp:simplePos x="0" y="0"/>
            <wp:positionH relativeFrom="page">
              <wp:posOffset>5091430</wp:posOffset>
            </wp:positionH>
            <wp:positionV relativeFrom="paragraph">
              <wp:posOffset>1905</wp:posOffset>
            </wp:positionV>
            <wp:extent cx="501650" cy="182880"/>
            <wp:effectExtent l="0" t="0" r="0" b="0"/>
            <wp:wrapNone/>
            <wp:docPr id="3971" name="그림 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Studio UV 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rFonts w:eastAsia="Times New Roman"/>
          <w:lang w:val="it-IT"/>
        </w:rPr>
        <w:tab/>
      </w:r>
      <w:r w:rsidRPr="00C35766">
        <w:rPr>
          <w:rFonts w:eastAsia="Times New Roman"/>
          <w:lang w:val="it-IT"/>
        </w:rPr>
        <w:tab/>
        <w:t>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2B11A06C" w14:textId="1D65FDAA" w:rsidR="0075524C" w:rsidRPr="00C35766" w:rsidRDefault="0075524C" w:rsidP="0075524C">
      <w:pPr>
        <w:rPr>
          <w:rFonts w:ascii="Times New Roman" w:hAnsi="Times New Roman" w:cs="Times New Roman"/>
          <w:lang w:val="pt-BR"/>
        </w:rPr>
      </w:pPr>
    </w:p>
    <w:p w14:paraId="5E44222E" w14:textId="29AE1BFA" w:rsidR="0075524C" w:rsidRPr="00C35766" w:rsidRDefault="0075524C" w:rsidP="0075524C">
      <w:pPr>
        <w:spacing w:before="97"/>
        <w:ind w:left="701" w:right="10920"/>
        <w:rPr>
          <w:rFonts w:ascii="Times New Roman" w:eastAsia="Times New Roman" w:hAnsi="Times New Roman" w:cs="Times New Roman"/>
          <w:sz w:val="20"/>
          <w:szCs w:val="20"/>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56" behindDoc="1" locked="0" layoutInCell="1" allowOverlap="1" wp14:anchorId="5E94A097" wp14:editId="06E1972D">
                <wp:simplePos x="0" y="0"/>
                <wp:positionH relativeFrom="page">
                  <wp:posOffset>897799</wp:posOffset>
                </wp:positionH>
                <wp:positionV relativeFrom="page">
                  <wp:posOffset>451666</wp:posOffset>
                </wp:positionV>
                <wp:extent cx="307249" cy="2280285"/>
                <wp:effectExtent l="0" t="0" r="17145" b="5715"/>
                <wp:wrapNone/>
                <wp:docPr id="3962"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49"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A0518" w14:textId="77777777" w:rsidR="00D97785" w:rsidRPr="00824699" w:rsidRDefault="00D97785" w:rsidP="0075524C">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4A097" id="_x0000_s1045" type="#_x0000_t202" style="position:absolute;left:0;text-align:left;margin-left:70.7pt;margin-top:35.55pt;width:24.2pt;height:179.55pt;z-index:-2516581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" filled="f" stroked="f">
                <v:textbox style="layout-flow:vertical;mso-layout-flow-alt:bottom-to-top" inset="0,0,0,0">
                  <w:txbxContent>
                    <w:p w14:paraId="174A0518" w14:textId="77777777" w:rsidR="00D97785" w:rsidRPr="00824699" w:rsidRDefault="00D97785" w:rsidP="0075524C">
                      <w:pPr>
                        <w:spacing w:line="245" w:lineRule="exact"/>
                        <w:ind w:left="20"/>
                        <w:jc w:val="center"/>
                        <w:rPr>
                          <w:rFonts w:ascii="Times New Roman" w:hAnsi="Times New Roman"/>
                          <w:lang w:val="it-IT"/>
                        </w:rPr>
                      </w:pPr>
                      <w:r>
                        <w:rPr>
                          <w:rFonts w:ascii="Times New Roman" w:eastAsia="Times New Roman" w:hAnsi="Times New Roman" w:cs="Times New Roman"/>
                          <w:b/>
                          <w:bCs/>
                          <w:spacing w:val="-1"/>
                          <w:lang w:val="it-IT"/>
                        </w:rPr>
                        <w:t>TASSO DI FALLIMENTO DEL TRATTAMENTO (%)</w:t>
                      </w:r>
                    </w:p>
                  </w:txbxContent>
                </v:textbox>
                <w10:wrap anchorx="page" anchory="page"/>
              </v:shape>
            </w:pict>
          </mc:Fallback>
        </mc:AlternateContent>
      </w:r>
      <w:r w:rsidRPr="00C35766">
        <w:rPr>
          <w:rFonts w:ascii="Times New Roman" w:hAnsi="Times New Roman" w:cs="Times New Roman"/>
          <w:b/>
          <w:noProof/>
          <w:lang w:eastAsia="ko-KR"/>
        </w:rPr>
        <mc:AlternateContent>
          <mc:Choice Requires="wps">
            <w:drawing>
              <wp:anchor distT="0" distB="0" distL="114300" distR="114300" simplePos="0" relativeHeight="251658358" behindDoc="0" locked="0" layoutInCell="1" allowOverlap="1" wp14:anchorId="1771566B" wp14:editId="720CFBC5">
                <wp:simplePos x="0" y="0"/>
                <wp:positionH relativeFrom="column">
                  <wp:posOffset>593725</wp:posOffset>
                </wp:positionH>
                <wp:positionV relativeFrom="paragraph">
                  <wp:posOffset>1946275</wp:posOffset>
                </wp:positionV>
                <wp:extent cx="436880" cy="273997"/>
                <wp:effectExtent l="0" t="0" r="1270" b="0"/>
                <wp:wrapNone/>
                <wp:docPr id="3963" name="Text Box 3963"/>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AF7EF"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5C76485D"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771566B" id="Text Box 3963" o:spid="_x0000_s1046" type="#_x0000_t202" style="position:absolute;left:0;text-align:left;margin-left:46.75pt;margin-top:153.25pt;width:34.4pt;height:21.5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" fillcolor="white [3212]" stroked="f" strokeweight=".5pt">
                <v:textbox inset="0,0,0,0">
                  <w:txbxContent>
                    <w:p w14:paraId="052AF7EF"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P#0/111</w:t>
                      </w:r>
                    </w:p>
                    <w:p w14:paraId="5C76485D" w14:textId="77777777" w:rsidR="00D97785" w:rsidRDefault="00D97785" w:rsidP="0075524C">
                      <w:pPr>
                        <w:rPr>
                          <w:rFonts w:asciiTheme="majorBidi" w:hAnsiTheme="majorBidi" w:cstheme="majorBidi"/>
                          <w:b/>
                          <w:bCs/>
                          <w:sz w:val="16"/>
                          <w:szCs w:val="16"/>
                        </w:rPr>
                      </w:pPr>
                      <w:r>
                        <w:rPr>
                          <w:rFonts w:ascii="Times New Roman" w:eastAsia="Times New Roman" w:hAnsi="Times New Roman" w:cs="Times New Roman"/>
                          <w:b/>
                          <w:bCs/>
                          <w:sz w:val="16"/>
                          <w:szCs w:val="16"/>
                          <w:lang w:val="it-IT"/>
                        </w:rPr>
                        <w:t>A#0/115</w:t>
                      </w:r>
                    </w:p>
                  </w:txbxContent>
                </v:textbox>
              </v:shape>
            </w:pict>
          </mc:Fallback>
        </mc:AlternateContent>
      </w:r>
      <w:r w:rsidRPr="00C35766">
        <w:rPr>
          <w:rFonts w:ascii="Times New Roman" w:hAnsi="Times New Roman" w:cs="Times New Roman"/>
          <w:noProof/>
          <w:lang w:eastAsia="ko-KR"/>
        </w:rPr>
        <w:drawing>
          <wp:inline distT="0" distB="0" distL="0" distR="0" wp14:anchorId="7723978B" wp14:editId="2B79ADC0">
            <wp:extent cx="5473700" cy="2165350"/>
            <wp:effectExtent l="0" t="0" r="0" b="0"/>
            <wp:docPr id="3972"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76E01B78" w14:textId="77777777" w:rsidR="0075524C" w:rsidRPr="00C35766" w:rsidRDefault="0075524C" w:rsidP="0075524C">
      <w:pPr>
        <w:spacing w:before="11"/>
        <w:ind w:left="4099" w:right="364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(MESI)</w:t>
      </w:r>
    </w:p>
    <w:p w14:paraId="0E8AC5DB" w14:textId="77777777" w:rsidR="0075524C" w:rsidRPr="00C35766" w:rsidRDefault="0075524C" w:rsidP="0075524C">
      <w:pPr>
        <w:pStyle w:val="a3"/>
        <w:ind w:firstLine="720"/>
        <w:rPr>
          <w:lang w:val="pt-BR"/>
        </w:rPr>
      </w:pPr>
      <w:r w:rsidRPr="00C35766">
        <w:rPr>
          <w:rFonts w:eastAsia="Times New Roman"/>
          <w:lang w:val="it-IT"/>
        </w:rPr>
        <w:t>Studio UV II</w:t>
      </w:r>
      <w:r w:rsidRPr="00C35766">
        <w:rPr>
          <w:rFonts w:eastAsia="Times New Roman"/>
          <w:lang w:val="it-IT"/>
        </w:rPr>
        <w:tab/>
      </w:r>
      <w:r w:rsidRPr="00C35766">
        <w:rPr>
          <w:rFonts w:eastAsia="Times New Roman"/>
          <w:lang w:val="it-IT"/>
        </w:rPr>
        <w:tab/>
        <w:t xml:space="preserve">   Trattamento</w:t>
      </w:r>
      <w:r w:rsidRPr="00C35766">
        <w:rPr>
          <w:rFonts w:eastAsia="Times New Roman"/>
          <w:lang w:val="it-IT"/>
        </w:rPr>
        <w:tab/>
      </w:r>
      <w:r w:rsidRPr="00C35766">
        <w:rPr>
          <w:noProof/>
          <w:lang w:eastAsia="ko-KR"/>
        </w:rPr>
        <w:drawing>
          <wp:inline distT="0" distB="0" distL="0" distR="0" wp14:anchorId="760B7B22" wp14:editId="317FC622">
            <wp:extent cx="393700" cy="177800"/>
            <wp:effectExtent l="0" t="0" r="0" b="0"/>
            <wp:docPr id="3973"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noProof/>
          <w:lang w:eastAsia="ko-KR"/>
        </w:rPr>
        <w:drawing>
          <wp:inline distT="0" distB="0" distL="0" distR="0" wp14:anchorId="0DE0C6B8" wp14:editId="03343573">
            <wp:extent cx="508000" cy="177800"/>
            <wp:effectExtent l="0" t="0" r="0" b="0"/>
            <wp:docPr id="3974"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sidRPr="00C35766">
        <w:rPr>
          <w:rFonts w:eastAsia="Times New Roman"/>
          <w:lang w:val="it-IT"/>
        </w:rPr>
        <w:t xml:space="preserve">  Adalimumab</w:t>
      </w:r>
    </w:p>
    <w:p w14:paraId="7CD50E63" w14:textId="77777777" w:rsidR="0075524C" w:rsidRPr="00C35766" w:rsidRDefault="0075524C" w:rsidP="0075524C">
      <w:pPr>
        <w:spacing w:before="9" w:line="130" w:lineRule="exact"/>
        <w:rPr>
          <w:rFonts w:ascii="Times New Roman" w:hAnsi="Times New Roman" w:cs="Times New Roman"/>
          <w:sz w:val="13"/>
          <w:szCs w:val="13"/>
          <w:lang w:val="pt-BR"/>
        </w:rPr>
      </w:pPr>
    </w:p>
    <w:p w14:paraId="1495F623" w14:textId="77777777" w:rsidR="0075524C" w:rsidRPr="00C35766" w:rsidRDefault="0075524C" w:rsidP="008A6AF4">
      <w:pPr>
        <w:pStyle w:val="a3"/>
        <w:ind w:leftChars="100" w:left="220"/>
        <w:rPr>
          <w:lang w:val="pt-BR"/>
        </w:rPr>
      </w:pPr>
      <w:r w:rsidRPr="00C35766">
        <w:rPr>
          <w:rFonts w:eastAsia="Times New Roman"/>
          <w:lang w:val="it-IT"/>
        </w:rPr>
        <w:t>Nota: P = Placebo (Numero di eventi/Numero a rischio); A = adalimumab (Numero di eventi/Numero a rischio).</w:t>
      </w:r>
    </w:p>
    <w:p w14:paraId="0490BD19" w14:textId="77777777" w:rsidR="0075524C" w:rsidRPr="00C35766" w:rsidRDefault="0075524C" w:rsidP="0075524C">
      <w:pPr>
        <w:spacing w:line="200" w:lineRule="exact"/>
        <w:rPr>
          <w:rFonts w:ascii="Times New Roman" w:hAnsi="Times New Roman" w:cs="Times New Roman"/>
          <w:sz w:val="20"/>
          <w:szCs w:val="20"/>
          <w:lang w:val="pt-BR"/>
        </w:rPr>
      </w:pPr>
    </w:p>
    <w:p w14:paraId="3FB31B69" w14:textId="77777777" w:rsidR="0075524C" w:rsidRPr="00C35766" w:rsidRDefault="0075524C" w:rsidP="0075524C">
      <w:pPr>
        <w:pStyle w:val="a3"/>
        <w:rPr>
          <w:lang w:val="it-IT"/>
        </w:rPr>
      </w:pPr>
      <w:r w:rsidRPr="00C35766">
        <w:rPr>
          <w:rFonts w:eastAsia="Times New Roman"/>
          <w:lang w:val="it-IT"/>
        </w:rPr>
        <w:t>Nello Studio UV I sono state osservate differenze statisticamente significative a favore di adalimumab rispetto al placebo per ogni componente del fallimento del trattamento. Nello Studio UV II sono state osservate differenze statisticamente significative solo per l’acuità visiva, mentre gli altri componenti erano numericamente a favore di adalimumab.</w:t>
      </w:r>
    </w:p>
    <w:p w14:paraId="552F4EE1" w14:textId="77777777" w:rsidR="0075524C" w:rsidRPr="00C35766" w:rsidRDefault="0075524C" w:rsidP="0075524C">
      <w:pPr>
        <w:spacing w:before="13" w:line="240" w:lineRule="exact"/>
        <w:rPr>
          <w:rFonts w:ascii="Times New Roman" w:hAnsi="Times New Roman" w:cs="Times New Roman"/>
          <w:sz w:val="24"/>
          <w:szCs w:val="24"/>
          <w:lang w:val="it-IT"/>
        </w:rPr>
      </w:pPr>
    </w:p>
    <w:p w14:paraId="12F1EF5F" w14:textId="77777777" w:rsidR="0075524C" w:rsidRPr="00C35766" w:rsidRDefault="0075524C" w:rsidP="0075524C">
      <w:pPr>
        <w:pStyle w:val="a3"/>
        <w:rPr>
          <w:lang w:val="it-IT"/>
        </w:rPr>
      </w:pPr>
      <w:r w:rsidRPr="00C35766">
        <w:rPr>
          <w:rFonts w:eastAsia="Times New Roman"/>
          <w:lang w:val="it-IT"/>
        </w:rPr>
        <w:t xml:space="preserve">Dei 424 soggetti inclusi nell’estensione a lungo termine non controllata degli Studi UV I ed UV II, 60 soggetti sono stati considerati non eleggibili (ad es. a causa di deviazioni o per complicazioni secondarie alla retinopatia diabetica, a causa di intervento chirurgico di cataratta o vitrectomia) e sono stati esclusi dall’analisi primaria di efficacia.  Dei 364 pazienti rimanenti, 269 pazienti valutabili (74%) hanno raggiunto 78 settimane di trattamento in aperto con adalimumab. In base all’approccio utilizzato per l’osservazione dei dati, 216 (80,3%) sono stati in quiescenza (nessuna lesione infiammatoria attiva, grado di cellule AC ≤ 0,5+, grado VH ≤ 0,5+) con una dose concomitante di steroidi ≤ 7,5 mg al giorno, e 178 (66,2%) sono stati in quiescenza senza trattamento steroideo. BCVA era migliorata o mantenuta (deteriorazione &lt; 5 lettere) nell’88,6% degli occhi alla settimana 78. I dati oltre la settimana 78 sono stati generalmente coerenti con questi risultati, ma il numero di soggetti arruolati è diminuito dopo questo periodo. Complessivamente, tra i </w:t>
      </w:r>
      <w:r w:rsidRPr="00C35766">
        <w:rPr>
          <w:rFonts w:eastAsia="Times New Roman"/>
          <w:lang w:val="it-IT"/>
        </w:rPr>
        <w:lastRenderedPageBreak/>
        <w:t>pazienti che hanno interrotto lo studio, il 18% ha interrotto a causa di eventi avversi, e l’8% a causa di risposta insufficiente al trattamento con adalimumab.</w:t>
      </w:r>
    </w:p>
    <w:p w14:paraId="6678DCFC" w14:textId="77777777" w:rsidR="0075524C" w:rsidRPr="00C35766" w:rsidRDefault="0075524C" w:rsidP="0075524C">
      <w:pPr>
        <w:pStyle w:val="a3"/>
        <w:rPr>
          <w:sz w:val="24"/>
          <w:szCs w:val="24"/>
          <w:lang w:val="it-IT"/>
        </w:rPr>
      </w:pPr>
    </w:p>
    <w:p w14:paraId="45C2A8B5" w14:textId="77777777" w:rsidR="0075524C" w:rsidRPr="00C35766" w:rsidRDefault="0075524C" w:rsidP="0075524C">
      <w:pPr>
        <w:pStyle w:val="a3"/>
        <w:rPr>
          <w:rFonts w:eastAsia="Times New Roman"/>
          <w:lang w:val="it-IT"/>
        </w:rPr>
      </w:pPr>
      <w:r w:rsidRPr="00C35766">
        <w:rPr>
          <w:rFonts w:eastAsia="Times New Roman"/>
          <w:i/>
          <w:iCs/>
          <w:spacing w:val="-1"/>
          <w:u w:val="single" w:color="000000"/>
          <w:lang w:val="it-IT"/>
        </w:rPr>
        <w:t>Qualità della vita</w:t>
      </w:r>
    </w:p>
    <w:p w14:paraId="57CEF694" w14:textId="77777777" w:rsidR="0075524C" w:rsidRPr="00C35766" w:rsidRDefault="0075524C" w:rsidP="0075524C">
      <w:pPr>
        <w:pStyle w:val="a3"/>
        <w:rPr>
          <w:sz w:val="18"/>
          <w:szCs w:val="18"/>
          <w:lang w:val="it-IT"/>
        </w:rPr>
      </w:pPr>
    </w:p>
    <w:p w14:paraId="39D668E7" w14:textId="77777777" w:rsidR="0075524C" w:rsidRPr="00C35766" w:rsidRDefault="0075524C" w:rsidP="0075524C">
      <w:pPr>
        <w:pStyle w:val="a3"/>
        <w:rPr>
          <w:lang w:val="es-ES"/>
        </w:rPr>
      </w:pPr>
      <w:r w:rsidRPr="00C35766">
        <w:rPr>
          <w:rFonts w:eastAsia="Times New Roman"/>
          <w:lang w:val="it-IT"/>
        </w:rPr>
        <w:t>Gli esiti riferiti dal paziente per quanto riguarda la funzione visiva sono stati misurati in entrambi gli studi clinici, utilizzando la scala NEI VFQ-25. Adalimumab è stato numericamente favorito per la maggior parte dei punteggi parziali con differenze medie statisticamente significative per la visione generale, il dolore oculare, la visione da vicino, la salute mentale e il punteggio totale nello Studio UV I e per la visione generale e la salute mentale nello Studio UV II. Gli effetti legati alla visione non erano numericamente a favore di adalimumab per la visione del colore nello Studio UV I e per la visione del colore, la visione periferica e la visione da vicino nello Studio UV II.</w:t>
      </w:r>
    </w:p>
    <w:p w14:paraId="7183374A" w14:textId="77777777" w:rsidR="0075524C" w:rsidRPr="00C35766" w:rsidRDefault="0075524C" w:rsidP="0075524C">
      <w:pPr>
        <w:pStyle w:val="a3"/>
        <w:rPr>
          <w:sz w:val="24"/>
          <w:szCs w:val="24"/>
          <w:lang w:val="es-ES"/>
        </w:rPr>
      </w:pPr>
    </w:p>
    <w:p w14:paraId="51ECF5C3" w14:textId="77777777" w:rsidR="0075524C" w:rsidRPr="00C35766" w:rsidRDefault="0075524C" w:rsidP="0075524C">
      <w:pPr>
        <w:pStyle w:val="a3"/>
        <w:rPr>
          <w:u w:val="single" w:color="000000"/>
          <w:lang w:val="pt-BR"/>
        </w:rPr>
      </w:pPr>
      <w:r w:rsidRPr="00C35766">
        <w:rPr>
          <w:rFonts w:eastAsia="Times New Roman"/>
          <w:u w:val="single" w:color="000000"/>
          <w:lang w:val="it-IT"/>
        </w:rPr>
        <w:t>Immunogenicità</w:t>
      </w:r>
    </w:p>
    <w:p w14:paraId="0A9D18A1" w14:textId="77777777" w:rsidR="0075524C" w:rsidRPr="00C35766" w:rsidRDefault="0075524C" w:rsidP="0075524C">
      <w:pPr>
        <w:spacing w:before="1" w:line="180" w:lineRule="exact"/>
        <w:rPr>
          <w:rFonts w:ascii="Times New Roman" w:hAnsi="Times New Roman" w:cs="Times New Roman"/>
          <w:sz w:val="18"/>
          <w:szCs w:val="18"/>
          <w:lang w:val="pt-BR" w:eastAsia="ko-KR"/>
        </w:rPr>
      </w:pPr>
    </w:p>
    <w:p w14:paraId="108E2174" w14:textId="42DF0A11" w:rsidR="0051144C" w:rsidRPr="0051144C" w:rsidRDefault="0051144C" w:rsidP="0051144C">
      <w:pPr>
        <w:keepNext/>
        <w:keepLines/>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D95C47">
        <w:rPr>
          <w:rFonts w:ascii="Times New Roman" w:hAnsi="Times New Roman"/>
          <w:color w:val="000000"/>
          <w:lang w:val="it-IT"/>
        </w:rPr>
        <w:t>La formazione di anticorpi anti-adalimumab è associata all’aumento della clearance ed alla riduzione dell’efficacia di adalimumab. Non esiste una correlazione evidente tra la presenza di anticorpi anti-adalimumab e l’insorgenza di eventi avversi.</w:t>
      </w:r>
    </w:p>
    <w:p w14:paraId="37A62533"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7BEDE8FE"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 xml:space="preserve">Nei pazienti con artrite idiopatica giovanile poliarticolare di età compresa tra 4 e 17 anni, sono stati identificati anticorpi anti-adalimumab nel 15,8% dei pazienti (27/171) trattati con adalimumab. </w:t>
      </w:r>
    </w:p>
    <w:p w14:paraId="711065CF"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ai quali non è stato somministrato contemporaneamente metotressato, l’incidenza è stata pari al 25,6% (22/86) rispetto al 5,9% (5/85), quando adalimumab è stato utilizzato in associazione al metotressato. In pazienti con artrite idiopatica giovanile poliarticolare da 2 a &lt; 4 anni di età o con 4 anni o più di età ed un peso inferiore ai 15 kg, sono stati identificati anticorpi anti-adalimumab nel 7% (1/15) dei pazienti, e l’unico paziente era stato sottoposto alla terapia concomitante con metotressato.</w:t>
      </w:r>
    </w:p>
    <w:p w14:paraId="1D1EBB0D"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3EFA9726"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con artrite associata ad entesite, sono stati identificati anticorpi anti-adalimumab nel 10,9% (5/46) dei pazienti trattati con adalimumab. Nei pazienti ai quali non è stato somministrato metotressato in concomitanza, l’incidenza è stata del 13,6% (3/22), rispetto all’8,3% (2/24) quando adalimumab è stato utilizzato in combinazione con metotressato.</w:t>
      </w:r>
    </w:p>
    <w:p w14:paraId="2E8553D7"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4BEE1A13"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I pazienti degli studi I, II e III sull’artrite reumatoide sono stati esaminati a vari intervalli di tempo per valutare gli anticorpi anti-adalimumab durante il periodo da 6 a 12 mesi. Negli studi clinici registrativi, gli anticorpi anti-adalimumab sono stati riscontrati nel 5,5% (58/1053) dei pazienti trattati con adalimumab, rispetto allo 0,5% (2/370) dei pazienti trattati con placebo. Nei pazienti a cui non è stato somministrato contemporaneamente il metotressato, l’incidenza è stata del 12,4%, rispetto allo 0,6% quando adalimumab è stato usato in combinazione con metotressato.</w:t>
      </w:r>
    </w:p>
    <w:p w14:paraId="086B22DF"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112581EE"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con psoriasi pediatrica sono stati identificati anticorpi anti-adalimumab in 5/38 soggetti (13%) trattati con 0,8 mg/kg di adalimumab in monoterapia.</w:t>
      </w:r>
    </w:p>
    <w:p w14:paraId="66F654C9"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131F8E3F"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adulti con psoriasi, sono stati identificati anticorpi anti-adalimumab in 77/920 (8,4%) soggetti trattati con adalimumab in monoterapia.</w:t>
      </w:r>
    </w:p>
    <w:p w14:paraId="3CA0B797"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7CAFF83D"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In pazienti adulti con psoriasi a placche trattati a lungo termine in monoterapia con adalimumab che hanno partecipato ad uno studio di sospensione e di ri-trattamento, la percentuale di positività per anticorpi anti-adalimumab dopo la ripresa del trattamento (11 casi su 482 soggetti, 2,3%) si è mostrata simile a quella osservata prima della sospensione del farmaco (11 casi su 590 soggetti, 1,9%).</w:t>
      </w:r>
    </w:p>
    <w:p w14:paraId="05D33AF1"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1388EFEB"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in età pediatrica con malattia di Crohn attiva di grado da moderato a severo, il tasso di sviluppo di anticorpi anti-adalimumab è stato del 3,3% nei pazienti in trattamento con adalimumab.</w:t>
      </w:r>
    </w:p>
    <w:p w14:paraId="0768BEF9"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58731D90"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t>Nei pazienti con malattia di Crohn, sono stati identificati anticorpi anti-adalimumab in 7/269 pazienti (2,6%).</w:t>
      </w:r>
    </w:p>
    <w:p w14:paraId="5342059D"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6DE2BE2"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r w:rsidRPr="0051144C">
        <w:rPr>
          <w:rFonts w:ascii="Times New Roman" w:eastAsia="바탕" w:hAnsi="Times New Roman" w:cs="Times New Roman"/>
          <w:color w:val="000000"/>
          <w:lang w:val="it-IT" w:eastAsia="it-IT"/>
        </w:rPr>
        <w:lastRenderedPageBreak/>
        <w:t>Nei pazienti adulti con uveite non infettiva, sono stati identificati anticorpi anti-adalimumab nel 4,8% (12/249) dei pazienti trattati con adalimumab.</w:t>
      </w:r>
    </w:p>
    <w:p w14:paraId="34463A65" w14:textId="77777777" w:rsidR="0051144C" w:rsidRPr="0051144C" w:rsidRDefault="0051144C" w:rsidP="0051144C">
      <w:pPr>
        <w:widowControl/>
        <w:tabs>
          <w:tab w:val="left" w:pos="567"/>
          <w:tab w:val="left" w:pos="1294"/>
        </w:tabs>
        <w:autoSpaceDE w:val="0"/>
        <w:autoSpaceDN w:val="0"/>
        <w:adjustRightInd w:val="0"/>
        <w:jc w:val="both"/>
        <w:rPr>
          <w:rFonts w:ascii="Times New Roman" w:eastAsia="바탕" w:hAnsi="Times New Roman" w:cs="Times New Roman"/>
          <w:color w:val="000000"/>
          <w:lang w:val="it-IT" w:eastAsia="it-IT"/>
        </w:rPr>
      </w:pPr>
    </w:p>
    <w:p w14:paraId="25A9C347" w14:textId="2D2C1E9A" w:rsidR="0075524C" w:rsidRPr="00C35766" w:rsidRDefault="0051144C" w:rsidP="0051144C">
      <w:pPr>
        <w:pStyle w:val="a3"/>
        <w:rPr>
          <w:lang w:val="es-ES"/>
        </w:rPr>
      </w:pPr>
      <w:r w:rsidRPr="0051144C">
        <w:rPr>
          <w:rFonts w:eastAsia="바탕"/>
          <w:color w:val="000000"/>
          <w:lang w:val="it-IT" w:eastAsia="it-IT"/>
        </w:rPr>
        <w:t>Poiché le analisi di immunogenicità sono specifiche del prodotto, il confronto fra le quantità di anticorpi con quelle di altri prodotti non è appropriato</w:t>
      </w:r>
      <w:r w:rsidR="0075524C" w:rsidRPr="00C35766">
        <w:rPr>
          <w:rFonts w:eastAsia="Times New Roman"/>
          <w:lang w:val="it-IT"/>
        </w:rPr>
        <w:t>.</w:t>
      </w:r>
    </w:p>
    <w:p w14:paraId="7CB53B61" w14:textId="77777777" w:rsidR="0075524C" w:rsidRPr="00C35766" w:rsidRDefault="0075524C" w:rsidP="0075524C">
      <w:pPr>
        <w:pStyle w:val="a3"/>
        <w:rPr>
          <w:lang w:val="es-ES"/>
        </w:rPr>
      </w:pPr>
    </w:p>
    <w:p w14:paraId="4FB3E81B" w14:textId="77777777" w:rsidR="0075524C" w:rsidRPr="00C35766" w:rsidRDefault="0075524C" w:rsidP="0075524C">
      <w:pPr>
        <w:pStyle w:val="a3"/>
        <w:rPr>
          <w:u w:val="single"/>
          <w:lang w:val="es-ES"/>
        </w:rPr>
      </w:pPr>
      <w:r w:rsidRPr="00C35766">
        <w:rPr>
          <w:rFonts w:eastAsia="Times New Roman"/>
          <w:u w:val="single" w:color="000000"/>
          <w:lang w:val="it-IT"/>
        </w:rPr>
        <w:t>Popolazione pediatrica</w:t>
      </w:r>
    </w:p>
    <w:p w14:paraId="43DC34FE" w14:textId="77777777" w:rsidR="0075524C" w:rsidRPr="00C35766" w:rsidRDefault="0075524C" w:rsidP="0075524C">
      <w:pPr>
        <w:spacing w:before="1" w:line="180" w:lineRule="exact"/>
        <w:rPr>
          <w:rFonts w:ascii="Times New Roman" w:hAnsi="Times New Roman" w:cs="Times New Roman"/>
          <w:sz w:val="18"/>
          <w:szCs w:val="18"/>
          <w:lang w:val="es-ES"/>
        </w:rPr>
      </w:pPr>
    </w:p>
    <w:p w14:paraId="71E9BE4D" w14:textId="77777777" w:rsidR="0075524C" w:rsidRPr="00C35766" w:rsidRDefault="0075524C" w:rsidP="0075524C">
      <w:pPr>
        <w:pStyle w:val="a3"/>
        <w:rPr>
          <w:rFonts w:eastAsia="Times New Roman"/>
          <w:i/>
          <w:spacing w:val="-1"/>
          <w:lang w:val="es-ES"/>
        </w:rPr>
      </w:pPr>
      <w:r w:rsidRPr="00C35766">
        <w:rPr>
          <w:rFonts w:eastAsia="Times New Roman"/>
          <w:i/>
          <w:iCs/>
          <w:spacing w:val="-1"/>
          <w:lang w:val="it-IT"/>
        </w:rPr>
        <w:t>Artrite idiopatica giovanile (JIA)</w:t>
      </w:r>
    </w:p>
    <w:p w14:paraId="2F367B7F" w14:textId="77777777" w:rsidR="0075524C" w:rsidRPr="00C35766" w:rsidRDefault="0075524C" w:rsidP="0075524C">
      <w:pPr>
        <w:pStyle w:val="a3"/>
        <w:rPr>
          <w:rFonts w:eastAsia="Times New Roman"/>
          <w:i/>
          <w:spacing w:val="-1"/>
          <w:u w:val="single" w:color="000000"/>
          <w:lang w:val="es-ES"/>
        </w:rPr>
      </w:pPr>
    </w:p>
    <w:p w14:paraId="582C83CA" w14:textId="77777777" w:rsidR="0075524C" w:rsidRPr="00C35766" w:rsidRDefault="0075524C" w:rsidP="0075524C">
      <w:pPr>
        <w:pStyle w:val="a3"/>
        <w:rPr>
          <w:rFonts w:eastAsia="Times New Roman"/>
          <w:lang w:val="es-ES"/>
        </w:rPr>
      </w:pPr>
      <w:r w:rsidRPr="00C35766">
        <w:rPr>
          <w:rFonts w:eastAsia="Times New Roman"/>
          <w:i/>
          <w:iCs/>
          <w:spacing w:val="-1"/>
          <w:u w:val="single" w:color="000000"/>
          <w:lang w:val="it-IT"/>
        </w:rPr>
        <w:t>Artrite idiopatica giovanile poliarticolare (pJIA)</w:t>
      </w:r>
    </w:p>
    <w:p w14:paraId="3EC8AF41" w14:textId="77777777" w:rsidR="0075524C" w:rsidRPr="00C35766" w:rsidRDefault="0075524C" w:rsidP="0075524C">
      <w:pPr>
        <w:pStyle w:val="a3"/>
        <w:rPr>
          <w:lang w:val="es-ES"/>
        </w:rPr>
      </w:pPr>
      <w:r w:rsidRPr="00C35766">
        <w:rPr>
          <w:rFonts w:eastAsia="Times New Roman"/>
          <w:lang w:val="it-IT"/>
        </w:rPr>
        <w:t>La sicurezza e l’efficacia di adalimumab sono state valutate in due studi (pJIA I e II) in bambini con artrite idiopatica giovanile poliarticolare attiva o a decorso poliarticolare, che avevano diversi tipi di insorgenza della JIA (più frequentemente poliartrite negativa o positiva al fattore reumatoide e oligoartrite estesa).</w:t>
      </w:r>
    </w:p>
    <w:p w14:paraId="33F82668" w14:textId="77777777" w:rsidR="0075524C" w:rsidRPr="00C35766" w:rsidRDefault="0075524C" w:rsidP="0075524C">
      <w:pPr>
        <w:pStyle w:val="a3"/>
        <w:rPr>
          <w:sz w:val="24"/>
          <w:szCs w:val="24"/>
          <w:lang w:val="es-ES"/>
        </w:rPr>
      </w:pPr>
    </w:p>
    <w:p w14:paraId="51E63CCC" w14:textId="77777777" w:rsidR="0075524C" w:rsidRPr="00C35766" w:rsidRDefault="0075524C" w:rsidP="0075524C">
      <w:pPr>
        <w:pStyle w:val="a3"/>
        <w:rPr>
          <w:lang w:val="es-ES"/>
        </w:rPr>
      </w:pPr>
      <w:r w:rsidRPr="00C35766">
        <w:rPr>
          <w:rFonts w:eastAsia="Times New Roman"/>
          <w:lang w:val="it-IT"/>
        </w:rPr>
        <w:t>pJIA I</w:t>
      </w:r>
    </w:p>
    <w:p w14:paraId="08B72FDC" w14:textId="77777777" w:rsidR="0075524C" w:rsidRPr="00C35766" w:rsidRDefault="0075524C" w:rsidP="0075524C">
      <w:pPr>
        <w:pStyle w:val="a3"/>
        <w:rPr>
          <w:sz w:val="18"/>
          <w:szCs w:val="18"/>
          <w:lang w:val="es-ES"/>
        </w:rPr>
      </w:pPr>
    </w:p>
    <w:p w14:paraId="76B3C4EA" w14:textId="2851A3D5" w:rsidR="0075524C" w:rsidRPr="00C35766" w:rsidRDefault="0075524C" w:rsidP="0075524C">
      <w:pPr>
        <w:pStyle w:val="a3"/>
        <w:rPr>
          <w:sz w:val="24"/>
          <w:szCs w:val="24"/>
          <w:lang w:val="it-IT"/>
        </w:rPr>
      </w:pPr>
      <w:r w:rsidRPr="00C35766">
        <w:rPr>
          <w:rFonts w:eastAsia="Times New Roman"/>
          <w:lang w:val="it-IT"/>
        </w:rPr>
        <w:t>La sicurezza e l’efficacia di adalimumab sono state valutate in uno studio multicentrico, randomizzato, in doppio-cieco, a gruppi paralleli, in 171 bambini (di età compresa tra i 4 ed i 17 anni) affetti da artrite idiopatica giovanile poliarticolare (pJIA). Nel corso della fase di ammissione in aperto (open-label lead in phase = OL LI), i pazienti sono stati stratificati in due gruppi: uno trattato con MTX (metotressato) e l’altro non trattato con MTX. I pazienti ammessi nel braccio non trattato con MTX non erano stati mai trattati prima con MTX oppure avevano sospeso la sua assunzione almeno due settimane prima della somministrazione del farmaco in studio. Ai pazienti sono state somministrate dosi costanti di farmaci antinfiammatori non steroidei (FANS) e/o di prednisone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0,2 mg/kg/die o un massimo di 10 mg/die). Nel corso della fase OL LI, a tutti i pazienti sono stati somministrati 24 mg/m</w:t>
      </w:r>
      <w:r w:rsidRPr="00C35766">
        <w:rPr>
          <w:rFonts w:eastAsia="Times New Roman"/>
          <w:vertAlign w:val="superscript"/>
          <w:lang w:val="it-IT"/>
        </w:rPr>
        <w:t>2</w:t>
      </w:r>
      <w:r w:rsidRPr="00C35766">
        <w:rPr>
          <w:rFonts w:eastAsia="Times New Roman"/>
          <w:lang w:val="it-IT"/>
        </w:rPr>
        <w:t xml:space="preserve"> di adalimumab fino ad una dose massima pari a 40 mg, a settimane alterne per 16 settimane. La distribuzione dei pazienti per età e per  dose minima, mediana e massima somministrata nel corso della fase OL LI è riportata nella Tabella </w:t>
      </w:r>
      <w:r w:rsidR="00F729F7">
        <w:rPr>
          <w:rFonts w:eastAsia="Times New Roman"/>
          <w:lang w:val="it-IT"/>
        </w:rPr>
        <w:t>17</w:t>
      </w:r>
      <w:r w:rsidRPr="00C35766">
        <w:rPr>
          <w:rFonts w:eastAsia="Times New Roman"/>
          <w:lang w:val="it-IT"/>
        </w:rPr>
        <w:t>.</w:t>
      </w:r>
    </w:p>
    <w:p w14:paraId="69963579" w14:textId="77777777" w:rsidR="0075524C" w:rsidRPr="00C35766" w:rsidRDefault="0075524C" w:rsidP="0075524C">
      <w:pPr>
        <w:pStyle w:val="a3"/>
        <w:jc w:val="center"/>
        <w:rPr>
          <w:rFonts w:eastAsia="Times New Roman"/>
          <w:b/>
          <w:bCs/>
          <w:lang w:val="it-IT"/>
        </w:rPr>
      </w:pPr>
    </w:p>
    <w:p w14:paraId="428E5586" w14:textId="78070098"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17</w:t>
      </w:r>
    </w:p>
    <w:p w14:paraId="6973C51A" w14:textId="77777777" w:rsidR="0075524C" w:rsidRPr="00C35766" w:rsidRDefault="0075524C" w:rsidP="0075524C">
      <w:pPr>
        <w:pStyle w:val="a3"/>
        <w:jc w:val="center"/>
        <w:rPr>
          <w:b/>
          <w:lang w:val="it-IT"/>
        </w:rPr>
      </w:pPr>
      <w:r w:rsidRPr="00C35766">
        <w:rPr>
          <w:rFonts w:eastAsia="Times New Roman"/>
          <w:b/>
          <w:bCs/>
          <w:lang w:val="it-IT"/>
        </w:rPr>
        <w:t>Distribuzione dei pazienti per età e dose di adalimumab somministrata nel corso della fase OL LI</w:t>
      </w:r>
    </w:p>
    <w:p w14:paraId="195D64F8" w14:textId="77777777" w:rsidR="0075524C" w:rsidRPr="00C35766" w:rsidRDefault="0075524C" w:rsidP="0075524C">
      <w:pPr>
        <w:spacing w:before="15" w:line="260" w:lineRule="exact"/>
        <w:rPr>
          <w:rFonts w:ascii="Times New Roman" w:hAnsi="Times New Roman" w:cs="Times New Roman"/>
          <w:sz w:val="26"/>
          <w:lang w:val="it-IT"/>
        </w:rPr>
      </w:pPr>
    </w:p>
    <w:tbl>
      <w:tblPr>
        <w:tblStyle w:val="TableNormal1"/>
        <w:tblW w:w="0" w:type="auto"/>
        <w:tblInd w:w="220" w:type="dxa"/>
        <w:tblLayout w:type="fixed"/>
        <w:tblLook w:val="01E0" w:firstRow="1" w:lastRow="1" w:firstColumn="1" w:lastColumn="1" w:noHBand="0" w:noVBand="0"/>
      </w:tblPr>
      <w:tblGrid>
        <w:gridCol w:w="2401"/>
        <w:gridCol w:w="3497"/>
        <w:gridCol w:w="3218"/>
      </w:tblGrid>
      <w:tr w:rsidR="0075524C" w:rsidRPr="00494E69" w14:paraId="0BD86B24" w14:textId="77777777" w:rsidTr="00603A86">
        <w:tc>
          <w:tcPr>
            <w:tcW w:w="2401" w:type="dxa"/>
            <w:tcBorders>
              <w:top w:val="single" w:sz="5" w:space="0" w:color="000000"/>
              <w:left w:val="single" w:sz="5" w:space="0" w:color="000000"/>
              <w:bottom w:val="single" w:sz="5" w:space="0" w:color="000000"/>
              <w:right w:val="single" w:sz="5" w:space="0" w:color="000000"/>
            </w:tcBorders>
          </w:tcPr>
          <w:p w14:paraId="2EF72E80"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Gruppo di età</w:t>
            </w:r>
          </w:p>
        </w:tc>
        <w:tc>
          <w:tcPr>
            <w:tcW w:w="3497" w:type="dxa"/>
            <w:tcBorders>
              <w:top w:val="single" w:sz="5" w:space="0" w:color="000000"/>
              <w:left w:val="single" w:sz="5" w:space="0" w:color="000000"/>
              <w:bottom w:val="single" w:sz="5" w:space="0" w:color="000000"/>
              <w:right w:val="single" w:sz="5" w:space="0" w:color="000000"/>
            </w:tcBorders>
          </w:tcPr>
          <w:p w14:paraId="5BBFA503" w14:textId="77777777" w:rsidR="0075524C" w:rsidRPr="00C35766" w:rsidRDefault="0075524C" w:rsidP="00603A86">
            <w:pPr>
              <w:pStyle w:val="a8"/>
              <w:rPr>
                <w:rFonts w:ascii="Times New Roman" w:hAnsi="Times New Roman" w:cs="Times New Roman"/>
                <w:lang w:val="it-IT"/>
              </w:rPr>
            </w:pPr>
            <w:r w:rsidRPr="00824699">
              <w:rPr>
                <w:rFonts w:ascii="Times New Roman" w:eastAsia="Times New Roman" w:hAnsi="Times New Roman" w:cs="Times New Roman"/>
                <w:spacing w:val="-1"/>
                <w:lang w:val="it-IT"/>
              </w:rPr>
              <w:t xml:space="preserve"> </w:t>
            </w:r>
            <w:r w:rsidRPr="00C35766">
              <w:rPr>
                <w:rFonts w:ascii="Times New Roman" w:hAnsi="Times New Roman" w:cs="Times New Roman"/>
                <w:lang w:val="it-IT"/>
              </w:rPr>
              <w:t xml:space="preserve"> Numero di pazienti al basale n (%)</w:t>
            </w:r>
          </w:p>
        </w:tc>
        <w:tc>
          <w:tcPr>
            <w:tcW w:w="3218" w:type="dxa"/>
            <w:tcBorders>
              <w:top w:val="single" w:sz="5" w:space="0" w:color="000000"/>
              <w:left w:val="single" w:sz="5" w:space="0" w:color="000000"/>
              <w:bottom w:val="single" w:sz="5" w:space="0" w:color="000000"/>
              <w:right w:val="single" w:sz="5" w:space="0" w:color="000000"/>
            </w:tcBorders>
          </w:tcPr>
          <w:p w14:paraId="622A4CFD" w14:textId="77777777" w:rsidR="0075524C" w:rsidRPr="00C35766" w:rsidRDefault="0075524C" w:rsidP="00603A86">
            <w:pPr>
              <w:pStyle w:val="TableParagraph"/>
              <w:spacing w:line="246" w:lineRule="exact"/>
              <w:ind w:left="102"/>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Dose minima, mediana e massima </w:t>
            </w:r>
            <w:r w:rsidRPr="00C35766">
              <w:rPr>
                <w:rFonts w:ascii="Times New Roman" w:eastAsia="Times New Roman" w:hAnsi="Times New Roman" w:cs="Times New Roman"/>
                <w:lang w:val="it-IT"/>
              </w:rPr>
              <w:t> </w:t>
            </w:r>
          </w:p>
        </w:tc>
      </w:tr>
      <w:tr w:rsidR="0075524C" w:rsidRPr="00C35766" w14:paraId="22009A8A" w14:textId="77777777" w:rsidTr="00603A86">
        <w:tc>
          <w:tcPr>
            <w:tcW w:w="2401" w:type="dxa"/>
            <w:tcBorders>
              <w:top w:val="single" w:sz="5" w:space="0" w:color="000000"/>
              <w:left w:val="single" w:sz="5" w:space="0" w:color="000000"/>
              <w:bottom w:val="single" w:sz="5" w:space="0" w:color="000000"/>
              <w:right w:val="single" w:sz="5" w:space="0" w:color="000000"/>
            </w:tcBorders>
          </w:tcPr>
          <w:p w14:paraId="089306C5"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Dai 4 ai 7 anni</w:t>
            </w:r>
          </w:p>
        </w:tc>
        <w:tc>
          <w:tcPr>
            <w:tcW w:w="3497" w:type="dxa"/>
            <w:tcBorders>
              <w:top w:val="single" w:sz="5" w:space="0" w:color="000000"/>
              <w:left w:val="single" w:sz="5" w:space="0" w:color="000000"/>
              <w:bottom w:val="single" w:sz="5" w:space="0" w:color="000000"/>
              <w:right w:val="single" w:sz="5" w:space="0" w:color="000000"/>
            </w:tcBorders>
          </w:tcPr>
          <w:p w14:paraId="0B775A02"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31 (18,1)</w:t>
            </w:r>
          </w:p>
        </w:tc>
        <w:tc>
          <w:tcPr>
            <w:tcW w:w="3218" w:type="dxa"/>
            <w:tcBorders>
              <w:top w:val="single" w:sz="5" w:space="0" w:color="000000"/>
              <w:left w:val="single" w:sz="5" w:space="0" w:color="000000"/>
              <w:bottom w:val="single" w:sz="5" w:space="0" w:color="000000"/>
              <w:right w:val="single" w:sz="5" w:space="0" w:color="000000"/>
            </w:tcBorders>
          </w:tcPr>
          <w:p w14:paraId="7CC4B92B"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10, 20 e 25 mg</w:t>
            </w:r>
          </w:p>
        </w:tc>
      </w:tr>
      <w:tr w:rsidR="0075524C" w:rsidRPr="00C35766" w14:paraId="761DBDB8" w14:textId="77777777" w:rsidTr="00603A86">
        <w:tc>
          <w:tcPr>
            <w:tcW w:w="2401" w:type="dxa"/>
            <w:tcBorders>
              <w:top w:val="single" w:sz="5" w:space="0" w:color="000000"/>
              <w:left w:val="single" w:sz="5" w:space="0" w:color="000000"/>
              <w:bottom w:val="single" w:sz="5" w:space="0" w:color="000000"/>
              <w:right w:val="single" w:sz="5" w:space="0" w:color="000000"/>
            </w:tcBorders>
          </w:tcPr>
          <w:p w14:paraId="0C35539D" w14:textId="77777777" w:rsidR="0075524C" w:rsidRPr="00C35766" w:rsidRDefault="0075524C" w:rsidP="00603A86">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Dagli 8 ai 12 anni</w:t>
            </w:r>
          </w:p>
        </w:tc>
        <w:tc>
          <w:tcPr>
            <w:tcW w:w="3497" w:type="dxa"/>
            <w:tcBorders>
              <w:top w:val="single" w:sz="5" w:space="0" w:color="000000"/>
              <w:left w:val="single" w:sz="5" w:space="0" w:color="000000"/>
              <w:bottom w:val="single" w:sz="5" w:space="0" w:color="000000"/>
              <w:right w:val="single" w:sz="5" w:space="0" w:color="000000"/>
            </w:tcBorders>
          </w:tcPr>
          <w:p w14:paraId="74D55957" w14:textId="77777777" w:rsidR="0075524C" w:rsidRPr="00C35766" w:rsidRDefault="0075524C" w:rsidP="00603A86">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71 (41,5)</w:t>
            </w:r>
          </w:p>
        </w:tc>
        <w:tc>
          <w:tcPr>
            <w:tcW w:w="3218" w:type="dxa"/>
            <w:tcBorders>
              <w:top w:val="single" w:sz="5" w:space="0" w:color="000000"/>
              <w:left w:val="single" w:sz="5" w:space="0" w:color="000000"/>
              <w:bottom w:val="single" w:sz="5" w:space="0" w:color="000000"/>
              <w:right w:val="single" w:sz="5" w:space="0" w:color="000000"/>
            </w:tcBorders>
          </w:tcPr>
          <w:p w14:paraId="37D15E5C" w14:textId="77777777" w:rsidR="0075524C" w:rsidRPr="00C35766" w:rsidRDefault="0075524C" w:rsidP="00603A86">
            <w:pPr>
              <w:pStyle w:val="TableParagraph"/>
              <w:spacing w:line="248"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20, 25 e 40 mg</w:t>
            </w:r>
          </w:p>
        </w:tc>
      </w:tr>
      <w:tr w:rsidR="0075524C" w:rsidRPr="00C35766" w14:paraId="1FC0E472" w14:textId="77777777" w:rsidTr="00603A86">
        <w:tc>
          <w:tcPr>
            <w:tcW w:w="2401" w:type="dxa"/>
            <w:tcBorders>
              <w:top w:val="single" w:sz="5" w:space="0" w:color="000000"/>
              <w:left w:val="single" w:sz="5" w:space="0" w:color="000000"/>
              <w:bottom w:val="single" w:sz="5" w:space="0" w:color="000000"/>
              <w:right w:val="single" w:sz="5" w:space="0" w:color="000000"/>
            </w:tcBorders>
          </w:tcPr>
          <w:p w14:paraId="6E0434ED"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Dai 13 ai 17 anni</w:t>
            </w:r>
          </w:p>
        </w:tc>
        <w:tc>
          <w:tcPr>
            <w:tcW w:w="3497" w:type="dxa"/>
            <w:tcBorders>
              <w:top w:val="single" w:sz="5" w:space="0" w:color="000000"/>
              <w:left w:val="single" w:sz="5" w:space="0" w:color="000000"/>
              <w:bottom w:val="single" w:sz="5" w:space="0" w:color="000000"/>
              <w:right w:val="single" w:sz="5" w:space="0" w:color="000000"/>
            </w:tcBorders>
          </w:tcPr>
          <w:p w14:paraId="326F5651"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69 (40,4)</w:t>
            </w:r>
          </w:p>
        </w:tc>
        <w:tc>
          <w:tcPr>
            <w:tcW w:w="3218" w:type="dxa"/>
            <w:tcBorders>
              <w:top w:val="single" w:sz="5" w:space="0" w:color="000000"/>
              <w:left w:val="single" w:sz="5" w:space="0" w:color="000000"/>
              <w:bottom w:val="single" w:sz="5" w:space="0" w:color="000000"/>
              <w:right w:val="single" w:sz="5" w:space="0" w:color="000000"/>
            </w:tcBorders>
          </w:tcPr>
          <w:p w14:paraId="744F42C1"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25, 40 e 40 mg</w:t>
            </w:r>
          </w:p>
        </w:tc>
      </w:tr>
    </w:tbl>
    <w:p w14:paraId="4608A67B" w14:textId="77777777" w:rsidR="0075524C" w:rsidRPr="00C35766" w:rsidRDefault="0075524C" w:rsidP="0075524C">
      <w:pPr>
        <w:spacing w:before="3" w:line="170" w:lineRule="exact"/>
        <w:rPr>
          <w:rFonts w:ascii="Times New Roman" w:hAnsi="Times New Roman" w:cs="Times New Roman"/>
          <w:sz w:val="17"/>
          <w:szCs w:val="17"/>
        </w:rPr>
      </w:pPr>
    </w:p>
    <w:p w14:paraId="54E797F2" w14:textId="77777777" w:rsidR="0075524C" w:rsidRPr="00C35766" w:rsidRDefault="0075524C" w:rsidP="0075524C">
      <w:pPr>
        <w:pStyle w:val="a3"/>
        <w:rPr>
          <w:lang w:val="it-IT"/>
        </w:rPr>
      </w:pPr>
      <w:r w:rsidRPr="00C35766">
        <w:rPr>
          <w:rFonts w:eastAsia="Times New Roman"/>
          <w:lang w:val="it-IT"/>
        </w:rPr>
        <w:t>I pazienti che avevano dimostrato una risposta ACR30 pediatrica alla settimana 16 possedevano i requisiti necessari per essere ammessi alla randomizzazione della fase dello studio in doppio cieco (Double Blind = DB) ed hanno ricevuto 24 mg/m</w:t>
      </w:r>
      <w:r w:rsidRPr="00C35766">
        <w:rPr>
          <w:rFonts w:eastAsia="Times New Roman"/>
          <w:vertAlign w:val="superscript"/>
          <w:lang w:val="it-IT"/>
        </w:rPr>
        <w:t>2</w:t>
      </w:r>
      <w:r w:rsidRPr="00C35766">
        <w:rPr>
          <w:rFonts w:eastAsia="Times New Roman"/>
          <w:lang w:val="it-IT"/>
        </w:rPr>
        <w:t xml:space="preserve"> di adalimumab fino ad un massimo di 40 mg o placebo a settimane alterne per un ulteriore periodo di 32 settimane oppure fino a riacutizzazione della malattia. I criteri di definizione della riacutizzazione della malattia sono stati definiti in base ad un peggioramento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 30% rispetto al valore basale di 3 o più dei 6 criteri principali dell’“ACR Paediatric core”, alla presenza di </w:t>
      </w:r>
      <w:r w:rsidRPr="00C35766">
        <w:rPr>
          <w:rFonts w:eastAsia="Symbol"/>
          <w:lang w:val="it-IT"/>
        </w:rPr>
        <w:sym w:font="Symbol" w:char="F0B3"/>
      </w:r>
      <w:r w:rsidRPr="00C35766">
        <w:rPr>
          <w:rFonts w:eastAsia="Symbol"/>
          <w:lang w:val="it-IT"/>
        </w:rPr>
        <w:sym w:font="Symbol" w:char="F020"/>
      </w:r>
      <w:r w:rsidRPr="00C35766">
        <w:rPr>
          <w:rFonts w:eastAsia="Times New Roman"/>
          <w:lang w:val="it-IT"/>
        </w:rPr>
        <w:t xml:space="preserve">2 articolazioni attive, ed in base ad un miglioramento </w:t>
      </w:r>
      <w:r w:rsidRPr="00C35766">
        <w:rPr>
          <w:rFonts w:eastAsia="Symbol"/>
          <w:lang w:val="it-IT"/>
        </w:rPr>
        <w:sym w:font="Symbol" w:char="F03E"/>
      </w:r>
      <w:r w:rsidRPr="00C35766">
        <w:rPr>
          <w:rFonts w:eastAsia="Symbol"/>
          <w:lang w:val="it-IT"/>
        </w:rPr>
        <w:sym w:font="Symbol" w:char="F020"/>
      </w:r>
      <w:r w:rsidRPr="00C35766">
        <w:rPr>
          <w:rFonts w:eastAsia="Times New Roman"/>
          <w:lang w:val="it-IT"/>
        </w:rPr>
        <w:t>30% in non più di 1 dei 6 criteri suddetti. Dopo 32 settimane o alla riacutizzazione della malattia, i pazienti sono stati ritenuti in possesso dei requisiti necessari per essere ammessi alla fase di estensione in aperto.</w:t>
      </w:r>
    </w:p>
    <w:p w14:paraId="53BD01E5" w14:textId="77777777" w:rsidR="0075524C" w:rsidRPr="00C35766" w:rsidRDefault="0075524C" w:rsidP="0075524C">
      <w:pPr>
        <w:spacing w:before="18" w:line="240" w:lineRule="exact"/>
        <w:rPr>
          <w:rFonts w:ascii="Times New Roman" w:hAnsi="Times New Roman" w:cs="Times New Roman"/>
          <w:sz w:val="24"/>
          <w:szCs w:val="24"/>
          <w:lang w:val="it-IT"/>
        </w:rPr>
      </w:pPr>
    </w:p>
    <w:p w14:paraId="14FE8603" w14:textId="797BFC26"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18</w:t>
      </w:r>
    </w:p>
    <w:p w14:paraId="0367D013" w14:textId="77777777" w:rsidR="0075524C" w:rsidRPr="00C35766" w:rsidRDefault="0075524C" w:rsidP="0075524C">
      <w:pPr>
        <w:pStyle w:val="a3"/>
        <w:jc w:val="center"/>
        <w:rPr>
          <w:b/>
          <w:lang w:val="it-IT"/>
        </w:rPr>
      </w:pPr>
      <w:r w:rsidRPr="00C35766">
        <w:rPr>
          <w:rFonts w:eastAsia="Times New Roman"/>
          <w:b/>
          <w:bCs/>
          <w:lang w:val="it-IT"/>
        </w:rPr>
        <w:t>Risposta PedACR30 nel corso dello studio JIA</w:t>
      </w:r>
    </w:p>
    <w:p w14:paraId="40A6181C" w14:textId="77777777" w:rsidR="0075524C" w:rsidRPr="00C35766" w:rsidRDefault="0075524C" w:rsidP="0075524C">
      <w:pPr>
        <w:pStyle w:val="a3"/>
        <w:rPr>
          <w:lang w:val="it-IT"/>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75524C" w:rsidRPr="00C35766" w14:paraId="182C8CDC"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3EF7AE48" w14:textId="77777777" w:rsidR="0075524C" w:rsidRPr="008A6AF4" w:rsidRDefault="0075524C" w:rsidP="00603A86">
            <w:pPr>
              <w:pStyle w:val="TableParagraph"/>
              <w:spacing w:line="246" w:lineRule="exact"/>
              <w:ind w:left="102"/>
              <w:rPr>
                <w:rFonts w:ascii="Times New Roman" w:eastAsia="Times New Roman" w:hAnsi="Times New Roman" w:cs="Times New Roman"/>
                <w:b/>
              </w:rPr>
            </w:pPr>
            <w:r w:rsidRPr="008A6AF4">
              <w:rPr>
                <w:rFonts w:ascii="Times New Roman" w:eastAsia="Times New Roman" w:hAnsi="Times New Roman" w:cs="Times New Roman"/>
                <w:b/>
                <w:lang w:val="it-IT"/>
              </w:rPr>
              <w:t>Braccio</w:t>
            </w:r>
          </w:p>
        </w:tc>
        <w:tc>
          <w:tcPr>
            <w:tcW w:w="3521" w:type="dxa"/>
            <w:gridSpan w:val="2"/>
            <w:tcBorders>
              <w:top w:val="single" w:sz="5" w:space="0" w:color="000000"/>
              <w:left w:val="single" w:sz="5" w:space="0" w:color="000000"/>
              <w:bottom w:val="single" w:sz="5" w:space="0" w:color="000000"/>
              <w:right w:val="single" w:sz="5" w:space="0" w:color="000000"/>
            </w:tcBorders>
          </w:tcPr>
          <w:p w14:paraId="3EE5DE44" w14:textId="77777777" w:rsidR="0075524C" w:rsidRPr="008A6AF4" w:rsidRDefault="0075524C" w:rsidP="00603A86">
            <w:pPr>
              <w:pStyle w:val="TableParagraph"/>
              <w:spacing w:line="246" w:lineRule="exact"/>
              <w:ind w:left="1463" w:right="1517"/>
              <w:jc w:val="center"/>
              <w:rPr>
                <w:rFonts w:ascii="Times New Roman" w:eastAsia="Times New Roman" w:hAnsi="Times New Roman" w:cs="Times New Roman"/>
                <w:b/>
              </w:rPr>
            </w:pPr>
            <w:r w:rsidRPr="008A6AF4">
              <w:rPr>
                <w:rFonts w:ascii="Times New Roman" w:eastAsia="Times New Roman" w:hAnsi="Times New Roman" w:cs="Times New Roman"/>
                <w:b/>
                <w:lang w:val="it-IT"/>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138CB5F1" w14:textId="77777777" w:rsidR="0075524C" w:rsidRPr="008A6AF4" w:rsidRDefault="0075524C" w:rsidP="00603A86">
            <w:pPr>
              <w:pStyle w:val="TableParagraph"/>
              <w:spacing w:line="246" w:lineRule="exact"/>
              <w:ind w:left="954"/>
              <w:rPr>
                <w:rFonts w:ascii="Times New Roman" w:eastAsia="Times New Roman" w:hAnsi="Times New Roman" w:cs="Times New Roman"/>
                <w:b/>
              </w:rPr>
            </w:pPr>
            <w:r w:rsidRPr="008A6AF4">
              <w:rPr>
                <w:rFonts w:ascii="Times New Roman" w:eastAsia="Times New Roman" w:hAnsi="Times New Roman" w:cs="Times New Roman"/>
                <w:b/>
                <w:spacing w:val="-1"/>
                <w:lang w:val="it-IT"/>
              </w:rPr>
              <w:t>Senza MTX</w:t>
            </w:r>
          </w:p>
        </w:tc>
      </w:tr>
      <w:tr w:rsidR="0075524C" w:rsidRPr="00C35766" w14:paraId="6E7E5951"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00249124" w14:textId="77777777" w:rsidR="0075524C" w:rsidRPr="008A6AF4" w:rsidRDefault="0075524C" w:rsidP="00603A86">
            <w:pPr>
              <w:pStyle w:val="TableParagraph"/>
              <w:spacing w:line="246" w:lineRule="exact"/>
              <w:ind w:left="102"/>
              <w:rPr>
                <w:rFonts w:ascii="Times New Roman" w:eastAsia="Times New Roman" w:hAnsi="Times New Roman" w:cs="Times New Roman"/>
                <w:b/>
              </w:rPr>
            </w:pPr>
            <w:r w:rsidRPr="008A6AF4">
              <w:rPr>
                <w:rFonts w:ascii="Times New Roman" w:eastAsia="Times New Roman" w:hAnsi="Times New Roman" w:cs="Times New Roman"/>
                <w:b/>
                <w:lang w:val="it-IT"/>
              </w:rPr>
              <w:t>Fase</w:t>
            </w:r>
          </w:p>
        </w:tc>
        <w:tc>
          <w:tcPr>
            <w:tcW w:w="3521" w:type="dxa"/>
            <w:gridSpan w:val="2"/>
            <w:tcBorders>
              <w:top w:val="single" w:sz="5" w:space="0" w:color="000000"/>
              <w:left w:val="single" w:sz="5" w:space="0" w:color="000000"/>
              <w:bottom w:val="single" w:sz="5" w:space="0" w:color="000000"/>
              <w:right w:val="single" w:sz="5" w:space="0" w:color="000000"/>
            </w:tcBorders>
          </w:tcPr>
          <w:p w14:paraId="15E0D4EB" w14:textId="77777777" w:rsidR="0075524C" w:rsidRPr="008A6AF4" w:rsidRDefault="0075524C" w:rsidP="00603A86">
            <w:pPr>
              <w:rPr>
                <w:rFonts w:ascii="Times New Roman" w:hAnsi="Times New Roman" w:cs="Times New Roman"/>
                <w:b/>
              </w:rPr>
            </w:pPr>
          </w:p>
        </w:tc>
        <w:tc>
          <w:tcPr>
            <w:tcW w:w="3240" w:type="dxa"/>
            <w:gridSpan w:val="2"/>
            <w:tcBorders>
              <w:top w:val="single" w:sz="5" w:space="0" w:color="000000"/>
              <w:left w:val="single" w:sz="5" w:space="0" w:color="000000"/>
              <w:bottom w:val="single" w:sz="5" w:space="0" w:color="000000"/>
              <w:right w:val="single" w:sz="5" w:space="0" w:color="000000"/>
            </w:tcBorders>
          </w:tcPr>
          <w:p w14:paraId="6D54EFBF" w14:textId="77777777" w:rsidR="0075524C" w:rsidRPr="008A6AF4" w:rsidRDefault="0075524C" w:rsidP="00603A86">
            <w:pPr>
              <w:rPr>
                <w:rFonts w:ascii="Times New Roman" w:hAnsi="Times New Roman" w:cs="Times New Roman"/>
                <w:b/>
              </w:rPr>
            </w:pPr>
          </w:p>
        </w:tc>
      </w:tr>
      <w:tr w:rsidR="0075524C" w:rsidRPr="00C35766" w14:paraId="130CC051"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0035703E"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2"/>
                <w:lang w:val="it-IT"/>
              </w:rPr>
              <w:t>OL-LI 16</w:t>
            </w:r>
            <w:r w:rsidRPr="008A6AF4">
              <w:rPr>
                <w:rFonts w:ascii="Times New Roman" w:eastAsia="Times New Roman" w:hAnsi="Times New Roman" w:cs="Times New Roman"/>
                <w:spacing w:val="-2"/>
                <w:lang w:val="it-IT"/>
              </w:rPr>
              <w:t>°</w:t>
            </w:r>
            <w:r w:rsidRPr="00C35766">
              <w:rPr>
                <w:rFonts w:ascii="Times New Roman" w:eastAsia="Times New Roman" w:hAnsi="Times New Roman" w:cs="Times New Roman"/>
                <w:spacing w:val="-2"/>
                <w:lang w:val="it-IT"/>
              </w:rPr>
              <w:t xml:space="preserve"> settimana</w:t>
            </w:r>
          </w:p>
        </w:tc>
        <w:tc>
          <w:tcPr>
            <w:tcW w:w="3521" w:type="dxa"/>
            <w:gridSpan w:val="2"/>
            <w:tcBorders>
              <w:top w:val="single" w:sz="5" w:space="0" w:color="000000"/>
              <w:left w:val="single" w:sz="5" w:space="0" w:color="000000"/>
              <w:bottom w:val="single" w:sz="5" w:space="0" w:color="000000"/>
              <w:right w:val="single" w:sz="5" w:space="0" w:color="000000"/>
            </w:tcBorders>
          </w:tcPr>
          <w:p w14:paraId="1D1F98B9" w14:textId="77777777" w:rsidR="0075524C" w:rsidRPr="00C35766" w:rsidRDefault="0075524C" w:rsidP="00603A86">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6032AC66" w14:textId="77777777" w:rsidR="0075524C" w:rsidRPr="00C35766" w:rsidRDefault="0075524C" w:rsidP="00603A86">
            <w:pPr>
              <w:rPr>
                <w:rFonts w:ascii="Times New Roman" w:hAnsi="Times New Roman" w:cs="Times New Roman"/>
              </w:rPr>
            </w:pPr>
          </w:p>
        </w:tc>
      </w:tr>
      <w:tr w:rsidR="0075524C" w:rsidRPr="00C35766" w14:paraId="14EA411A"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6B3A8F2E" w14:textId="77777777" w:rsidR="0075524C" w:rsidRPr="00C35766" w:rsidRDefault="0075524C" w:rsidP="00603A86">
            <w:pPr>
              <w:pStyle w:val="TableParagraph"/>
              <w:spacing w:line="246" w:lineRule="exact"/>
              <w:ind w:left="339"/>
              <w:rPr>
                <w:rFonts w:ascii="Times New Roman" w:eastAsia="Times New Roman" w:hAnsi="Times New Roman" w:cs="Times New Roman"/>
                <w:lang w:val="pt-PT"/>
              </w:rPr>
            </w:pPr>
            <w:r w:rsidRPr="00C35766">
              <w:rPr>
                <w:rFonts w:ascii="Times New Roman" w:eastAsia="Times New Roman" w:hAnsi="Times New Roman" w:cs="Times New Roman"/>
                <w:spacing w:val="-1"/>
                <w:lang w:val="it-IT"/>
              </w:rPr>
              <w:t xml:space="preserve">Risposta PedACR 30 </w:t>
            </w:r>
            <w:r w:rsidRPr="00C35766">
              <w:rPr>
                <w:rFonts w:ascii="Times New Roman" w:eastAsia="Times New Roman" w:hAnsi="Times New Roman" w:cs="Times New Roman"/>
                <w:spacing w:val="-1"/>
                <w:lang w:val="it-IT"/>
              </w:rPr>
              <w:lastRenderedPageBreak/>
              <w:t>(n/N)</w:t>
            </w:r>
          </w:p>
        </w:tc>
        <w:tc>
          <w:tcPr>
            <w:tcW w:w="3521" w:type="dxa"/>
            <w:gridSpan w:val="2"/>
            <w:tcBorders>
              <w:top w:val="single" w:sz="5" w:space="0" w:color="000000"/>
              <w:left w:val="single" w:sz="5" w:space="0" w:color="000000"/>
              <w:bottom w:val="single" w:sz="5" w:space="0" w:color="000000"/>
              <w:right w:val="single" w:sz="5" w:space="0" w:color="000000"/>
            </w:tcBorders>
          </w:tcPr>
          <w:p w14:paraId="4093DAE9" w14:textId="77777777" w:rsidR="0075524C" w:rsidRPr="00C35766" w:rsidRDefault="0075524C" w:rsidP="00603A86">
            <w:pPr>
              <w:pStyle w:val="TableParagraph"/>
              <w:spacing w:line="246" w:lineRule="exact"/>
              <w:ind w:left="1091"/>
              <w:rPr>
                <w:rFonts w:ascii="Times New Roman" w:eastAsia="Times New Roman" w:hAnsi="Times New Roman" w:cs="Times New Roman"/>
              </w:rPr>
            </w:pPr>
            <w:r w:rsidRPr="00C35766">
              <w:rPr>
                <w:rFonts w:ascii="Times New Roman" w:eastAsia="Times New Roman" w:hAnsi="Times New Roman" w:cs="Times New Roman"/>
                <w:spacing w:val="-1"/>
                <w:lang w:val="it-IT"/>
              </w:rPr>
              <w:lastRenderedPageBreak/>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0341F896" w14:textId="77777777" w:rsidR="0075524C" w:rsidRPr="00C35766" w:rsidRDefault="0075524C" w:rsidP="00603A86">
            <w:pPr>
              <w:pStyle w:val="TableParagraph"/>
              <w:spacing w:line="246" w:lineRule="exact"/>
              <w:ind w:left="951"/>
              <w:rPr>
                <w:rFonts w:ascii="Times New Roman" w:eastAsia="Times New Roman" w:hAnsi="Times New Roman" w:cs="Times New Roman"/>
              </w:rPr>
            </w:pPr>
            <w:r w:rsidRPr="00C35766">
              <w:rPr>
                <w:rFonts w:ascii="Times New Roman" w:eastAsia="Times New Roman" w:hAnsi="Times New Roman" w:cs="Times New Roman"/>
                <w:spacing w:val="-1"/>
                <w:lang w:val="it-IT"/>
              </w:rPr>
              <w:t>74,4% (64/86)</w:t>
            </w:r>
          </w:p>
        </w:tc>
      </w:tr>
      <w:tr w:rsidR="0075524C" w:rsidRPr="00C35766" w14:paraId="4394C8B4" w14:textId="77777777" w:rsidTr="00603A86">
        <w:tc>
          <w:tcPr>
            <w:tcW w:w="9178" w:type="dxa"/>
            <w:gridSpan w:val="5"/>
            <w:tcBorders>
              <w:top w:val="single" w:sz="5" w:space="0" w:color="000000"/>
              <w:left w:val="single" w:sz="5" w:space="0" w:color="000000"/>
              <w:bottom w:val="single" w:sz="5" w:space="0" w:color="000000"/>
              <w:right w:val="single" w:sz="5" w:space="0" w:color="000000"/>
            </w:tcBorders>
          </w:tcPr>
          <w:p w14:paraId="79D0352C" w14:textId="77777777" w:rsidR="0075524C" w:rsidRPr="00C35766" w:rsidRDefault="0075524C" w:rsidP="00603A86">
            <w:pPr>
              <w:pStyle w:val="TableParagraph"/>
              <w:spacing w:line="246" w:lineRule="exact"/>
              <w:ind w:left="3335" w:right="316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Risultati di efficacia</w:t>
            </w:r>
          </w:p>
        </w:tc>
      </w:tr>
      <w:tr w:rsidR="0075524C" w:rsidRPr="00C35766" w14:paraId="63C66CAF"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3DE474A3" w14:textId="77777777" w:rsidR="0075524C" w:rsidRPr="00C35766" w:rsidRDefault="0075524C" w:rsidP="00603A86">
            <w:pPr>
              <w:pStyle w:val="TableParagraph"/>
              <w:spacing w:line="246" w:lineRule="exact"/>
              <w:ind w:left="102"/>
              <w:rPr>
                <w:rFonts w:ascii="Times New Roman" w:eastAsia="Times New Roman" w:hAnsi="Times New Roman" w:cs="Times New Roman"/>
              </w:rPr>
            </w:pPr>
            <w:r w:rsidRPr="00C35766">
              <w:rPr>
                <w:rFonts w:ascii="Times New Roman" w:eastAsia="Times New Roman" w:hAnsi="Times New Roman" w:cs="Times New Roman"/>
                <w:spacing w:val="-1"/>
                <w:lang w:val="it-IT"/>
              </w:rPr>
              <w:t>Doppio cieco 32° settimana</w:t>
            </w:r>
          </w:p>
        </w:tc>
        <w:tc>
          <w:tcPr>
            <w:tcW w:w="1762" w:type="dxa"/>
            <w:tcBorders>
              <w:top w:val="single" w:sz="5" w:space="0" w:color="000000"/>
              <w:left w:val="single" w:sz="5" w:space="0" w:color="000000"/>
              <w:bottom w:val="single" w:sz="5" w:space="0" w:color="000000"/>
              <w:right w:val="single" w:sz="5" w:space="0" w:color="000000"/>
            </w:tcBorders>
          </w:tcPr>
          <w:p w14:paraId="005B637E"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Adalimumab/MTX</w:t>
            </w:r>
          </w:p>
          <w:p w14:paraId="4D0476D2" w14:textId="77777777" w:rsidR="0075524C" w:rsidRPr="00C35766" w:rsidRDefault="0075524C" w:rsidP="00603A86">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38)</w:t>
            </w:r>
          </w:p>
        </w:tc>
        <w:tc>
          <w:tcPr>
            <w:tcW w:w="1759" w:type="dxa"/>
            <w:tcBorders>
              <w:top w:val="single" w:sz="5" w:space="0" w:color="000000"/>
              <w:left w:val="single" w:sz="5" w:space="0" w:color="000000"/>
              <w:bottom w:val="single" w:sz="5" w:space="0" w:color="000000"/>
              <w:right w:val="single" w:sz="5" w:space="0" w:color="000000"/>
            </w:tcBorders>
          </w:tcPr>
          <w:p w14:paraId="3F4F29E9"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Placebo/MTX</w:t>
            </w:r>
          </w:p>
          <w:p w14:paraId="5B07ACC7" w14:textId="77777777" w:rsidR="0075524C" w:rsidRPr="00C35766" w:rsidRDefault="0075524C" w:rsidP="00603A86">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(N=37)</w:t>
            </w:r>
          </w:p>
        </w:tc>
        <w:tc>
          <w:tcPr>
            <w:tcW w:w="1651" w:type="dxa"/>
            <w:tcBorders>
              <w:top w:val="single" w:sz="5" w:space="0" w:color="000000"/>
              <w:left w:val="single" w:sz="5" w:space="0" w:color="000000"/>
              <w:bottom w:val="single" w:sz="5" w:space="0" w:color="000000"/>
              <w:right w:val="single" w:sz="5" w:space="0" w:color="000000"/>
            </w:tcBorders>
          </w:tcPr>
          <w:p w14:paraId="507C4607"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Adalimumab</w:t>
            </w:r>
          </w:p>
          <w:p w14:paraId="4A975E6C" w14:textId="77777777" w:rsidR="0075524C" w:rsidRPr="00C35766" w:rsidRDefault="0075524C" w:rsidP="00603A86">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30)</w:t>
            </w:r>
          </w:p>
        </w:tc>
        <w:tc>
          <w:tcPr>
            <w:tcW w:w="1589" w:type="dxa"/>
            <w:tcBorders>
              <w:top w:val="single" w:sz="5" w:space="0" w:color="000000"/>
              <w:left w:val="single" w:sz="5" w:space="0" w:color="000000"/>
              <w:bottom w:val="single" w:sz="5" w:space="0" w:color="000000"/>
              <w:right w:val="single" w:sz="5" w:space="0" w:color="000000"/>
            </w:tcBorders>
          </w:tcPr>
          <w:p w14:paraId="2C0E33F2"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Placebo</w:t>
            </w:r>
          </w:p>
          <w:p w14:paraId="37EB952B" w14:textId="77777777" w:rsidR="0075524C" w:rsidRPr="00C35766" w:rsidRDefault="0075524C" w:rsidP="00603A86">
            <w:pPr>
              <w:pStyle w:val="TableParagraph"/>
              <w:spacing w:before="1"/>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 = 28)</w:t>
            </w:r>
          </w:p>
        </w:tc>
      </w:tr>
      <w:tr w:rsidR="0075524C" w:rsidRPr="00C35766" w14:paraId="46DE83DB"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4E445C27" w14:textId="77777777" w:rsidR="0075524C" w:rsidRPr="00C35766" w:rsidRDefault="0075524C" w:rsidP="00603A86">
            <w:pPr>
              <w:pStyle w:val="TableParagraph"/>
              <w:spacing w:line="246" w:lineRule="exact"/>
              <w:ind w:left="339"/>
              <w:rPr>
                <w:rFonts w:ascii="Times New Roman" w:hAnsi="Times New Roman" w:cs="Times New Roman"/>
                <w:lang w:val="it-IT"/>
              </w:rPr>
            </w:pPr>
            <w:r w:rsidRPr="00C35766">
              <w:rPr>
                <w:rFonts w:ascii="Times New Roman" w:eastAsia="Times New Roman" w:hAnsi="Times New Roman" w:cs="Times New Roman"/>
                <w:spacing w:val="-1"/>
                <w:lang w:val="it-IT"/>
              </w:rPr>
              <w:t xml:space="preserve">Riacutizzazione della malattia alla fine delle </w:t>
            </w:r>
            <w:r w:rsidRPr="00C35766">
              <w:rPr>
                <w:rFonts w:ascii="Times New Roman" w:eastAsia="Times New Roman" w:hAnsi="Times New Roman" w:cs="Times New Roman"/>
                <w:lang w:val="it-IT"/>
              </w:rPr>
              <w:t>32 settimane</w:t>
            </w:r>
            <w:r w:rsidRPr="00C35766">
              <w:rPr>
                <w:rFonts w:ascii="Times New Roman" w:eastAsia="Times New Roman" w:hAnsi="Times New Roman" w:cs="Times New Roman"/>
                <w:vertAlign w:val="superscript"/>
                <w:lang w:val="it-IT"/>
              </w:rPr>
              <w:t>a</w:t>
            </w:r>
            <w:r w:rsidRPr="00C35766">
              <w:rPr>
                <w:rFonts w:ascii="Times New Roman" w:eastAsia="Times New Roman" w:hAnsi="Times New Roman" w:cs="Times New Roman"/>
                <w:lang w:val="it-IT"/>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2F901132"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36,8% (14/38)</w:t>
            </w:r>
          </w:p>
        </w:tc>
        <w:tc>
          <w:tcPr>
            <w:tcW w:w="1759" w:type="dxa"/>
            <w:tcBorders>
              <w:top w:val="single" w:sz="5" w:space="0" w:color="000000"/>
              <w:left w:val="single" w:sz="5" w:space="0" w:color="000000"/>
              <w:bottom w:val="single" w:sz="5" w:space="0" w:color="000000"/>
              <w:right w:val="single" w:sz="5" w:space="0" w:color="000000"/>
            </w:tcBorders>
          </w:tcPr>
          <w:p w14:paraId="44F07A83"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64,9% (24/37)</w:t>
            </w:r>
            <w:r w:rsidRPr="00C35766">
              <w:rPr>
                <w:rFonts w:ascii="Times New Roman" w:eastAsia="Times New Roman" w:hAnsi="Times New Roman" w:cs="Times New Roman"/>
                <w:spacing w:val="-1"/>
                <w:vertAlign w:val="superscript"/>
                <w:lang w:val="it-IT"/>
              </w:rPr>
              <w:t>b</w:t>
            </w:r>
          </w:p>
        </w:tc>
        <w:tc>
          <w:tcPr>
            <w:tcW w:w="1651" w:type="dxa"/>
            <w:tcBorders>
              <w:top w:val="single" w:sz="5" w:space="0" w:color="000000"/>
              <w:left w:val="single" w:sz="5" w:space="0" w:color="000000"/>
              <w:bottom w:val="single" w:sz="5" w:space="0" w:color="000000"/>
              <w:right w:val="single" w:sz="5" w:space="0" w:color="000000"/>
            </w:tcBorders>
          </w:tcPr>
          <w:p w14:paraId="5898DB24"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43,3% (13/30)</w:t>
            </w:r>
          </w:p>
        </w:tc>
        <w:tc>
          <w:tcPr>
            <w:tcW w:w="1589" w:type="dxa"/>
            <w:tcBorders>
              <w:top w:val="single" w:sz="5" w:space="0" w:color="000000"/>
              <w:left w:val="single" w:sz="5" w:space="0" w:color="000000"/>
              <w:bottom w:val="single" w:sz="5" w:space="0" w:color="000000"/>
              <w:right w:val="single" w:sz="5" w:space="0" w:color="000000"/>
            </w:tcBorders>
          </w:tcPr>
          <w:p w14:paraId="7B1BCEF6"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71,4%</w:t>
            </w:r>
          </w:p>
          <w:p w14:paraId="74DFC03B" w14:textId="77777777" w:rsidR="0075524C" w:rsidRPr="00C35766" w:rsidRDefault="0075524C" w:rsidP="00603A86">
            <w:pPr>
              <w:pStyle w:val="TableParagraph"/>
              <w:spacing w:line="252" w:lineRule="exact"/>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(20/28)</w:t>
            </w:r>
            <w:r w:rsidRPr="00C35766">
              <w:rPr>
                <w:rFonts w:ascii="Times New Roman" w:eastAsia="Times New Roman" w:hAnsi="Times New Roman" w:cs="Times New Roman"/>
                <w:spacing w:val="-1"/>
                <w:vertAlign w:val="superscript"/>
                <w:lang w:val="it-IT"/>
              </w:rPr>
              <w:t>c</w:t>
            </w:r>
          </w:p>
        </w:tc>
      </w:tr>
      <w:tr w:rsidR="0075524C" w:rsidRPr="00C35766" w14:paraId="7973614A" w14:textId="77777777" w:rsidTr="00603A86">
        <w:tc>
          <w:tcPr>
            <w:tcW w:w="2417" w:type="dxa"/>
            <w:tcBorders>
              <w:top w:val="single" w:sz="5" w:space="0" w:color="000000"/>
              <w:left w:val="single" w:sz="5" w:space="0" w:color="000000"/>
              <w:bottom w:val="single" w:sz="5" w:space="0" w:color="000000"/>
              <w:right w:val="single" w:sz="5" w:space="0" w:color="000000"/>
            </w:tcBorders>
          </w:tcPr>
          <w:p w14:paraId="61753C1A" w14:textId="77777777" w:rsidR="0075524C" w:rsidRPr="00C35766" w:rsidRDefault="0075524C" w:rsidP="00603A86">
            <w:pPr>
              <w:pStyle w:val="TableParagraph"/>
              <w:spacing w:line="246" w:lineRule="exact"/>
              <w:ind w:left="339"/>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Tempo medio alla riacutizzazione della malattia</w:t>
            </w:r>
          </w:p>
        </w:tc>
        <w:tc>
          <w:tcPr>
            <w:tcW w:w="1762" w:type="dxa"/>
            <w:tcBorders>
              <w:top w:val="single" w:sz="5" w:space="0" w:color="000000"/>
              <w:left w:val="single" w:sz="5" w:space="0" w:color="000000"/>
              <w:bottom w:val="single" w:sz="5" w:space="0" w:color="000000"/>
              <w:right w:val="single" w:sz="5" w:space="0" w:color="000000"/>
            </w:tcBorders>
          </w:tcPr>
          <w:p w14:paraId="698F9F96"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&gt; 32 settimane</w:t>
            </w:r>
          </w:p>
        </w:tc>
        <w:tc>
          <w:tcPr>
            <w:tcW w:w="1759" w:type="dxa"/>
            <w:tcBorders>
              <w:top w:val="single" w:sz="5" w:space="0" w:color="000000"/>
              <w:left w:val="single" w:sz="5" w:space="0" w:color="000000"/>
              <w:bottom w:val="single" w:sz="5" w:space="0" w:color="000000"/>
              <w:right w:val="single" w:sz="5" w:space="0" w:color="000000"/>
            </w:tcBorders>
          </w:tcPr>
          <w:p w14:paraId="45EA3E25"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20 settimane</w:t>
            </w:r>
          </w:p>
        </w:tc>
        <w:tc>
          <w:tcPr>
            <w:tcW w:w="1651" w:type="dxa"/>
            <w:tcBorders>
              <w:top w:val="single" w:sz="5" w:space="0" w:color="000000"/>
              <w:left w:val="single" w:sz="5" w:space="0" w:color="000000"/>
              <w:bottom w:val="single" w:sz="5" w:space="0" w:color="000000"/>
              <w:right w:val="single" w:sz="5" w:space="0" w:color="000000"/>
            </w:tcBorders>
          </w:tcPr>
          <w:p w14:paraId="465EE68F"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&gt; 32 settimane</w:t>
            </w:r>
          </w:p>
        </w:tc>
        <w:tc>
          <w:tcPr>
            <w:tcW w:w="1589" w:type="dxa"/>
            <w:tcBorders>
              <w:top w:val="single" w:sz="5" w:space="0" w:color="000000"/>
              <w:left w:val="single" w:sz="5" w:space="0" w:color="000000"/>
              <w:bottom w:val="single" w:sz="5" w:space="0" w:color="000000"/>
              <w:right w:val="single" w:sz="5" w:space="0" w:color="000000"/>
            </w:tcBorders>
          </w:tcPr>
          <w:p w14:paraId="41BFE2FA" w14:textId="77777777" w:rsidR="0075524C" w:rsidRPr="00C35766" w:rsidRDefault="0075524C" w:rsidP="00603A86">
            <w:pPr>
              <w:pStyle w:val="TableParagraph"/>
              <w:spacing w:line="246" w:lineRule="exact"/>
              <w:jc w:val="center"/>
              <w:rPr>
                <w:rFonts w:ascii="Times New Roman" w:eastAsia="Times New Roman" w:hAnsi="Times New Roman" w:cs="Times New Roman"/>
              </w:rPr>
            </w:pPr>
            <w:r w:rsidRPr="00C35766">
              <w:rPr>
                <w:rFonts w:ascii="Times New Roman" w:eastAsia="Times New Roman" w:hAnsi="Times New Roman" w:cs="Times New Roman"/>
                <w:lang w:val="it-IT"/>
              </w:rPr>
              <w:t>14 settimane</w:t>
            </w:r>
          </w:p>
        </w:tc>
      </w:tr>
    </w:tbl>
    <w:p w14:paraId="5A68573B" w14:textId="77777777" w:rsidR="0075524C" w:rsidRPr="00C35766" w:rsidRDefault="0075524C" w:rsidP="0075524C">
      <w:pPr>
        <w:spacing w:before="3" w:line="180" w:lineRule="exact"/>
        <w:rPr>
          <w:rFonts w:ascii="Times New Roman" w:hAnsi="Times New Roman" w:cs="Times New Roman"/>
          <w:sz w:val="18"/>
          <w:szCs w:val="18"/>
        </w:rPr>
      </w:pPr>
    </w:p>
    <w:p w14:paraId="6FE75C4E" w14:textId="77777777" w:rsidR="0075524C" w:rsidRPr="00C35766" w:rsidRDefault="0075524C" w:rsidP="008A6AF4">
      <w:pPr>
        <w:pStyle w:val="a3"/>
        <w:ind w:leftChars="100" w:left="220"/>
        <w:rPr>
          <w:lang w:val="it-IT"/>
        </w:rPr>
      </w:pPr>
      <w:r w:rsidRPr="00C35766">
        <w:rPr>
          <w:rFonts w:eastAsia="Times New Roman"/>
          <w:position w:val="8"/>
          <w:vertAlign w:val="superscript"/>
          <w:lang w:val="it-IT"/>
        </w:rPr>
        <w:t>a</w:t>
      </w:r>
      <w:r w:rsidRPr="00C35766">
        <w:rPr>
          <w:rFonts w:eastAsia="Times New Roman"/>
          <w:position w:val="8"/>
          <w:lang w:val="it-IT"/>
        </w:rPr>
        <w:t xml:space="preserve"> Le risposte Ped ACR 30/50/70 alla  settimana 48 sono risultate significativamente maggiori rispetto a quelle ottenute nei pazienti trattati con placebo</w:t>
      </w:r>
    </w:p>
    <w:p w14:paraId="19CD0F6E" w14:textId="77777777" w:rsidR="0075524C" w:rsidRPr="00C35766" w:rsidRDefault="0075524C" w:rsidP="008A6AF4">
      <w:pPr>
        <w:pStyle w:val="a3"/>
        <w:ind w:leftChars="100" w:left="220"/>
        <w:rPr>
          <w:lang w:val="it-IT"/>
        </w:rPr>
      </w:pPr>
      <w:r w:rsidRPr="00C35766">
        <w:rPr>
          <w:rFonts w:eastAsia="Times New Roman"/>
          <w:position w:val="8"/>
          <w:vertAlign w:val="superscript"/>
          <w:lang w:val="it-IT"/>
        </w:rPr>
        <w:t xml:space="preserve">b </w:t>
      </w:r>
      <w:r w:rsidRPr="00C35766">
        <w:rPr>
          <w:rFonts w:eastAsia="Times New Roman"/>
          <w:position w:val="8"/>
          <w:lang w:val="it-IT"/>
        </w:rPr>
        <w:t>p = 0,015</w:t>
      </w:r>
    </w:p>
    <w:p w14:paraId="6AD5A26F" w14:textId="77777777" w:rsidR="0075524C" w:rsidRPr="00C35766" w:rsidRDefault="0075524C" w:rsidP="008A6AF4">
      <w:pPr>
        <w:pStyle w:val="a3"/>
        <w:ind w:leftChars="100" w:left="220"/>
        <w:rPr>
          <w:lang w:val="it-IT"/>
        </w:rPr>
      </w:pPr>
      <w:r w:rsidRPr="00C35766">
        <w:rPr>
          <w:rFonts w:eastAsia="Times New Roman"/>
          <w:position w:val="8"/>
          <w:vertAlign w:val="superscript"/>
          <w:lang w:val="it-IT"/>
        </w:rPr>
        <w:t xml:space="preserve">c </w:t>
      </w:r>
      <w:r w:rsidRPr="00C35766">
        <w:rPr>
          <w:rFonts w:eastAsia="Times New Roman"/>
          <w:position w:val="8"/>
          <w:lang w:val="it-IT"/>
        </w:rPr>
        <w:t>p = 0,031</w:t>
      </w:r>
    </w:p>
    <w:p w14:paraId="20C5745D" w14:textId="77777777" w:rsidR="0075524C" w:rsidRPr="00C35766" w:rsidRDefault="0075524C" w:rsidP="0075524C">
      <w:pPr>
        <w:spacing w:before="14" w:line="240" w:lineRule="exact"/>
        <w:rPr>
          <w:rFonts w:ascii="Times New Roman" w:hAnsi="Times New Roman" w:cs="Times New Roman"/>
          <w:lang w:val="it-IT"/>
        </w:rPr>
      </w:pPr>
    </w:p>
    <w:p w14:paraId="520DC6F6" w14:textId="77777777" w:rsidR="0075524C" w:rsidRPr="00C35766" w:rsidRDefault="0075524C" w:rsidP="0075524C">
      <w:pPr>
        <w:pStyle w:val="a3"/>
        <w:rPr>
          <w:lang w:val="it-IT"/>
        </w:rPr>
      </w:pPr>
      <w:r w:rsidRPr="00C35766">
        <w:rPr>
          <w:rFonts w:eastAsia="Times New Roman"/>
          <w:spacing w:val="1"/>
          <w:lang w:val="it-IT"/>
        </w:rPr>
        <w:t>Tra coloro che alla  settimana 16 hanno risposto al trattamento (n=144), le risposte Ped ACR 30/50/70/90 sono state mantenute per un massimo di sei anni durante la fase OLE nei pazienti a cui è stato somministrato adalimumab nel corso di tutto lo studio. Complessivamente, 19 soggetti, di cui 11 appartenenti al gruppo di età al basale compresa tra 4 e 12 anni e 8 appartenenti al gruppo di età al basale compresa tra 13 e 17 anni, sono stati trattati per 6 anni o più.</w:t>
      </w:r>
    </w:p>
    <w:p w14:paraId="7596A787" w14:textId="77777777" w:rsidR="0075524C" w:rsidRPr="00C35766" w:rsidRDefault="0075524C" w:rsidP="0075524C">
      <w:pPr>
        <w:spacing w:before="14" w:line="240" w:lineRule="exact"/>
        <w:rPr>
          <w:rFonts w:ascii="Times New Roman" w:hAnsi="Times New Roman" w:cs="Times New Roman"/>
          <w:sz w:val="24"/>
          <w:szCs w:val="24"/>
          <w:lang w:val="it-IT"/>
        </w:rPr>
      </w:pPr>
    </w:p>
    <w:p w14:paraId="2FA5CFEB" w14:textId="77777777" w:rsidR="0075524C" w:rsidRPr="00C35766" w:rsidRDefault="0075524C" w:rsidP="0075524C">
      <w:pPr>
        <w:pStyle w:val="a3"/>
        <w:rPr>
          <w:lang w:val="it-IT"/>
        </w:rPr>
      </w:pPr>
      <w:r w:rsidRPr="00C35766">
        <w:rPr>
          <w:rFonts w:eastAsia="Times New Roman"/>
          <w:lang w:val="it-IT"/>
        </w:rPr>
        <w:t>Le risposte complessive sono risultate generalmente migliori e meno pazienti hanno sviluppato anticorpi quando sono stati trattati con la terapia di associazione adalimumab e MTX rispetto al trattamento con adalimumab somministrato in monoterapia. Prendendo in considerazione tali risultati, Yuflyma è raccomandato in associazione a MTX ed in monoterapia nei pazienti per i quali l’uso di MTX sia sconsigliato (vedere paragrafo 4.2).</w:t>
      </w:r>
    </w:p>
    <w:p w14:paraId="0726372D" w14:textId="77777777" w:rsidR="0075524C" w:rsidRPr="00C35766" w:rsidRDefault="0075524C" w:rsidP="0075524C">
      <w:pPr>
        <w:pStyle w:val="a3"/>
        <w:rPr>
          <w:lang w:val="it-IT"/>
        </w:rPr>
      </w:pPr>
    </w:p>
    <w:p w14:paraId="601F73CA" w14:textId="77777777" w:rsidR="0075524C" w:rsidRPr="00C35766" w:rsidRDefault="0075524C" w:rsidP="0075524C">
      <w:pPr>
        <w:pStyle w:val="a3"/>
        <w:rPr>
          <w:lang w:val="it-IT"/>
        </w:rPr>
      </w:pPr>
      <w:r w:rsidRPr="00C35766">
        <w:rPr>
          <w:rFonts w:eastAsia="Times New Roman"/>
          <w:spacing w:val="1"/>
          <w:lang w:val="it-IT"/>
        </w:rPr>
        <w:t>pJIA II</w:t>
      </w:r>
    </w:p>
    <w:p w14:paraId="31AA004C" w14:textId="77777777" w:rsidR="0075524C" w:rsidRPr="00C35766" w:rsidRDefault="0075524C" w:rsidP="0075524C">
      <w:pPr>
        <w:spacing w:before="11" w:line="240" w:lineRule="exact"/>
        <w:rPr>
          <w:rFonts w:ascii="Times New Roman" w:hAnsi="Times New Roman" w:cs="Times New Roman"/>
          <w:sz w:val="24"/>
          <w:szCs w:val="24"/>
          <w:lang w:val="it-IT"/>
        </w:rPr>
      </w:pPr>
    </w:p>
    <w:p w14:paraId="61DA3D5F" w14:textId="77777777" w:rsidR="0075524C" w:rsidRPr="00C35766" w:rsidRDefault="0075524C" w:rsidP="0075524C">
      <w:pPr>
        <w:pStyle w:val="a3"/>
        <w:rPr>
          <w:lang w:val="it-IT"/>
        </w:rPr>
      </w:pPr>
      <w:r w:rsidRPr="00C35766">
        <w:rPr>
          <w:rFonts w:eastAsia="Times New Roman"/>
          <w:lang w:val="it-IT"/>
        </w:rPr>
        <w:t>La sicurezza e l’efficacia di adalimumab è stata valutata in uno studio multicentrico in aperto in 32 bambini (2 -&lt; 4 anni di età o di 4 anni di età o più e peso &lt; 15 kg) con artrite idiopatica giovanile poliarticolare da moderatamente a severamente attiva. I pazienti hanno ricevuto 24 mg/m</w:t>
      </w:r>
      <w:r w:rsidRPr="00C35766">
        <w:rPr>
          <w:rFonts w:eastAsia="Times New Roman"/>
          <w:vertAlign w:val="superscript"/>
          <w:lang w:val="it-IT"/>
        </w:rPr>
        <w:t>2</w:t>
      </w:r>
      <w:r w:rsidRPr="00C35766">
        <w:rPr>
          <w:rFonts w:eastAsia="Times New Roman"/>
          <w:lang w:val="it-IT"/>
        </w:rPr>
        <w:t xml:space="preserve"> di superficie corporea (BSA) di adalimumab fino a un massimo di 20 mg a settimane alterne come singola dose tramite iniezione sottocutanea per almeno 24 settimane. Durante lo studio la maggior parte dei soggetti faceva un uso concomitante di MTX, con alcuni soggetti che riportavano l’uso di corticosteroidi o antinfiammatori non steroidei (FANS).</w:t>
      </w:r>
    </w:p>
    <w:p w14:paraId="0C715695" w14:textId="77777777" w:rsidR="0075524C" w:rsidRPr="00C35766" w:rsidRDefault="0075524C" w:rsidP="0075524C">
      <w:pPr>
        <w:spacing w:before="14" w:line="240" w:lineRule="exact"/>
        <w:rPr>
          <w:rFonts w:ascii="Times New Roman" w:hAnsi="Times New Roman" w:cs="Times New Roman"/>
          <w:sz w:val="24"/>
          <w:szCs w:val="24"/>
          <w:lang w:val="it-IT"/>
        </w:rPr>
      </w:pPr>
    </w:p>
    <w:p w14:paraId="73134946" w14:textId="77777777" w:rsidR="0075524C" w:rsidRPr="00C35766" w:rsidRDefault="0075524C" w:rsidP="0075524C">
      <w:pPr>
        <w:pStyle w:val="a3"/>
        <w:rPr>
          <w:lang w:val="it-IT"/>
        </w:rPr>
      </w:pPr>
      <w:r w:rsidRPr="00C35766">
        <w:rPr>
          <w:rFonts w:eastAsia="Times New Roman"/>
          <w:lang w:val="it-IT"/>
        </w:rPr>
        <w:t>Alla settimana 12 e alla settimana 24, la risposta PedACR30 era, rispettivamente, 93,5% e 90,0% usando l’approccio dei dati osservati. Le percentuali dei soggetti con PedACR50/70/90 alla settimana 12 e alla settimana 24 erano, rispettivamente, 90,3%/61,3%/38,7% e 83,3%/73,3%/36,7%. Tra quelli che rispondevano (PedACR30) alla settimana 24 (n=27 pazienti su 30), le risposte PedACR30 erano mantenute fino a 60 settimane nei pazienti che ricevevano adalimumab nel corso della fase di estensione in aperto (OLE). In totale, 20 soggetti sono stati trattati per 60 settimane o oltre.</w:t>
      </w:r>
    </w:p>
    <w:p w14:paraId="45EEF6A5" w14:textId="77777777" w:rsidR="0075524C" w:rsidRPr="00C35766" w:rsidRDefault="0075524C" w:rsidP="0075524C">
      <w:pPr>
        <w:pStyle w:val="a3"/>
        <w:rPr>
          <w:sz w:val="24"/>
          <w:lang w:val="it-IT"/>
        </w:rPr>
      </w:pPr>
    </w:p>
    <w:p w14:paraId="7B78E74A" w14:textId="77777777" w:rsidR="0075524C" w:rsidRPr="00C35766" w:rsidRDefault="0075524C" w:rsidP="0075524C">
      <w:pPr>
        <w:pStyle w:val="a3"/>
        <w:rPr>
          <w:lang w:val="it-IT"/>
        </w:rPr>
      </w:pPr>
      <w:r w:rsidRPr="00C35766">
        <w:rPr>
          <w:rFonts w:eastAsia="Times New Roman"/>
          <w:i/>
          <w:iCs/>
          <w:u w:val="single" w:color="000000"/>
          <w:lang w:val="it-IT"/>
        </w:rPr>
        <w:t>Artrite associata ad entesite</w:t>
      </w:r>
    </w:p>
    <w:p w14:paraId="684DE96E" w14:textId="77777777" w:rsidR="0075524C" w:rsidRPr="00C35766" w:rsidRDefault="0075524C" w:rsidP="0075524C">
      <w:pPr>
        <w:pStyle w:val="a3"/>
        <w:rPr>
          <w:sz w:val="18"/>
          <w:lang w:val="it-IT"/>
        </w:rPr>
      </w:pPr>
    </w:p>
    <w:p w14:paraId="1001225E" w14:textId="77777777" w:rsidR="0075524C" w:rsidRPr="00C35766" w:rsidRDefault="0075524C" w:rsidP="0075524C">
      <w:pPr>
        <w:pStyle w:val="a3"/>
        <w:rPr>
          <w:lang w:val="it-IT"/>
        </w:rPr>
      </w:pPr>
      <w:r w:rsidRPr="00C35766">
        <w:rPr>
          <w:rFonts w:eastAsia="Times New Roman"/>
          <w:lang w:val="it-IT"/>
        </w:rPr>
        <w:t>La sicurezza e l’efficacia di adalimumab sono state valutate in uno studio multicentrico, randomizzato, in doppio cieco in 46 pazienti pediatrici (da 6 a 17 anni di età) con entesite associata ad artrite di grado moderato. I pazienti sono stati randomizzati per ricevere o 24 mg/m</w:t>
      </w:r>
      <w:r w:rsidRPr="00C35766">
        <w:rPr>
          <w:rFonts w:eastAsia="Times New Roman"/>
          <w:vertAlign w:val="superscript"/>
          <w:lang w:val="it-IT"/>
        </w:rPr>
        <w:t>2</w:t>
      </w:r>
      <w:r w:rsidRPr="00C35766">
        <w:rPr>
          <w:rFonts w:eastAsia="Times New Roman"/>
          <w:lang w:val="it-IT"/>
        </w:rPr>
        <w:t xml:space="preserve"> di superficie corporea (BSA) di adalimumab, fino ad un massimo di 40 mg, o placebo a settimane alterne per 12 settimane. Il periodo in doppio cieco è stato seguito da un periodo di studio in aperto (OL), durante il quale i pazienti hanno ricevuto 24 mg/m</w:t>
      </w:r>
      <w:r w:rsidRPr="00C35766">
        <w:rPr>
          <w:rFonts w:eastAsia="Times New Roman"/>
          <w:vertAlign w:val="superscript"/>
          <w:lang w:val="it-IT"/>
        </w:rPr>
        <w:t>2</w:t>
      </w:r>
      <w:r w:rsidRPr="00C35766">
        <w:rPr>
          <w:rFonts w:eastAsia="Times New Roman"/>
          <w:lang w:val="it-IT"/>
        </w:rPr>
        <w:t xml:space="preserve"> di superficie corporea di adalimumab, fino ad un massimo di 40 mg per via sottocutanea a settimane alterne, per altre 192 settimane. L’endpoint primario era la variazione percentuale nel numero di </w:t>
      </w:r>
      <w:r w:rsidRPr="00C35766">
        <w:rPr>
          <w:rFonts w:eastAsia="Times New Roman"/>
          <w:lang w:val="it-IT"/>
        </w:rPr>
        <w:lastRenderedPageBreak/>
        <w:t>articolazioni con artrite attiva dal valore al basale a quello alla settimana 12 (tumefazione non dovuta a deformità o articolazioni con perdita di movimento più dolore e/o dolorabilità), ed è stato raggiunto con una diminuzione media percentuale del -62,6% (variazione mediana percentuale -88,9%) nei pazienti del gruppo trattato con adalimumab rispetto al -11,6% (variazione mediana percentuale -50,0%) nei pazienti del gruppo trattato con placebo.  Il miglioramento nel numero di articolazioni attive con artrite è stato mantenuto durante il periodo in aperto dello studio, fino alla settimana 156 per 26 dei 31 (84%) pazienti del gruppo trattato con adalimumab che sono rimasti nello studio. Nonostante non fosse statisticamente significativo, la maggior parte dei pazienti ha dimostrato un miglioramento clinico negli endpoint secondari, come il numero di siti di entesite, la conta delle articolazioni dolenti (TJC), la conta delle articolazioni tumefatte (SJC), la risposta ACR 50 Pediatrica e la risposta ACR 70 Pediatrica.</w:t>
      </w:r>
    </w:p>
    <w:p w14:paraId="169017DD" w14:textId="77777777" w:rsidR="0075524C" w:rsidRPr="00C35766" w:rsidRDefault="0075524C" w:rsidP="0075524C">
      <w:pPr>
        <w:spacing w:before="1" w:line="180" w:lineRule="exact"/>
        <w:rPr>
          <w:rFonts w:ascii="Times New Roman" w:hAnsi="Times New Roman" w:cs="Times New Roman"/>
          <w:sz w:val="18"/>
          <w:szCs w:val="18"/>
          <w:lang w:val="it-IT"/>
        </w:rPr>
      </w:pPr>
    </w:p>
    <w:p w14:paraId="30F0371A" w14:textId="77777777" w:rsidR="0075524C" w:rsidRPr="00C35766" w:rsidRDefault="0075524C" w:rsidP="0075524C">
      <w:pPr>
        <w:pStyle w:val="a3"/>
        <w:rPr>
          <w:lang w:val="it-IT"/>
        </w:rPr>
      </w:pPr>
      <w:r w:rsidRPr="00C35766">
        <w:rPr>
          <w:rFonts w:eastAsia="Times New Roman"/>
          <w:i/>
          <w:iCs/>
          <w:spacing w:val="-1"/>
          <w:lang w:val="it-IT"/>
        </w:rPr>
        <w:t>Psoriasi a placche pediatrica</w:t>
      </w:r>
    </w:p>
    <w:p w14:paraId="0A7EB4AB" w14:textId="77777777" w:rsidR="0075524C" w:rsidRPr="00C35766" w:rsidRDefault="0075524C" w:rsidP="0075524C">
      <w:pPr>
        <w:pStyle w:val="a3"/>
        <w:rPr>
          <w:sz w:val="24"/>
          <w:lang w:val="it-IT"/>
        </w:rPr>
      </w:pPr>
    </w:p>
    <w:p w14:paraId="39E5BDE4" w14:textId="77777777" w:rsidR="0075524C" w:rsidRPr="00C35766" w:rsidRDefault="0075524C" w:rsidP="0075524C">
      <w:pPr>
        <w:pStyle w:val="a3"/>
        <w:rPr>
          <w:lang w:val="it-IT"/>
        </w:rPr>
      </w:pPr>
      <w:r w:rsidRPr="00C35766">
        <w:rPr>
          <w:rFonts w:eastAsia="Times New Roman"/>
          <w:lang w:val="it-IT"/>
        </w:rPr>
        <w:t>L’efficacia di adalimumab è stata valutata in uno studio randomizzato, controllato, in doppio cieco, su 114 pazienti pediatrici a partire dai 4 anni d’età con psoriasi cronica a placche severa (definita da un PGA ≥ 4 o BSA &gt; 20% o BSA &gt; 10% con lesioni molto spesse o PASI ≥ 20 o ≥ 10 con coinvolgimento facciale, genitale o di mano/piede clinicamente rilevante) inadeguatamente controllata con la terapia topica e l’elioterapia o la fototerapia.</w:t>
      </w:r>
    </w:p>
    <w:p w14:paraId="3DB2AF64" w14:textId="77777777" w:rsidR="0075524C" w:rsidRPr="00C35766" w:rsidRDefault="0075524C" w:rsidP="0075524C">
      <w:pPr>
        <w:pStyle w:val="a3"/>
        <w:rPr>
          <w:sz w:val="24"/>
          <w:lang w:val="it-IT"/>
        </w:rPr>
      </w:pPr>
    </w:p>
    <w:p w14:paraId="0AFF67D2" w14:textId="77777777" w:rsidR="0075524C" w:rsidRPr="00C35766" w:rsidRDefault="0075524C" w:rsidP="0075524C">
      <w:pPr>
        <w:pStyle w:val="a3"/>
        <w:rPr>
          <w:lang w:val="it-IT"/>
        </w:rPr>
      </w:pPr>
      <w:r w:rsidRPr="00C35766">
        <w:rPr>
          <w:rFonts w:eastAsia="Times New Roman"/>
          <w:lang w:val="it-IT"/>
        </w:rPr>
        <w:t>I pazienti hanno ricevuto adalimumab 0,8 mg/kg a settimane alterne (fino a 40 mg), 0,4 mg/kg a settimane alterne (fino a 20 mg), oppure metotressato 0,1-0,4 mg/kg una volta a settimana (fino a 25 mg). Alla settimana 16, un maggior numero di pazienti randomizzati ad adalimumab 0,8 mg/kg ha avuto risposte di efficacia positive (ad es., risposta PASI 75) rispetto a quelli randomizzati a 0,4mg/kg a settimane alterne o a MTX.</w:t>
      </w:r>
    </w:p>
    <w:p w14:paraId="033EAAA0" w14:textId="06691318" w:rsidR="0075524C" w:rsidRPr="00C35766" w:rsidRDefault="0075524C" w:rsidP="0075524C">
      <w:pPr>
        <w:pStyle w:val="a3"/>
        <w:jc w:val="center"/>
        <w:rPr>
          <w:b/>
          <w:lang w:val="it-IT"/>
        </w:rPr>
      </w:pPr>
      <w:r w:rsidRPr="00C35766">
        <w:rPr>
          <w:rFonts w:eastAsia="Times New Roman"/>
          <w:b/>
          <w:bCs/>
          <w:lang w:val="it-IT"/>
        </w:rPr>
        <w:t xml:space="preserve">Tabella </w:t>
      </w:r>
      <w:r w:rsidR="00F729F7">
        <w:rPr>
          <w:rFonts w:eastAsia="Times New Roman"/>
          <w:b/>
          <w:bCs/>
          <w:lang w:val="it-IT"/>
        </w:rPr>
        <w:t>19</w:t>
      </w:r>
    </w:p>
    <w:p w14:paraId="16246C9B" w14:textId="77777777" w:rsidR="0075524C" w:rsidRPr="00C35766" w:rsidRDefault="0075524C" w:rsidP="0075524C">
      <w:pPr>
        <w:pStyle w:val="a3"/>
        <w:jc w:val="center"/>
        <w:rPr>
          <w:b/>
          <w:lang w:val="it-IT"/>
        </w:rPr>
      </w:pPr>
      <w:r w:rsidRPr="00C35766">
        <w:rPr>
          <w:rFonts w:eastAsia="Times New Roman"/>
          <w:b/>
          <w:bCs/>
          <w:lang w:val="it-IT"/>
        </w:rPr>
        <w:t>Psoriasi a Placche Pediatrica - Risultati relativi all’efficacia alla settimana 16</w:t>
      </w:r>
    </w:p>
    <w:p w14:paraId="0E673DCC" w14:textId="77777777" w:rsidR="0075524C" w:rsidRPr="00C35766" w:rsidRDefault="0075524C" w:rsidP="0075524C">
      <w:pPr>
        <w:spacing w:before="4" w:line="10" w:lineRule="exact"/>
        <w:rPr>
          <w:rFonts w:ascii="Times New Roman" w:hAnsi="Times New Roman" w:cs="Times New Roman"/>
          <w:sz w:val="4"/>
          <w:lang w:val="it-IT"/>
        </w:rPr>
      </w:pPr>
    </w:p>
    <w:tbl>
      <w:tblPr>
        <w:tblStyle w:val="TableNormal1"/>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61"/>
        <w:gridCol w:w="1660"/>
        <w:gridCol w:w="4316"/>
      </w:tblGrid>
      <w:tr w:rsidR="0075524C" w:rsidRPr="00C35766" w14:paraId="5519E62C" w14:textId="77777777" w:rsidTr="00603A86">
        <w:trPr>
          <w:trHeight w:val="394"/>
          <w:jc w:val="center"/>
        </w:trPr>
        <w:tc>
          <w:tcPr>
            <w:tcW w:w="2961" w:type="dxa"/>
          </w:tcPr>
          <w:p w14:paraId="29BA6A2B" w14:textId="77777777" w:rsidR="0075524C" w:rsidRPr="00C35766" w:rsidRDefault="0075524C" w:rsidP="00603A86">
            <w:pPr>
              <w:rPr>
                <w:rFonts w:ascii="Times New Roman" w:hAnsi="Times New Roman" w:cs="Times New Roman"/>
                <w:lang w:val="it-IT" w:eastAsia="ko-KR"/>
              </w:rPr>
            </w:pPr>
          </w:p>
        </w:tc>
        <w:tc>
          <w:tcPr>
            <w:tcW w:w="1660" w:type="dxa"/>
          </w:tcPr>
          <w:p w14:paraId="6F87A9CB" w14:textId="77777777" w:rsidR="0075524C" w:rsidRPr="00C35766" w:rsidRDefault="0075524C" w:rsidP="00603A86">
            <w:pPr>
              <w:pStyle w:val="TableParagraph"/>
              <w:spacing w:line="246" w:lineRule="exact"/>
              <w:ind w:left="537" w:right="535"/>
              <w:jc w:val="center"/>
              <w:rPr>
                <w:rFonts w:ascii="Times New Roman" w:eastAsia="Times New Roman" w:hAnsi="Times New Roman" w:cs="Times New Roman"/>
              </w:rPr>
            </w:pPr>
            <w:r w:rsidRPr="00C35766">
              <w:rPr>
                <w:rFonts w:ascii="Times New Roman" w:eastAsia="Times New Roman" w:hAnsi="Times New Roman" w:cs="Times New Roman"/>
                <w:lang w:val="it-IT"/>
              </w:rPr>
              <w:t>MTX</w:t>
            </w:r>
            <w:r w:rsidRPr="00C35766">
              <w:rPr>
                <w:rFonts w:ascii="Times New Roman" w:eastAsia="Times New Roman" w:hAnsi="Times New Roman" w:cs="Times New Roman"/>
                <w:vertAlign w:val="superscript"/>
                <w:lang w:val="it-IT"/>
              </w:rPr>
              <w:t>a</w:t>
            </w:r>
          </w:p>
          <w:p w14:paraId="4289B719" w14:textId="77777777" w:rsidR="0075524C" w:rsidRPr="00C35766" w:rsidRDefault="0075524C" w:rsidP="00603A86">
            <w:pPr>
              <w:pStyle w:val="TableParagraph"/>
              <w:spacing w:line="252" w:lineRule="exact"/>
              <w:ind w:left="563" w:right="563"/>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N=37</w:t>
            </w:r>
          </w:p>
        </w:tc>
        <w:tc>
          <w:tcPr>
            <w:tcW w:w="4315" w:type="dxa"/>
          </w:tcPr>
          <w:p w14:paraId="384218B8" w14:textId="77777777" w:rsidR="0075524C" w:rsidRPr="00C35766" w:rsidRDefault="0075524C" w:rsidP="00603A86">
            <w:pPr>
              <w:pStyle w:val="TableParagraph"/>
              <w:spacing w:before="5" w:line="252" w:lineRule="exact"/>
              <w:ind w:left="113" w:right="102"/>
              <w:jc w:val="center"/>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Adalimumab 0,8 mg/kg a settimane alterne </w:t>
            </w:r>
          </w:p>
          <w:p w14:paraId="5ABB0E21" w14:textId="77777777" w:rsidR="0075524C" w:rsidRPr="00C35766" w:rsidRDefault="0075524C" w:rsidP="00603A86">
            <w:pPr>
              <w:pStyle w:val="TableParagraph"/>
              <w:spacing w:before="5" w:line="252" w:lineRule="exact"/>
              <w:ind w:left="113" w:right="102"/>
              <w:jc w:val="center"/>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N=38</w:t>
            </w:r>
          </w:p>
        </w:tc>
      </w:tr>
      <w:tr w:rsidR="0075524C" w:rsidRPr="00C35766" w14:paraId="0942C42E" w14:textId="77777777" w:rsidTr="00603A86">
        <w:trPr>
          <w:trHeight w:val="99"/>
          <w:jc w:val="center"/>
        </w:trPr>
        <w:tc>
          <w:tcPr>
            <w:tcW w:w="2961" w:type="dxa"/>
          </w:tcPr>
          <w:p w14:paraId="5DA00C2F" w14:textId="77777777" w:rsidR="0075524C" w:rsidRPr="00C35766" w:rsidRDefault="0075524C" w:rsidP="00603A86">
            <w:pPr>
              <w:pStyle w:val="TableParagraph"/>
              <w:spacing w:before="4"/>
              <w:ind w:left="227"/>
              <w:rPr>
                <w:rFonts w:ascii="Times New Roman" w:eastAsia="Times New Roman" w:hAnsi="Times New Roman" w:cs="Times New Roman"/>
              </w:rPr>
            </w:pPr>
            <w:r w:rsidRPr="00C35766">
              <w:rPr>
                <w:rFonts w:ascii="Times New Roman" w:eastAsia="Times New Roman" w:hAnsi="Times New Roman" w:cs="Times New Roman"/>
                <w:spacing w:val="-1"/>
                <w:lang w:val="it-IT"/>
              </w:rPr>
              <w:t>PASI 75</w:t>
            </w:r>
            <w:r w:rsidRPr="00C35766">
              <w:rPr>
                <w:rFonts w:ascii="Times New Roman" w:eastAsia="Times New Roman" w:hAnsi="Times New Roman" w:cs="Times New Roman"/>
                <w:spacing w:val="-1"/>
                <w:vertAlign w:val="superscript"/>
                <w:lang w:val="it-IT"/>
              </w:rPr>
              <w:t>b</w:t>
            </w:r>
          </w:p>
        </w:tc>
        <w:tc>
          <w:tcPr>
            <w:tcW w:w="1660" w:type="dxa"/>
          </w:tcPr>
          <w:p w14:paraId="60005DFC" w14:textId="77777777" w:rsidR="0075524C" w:rsidRPr="00C35766" w:rsidRDefault="0075524C" w:rsidP="00603A86">
            <w:pPr>
              <w:pStyle w:val="TableParagraph"/>
              <w:spacing w:before="9"/>
              <w:ind w:left="337"/>
              <w:rPr>
                <w:rFonts w:ascii="Times New Roman" w:eastAsia="Times New Roman" w:hAnsi="Times New Roman" w:cs="Times New Roman"/>
              </w:rPr>
            </w:pPr>
            <w:r w:rsidRPr="00C35766">
              <w:rPr>
                <w:rFonts w:ascii="Times New Roman" w:eastAsia="Times New Roman" w:hAnsi="Times New Roman" w:cs="Times New Roman"/>
                <w:spacing w:val="-1"/>
                <w:lang w:val="it-IT"/>
              </w:rPr>
              <w:t>12 (32,4%)</w:t>
            </w:r>
          </w:p>
        </w:tc>
        <w:tc>
          <w:tcPr>
            <w:tcW w:w="4315" w:type="dxa"/>
          </w:tcPr>
          <w:p w14:paraId="09227081" w14:textId="77777777" w:rsidR="0075524C" w:rsidRPr="00C35766" w:rsidRDefault="0075524C" w:rsidP="00603A86">
            <w:pPr>
              <w:pStyle w:val="TableParagraph"/>
              <w:spacing w:before="9"/>
              <w:ind w:left="1075" w:right="1076"/>
              <w:jc w:val="center"/>
              <w:rPr>
                <w:rFonts w:ascii="Times New Roman" w:eastAsia="Times New Roman" w:hAnsi="Times New Roman" w:cs="Times New Roman"/>
              </w:rPr>
            </w:pPr>
            <w:r w:rsidRPr="00C35766">
              <w:rPr>
                <w:rFonts w:ascii="Times New Roman" w:eastAsia="Times New Roman" w:hAnsi="Times New Roman" w:cs="Times New Roman"/>
                <w:lang w:val="it-IT"/>
              </w:rPr>
              <w:t>22 (57,9%)</w:t>
            </w:r>
          </w:p>
        </w:tc>
      </w:tr>
      <w:tr w:rsidR="0075524C" w:rsidRPr="00C35766" w14:paraId="7D9CBB06" w14:textId="77777777" w:rsidTr="00603A86">
        <w:trPr>
          <w:trHeight w:val="204"/>
          <w:jc w:val="center"/>
        </w:trPr>
        <w:tc>
          <w:tcPr>
            <w:tcW w:w="2961" w:type="dxa"/>
          </w:tcPr>
          <w:p w14:paraId="616CDED8" w14:textId="77777777" w:rsidR="0075524C" w:rsidRPr="00C35766" w:rsidRDefault="0075524C" w:rsidP="00603A86">
            <w:pPr>
              <w:pStyle w:val="TableParagraph"/>
              <w:spacing w:before="4"/>
              <w:ind w:left="227"/>
              <w:rPr>
                <w:rFonts w:ascii="Times New Roman" w:eastAsia="Times New Roman" w:hAnsi="Times New Roman" w:cs="Times New Roman"/>
              </w:rPr>
            </w:pPr>
            <w:r w:rsidRPr="00C35766">
              <w:rPr>
                <w:rFonts w:ascii="Times New Roman" w:eastAsia="Times New Roman" w:hAnsi="Times New Roman" w:cs="Times New Roman"/>
                <w:spacing w:val="-1"/>
                <w:lang w:val="it-IT"/>
              </w:rPr>
              <w:t>PGA: Guarigione/Marcato miglioramento</w:t>
            </w:r>
            <w:r w:rsidRPr="00C35766">
              <w:rPr>
                <w:rFonts w:ascii="Times New Roman" w:eastAsia="Times New Roman" w:hAnsi="Times New Roman" w:cs="Times New Roman"/>
                <w:spacing w:val="-1"/>
                <w:vertAlign w:val="superscript"/>
                <w:lang w:val="it-IT"/>
              </w:rPr>
              <w:t>c</w:t>
            </w:r>
          </w:p>
        </w:tc>
        <w:tc>
          <w:tcPr>
            <w:tcW w:w="1660" w:type="dxa"/>
          </w:tcPr>
          <w:p w14:paraId="28ADDEE9" w14:textId="77777777" w:rsidR="0075524C" w:rsidRPr="00C35766" w:rsidRDefault="0075524C" w:rsidP="00603A86">
            <w:pPr>
              <w:pStyle w:val="TableParagraph"/>
              <w:spacing w:before="9"/>
              <w:ind w:left="337"/>
              <w:rPr>
                <w:rFonts w:ascii="Times New Roman" w:eastAsia="Times New Roman" w:hAnsi="Times New Roman" w:cs="Times New Roman"/>
              </w:rPr>
            </w:pPr>
            <w:r w:rsidRPr="00C35766">
              <w:rPr>
                <w:rFonts w:ascii="Times New Roman" w:eastAsia="Times New Roman" w:hAnsi="Times New Roman" w:cs="Times New Roman"/>
                <w:spacing w:val="-1"/>
                <w:lang w:val="it-IT"/>
              </w:rPr>
              <w:t>15 (40,5%)</w:t>
            </w:r>
          </w:p>
        </w:tc>
        <w:tc>
          <w:tcPr>
            <w:tcW w:w="4315" w:type="dxa"/>
          </w:tcPr>
          <w:p w14:paraId="314D4D56" w14:textId="77777777" w:rsidR="0075524C" w:rsidRPr="00C35766" w:rsidRDefault="0075524C" w:rsidP="00603A86">
            <w:pPr>
              <w:pStyle w:val="TableParagraph"/>
              <w:spacing w:before="9"/>
              <w:ind w:left="1076" w:right="1077"/>
              <w:jc w:val="center"/>
              <w:rPr>
                <w:rFonts w:ascii="Times New Roman" w:eastAsia="Times New Roman" w:hAnsi="Times New Roman" w:cs="Times New Roman"/>
              </w:rPr>
            </w:pPr>
            <w:r w:rsidRPr="00C35766">
              <w:rPr>
                <w:rFonts w:ascii="Times New Roman" w:eastAsia="Times New Roman" w:hAnsi="Times New Roman" w:cs="Times New Roman"/>
                <w:spacing w:val="-1"/>
                <w:lang w:val="it-IT"/>
              </w:rPr>
              <w:t>23 (60,5%)</w:t>
            </w:r>
          </w:p>
        </w:tc>
      </w:tr>
      <w:tr w:rsidR="0075524C" w:rsidRPr="00494E69" w14:paraId="351EFAA9" w14:textId="77777777" w:rsidTr="00603A86">
        <w:trPr>
          <w:trHeight w:val="337"/>
          <w:jc w:val="center"/>
        </w:trPr>
        <w:tc>
          <w:tcPr>
            <w:tcW w:w="8937" w:type="dxa"/>
            <w:gridSpan w:val="3"/>
          </w:tcPr>
          <w:p w14:paraId="00BFCCC5" w14:textId="77777777" w:rsidR="0075524C" w:rsidRPr="00C35766" w:rsidRDefault="0075524C" w:rsidP="00603A86">
            <w:pPr>
              <w:pStyle w:val="TableParagraph"/>
              <w:spacing w:before="4"/>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 xml:space="preserve">a </w:t>
            </w:r>
            <w:r w:rsidRPr="00C35766">
              <w:rPr>
                <w:rFonts w:ascii="Times New Roman" w:eastAsia="Times New Roman" w:hAnsi="Times New Roman" w:cs="Times New Roman"/>
                <w:position w:val="8"/>
                <w:lang w:val="it-IT"/>
              </w:rPr>
              <w:t>MTX = metotressato</w:t>
            </w:r>
          </w:p>
          <w:p w14:paraId="591F5125" w14:textId="77777777" w:rsidR="0075524C" w:rsidRPr="00C35766" w:rsidRDefault="0075524C" w:rsidP="00603A86">
            <w:pPr>
              <w:pStyle w:val="TableParagraph"/>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b</w:t>
            </w:r>
            <w:r w:rsidRPr="00C35766">
              <w:rPr>
                <w:rFonts w:ascii="Times New Roman" w:eastAsia="Times New Roman" w:hAnsi="Times New Roman" w:cs="Times New Roman"/>
                <w:position w:val="8"/>
                <w:lang w:val="it-IT"/>
              </w:rPr>
              <w:t xml:space="preserve"> P=0,027, adalimumab 0,8 mg/kg vs. MTX</w:t>
            </w:r>
          </w:p>
          <w:p w14:paraId="2178DF65" w14:textId="77777777" w:rsidR="0075524C" w:rsidRPr="00C35766" w:rsidRDefault="0075524C" w:rsidP="00603A86">
            <w:pPr>
              <w:pStyle w:val="TableParagraph"/>
              <w:ind w:left="6"/>
              <w:rPr>
                <w:rFonts w:ascii="Times New Roman" w:hAnsi="Times New Roman" w:cs="Times New Roman"/>
                <w:lang w:val="it-IT"/>
              </w:rPr>
            </w:pPr>
            <w:r w:rsidRPr="00C35766">
              <w:rPr>
                <w:rFonts w:ascii="Times New Roman" w:eastAsia="Times New Roman" w:hAnsi="Times New Roman" w:cs="Times New Roman"/>
                <w:position w:val="8"/>
                <w:vertAlign w:val="superscript"/>
                <w:lang w:val="it-IT"/>
              </w:rPr>
              <w:t>c</w:t>
            </w:r>
            <w:r w:rsidRPr="00C35766">
              <w:rPr>
                <w:rFonts w:ascii="Times New Roman" w:eastAsia="Times New Roman" w:hAnsi="Times New Roman" w:cs="Times New Roman"/>
                <w:position w:val="8"/>
                <w:lang w:val="it-IT"/>
              </w:rPr>
              <w:t xml:space="preserve"> P=0,083, adalimumab 0,8 mg/kg vs. MTX</w:t>
            </w:r>
          </w:p>
        </w:tc>
      </w:tr>
    </w:tbl>
    <w:p w14:paraId="0082FE7D" w14:textId="77777777" w:rsidR="0075524C" w:rsidRPr="00C35766" w:rsidRDefault="0075524C" w:rsidP="0075524C">
      <w:pPr>
        <w:spacing w:before="3" w:line="170" w:lineRule="exact"/>
        <w:rPr>
          <w:rFonts w:ascii="Times New Roman" w:hAnsi="Times New Roman" w:cs="Times New Roman"/>
          <w:sz w:val="17"/>
          <w:lang w:val="it-IT"/>
        </w:rPr>
      </w:pPr>
    </w:p>
    <w:p w14:paraId="3C69B3C3" w14:textId="77777777" w:rsidR="0075524C" w:rsidRPr="00C35766" w:rsidRDefault="0075524C" w:rsidP="0075524C">
      <w:pPr>
        <w:pStyle w:val="a3"/>
        <w:rPr>
          <w:lang w:val="it-IT"/>
        </w:rPr>
      </w:pPr>
      <w:r w:rsidRPr="00C35766">
        <w:rPr>
          <w:rFonts w:eastAsia="Times New Roman"/>
          <w:lang w:val="it-IT"/>
        </w:rPr>
        <w:t>I pazienti che hanno ottenuto una risposta PASI 75 e un PGA corrispondente a remissione totale della malattia o a persistenza di malattia minima hanno interrotto il trattamento per un massimo di 36 settimane, e sono stati monitorati per la perdita del controllo della malattia (ovvero, un peggioramento della risposta PGA di almeno 2 gradi). I pazienti sono stati quindi ritrattati con adalimumab 0,8 mg/kg a settimane alterne per ulteriori 16 settimane, e le percentuali di risposta osservate durante il ritrattamento erano simili a quelle osservate durante il precedente periodo in doppio cieco: risposta PASI 75 del 78,9% (15 soggetti su 19) e PGA corrispondente a remissione totale della malattia o a persistenza di malattia minima del 52,6% (10 soggetti su 19).</w:t>
      </w:r>
    </w:p>
    <w:p w14:paraId="3E221C14" w14:textId="77777777" w:rsidR="0075524C" w:rsidRPr="00C35766" w:rsidRDefault="0075524C" w:rsidP="0075524C">
      <w:pPr>
        <w:pStyle w:val="a3"/>
        <w:rPr>
          <w:sz w:val="24"/>
          <w:szCs w:val="24"/>
          <w:lang w:val="it-IT"/>
        </w:rPr>
      </w:pPr>
    </w:p>
    <w:p w14:paraId="3D9C0135" w14:textId="77777777" w:rsidR="0075524C" w:rsidRPr="00C35766" w:rsidRDefault="0075524C" w:rsidP="0075524C">
      <w:pPr>
        <w:pStyle w:val="a3"/>
        <w:rPr>
          <w:lang w:val="it-IT"/>
        </w:rPr>
      </w:pPr>
      <w:r w:rsidRPr="00C35766">
        <w:rPr>
          <w:rFonts w:eastAsia="Times New Roman"/>
          <w:lang w:val="it-IT"/>
        </w:rPr>
        <w:t>Nel periodo in aperto dello studio, le risposte PASI 75 e PGA corrispondente a remissione totale della malattia o a persistenza di malattia minima sono state mantenute per ulteriori 52 settimane senza che siano emerse nuove problematiche di sicurezza.</w:t>
      </w:r>
    </w:p>
    <w:p w14:paraId="24E73535" w14:textId="77777777" w:rsidR="0075524C" w:rsidRPr="00C35766" w:rsidRDefault="0075524C" w:rsidP="0075524C">
      <w:pPr>
        <w:spacing w:before="1" w:line="180" w:lineRule="exact"/>
        <w:rPr>
          <w:rFonts w:ascii="Times New Roman" w:hAnsi="Times New Roman" w:cs="Times New Roman"/>
          <w:sz w:val="18"/>
          <w:szCs w:val="18"/>
          <w:lang w:val="it-IT"/>
        </w:rPr>
      </w:pPr>
    </w:p>
    <w:p w14:paraId="1F056FDA" w14:textId="77777777" w:rsidR="0075524C" w:rsidRPr="00C35766" w:rsidRDefault="0075524C" w:rsidP="0075524C">
      <w:pPr>
        <w:pStyle w:val="a3"/>
        <w:rPr>
          <w:i/>
          <w:lang w:val="it-IT"/>
        </w:rPr>
      </w:pPr>
      <w:r w:rsidRPr="00C35766">
        <w:rPr>
          <w:rFonts w:eastAsia="Times New Roman"/>
          <w:i/>
          <w:iCs/>
          <w:lang w:val="it-IT"/>
        </w:rPr>
        <w:t>Malattia di Crohn in pazienti pediatrici</w:t>
      </w:r>
    </w:p>
    <w:p w14:paraId="2EA0CD9F" w14:textId="77777777" w:rsidR="0075524C" w:rsidRPr="00C35766" w:rsidRDefault="0075524C" w:rsidP="0075524C">
      <w:pPr>
        <w:pStyle w:val="a3"/>
        <w:rPr>
          <w:sz w:val="18"/>
          <w:szCs w:val="18"/>
          <w:lang w:val="it-IT"/>
        </w:rPr>
      </w:pPr>
    </w:p>
    <w:p w14:paraId="69FD14EA" w14:textId="77777777" w:rsidR="0075524C" w:rsidRPr="00C35766" w:rsidRDefault="0075524C" w:rsidP="0075524C">
      <w:pPr>
        <w:pStyle w:val="a3"/>
        <w:rPr>
          <w:lang w:val="it-IT"/>
        </w:rPr>
      </w:pPr>
      <w:r w:rsidRPr="00C35766">
        <w:rPr>
          <w:rFonts w:eastAsia="Times New Roman"/>
          <w:lang w:val="it-IT"/>
        </w:rPr>
        <w:t xml:space="preserve">Adalimumab è stato testato in uno studio clinico multicentrico, randomizzato, in doppio cieco disegnato per valutare l’efficacia e la sicurezza del trattamento di induzione e di mantenimento con dosi dipendenti dal peso corporeo (&lt; 40 kg o ≥ 40 kg) in 192 soggetti pediatrici di età compresa tra 6 e 17 anni (inclusi), con malattia di Crohn (MC) di grado da moderato a severo definita da un punteggio dell’Indice di Attività della </w:t>
      </w:r>
      <w:r w:rsidRPr="00C35766">
        <w:rPr>
          <w:rFonts w:eastAsia="Times New Roman"/>
          <w:lang w:val="it-IT"/>
        </w:rPr>
        <w:lastRenderedPageBreak/>
        <w:t>Malattia di Crohn Pediatrica (Paediatric Crohn's Disease Activity Index - PCDAI) &gt; 30. I soggetti dovevano aver fallito la terapia convenzionale (incluso un corticosteroide e/o un immunomodulatore) per MC. I soggetti, inoltre, potevano aver precedentemente perso la risposta o essere stati intolleranti ad infliximab.</w:t>
      </w:r>
    </w:p>
    <w:p w14:paraId="2D185224" w14:textId="77777777" w:rsidR="0075524C" w:rsidRPr="00C35766" w:rsidRDefault="0075524C" w:rsidP="0075524C">
      <w:pPr>
        <w:pStyle w:val="a3"/>
        <w:rPr>
          <w:sz w:val="24"/>
          <w:szCs w:val="24"/>
          <w:lang w:val="it-IT"/>
        </w:rPr>
      </w:pPr>
    </w:p>
    <w:p w14:paraId="1913EF98" w14:textId="77777777" w:rsidR="0075524C" w:rsidRPr="00C35766" w:rsidRDefault="0075524C" w:rsidP="0075524C">
      <w:pPr>
        <w:pStyle w:val="a3"/>
        <w:rPr>
          <w:lang w:val="it-IT"/>
        </w:rPr>
      </w:pPr>
      <w:r w:rsidRPr="00C35766">
        <w:rPr>
          <w:rFonts w:eastAsia="Times New Roman"/>
          <w:lang w:val="it-IT"/>
        </w:rPr>
        <w:t>Tutti i soggetti hanno ricevuto una terapia di induzione in aperto con una dose basata sul loro peso corporeo al basale: 160 mg alla settimana 0 e 80 mg alla settimana 2 per i soggetti con peso ≥ 40 kg, e rispettivamente, 80 mg e 40 mg per i soggetti con peso &lt; 40 kg.</w:t>
      </w:r>
    </w:p>
    <w:p w14:paraId="2CDB5CC2" w14:textId="77777777" w:rsidR="0075524C" w:rsidRPr="00C35766" w:rsidRDefault="0075524C" w:rsidP="0075524C">
      <w:pPr>
        <w:pStyle w:val="a3"/>
        <w:rPr>
          <w:sz w:val="24"/>
          <w:szCs w:val="24"/>
          <w:lang w:val="it-IT"/>
        </w:rPr>
      </w:pPr>
    </w:p>
    <w:p w14:paraId="76823D57" w14:textId="28BDDE78" w:rsidR="0075524C" w:rsidRPr="00C35766" w:rsidRDefault="0075524C" w:rsidP="0075524C">
      <w:pPr>
        <w:pStyle w:val="a3"/>
        <w:rPr>
          <w:lang w:val="it-IT"/>
        </w:rPr>
      </w:pPr>
      <w:r w:rsidRPr="00C35766">
        <w:rPr>
          <w:rFonts w:eastAsia="Times New Roman"/>
          <w:lang w:val="it-IT"/>
        </w:rPr>
        <w:t xml:space="preserve">Alla settimana 4, in base al loro peso corporeo, i soggetti sono stati randomizzati 1:1 o nel regime di mantenimento a Bassa Dose o in quello a Dose Standard, come mostrato nella Tabella </w:t>
      </w:r>
      <w:r w:rsidR="00F729F7">
        <w:rPr>
          <w:rFonts w:eastAsia="Times New Roman"/>
          <w:lang w:val="it-IT"/>
        </w:rPr>
        <w:t>20</w:t>
      </w:r>
      <w:r w:rsidRPr="00C35766">
        <w:rPr>
          <w:rFonts w:eastAsia="Times New Roman"/>
          <w:lang w:val="it-IT"/>
        </w:rPr>
        <w:t>.</w:t>
      </w:r>
    </w:p>
    <w:p w14:paraId="7D781BA7" w14:textId="77777777" w:rsidR="0075524C" w:rsidRPr="00C35766" w:rsidRDefault="0075524C" w:rsidP="0075524C">
      <w:pPr>
        <w:pStyle w:val="a3"/>
        <w:rPr>
          <w:sz w:val="24"/>
          <w:szCs w:val="24"/>
          <w:lang w:val="it-IT"/>
        </w:rPr>
      </w:pPr>
    </w:p>
    <w:p w14:paraId="03C9C8FD" w14:textId="01E690CA" w:rsidR="0075524C" w:rsidRPr="00C35766" w:rsidRDefault="0075524C" w:rsidP="0075524C">
      <w:pPr>
        <w:pStyle w:val="a3"/>
        <w:keepNext/>
        <w:jc w:val="center"/>
        <w:rPr>
          <w:b/>
        </w:rPr>
      </w:pPr>
      <w:r w:rsidRPr="00C35766">
        <w:rPr>
          <w:rFonts w:eastAsia="Times New Roman"/>
          <w:b/>
          <w:bCs/>
          <w:lang w:val="it-IT"/>
        </w:rPr>
        <w:t xml:space="preserve">Tabella </w:t>
      </w:r>
      <w:r w:rsidR="00F729F7">
        <w:rPr>
          <w:rFonts w:eastAsia="Times New Roman"/>
          <w:b/>
          <w:bCs/>
          <w:lang w:val="it-IT"/>
        </w:rPr>
        <w:t>20</w:t>
      </w:r>
      <w:r w:rsidRPr="00C35766">
        <w:rPr>
          <w:rFonts w:eastAsia="Times New Roman"/>
          <w:b/>
          <w:bCs/>
          <w:lang w:val="it-IT"/>
        </w:rPr>
        <w:t xml:space="preserve"> Regime di mantenimento</w:t>
      </w:r>
    </w:p>
    <w:p w14:paraId="6F303400" w14:textId="77777777" w:rsidR="0075524C" w:rsidRPr="00C35766" w:rsidRDefault="0075524C" w:rsidP="0075524C">
      <w:pPr>
        <w:pStyle w:val="a3"/>
        <w:keepNext/>
        <w:jc w:val="center"/>
        <w:rPr>
          <w:b/>
        </w:rPr>
      </w:pPr>
    </w:p>
    <w:tbl>
      <w:tblPr>
        <w:tblStyle w:val="TableNormal1"/>
        <w:tblW w:w="4222" w:type="pct"/>
        <w:jc w:val="center"/>
        <w:tblLook w:val="01E0" w:firstRow="1" w:lastRow="1" w:firstColumn="1" w:lastColumn="1" w:noHBand="0" w:noVBand="0"/>
      </w:tblPr>
      <w:tblGrid>
        <w:gridCol w:w="2350"/>
        <w:gridCol w:w="2874"/>
        <w:gridCol w:w="2872"/>
      </w:tblGrid>
      <w:tr w:rsidR="0075524C" w:rsidRPr="00C35766" w14:paraId="53516FB2" w14:textId="77777777" w:rsidTr="00603A86">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2747D6A4" w14:textId="77777777" w:rsidR="0075524C" w:rsidRPr="00C35766" w:rsidRDefault="0075524C" w:rsidP="00603A86">
            <w:pPr>
              <w:pStyle w:val="TableParagraph"/>
              <w:keepNext/>
              <w:ind w:leftChars="59" w:left="130"/>
              <w:rPr>
                <w:rFonts w:ascii="Times New Roman" w:eastAsia="Times New Roman" w:hAnsi="Times New Roman" w:cs="Times New Roman"/>
              </w:rPr>
            </w:pPr>
            <w:r w:rsidRPr="00C35766">
              <w:rPr>
                <w:rFonts w:ascii="Times New Roman" w:eastAsia="Times New Roman" w:hAnsi="Times New Roman" w:cs="Times New Roman"/>
                <w:b/>
                <w:bCs/>
                <w:lang w:val="it-IT"/>
              </w:rPr>
              <w:t>Peso del paziente</w:t>
            </w:r>
            <w:r w:rsidRPr="00C35766">
              <w:rPr>
                <w:rFonts w:ascii="Times New Roman" w:eastAsia="Times New Roman" w:hAnsi="Times New Roman" w:cs="Times New Roman"/>
                <w:b/>
                <w:bCs/>
                <w:spacing w:val="-1"/>
                <w:lang w:val="it-IT"/>
              </w:rPr>
              <w:t> </w:t>
            </w:r>
          </w:p>
        </w:tc>
        <w:tc>
          <w:tcPr>
            <w:tcW w:w="1775" w:type="pct"/>
            <w:tcBorders>
              <w:top w:val="single" w:sz="5" w:space="0" w:color="000000"/>
              <w:left w:val="single" w:sz="5" w:space="0" w:color="000000"/>
              <w:bottom w:val="single" w:sz="5" w:space="0" w:color="000000"/>
              <w:right w:val="single" w:sz="5" w:space="0" w:color="000000"/>
            </w:tcBorders>
          </w:tcPr>
          <w:p w14:paraId="0A022820" w14:textId="77777777" w:rsidR="0075524C" w:rsidRPr="00C35766" w:rsidRDefault="0075524C" w:rsidP="00603A86">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2"/>
                <w:lang w:val="it-IT"/>
              </w:rPr>
              <w:t>Dose bassa</w:t>
            </w:r>
          </w:p>
        </w:tc>
        <w:tc>
          <w:tcPr>
            <w:tcW w:w="1774" w:type="pct"/>
            <w:tcBorders>
              <w:top w:val="single" w:sz="5" w:space="0" w:color="000000"/>
              <w:left w:val="single" w:sz="5" w:space="0" w:color="000000"/>
              <w:bottom w:val="single" w:sz="5" w:space="0" w:color="000000"/>
              <w:right w:val="single" w:sz="5" w:space="0" w:color="000000"/>
            </w:tcBorders>
          </w:tcPr>
          <w:p w14:paraId="0FC9FF3D" w14:textId="77777777" w:rsidR="0075524C" w:rsidRPr="00C35766" w:rsidRDefault="0075524C" w:rsidP="00603A86">
            <w:pPr>
              <w:pStyle w:val="TableParagraph"/>
              <w:spacing w:line="249"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 xml:space="preserve">Dose </w:t>
            </w:r>
            <w:r w:rsidRPr="00C35766">
              <w:rPr>
                <w:rFonts w:ascii="Times New Roman" w:eastAsia="Times New Roman" w:hAnsi="Times New Roman" w:cs="Times New Roman"/>
                <w:b/>
                <w:bCs/>
                <w:lang w:val="it-IT"/>
              </w:rPr>
              <w:t>standard</w:t>
            </w:r>
          </w:p>
        </w:tc>
      </w:tr>
      <w:tr w:rsidR="0075524C" w:rsidRPr="00C35766" w14:paraId="14590EC6" w14:textId="77777777" w:rsidTr="00603A86">
        <w:trPr>
          <w:trHeight w:val="243"/>
          <w:jc w:val="center"/>
        </w:trPr>
        <w:tc>
          <w:tcPr>
            <w:tcW w:w="1451" w:type="pct"/>
            <w:tcBorders>
              <w:top w:val="single" w:sz="5" w:space="0" w:color="000000"/>
              <w:left w:val="single" w:sz="5" w:space="0" w:color="000000"/>
              <w:bottom w:val="single" w:sz="5" w:space="0" w:color="000000"/>
              <w:right w:val="single" w:sz="5" w:space="0" w:color="000000"/>
            </w:tcBorders>
          </w:tcPr>
          <w:p w14:paraId="7636E3C4"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&lt; 40 kg</w:t>
            </w:r>
          </w:p>
        </w:tc>
        <w:tc>
          <w:tcPr>
            <w:tcW w:w="1775" w:type="pct"/>
            <w:tcBorders>
              <w:top w:val="single" w:sz="5" w:space="0" w:color="000000"/>
              <w:left w:val="single" w:sz="5" w:space="0" w:color="000000"/>
              <w:bottom w:val="single" w:sz="5" w:space="0" w:color="000000"/>
              <w:right w:val="single" w:sz="5" w:space="0" w:color="000000"/>
            </w:tcBorders>
          </w:tcPr>
          <w:p w14:paraId="32CCC9D2"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10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75673B40"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r>
      <w:tr w:rsidR="0075524C" w:rsidRPr="00C35766" w14:paraId="5D7141D7" w14:textId="77777777" w:rsidTr="00603A86">
        <w:trPr>
          <w:trHeight w:val="255"/>
          <w:jc w:val="center"/>
        </w:trPr>
        <w:tc>
          <w:tcPr>
            <w:tcW w:w="1451" w:type="pct"/>
            <w:tcBorders>
              <w:top w:val="single" w:sz="5" w:space="0" w:color="000000"/>
              <w:left w:val="single" w:sz="5" w:space="0" w:color="000000"/>
              <w:bottom w:val="single" w:sz="5" w:space="0" w:color="000000"/>
              <w:right w:val="single" w:sz="5" w:space="0" w:color="000000"/>
            </w:tcBorders>
          </w:tcPr>
          <w:p w14:paraId="3798739C"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 40 kg</w:t>
            </w:r>
          </w:p>
        </w:tc>
        <w:tc>
          <w:tcPr>
            <w:tcW w:w="1775" w:type="pct"/>
            <w:tcBorders>
              <w:top w:val="single" w:sz="5" w:space="0" w:color="000000"/>
              <w:left w:val="single" w:sz="5" w:space="0" w:color="000000"/>
              <w:bottom w:val="single" w:sz="5" w:space="0" w:color="000000"/>
              <w:right w:val="single" w:sz="5" w:space="0" w:color="000000"/>
            </w:tcBorders>
          </w:tcPr>
          <w:p w14:paraId="6E97EB8E"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20 mg a settimane alterne</w:t>
            </w:r>
          </w:p>
        </w:tc>
        <w:tc>
          <w:tcPr>
            <w:tcW w:w="1774" w:type="pct"/>
            <w:tcBorders>
              <w:top w:val="single" w:sz="5" w:space="0" w:color="000000"/>
              <w:left w:val="single" w:sz="5" w:space="0" w:color="000000"/>
              <w:bottom w:val="single" w:sz="5" w:space="0" w:color="000000"/>
              <w:right w:val="single" w:sz="5" w:space="0" w:color="000000"/>
            </w:tcBorders>
          </w:tcPr>
          <w:p w14:paraId="55349627" w14:textId="77777777" w:rsidR="0075524C" w:rsidRPr="00C35766" w:rsidRDefault="0075524C" w:rsidP="00603A86">
            <w:pPr>
              <w:pStyle w:val="TableParagraph"/>
              <w:spacing w:line="244" w:lineRule="exact"/>
              <w:ind w:left="102"/>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r>
    </w:tbl>
    <w:p w14:paraId="5CF7AF9E" w14:textId="77777777" w:rsidR="0075524C" w:rsidRPr="00C35766" w:rsidRDefault="0075524C" w:rsidP="0075524C">
      <w:pPr>
        <w:pStyle w:val="a3"/>
      </w:pPr>
    </w:p>
    <w:p w14:paraId="25192A6D" w14:textId="77777777" w:rsidR="0075524C" w:rsidRPr="00C35766" w:rsidRDefault="0075524C" w:rsidP="0075524C">
      <w:pPr>
        <w:pStyle w:val="a3"/>
        <w:rPr>
          <w:rFonts w:eastAsia="Times New Roman"/>
        </w:rPr>
      </w:pPr>
      <w:r w:rsidRPr="00C35766">
        <w:rPr>
          <w:rFonts w:eastAsia="Times New Roman"/>
          <w:i/>
          <w:iCs/>
          <w:spacing w:val="-1"/>
          <w:u w:val="single" w:color="000000"/>
          <w:lang w:val="it-IT"/>
        </w:rPr>
        <w:t>Risultati di efficacia</w:t>
      </w:r>
    </w:p>
    <w:p w14:paraId="517D4BE6" w14:textId="77777777" w:rsidR="0075524C" w:rsidRPr="00C35766" w:rsidRDefault="0075524C" w:rsidP="0075524C">
      <w:pPr>
        <w:pStyle w:val="a3"/>
        <w:rPr>
          <w:sz w:val="19"/>
          <w:szCs w:val="19"/>
        </w:rPr>
      </w:pPr>
    </w:p>
    <w:p w14:paraId="4ED58827" w14:textId="77777777" w:rsidR="0075524C" w:rsidRPr="00C35766" w:rsidRDefault="0075524C" w:rsidP="0075524C">
      <w:pPr>
        <w:pStyle w:val="a3"/>
        <w:rPr>
          <w:lang w:val="es-ES"/>
        </w:rPr>
      </w:pPr>
      <w:r w:rsidRPr="00C35766">
        <w:rPr>
          <w:rFonts w:eastAsia="Times New Roman"/>
          <w:lang w:val="it-IT"/>
        </w:rPr>
        <w:t xml:space="preserve">L’endpoint primario dello studio è stato la remissione clinica alla settimana 26, definita da un punteggio PCDAI </w:t>
      </w:r>
      <w:r w:rsidRPr="00C35766">
        <w:rPr>
          <w:rFonts w:eastAsia="Symbol"/>
          <w:lang w:val="it-IT"/>
        </w:rPr>
        <w:sym w:font="Symbol" w:char="F0A3"/>
      </w:r>
      <w:r w:rsidRPr="00C35766">
        <w:rPr>
          <w:rFonts w:eastAsia="Symbol"/>
          <w:lang w:val="it-IT"/>
        </w:rPr>
        <w:sym w:font="Symbol" w:char="F020"/>
      </w:r>
      <w:r w:rsidRPr="00C35766">
        <w:rPr>
          <w:rFonts w:eastAsia="Times New Roman"/>
          <w:lang w:val="it-IT"/>
        </w:rPr>
        <w:t>10.</w:t>
      </w:r>
    </w:p>
    <w:p w14:paraId="70D51296" w14:textId="77777777" w:rsidR="0075524C" w:rsidRPr="00C35766" w:rsidRDefault="0075524C" w:rsidP="0075524C">
      <w:pPr>
        <w:pStyle w:val="a3"/>
        <w:rPr>
          <w:sz w:val="24"/>
          <w:szCs w:val="24"/>
          <w:lang w:val="es-ES"/>
        </w:rPr>
      </w:pPr>
    </w:p>
    <w:p w14:paraId="3936FD34" w14:textId="6C78E61B" w:rsidR="0075524C" w:rsidRPr="00C35766" w:rsidRDefault="0075524C" w:rsidP="0075524C">
      <w:pPr>
        <w:pStyle w:val="a3"/>
        <w:rPr>
          <w:lang w:val="it-IT"/>
        </w:rPr>
      </w:pPr>
      <w:r w:rsidRPr="00C35766">
        <w:rPr>
          <w:rFonts w:eastAsia="Times New Roman"/>
          <w:lang w:val="it-IT"/>
        </w:rPr>
        <w:t xml:space="preserve">Le percentuali di remissione clinica e di risposta clinica (definite come riduzione del punteggio PCDAI di almeno 15 punti dal basale) sono riportate nella Tabella </w:t>
      </w:r>
      <w:r w:rsidR="00F729F7">
        <w:rPr>
          <w:rFonts w:eastAsia="Times New Roman"/>
          <w:lang w:val="it-IT"/>
        </w:rPr>
        <w:t>21</w:t>
      </w:r>
      <w:r w:rsidRPr="00C35766">
        <w:rPr>
          <w:rFonts w:eastAsia="Times New Roman"/>
          <w:lang w:val="it-IT"/>
        </w:rPr>
        <w:t xml:space="preserve">. Le percentuali di interruzione dei corticosteroidi o degli immunomodulatori sono riportate nella Tabella </w:t>
      </w:r>
      <w:r w:rsidR="00F729F7">
        <w:rPr>
          <w:rFonts w:eastAsia="Times New Roman"/>
          <w:lang w:val="it-IT"/>
        </w:rPr>
        <w:t>22</w:t>
      </w:r>
      <w:r w:rsidRPr="00C35766">
        <w:rPr>
          <w:rFonts w:eastAsia="Times New Roman"/>
          <w:lang w:val="it-IT"/>
        </w:rPr>
        <w:t>.</w:t>
      </w:r>
    </w:p>
    <w:p w14:paraId="0D9C7F59" w14:textId="77777777" w:rsidR="0075524C" w:rsidRPr="00C35766" w:rsidRDefault="0075524C" w:rsidP="0075524C">
      <w:pPr>
        <w:rPr>
          <w:rFonts w:ascii="Times New Roman" w:hAnsi="Times New Roman" w:cs="Times New Roman"/>
          <w:lang w:val="it-IT"/>
        </w:rPr>
      </w:pPr>
    </w:p>
    <w:p w14:paraId="47CE2970" w14:textId="77777777" w:rsidR="0075524C" w:rsidRPr="00824699" w:rsidRDefault="0075524C" w:rsidP="0075524C">
      <w:pPr>
        <w:spacing w:before="7" w:line="90" w:lineRule="exact"/>
        <w:rPr>
          <w:rFonts w:ascii="Times New Roman" w:hAnsi="Times New Roman" w:cs="Times New Roman"/>
          <w:sz w:val="9"/>
          <w:szCs w:val="9"/>
          <w:lang w:val="it-IT"/>
        </w:rPr>
      </w:pPr>
    </w:p>
    <w:tbl>
      <w:tblPr>
        <w:tblStyle w:val="TableNormal1"/>
        <w:tblW w:w="9244" w:type="dxa"/>
        <w:jc w:val="center"/>
        <w:tblLayout w:type="fixed"/>
        <w:tblLook w:val="01E0" w:firstRow="1" w:lastRow="1" w:firstColumn="1" w:lastColumn="1" w:noHBand="0" w:noVBand="0"/>
      </w:tblPr>
      <w:tblGrid>
        <w:gridCol w:w="2867"/>
        <w:gridCol w:w="1068"/>
        <w:gridCol w:w="927"/>
        <w:gridCol w:w="916"/>
        <w:gridCol w:w="1049"/>
        <w:gridCol w:w="936"/>
        <w:gridCol w:w="483"/>
        <w:gridCol w:w="998"/>
      </w:tblGrid>
      <w:tr w:rsidR="0075524C" w:rsidRPr="006501B3" w14:paraId="72C85116" w14:textId="77777777" w:rsidTr="00AF25F1">
        <w:trPr>
          <w:gridAfter w:val="1"/>
          <w:wAfter w:w="998" w:type="dxa"/>
          <w:trHeight w:val="331"/>
          <w:jc w:val="center"/>
        </w:trPr>
        <w:tc>
          <w:tcPr>
            <w:tcW w:w="8246" w:type="dxa"/>
            <w:gridSpan w:val="7"/>
            <w:tcBorders>
              <w:top w:val="single" w:sz="7" w:space="0" w:color="000000"/>
              <w:left w:val="single" w:sz="7" w:space="0" w:color="000000"/>
              <w:bottom w:val="single" w:sz="7" w:space="0" w:color="000000"/>
              <w:right w:val="single" w:sz="7" w:space="0" w:color="000000"/>
            </w:tcBorders>
          </w:tcPr>
          <w:p w14:paraId="4B1878B1" w14:textId="7A7A20CE" w:rsidR="0075524C" w:rsidRPr="00824699" w:rsidRDefault="0075524C" w:rsidP="00603A86">
            <w:pPr>
              <w:pStyle w:val="a3"/>
              <w:jc w:val="center"/>
              <w:rPr>
                <w:lang w:val="it-IT"/>
              </w:rPr>
            </w:pPr>
            <w:r w:rsidRPr="00C35766">
              <w:rPr>
                <w:rFonts w:eastAsia="Times New Roman"/>
                <w:b/>
                <w:bCs/>
                <w:lang w:val="it-IT"/>
              </w:rPr>
              <w:t xml:space="preserve">Tabella </w:t>
            </w:r>
            <w:r w:rsidR="00F729F7">
              <w:rPr>
                <w:rFonts w:eastAsia="Times New Roman"/>
                <w:b/>
                <w:bCs/>
                <w:lang w:val="it-IT"/>
              </w:rPr>
              <w:t>21</w:t>
            </w:r>
          </w:p>
          <w:p w14:paraId="04DAF153" w14:textId="77777777" w:rsidR="0075524C" w:rsidRPr="00C35766" w:rsidRDefault="0075524C" w:rsidP="00603A86">
            <w:pPr>
              <w:pStyle w:val="a3"/>
              <w:jc w:val="center"/>
              <w:rPr>
                <w:b/>
                <w:lang w:val="pt-BR"/>
              </w:rPr>
            </w:pPr>
            <w:r w:rsidRPr="00C35766">
              <w:rPr>
                <w:rFonts w:eastAsia="Times New Roman"/>
                <w:b/>
                <w:bCs/>
                <w:lang w:val="it-IT"/>
              </w:rPr>
              <w:t>Studio della Malattia di Crohn Pediatrica</w:t>
            </w:r>
          </w:p>
          <w:p w14:paraId="5E68BA84" w14:textId="77777777" w:rsidR="0075524C" w:rsidRPr="00C35766" w:rsidRDefault="0075524C" w:rsidP="00603A86">
            <w:pPr>
              <w:pStyle w:val="a3"/>
              <w:jc w:val="center"/>
              <w:rPr>
                <w:rFonts w:eastAsia="Times New Roman"/>
                <w:lang w:val="pt-BR"/>
              </w:rPr>
            </w:pPr>
            <w:r w:rsidRPr="00C35766">
              <w:rPr>
                <w:rFonts w:eastAsia="Times New Roman"/>
                <w:b/>
                <w:bCs/>
                <w:lang w:val="it-IT"/>
              </w:rPr>
              <w:t>PCDAI di Remissione e di Risposta Clinica</w:t>
            </w:r>
          </w:p>
        </w:tc>
      </w:tr>
      <w:tr w:rsidR="0075524C" w:rsidRPr="00C35766" w14:paraId="622F71F9" w14:textId="77777777" w:rsidTr="00AF25F1">
        <w:trPr>
          <w:gridAfter w:val="1"/>
          <w:wAfter w:w="998" w:type="dxa"/>
          <w:trHeight w:val="809"/>
          <w:jc w:val="center"/>
        </w:trPr>
        <w:tc>
          <w:tcPr>
            <w:tcW w:w="2867" w:type="dxa"/>
            <w:tcBorders>
              <w:top w:val="single" w:sz="7" w:space="0" w:color="000000"/>
              <w:left w:val="single" w:sz="7" w:space="0" w:color="000000"/>
              <w:bottom w:val="single" w:sz="7" w:space="0" w:color="000000"/>
              <w:right w:val="single" w:sz="7" w:space="0" w:color="000000"/>
            </w:tcBorders>
          </w:tcPr>
          <w:p w14:paraId="09DBB1DB" w14:textId="77777777" w:rsidR="0075524C" w:rsidRPr="00C35766" w:rsidRDefault="0075524C" w:rsidP="00603A86">
            <w:pPr>
              <w:rPr>
                <w:rFonts w:ascii="Times New Roman" w:hAnsi="Times New Roman" w:cs="Times New Roman"/>
                <w:lang w:val="pt-BR"/>
              </w:rPr>
            </w:pPr>
          </w:p>
        </w:tc>
        <w:tc>
          <w:tcPr>
            <w:tcW w:w="1995" w:type="dxa"/>
            <w:gridSpan w:val="2"/>
            <w:tcBorders>
              <w:top w:val="single" w:sz="7" w:space="0" w:color="000000"/>
              <w:left w:val="single" w:sz="7" w:space="0" w:color="000000"/>
              <w:bottom w:val="single" w:sz="7" w:space="0" w:color="000000"/>
              <w:right w:val="single" w:sz="7" w:space="0" w:color="000000"/>
            </w:tcBorders>
          </w:tcPr>
          <w:p w14:paraId="4C42D196" w14:textId="77777777" w:rsidR="0075524C" w:rsidRPr="00C35766" w:rsidRDefault="0075524C" w:rsidP="00603A86">
            <w:pPr>
              <w:pStyle w:val="TableParagraph"/>
              <w:spacing w:before="1" w:line="252" w:lineRule="exact"/>
              <w:ind w:left="111" w:right="98"/>
              <w:jc w:val="center"/>
              <w:rPr>
                <w:rFonts w:ascii="Times New Roman" w:eastAsia="Times New Roman" w:hAnsi="Times New Roman" w:cs="Times New Roman"/>
                <w:lang w:val="de-DE"/>
              </w:rPr>
            </w:pPr>
            <w:r w:rsidRPr="00C35766">
              <w:rPr>
                <w:rFonts w:ascii="Times New Roman" w:eastAsia="Times New Roman" w:hAnsi="Times New Roman" w:cs="Times New Roman"/>
                <w:b/>
                <w:bCs/>
                <w:spacing w:val="-1"/>
                <w:lang w:val="it-IT"/>
              </w:rPr>
              <w:t>Dose Standard 40/20 mg a settimane alterne</w:t>
            </w:r>
          </w:p>
          <w:p w14:paraId="3A6F35B8" w14:textId="77777777" w:rsidR="0075524C" w:rsidRPr="00C35766" w:rsidRDefault="0075524C" w:rsidP="00603A86">
            <w:pPr>
              <w:pStyle w:val="TableParagraph"/>
              <w:spacing w:line="251" w:lineRule="exact"/>
              <w:ind w:left="480" w:right="468"/>
              <w:jc w:val="center"/>
              <w:rPr>
                <w:rFonts w:ascii="Times New Roman" w:eastAsia="Times New Roman" w:hAnsi="Times New Roman" w:cs="Times New Roman"/>
                <w:lang w:val="de-DE"/>
              </w:rPr>
            </w:pPr>
            <w:r w:rsidRPr="00C35766">
              <w:rPr>
                <w:rFonts w:ascii="Times New Roman" w:eastAsia="Times New Roman" w:hAnsi="Times New Roman" w:cs="Times New Roman"/>
                <w:b/>
                <w:bCs/>
                <w:lang w:val="it-IT"/>
              </w:rPr>
              <w:t>N = 93</w:t>
            </w:r>
          </w:p>
        </w:tc>
        <w:tc>
          <w:tcPr>
            <w:tcW w:w="1965" w:type="dxa"/>
            <w:gridSpan w:val="2"/>
            <w:tcBorders>
              <w:top w:val="single" w:sz="7" w:space="0" w:color="000000"/>
              <w:left w:val="single" w:sz="7" w:space="0" w:color="000000"/>
              <w:bottom w:val="single" w:sz="7" w:space="0" w:color="000000"/>
              <w:right w:val="single" w:sz="7" w:space="0" w:color="000000"/>
            </w:tcBorders>
          </w:tcPr>
          <w:p w14:paraId="576C9F98" w14:textId="77777777" w:rsidR="0075524C" w:rsidRPr="00C35766" w:rsidRDefault="0075524C" w:rsidP="00603A86">
            <w:pPr>
              <w:pStyle w:val="TableParagraph"/>
              <w:spacing w:before="1" w:line="252" w:lineRule="exact"/>
              <w:ind w:left="157" w:right="142" w:firstLine="1"/>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Bassa dose 20/10 mg a settimane alterne</w:t>
            </w:r>
          </w:p>
          <w:p w14:paraId="7D337C8E" w14:textId="77777777" w:rsidR="0075524C" w:rsidRPr="00C35766" w:rsidRDefault="0075524C" w:rsidP="00603A86">
            <w:pPr>
              <w:pStyle w:val="TableParagraph"/>
              <w:spacing w:line="251" w:lineRule="exact"/>
              <w:ind w:left="468" w:right="456"/>
              <w:jc w:val="center"/>
              <w:rPr>
                <w:rFonts w:ascii="Times New Roman" w:eastAsia="Times New Roman" w:hAnsi="Times New Roman" w:cs="Times New Roman"/>
              </w:rPr>
            </w:pPr>
            <w:r w:rsidRPr="00C35766">
              <w:rPr>
                <w:rFonts w:ascii="Times New Roman" w:eastAsia="Times New Roman" w:hAnsi="Times New Roman" w:cs="Times New Roman"/>
                <w:b/>
                <w:bCs/>
                <w:lang w:val="it-IT"/>
              </w:rPr>
              <w:t>N = 95</w:t>
            </w:r>
          </w:p>
        </w:tc>
        <w:tc>
          <w:tcPr>
            <w:tcW w:w="1419" w:type="dxa"/>
            <w:gridSpan w:val="2"/>
            <w:tcBorders>
              <w:top w:val="single" w:sz="7" w:space="0" w:color="000000"/>
              <w:left w:val="single" w:sz="7" w:space="0" w:color="000000"/>
              <w:bottom w:val="single" w:sz="7" w:space="0" w:color="000000"/>
              <w:right w:val="single" w:sz="7" w:space="0" w:color="000000"/>
            </w:tcBorders>
          </w:tcPr>
          <w:p w14:paraId="3B3E5AD5" w14:textId="77777777" w:rsidR="0075524C" w:rsidRPr="00C35766" w:rsidRDefault="0075524C" w:rsidP="00603A86">
            <w:pPr>
              <w:pStyle w:val="TableParagraph"/>
              <w:spacing w:line="246" w:lineRule="exact"/>
              <w:ind w:left="169"/>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lang w:val="it-IT"/>
              </w:rPr>
              <w:t>*</w:t>
            </w:r>
          </w:p>
        </w:tc>
      </w:tr>
      <w:tr w:rsidR="0075524C" w:rsidRPr="00C35766" w14:paraId="12F42867" w14:textId="77777777" w:rsidTr="00AF25F1">
        <w:trPr>
          <w:gridAfter w:val="1"/>
          <w:wAfter w:w="998" w:type="dxa"/>
          <w:trHeight w:val="177"/>
          <w:jc w:val="center"/>
        </w:trPr>
        <w:tc>
          <w:tcPr>
            <w:tcW w:w="2867" w:type="dxa"/>
            <w:tcBorders>
              <w:top w:val="single" w:sz="7" w:space="0" w:color="000000"/>
              <w:left w:val="single" w:sz="7" w:space="0" w:color="000000"/>
              <w:bottom w:val="single" w:sz="7" w:space="0" w:color="000000"/>
              <w:right w:val="single" w:sz="7" w:space="0" w:color="000000"/>
            </w:tcBorders>
          </w:tcPr>
          <w:p w14:paraId="51343A11" w14:textId="77777777" w:rsidR="0075524C" w:rsidRPr="00C35766" w:rsidRDefault="0075524C" w:rsidP="00603A86">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t>Settimana 26</w:t>
            </w:r>
          </w:p>
        </w:tc>
        <w:tc>
          <w:tcPr>
            <w:tcW w:w="1995" w:type="dxa"/>
            <w:gridSpan w:val="2"/>
            <w:tcBorders>
              <w:top w:val="single" w:sz="7" w:space="0" w:color="000000"/>
              <w:left w:val="single" w:sz="7" w:space="0" w:color="000000"/>
              <w:bottom w:val="single" w:sz="7" w:space="0" w:color="000000"/>
              <w:right w:val="single" w:sz="7" w:space="0" w:color="000000"/>
            </w:tcBorders>
          </w:tcPr>
          <w:p w14:paraId="5BA48B7F" w14:textId="77777777" w:rsidR="0075524C" w:rsidRPr="00C35766" w:rsidRDefault="0075524C" w:rsidP="00603A86">
            <w:pPr>
              <w:rPr>
                <w:rFonts w:ascii="Times New Roman" w:hAnsi="Times New Roman" w:cs="Times New Roman"/>
              </w:rPr>
            </w:pPr>
          </w:p>
        </w:tc>
        <w:tc>
          <w:tcPr>
            <w:tcW w:w="1965" w:type="dxa"/>
            <w:gridSpan w:val="2"/>
            <w:tcBorders>
              <w:top w:val="single" w:sz="7" w:space="0" w:color="000000"/>
              <w:left w:val="single" w:sz="7" w:space="0" w:color="000000"/>
              <w:bottom w:val="single" w:sz="7" w:space="0" w:color="000000"/>
              <w:right w:val="single" w:sz="7" w:space="0" w:color="000000"/>
            </w:tcBorders>
          </w:tcPr>
          <w:p w14:paraId="52886180" w14:textId="77777777" w:rsidR="0075524C" w:rsidRPr="00C35766" w:rsidRDefault="0075524C" w:rsidP="00603A86">
            <w:pPr>
              <w:rPr>
                <w:rFonts w:ascii="Times New Roman" w:hAnsi="Times New Roman" w:cs="Times New Roman"/>
              </w:rPr>
            </w:pPr>
          </w:p>
        </w:tc>
        <w:tc>
          <w:tcPr>
            <w:tcW w:w="1419" w:type="dxa"/>
            <w:gridSpan w:val="2"/>
            <w:tcBorders>
              <w:top w:val="single" w:sz="7" w:space="0" w:color="000000"/>
              <w:left w:val="single" w:sz="7" w:space="0" w:color="000000"/>
              <w:bottom w:val="single" w:sz="7" w:space="0" w:color="000000"/>
              <w:right w:val="single" w:sz="7" w:space="0" w:color="000000"/>
            </w:tcBorders>
          </w:tcPr>
          <w:p w14:paraId="55114796" w14:textId="77777777" w:rsidR="0075524C" w:rsidRPr="00C35766" w:rsidRDefault="0075524C" w:rsidP="00603A86">
            <w:pPr>
              <w:rPr>
                <w:rFonts w:ascii="Times New Roman" w:hAnsi="Times New Roman" w:cs="Times New Roman"/>
              </w:rPr>
            </w:pPr>
          </w:p>
        </w:tc>
      </w:tr>
      <w:tr w:rsidR="0075524C" w:rsidRPr="00C35766" w14:paraId="497B0260" w14:textId="77777777" w:rsidTr="00AF25F1">
        <w:trPr>
          <w:gridAfter w:val="1"/>
          <w:wAfter w:w="998" w:type="dxa"/>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3BBEA1E7" w14:textId="77777777" w:rsidR="0075524C" w:rsidRPr="00C35766" w:rsidRDefault="0075524C" w:rsidP="00603A86">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995" w:type="dxa"/>
            <w:gridSpan w:val="2"/>
            <w:tcBorders>
              <w:top w:val="single" w:sz="7" w:space="0" w:color="000000"/>
              <w:left w:val="single" w:sz="7" w:space="0" w:color="000000"/>
              <w:bottom w:val="single" w:sz="7" w:space="0" w:color="000000"/>
              <w:right w:val="single" w:sz="7" w:space="0" w:color="000000"/>
            </w:tcBorders>
          </w:tcPr>
          <w:p w14:paraId="1B55F463" w14:textId="77777777" w:rsidR="0075524C" w:rsidRPr="00C35766" w:rsidRDefault="0075524C" w:rsidP="00603A86">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38,7%</w:t>
            </w:r>
          </w:p>
        </w:tc>
        <w:tc>
          <w:tcPr>
            <w:tcW w:w="1965" w:type="dxa"/>
            <w:gridSpan w:val="2"/>
            <w:tcBorders>
              <w:top w:val="single" w:sz="7" w:space="0" w:color="000000"/>
              <w:left w:val="single" w:sz="7" w:space="0" w:color="000000"/>
              <w:bottom w:val="single" w:sz="7" w:space="0" w:color="000000"/>
              <w:right w:val="single" w:sz="7" w:space="0" w:color="000000"/>
            </w:tcBorders>
          </w:tcPr>
          <w:p w14:paraId="4B8D28CB" w14:textId="77777777" w:rsidR="0075524C" w:rsidRPr="00C35766" w:rsidRDefault="0075524C" w:rsidP="00603A86">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9" w:type="dxa"/>
            <w:gridSpan w:val="2"/>
            <w:tcBorders>
              <w:top w:val="single" w:sz="7" w:space="0" w:color="000000"/>
              <w:left w:val="single" w:sz="7" w:space="0" w:color="000000"/>
              <w:bottom w:val="single" w:sz="7" w:space="0" w:color="000000"/>
              <w:right w:val="single" w:sz="7" w:space="0" w:color="000000"/>
            </w:tcBorders>
          </w:tcPr>
          <w:p w14:paraId="0162E1BF" w14:textId="77777777" w:rsidR="0075524C" w:rsidRPr="00C35766" w:rsidRDefault="0075524C" w:rsidP="00603A86">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0,075</w:t>
            </w:r>
          </w:p>
        </w:tc>
      </w:tr>
      <w:tr w:rsidR="0075524C" w:rsidRPr="00C35766" w14:paraId="39DDB456" w14:textId="77777777" w:rsidTr="00AF25F1">
        <w:trPr>
          <w:gridAfter w:val="1"/>
          <w:wAfter w:w="998" w:type="dxa"/>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0F16FA3D" w14:textId="77777777" w:rsidR="0075524C" w:rsidRPr="00C35766" w:rsidRDefault="0075524C" w:rsidP="00603A86">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1995" w:type="dxa"/>
            <w:gridSpan w:val="2"/>
            <w:tcBorders>
              <w:top w:val="single" w:sz="7" w:space="0" w:color="000000"/>
              <w:left w:val="single" w:sz="7" w:space="0" w:color="000000"/>
              <w:bottom w:val="single" w:sz="7" w:space="0" w:color="000000"/>
              <w:right w:val="single" w:sz="7" w:space="0" w:color="000000"/>
            </w:tcBorders>
          </w:tcPr>
          <w:p w14:paraId="7F8AC189" w14:textId="77777777" w:rsidR="0075524C" w:rsidRPr="00C35766" w:rsidRDefault="0075524C" w:rsidP="00603A86">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59,1%</w:t>
            </w:r>
          </w:p>
        </w:tc>
        <w:tc>
          <w:tcPr>
            <w:tcW w:w="1965" w:type="dxa"/>
            <w:gridSpan w:val="2"/>
            <w:tcBorders>
              <w:top w:val="single" w:sz="7" w:space="0" w:color="000000"/>
              <w:left w:val="single" w:sz="7" w:space="0" w:color="000000"/>
              <w:bottom w:val="single" w:sz="7" w:space="0" w:color="000000"/>
              <w:right w:val="single" w:sz="7" w:space="0" w:color="000000"/>
            </w:tcBorders>
          </w:tcPr>
          <w:p w14:paraId="092F9AA3" w14:textId="77777777" w:rsidR="0075524C" w:rsidRPr="00C35766" w:rsidRDefault="0075524C" w:rsidP="00603A86">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48,4</w:t>
            </w:r>
          </w:p>
        </w:tc>
        <w:tc>
          <w:tcPr>
            <w:tcW w:w="1419" w:type="dxa"/>
            <w:gridSpan w:val="2"/>
            <w:tcBorders>
              <w:top w:val="single" w:sz="7" w:space="0" w:color="000000"/>
              <w:left w:val="single" w:sz="7" w:space="0" w:color="000000"/>
              <w:bottom w:val="single" w:sz="7" w:space="0" w:color="000000"/>
              <w:right w:val="single" w:sz="7" w:space="0" w:color="000000"/>
            </w:tcBorders>
          </w:tcPr>
          <w:p w14:paraId="024C080E" w14:textId="77777777" w:rsidR="0075524C" w:rsidRPr="00C35766" w:rsidRDefault="0075524C" w:rsidP="00603A86">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0,073</w:t>
            </w:r>
          </w:p>
        </w:tc>
      </w:tr>
      <w:tr w:rsidR="0075524C" w:rsidRPr="00C35766" w14:paraId="256743D9" w14:textId="77777777" w:rsidTr="00AF25F1">
        <w:trPr>
          <w:gridAfter w:val="1"/>
          <w:wAfter w:w="998" w:type="dxa"/>
          <w:trHeight w:val="177"/>
          <w:jc w:val="center"/>
        </w:trPr>
        <w:tc>
          <w:tcPr>
            <w:tcW w:w="2867" w:type="dxa"/>
            <w:tcBorders>
              <w:top w:val="single" w:sz="7" w:space="0" w:color="000000"/>
              <w:left w:val="single" w:sz="7" w:space="0" w:color="000000"/>
              <w:bottom w:val="single" w:sz="7" w:space="0" w:color="000000"/>
              <w:right w:val="single" w:sz="7" w:space="0" w:color="000000"/>
            </w:tcBorders>
          </w:tcPr>
          <w:p w14:paraId="095C2A61" w14:textId="77777777" w:rsidR="0075524C" w:rsidRPr="00C35766" w:rsidRDefault="0075524C" w:rsidP="00603A86">
            <w:pPr>
              <w:pStyle w:val="TableParagraph"/>
              <w:spacing w:line="251" w:lineRule="exact"/>
              <w:ind w:left="13"/>
              <w:rPr>
                <w:rFonts w:ascii="Times New Roman" w:eastAsia="Times New Roman" w:hAnsi="Times New Roman" w:cs="Times New Roman"/>
              </w:rPr>
            </w:pPr>
            <w:r w:rsidRPr="00C35766">
              <w:rPr>
                <w:rFonts w:ascii="Times New Roman" w:eastAsia="Times New Roman" w:hAnsi="Times New Roman" w:cs="Times New Roman"/>
                <w:b/>
                <w:bCs/>
                <w:lang w:val="it-IT"/>
              </w:rPr>
              <w:t>Settimana 52</w:t>
            </w:r>
          </w:p>
        </w:tc>
        <w:tc>
          <w:tcPr>
            <w:tcW w:w="1995" w:type="dxa"/>
            <w:gridSpan w:val="2"/>
            <w:tcBorders>
              <w:top w:val="single" w:sz="7" w:space="0" w:color="000000"/>
              <w:left w:val="single" w:sz="7" w:space="0" w:color="000000"/>
              <w:bottom w:val="single" w:sz="7" w:space="0" w:color="000000"/>
              <w:right w:val="single" w:sz="7" w:space="0" w:color="000000"/>
            </w:tcBorders>
          </w:tcPr>
          <w:p w14:paraId="2FD27B45" w14:textId="77777777" w:rsidR="0075524C" w:rsidRPr="00C35766" w:rsidRDefault="0075524C" w:rsidP="00603A86">
            <w:pPr>
              <w:rPr>
                <w:rFonts w:ascii="Times New Roman" w:hAnsi="Times New Roman" w:cs="Times New Roman"/>
              </w:rPr>
            </w:pPr>
          </w:p>
        </w:tc>
        <w:tc>
          <w:tcPr>
            <w:tcW w:w="1965" w:type="dxa"/>
            <w:gridSpan w:val="2"/>
            <w:tcBorders>
              <w:top w:val="single" w:sz="7" w:space="0" w:color="000000"/>
              <w:left w:val="single" w:sz="7" w:space="0" w:color="000000"/>
              <w:bottom w:val="single" w:sz="7" w:space="0" w:color="000000"/>
              <w:right w:val="single" w:sz="7" w:space="0" w:color="000000"/>
            </w:tcBorders>
          </w:tcPr>
          <w:p w14:paraId="38CFCA1A" w14:textId="77777777" w:rsidR="0075524C" w:rsidRPr="00C35766" w:rsidRDefault="0075524C" w:rsidP="00603A86">
            <w:pPr>
              <w:rPr>
                <w:rFonts w:ascii="Times New Roman" w:hAnsi="Times New Roman" w:cs="Times New Roman"/>
              </w:rPr>
            </w:pPr>
          </w:p>
        </w:tc>
        <w:tc>
          <w:tcPr>
            <w:tcW w:w="1419" w:type="dxa"/>
            <w:gridSpan w:val="2"/>
            <w:tcBorders>
              <w:top w:val="single" w:sz="7" w:space="0" w:color="000000"/>
              <w:left w:val="single" w:sz="7" w:space="0" w:color="000000"/>
              <w:bottom w:val="single" w:sz="7" w:space="0" w:color="000000"/>
              <w:right w:val="single" w:sz="7" w:space="0" w:color="000000"/>
            </w:tcBorders>
          </w:tcPr>
          <w:p w14:paraId="16891E97" w14:textId="77777777" w:rsidR="0075524C" w:rsidRPr="00C35766" w:rsidRDefault="0075524C" w:rsidP="00603A86">
            <w:pPr>
              <w:rPr>
                <w:rFonts w:ascii="Times New Roman" w:hAnsi="Times New Roman" w:cs="Times New Roman"/>
              </w:rPr>
            </w:pPr>
          </w:p>
        </w:tc>
      </w:tr>
      <w:tr w:rsidR="0075524C" w:rsidRPr="00C35766" w14:paraId="724492D0" w14:textId="77777777" w:rsidTr="00AF25F1">
        <w:trPr>
          <w:gridAfter w:val="1"/>
          <w:wAfter w:w="998" w:type="dxa"/>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05A2B021" w14:textId="77777777" w:rsidR="0075524C" w:rsidRPr="00C35766" w:rsidRDefault="0075524C" w:rsidP="00603A86">
            <w:pPr>
              <w:pStyle w:val="TableParagraph"/>
              <w:spacing w:line="246"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Remissione clinica</w:t>
            </w:r>
          </w:p>
        </w:tc>
        <w:tc>
          <w:tcPr>
            <w:tcW w:w="1995" w:type="dxa"/>
            <w:gridSpan w:val="2"/>
            <w:tcBorders>
              <w:top w:val="single" w:sz="7" w:space="0" w:color="000000"/>
              <w:left w:val="single" w:sz="7" w:space="0" w:color="000000"/>
              <w:bottom w:val="single" w:sz="7" w:space="0" w:color="000000"/>
              <w:right w:val="single" w:sz="7" w:space="0" w:color="000000"/>
            </w:tcBorders>
          </w:tcPr>
          <w:p w14:paraId="4D4BA2BA" w14:textId="77777777" w:rsidR="0075524C" w:rsidRPr="00C35766" w:rsidRDefault="0075524C" w:rsidP="00603A86">
            <w:pPr>
              <w:pStyle w:val="TableParagraph"/>
              <w:spacing w:line="246"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33,3%</w:t>
            </w:r>
          </w:p>
        </w:tc>
        <w:tc>
          <w:tcPr>
            <w:tcW w:w="1965" w:type="dxa"/>
            <w:gridSpan w:val="2"/>
            <w:tcBorders>
              <w:top w:val="single" w:sz="7" w:space="0" w:color="000000"/>
              <w:left w:val="single" w:sz="7" w:space="0" w:color="000000"/>
              <w:bottom w:val="single" w:sz="7" w:space="0" w:color="000000"/>
              <w:right w:val="single" w:sz="7" w:space="0" w:color="000000"/>
            </w:tcBorders>
          </w:tcPr>
          <w:p w14:paraId="69AE9102" w14:textId="77777777" w:rsidR="0075524C" w:rsidRPr="00C35766" w:rsidRDefault="0075524C" w:rsidP="00603A86">
            <w:pPr>
              <w:pStyle w:val="TableParagraph"/>
              <w:spacing w:line="246"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23,2%</w:t>
            </w:r>
          </w:p>
        </w:tc>
        <w:tc>
          <w:tcPr>
            <w:tcW w:w="1419" w:type="dxa"/>
            <w:gridSpan w:val="2"/>
            <w:tcBorders>
              <w:top w:val="single" w:sz="7" w:space="0" w:color="000000"/>
              <w:left w:val="single" w:sz="7" w:space="0" w:color="000000"/>
              <w:bottom w:val="single" w:sz="7" w:space="0" w:color="000000"/>
              <w:right w:val="single" w:sz="7" w:space="0" w:color="000000"/>
            </w:tcBorders>
          </w:tcPr>
          <w:p w14:paraId="68FDF8F4" w14:textId="77777777" w:rsidR="0075524C" w:rsidRPr="00C35766" w:rsidRDefault="0075524C" w:rsidP="00603A86">
            <w:pPr>
              <w:pStyle w:val="TableParagraph"/>
              <w:spacing w:line="246"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0,100</w:t>
            </w:r>
          </w:p>
        </w:tc>
      </w:tr>
      <w:tr w:rsidR="0075524C" w:rsidRPr="00C35766" w14:paraId="084A0E7C" w14:textId="77777777" w:rsidTr="00AF25F1">
        <w:trPr>
          <w:gridAfter w:val="1"/>
          <w:wAfter w:w="998" w:type="dxa"/>
          <w:trHeight w:val="161"/>
          <w:jc w:val="center"/>
        </w:trPr>
        <w:tc>
          <w:tcPr>
            <w:tcW w:w="2867" w:type="dxa"/>
            <w:tcBorders>
              <w:top w:val="single" w:sz="7" w:space="0" w:color="000000"/>
              <w:left w:val="single" w:sz="7" w:space="0" w:color="000000"/>
              <w:bottom w:val="single" w:sz="7" w:space="0" w:color="000000"/>
              <w:right w:val="single" w:sz="7" w:space="0" w:color="000000"/>
            </w:tcBorders>
          </w:tcPr>
          <w:p w14:paraId="4BC11E29" w14:textId="77777777" w:rsidR="0075524C" w:rsidRPr="00C35766" w:rsidRDefault="0075524C" w:rsidP="00603A86">
            <w:pPr>
              <w:pStyle w:val="TableParagraph"/>
              <w:spacing w:line="248" w:lineRule="exact"/>
              <w:ind w:left="179"/>
              <w:rPr>
                <w:rFonts w:ascii="Times New Roman" w:eastAsia="Times New Roman" w:hAnsi="Times New Roman" w:cs="Times New Roman"/>
              </w:rPr>
            </w:pPr>
            <w:r w:rsidRPr="00C35766">
              <w:rPr>
                <w:rFonts w:ascii="Times New Roman" w:eastAsia="Times New Roman" w:hAnsi="Times New Roman" w:cs="Times New Roman"/>
                <w:spacing w:val="-1"/>
                <w:lang w:val="it-IT"/>
              </w:rPr>
              <w:t>Risposta clinica</w:t>
            </w:r>
          </w:p>
        </w:tc>
        <w:tc>
          <w:tcPr>
            <w:tcW w:w="1995" w:type="dxa"/>
            <w:gridSpan w:val="2"/>
            <w:tcBorders>
              <w:top w:val="single" w:sz="7" w:space="0" w:color="000000"/>
              <w:left w:val="single" w:sz="7" w:space="0" w:color="000000"/>
              <w:bottom w:val="single" w:sz="7" w:space="0" w:color="000000"/>
              <w:right w:val="single" w:sz="7" w:space="0" w:color="000000"/>
            </w:tcBorders>
          </w:tcPr>
          <w:p w14:paraId="4AAEFA9D" w14:textId="77777777" w:rsidR="0075524C" w:rsidRPr="00C35766" w:rsidRDefault="0075524C" w:rsidP="00603A86">
            <w:pPr>
              <w:pStyle w:val="TableParagraph"/>
              <w:spacing w:line="248" w:lineRule="exact"/>
              <w:ind w:left="519"/>
              <w:rPr>
                <w:rFonts w:ascii="Times New Roman" w:eastAsia="Times New Roman" w:hAnsi="Times New Roman" w:cs="Times New Roman"/>
              </w:rPr>
            </w:pPr>
            <w:r w:rsidRPr="00C35766">
              <w:rPr>
                <w:rFonts w:ascii="Times New Roman" w:eastAsia="Times New Roman" w:hAnsi="Times New Roman" w:cs="Times New Roman"/>
                <w:lang w:val="it-IT"/>
              </w:rPr>
              <w:t>41,9%</w:t>
            </w:r>
          </w:p>
        </w:tc>
        <w:tc>
          <w:tcPr>
            <w:tcW w:w="1965" w:type="dxa"/>
            <w:gridSpan w:val="2"/>
            <w:tcBorders>
              <w:top w:val="single" w:sz="7" w:space="0" w:color="000000"/>
              <w:left w:val="single" w:sz="7" w:space="0" w:color="000000"/>
              <w:bottom w:val="single" w:sz="7" w:space="0" w:color="000000"/>
              <w:right w:val="single" w:sz="7" w:space="0" w:color="000000"/>
            </w:tcBorders>
          </w:tcPr>
          <w:p w14:paraId="35D12C35" w14:textId="77777777" w:rsidR="0075524C" w:rsidRPr="00C35766" w:rsidRDefault="0075524C" w:rsidP="00603A86">
            <w:pPr>
              <w:pStyle w:val="TableParagraph"/>
              <w:spacing w:line="248" w:lineRule="exact"/>
              <w:ind w:left="510"/>
              <w:rPr>
                <w:rFonts w:ascii="Times New Roman" w:eastAsia="Times New Roman" w:hAnsi="Times New Roman" w:cs="Times New Roman"/>
              </w:rPr>
            </w:pPr>
            <w:r w:rsidRPr="00C35766">
              <w:rPr>
                <w:rFonts w:ascii="Times New Roman" w:eastAsia="Times New Roman" w:hAnsi="Times New Roman" w:cs="Times New Roman"/>
                <w:lang w:val="it-IT"/>
              </w:rPr>
              <w:t>28,4%</w:t>
            </w:r>
          </w:p>
        </w:tc>
        <w:tc>
          <w:tcPr>
            <w:tcW w:w="1419" w:type="dxa"/>
            <w:gridSpan w:val="2"/>
            <w:tcBorders>
              <w:top w:val="single" w:sz="7" w:space="0" w:color="000000"/>
              <w:left w:val="single" w:sz="7" w:space="0" w:color="000000"/>
              <w:bottom w:val="single" w:sz="7" w:space="0" w:color="000000"/>
              <w:right w:val="single" w:sz="7" w:space="0" w:color="000000"/>
            </w:tcBorders>
          </w:tcPr>
          <w:p w14:paraId="3499B88F" w14:textId="77777777" w:rsidR="0075524C" w:rsidRPr="00C35766" w:rsidRDefault="0075524C" w:rsidP="00603A86">
            <w:pPr>
              <w:pStyle w:val="TableParagraph"/>
              <w:spacing w:line="248" w:lineRule="exact"/>
              <w:ind w:left="323"/>
              <w:rPr>
                <w:rFonts w:ascii="Times New Roman" w:eastAsia="Times New Roman" w:hAnsi="Times New Roman" w:cs="Times New Roman"/>
              </w:rPr>
            </w:pPr>
            <w:r w:rsidRPr="00C35766">
              <w:rPr>
                <w:rFonts w:ascii="Times New Roman" w:eastAsia="Times New Roman" w:hAnsi="Times New Roman" w:cs="Times New Roman"/>
                <w:lang w:val="it-IT"/>
              </w:rPr>
              <w:t>0,038</w:t>
            </w:r>
          </w:p>
        </w:tc>
      </w:tr>
      <w:tr w:rsidR="0075524C" w:rsidRPr="00494E69" w14:paraId="39AC17BC" w14:textId="77777777" w:rsidTr="00AF25F1">
        <w:trPr>
          <w:gridAfter w:val="1"/>
          <w:wAfter w:w="998" w:type="dxa"/>
          <w:trHeight w:val="161"/>
          <w:jc w:val="center"/>
        </w:trPr>
        <w:tc>
          <w:tcPr>
            <w:tcW w:w="8246" w:type="dxa"/>
            <w:gridSpan w:val="7"/>
            <w:tcBorders>
              <w:top w:val="single" w:sz="7" w:space="0" w:color="000000"/>
              <w:left w:val="single" w:sz="7" w:space="0" w:color="000000"/>
              <w:bottom w:val="single" w:sz="7" w:space="0" w:color="000000"/>
              <w:right w:val="single" w:sz="7" w:space="0" w:color="000000"/>
            </w:tcBorders>
          </w:tcPr>
          <w:p w14:paraId="1C1A57EE" w14:textId="77777777" w:rsidR="0075524C" w:rsidRPr="00C35766" w:rsidRDefault="0075524C" w:rsidP="00603A86">
            <w:pPr>
              <w:pStyle w:val="TableParagraph"/>
              <w:spacing w:line="246" w:lineRule="exact"/>
              <w:ind w:left="13"/>
              <w:rPr>
                <w:rFonts w:ascii="Times New Roman" w:hAnsi="Times New Roman" w:cs="Times New Roman"/>
                <w:lang w:val="it-IT"/>
              </w:rPr>
            </w:pPr>
            <w:r w:rsidRPr="00C35766">
              <w:rPr>
                <w:rFonts w:ascii="Times New Roman" w:eastAsia="Times New Roman" w:hAnsi="Times New Roman" w:cs="Times New Roman"/>
                <w:lang w:val="it-IT"/>
              </w:rPr>
              <w:t xml:space="preserve">* confronto valore p per Dose Standard </w:t>
            </w:r>
            <w:r w:rsidRPr="00C35766">
              <w:rPr>
                <w:rFonts w:ascii="Times New Roman" w:hAnsi="Times New Roman" w:cs="Times New Roman"/>
                <w:lang w:val="it-IT"/>
              </w:rPr>
              <w:t>versus</w:t>
            </w:r>
            <w:r w:rsidRPr="00C35766">
              <w:rPr>
                <w:rFonts w:ascii="Times New Roman" w:eastAsia="Times New Roman" w:hAnsi="Times New Roman" w:cs="Times New Roman"/>
                <w:lang w:val="it-IT"/>
              </w:rPr>
              <w:t xml:space="preserve"> Bassa Dose.</w:t>
            </w:r>
          </w:p>
        </w:tc>
      </w:tr>
      <w:tr w:rsidR="0075524C" w:rsidRPr="00494E69" w14:paraId="1108487E" w14:textId="77777777" w:rsidTr="00AF25F1">
        <w:trPr>
          <w:jc w:val="center"/>
        </w:trPr>
        <w:tc>
          <w:tcPr>
            <w:tcW w:w="9244" w:type="dxa"/>
            <w:gridSpan w:val="8"/>
            <w:tcBorders>
              <w:top w:val="single" w:sz="7" w:space="0" w:color="000000"/>
              <w:left w:val="single" w:sz="7" w:space="0" w:color="000000"/>
              <w:bottom w:val="single" w:sz="7" w:space="0" w:color="000000"/>
              <w:right w:val="single" w:sz="7" w:space="0" w:color="000000"/>
            </w:tcBorders>
          </w:tcPr>
          <w:p w14:paraId="211CDF4B" w14:textId="1B42D5B8" w:rsidR="0075524C" w:rsidRPr="00C35766" w:rsidRDefault="0075524C" w:rsidP="00603A86">
            <w:pPr>
              <w:jc w:val="center"/>
              <w:rPr>
                <w:rFonts w:ascii="Times New Roman" w:eastAsia="Times New Roman" w:hAnsi="Times New Roman" w:cs="Times New Roman"/>
                <w:b/>
                <w:bCs/>
                <w:lang w:val="it-IT"/>
              </w:rPr>
            </w:pPr>
            <w:r w:rsidRPr="00C35766">
              <w:rPr>
                <w:rFonts w:ascii="Times New Roman" w:eastAsia="Times New Roman" w:hAnsi="Times New Roman" w:cs="Times New Roman"/>
                <w:b/>
                <w:bCs/>
                <w:lang w:val="it-IT"/>
              </w:rPr>
              <w:t xml:space="preserve">Tabella </w:t>
            </w:r>
            <w:r w:rsidR="00F729F7">
              <w:rPr>
                <w:rFonts w:ascii="Times New Roman" w:eastAsia="Times New Roman" w:hAnsi="Times New Roman" w:cs="Times New Roman"/>
                <w:b/>
                <w:bCs/>
                <w:lang w:val="it-IT"/>
              </w:rPr>
              <w:t>22</w:t>
            </w:r>
          </w:p>
          <w:p w14:paraId="6BAF15BD" w14:textId="77777777" w:rsidR="0075524C" w:rsidRPr="00C35766" w:rsidRDefault="0075524C" w:rsidP="00603A86">
            <w:pPr>
              <w:pStyle w:val="TableParagraph"/>
              <w:spacing w:before="3" w:line="252" w:lineRule="exact"/>
              <w:ind w:left="3239" w:right="962" w:hanging="438"/>
              <w:rPr>
                <w:rFonts w:ascii="Times New Roman" w:eastAsia="Times New Roman" w:hAnsi="Times New Roman" w:cs="Times New Roman"/>
                <w:lang w:val="es-ES"/>
              </w:rPr>
            </w:pPr>
            <w:r w:rsidRPr="00C35766">
              <w:rPr>
                <w:rFonts w:ascii="Times New Roman" w:eastAsia="Times New Roman" w:hAnsi="Times New Roman" w:cs="Times New Roman"/>
                <w:b/>
                <w:bCs/>
                <w:lang w:val="it-IT"/>
              </w:rPr>
              <w:t>Studio della Malattia di Crohn Pediatrica</w:t>
            </w:r>
          </w:p>
          <w:p w14:paraId="36E1D72A" w14:textId="77777777" w:rsidR="0075524C" w:rsidRPr="00C35766" w:rsidRDefault="0075524C" w:rsidP="00603A86">
            <w:pPr>
              <w:pStyle w:val="TableParagraph"/>
              <w:spacing w:line="249" w:lineRule="exact"/>
              <w:ind w:left="431"/>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Interruzione dei corticosteroidi o immunomodulatori e remissione della fistola</w:t>
            </w:r>
          </w:p>
        </w:tc>
      </w:tr>
      <w:tr w:rsidR="0075524C" w:rsidRPr="00C35766" w14:paraId="2FC0CDD8"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05D1C246" w14:textId="77777777" w:rsidR="0075524C" w:rsidRPr="00C35766" w:rsidRDefault="0075524C" w:rsidP="00603A86">
            <w:pPr>
              <w:rPr>
                <w:rFonts w:ascii="Times New Roman" w:hAnsi="Times New Roman" w:cs="Times New Roman"/>
                <w:lang w:val="pt-BR"/>
              </w:rPr>
            </w:pPr>
          </w:p>
        </w:tc>
        <w:tc>
          <w:tcPr>
            <w:tcW w:w="1843" w:type="dxa"/>
            <w:gridSpan w:val="2"/>
            <w:tcBorders>
              <w:top w:val="single" w:sz="7" w:space="0" w:color="000000"/>
              <w:left w:val="single" w:sz="7" w:space="0" w:color="000000"/>
              <w:bottom w:val="single" w:sz="7" w:space="0" w:color="000000"/>
              <w:right w:val="single" w:sz="7" w:space="0" w:color="000000"/>
            </w:tcBorders>
            <w:vAlign w:val="center"/>
          </w:tcPr>
          <w:p w14:paraId="5B16A941" w14:textId="77777777" w:rsidR="0075524C" w:rsidRPr="00C35766" w:rsidRDefault="0075524C" w:rsidP="00603A86">
            <w:pPr>
              <w:pStyle w:val="TableParagraph"/>
              <w:spacing w:line="251" w:lineRule="exact"/>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Dose standard</w:t>
            </w:r>
          </w:p>
          <w:p w14:paraId="0F681ACD" w14:textId="77777777" w:rsidR="0075524C" w:rsidRPr="00C35766" w:rsidRDefault="0075524C" w:rsidP="00603A86">
            <w:pPr>
              <w:pStyle w:val="TableParagraph"/>
              <w:spacing w:before="1" w:line="252" w:lineRule="exact"/>
              <w:jc w:val="center"/>
              <w:rPr>
                <w:rFonts w:ascii="Times New Roman" w:hAnsi="Times New Roman" w:cs="Times New Roman"/>
                <w:lang w:val="it-IT"/>
              </w:rPr>
            </w:pPr>
            <w:r w:rsidRPr="00C35766">
              <w:rPr>
                <w:rFonts w:ascii="Times New Roman" w:eastAsia="Times New Roman" w:hAnsi="Times New Roman" w:cs="Times New Roman"/>
                <w:b/>
                <w:bCs/>
                <w:lang w:val="it-IT"/>
              </w:rPr>
              <w:t>40/20 mg a settimane alterne</w:t>
            </w:r>
          </w:p>
        </w:tc>
        <w:tc>
          <w:tcPr>
            <w:tcW w:w="1985" w:type="dxa"/>
            <w:gridSpan w:val="2"/>
            <w:tcBorders>
              <w:top w:val="single" w:sz="7" w:space="0" w:color="000000"/>
              <w:left w:val="single" w:sz="7" w:space="0" w:color="000000"/>
              <w:bottom w:val="single" w:sz="7" w:space="0" w:color="000000"/>
              <w:right w:val="single" w:sz="7" w:space="0" w:color="000000"/>
            </w:tcBorders>
            <w:vAlign w:val="center"/>
          </w:tcPr>
          <w:p w14:paraId="27D8EB70" w14:textId="77777777" w:rsidR="0075524C" w:rsidRPr="00C35766" w:rsidRDefault="0075524C" w:rsidP="00603A86">
            <w:pPr>
              <w:pStyle w:val="TableParagraph"/>
              <w:spacing w:line="251" w:lineRule="exact"/>
              <w:ind w:right="317"/>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2"/>
                <w:lang w:val="it-IT"/>
              </w:rPr>
              <w:t>Dose bassa</w:t>
            </w:r>
          </w:p>
          <w:p w14:paraId="47CCEDAC" w14:textId="77777777" w:rsidR="0075524C" w:rsidRPr="00C35766" w:rsidRDefault="0075524C" w:rsidP="00603A86">
            <w:pPr>
              <w:pStyle w:val="TableParagraph"/>
              <w:spacing w:before="1" w:line="252" w:lineRule="exact"/>
              <w:ind w:right="143"/>
              <w:jc w:val="center"/>
              <w:rPr>
                <w:rFonts w:ascii="Times New Roman" w:eastAsia="Times New Roman" w:hAnsi="Times New Roman" w:cs="Times New Roman"/>
                <w:lang w:val="pt-BR"/>
              </w:rPr>
            </w:pPr>
            <w:r w:rsidRPr="00C35766">
              <w:rPr>
                <w:rFonts w:ascii="Times New Roman" w:eastAsia="Times New Roman" w:hAnsi="Times New Roman" w:cs="Times New Roman"/>
                <w:b/>
                <w:bCs/>
                <w:lang w:val="it-IT"/>
              </w:rPr>
              <w:t>20/10 mg a settimane alterne</w:t>
            </w:r>
          </w:p>
        </w:tc>
        <w:tc>
          <w:tcPr>
            <w:tcW w:w="1481" w:type="dxa"/>
            <w:gridSpan w:val="2"/>
            <w:tcBorders>
              <w:top w:val="single" w:sz="7" w:space="0" w:color="000000"/>
              <w:left w:val="single" w:sz="7" w:space="0" w:color="000000"/>
              <w:bottom w:val="single" w:sz="7" w:space="0" w:color="000000"/>
              <w:right w:val="single" w:sz="7" w:space="0" w:color="000000"/>
            </w:tcBorders>
            <w:vAlign w:val="center"/>
          </w:tcPr>
          <w:p w14:paraId="1BC6ABFD" w14:textId="77777777" w:rsidR="0075524C" w:rsidRPr="00C35766" w:rsidRDefault="0075524C" w:rsidP="00603A86">
            <w:pPr>
              <w:pStyle w:val="TableParagraph"/>
              <w:spacing w:line="251" w:lineRule="exact"/>
              <w:jc w:val="center"/>
              <w:rPr>
                <w:rFonts w:ascii="Times New Roman" w:eastAsia="Times New Roman" w:hAnsi="Times New Roman" w:cs="Times New Roman"/>
              </w:rPr>
            </w:pPr>
            <w:r w:rsidRPr="00C35766">
              <w:rPr>
                <w:rFonts w:ascii="Times New Roman" w:eastAsia="Times New Roman" w:hAnsi="Times New Roman" w:cs="Times New Roman"/>
                <w:b/>
                <w:bCs/>
                <w:lang w:val="it-IT"/>
              </w:rPr>
              <w:t>Valore p</w:t>
            </w:r>
            <w:r w:rsidRPr="00C35766">
              <w:rPr>
                <w:rFonts w:ascii="Times New Roman" w:eastAsia="Times New Roman" w:hAnsi="Times New Roman" w:cs="Times New Roman"/>
                <w:b/>
                <w:bCs/>
                <w:vertAlign w:val="superscript"/>
                <w:lang w:val="it-IT"/>
              </w:rPr>
              <w:t>1</w:t>
            </w:r>
          </w:p>
        </w:tc>
      </w:tr>
      <w:tr w:rsidR="0075524C" w:rsidRPr="00C35766" w14:paraId="3082D5BB"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12A5B582" w14:textId="77777777" w:rsidR="0075524C" w:rsidRPr="00C35766" w:rsidRDefault="0075524C" w:rsidP="00603A86">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Corticosteroidi interrotti</w:t>
            </w:r>
          </w:p>
        </w:tc>
        <w:tc>
          <w:tcPr>
            <w:tcW w:w="1843" w:type="dxa"/>
            <w:gridSpan w:val="2"/>
            <w:tcBorders>
              <w:top w:val="single" w:sz="7" w:space="0" w:color="000000"/>
              <w:left w:val="single" w:sz="7" w:space="0" w:color="000000"/>
              <w:bottom w:val="single" w:sz="7" w:space="0" w:color="000000"/>
              <w:right w:val="single" w:sz="7" w:space="0" w:color="000000"/>
            </w:tcBorders>
          </w:tcPr>
          <w:p w14:paraId="7A30EE20" w14:textId="77777777" w:rsidR="0075524C" w:rsidRPr="00C35766" w:rsidRDefault="0075524C" w:rsidP="00603A86">
            <w:pPr>
              <w:pStyle w:val="TableParagraph"/>
              <w:spacing w:line="251" w:lineRule="exact"/>
              <w:ind w:left="546"/>
              <w:rPr>
                <w:rFonts w:ascii="Times New Roman" w:eastAsia="Times New Roman" w:hAnsi="Times New Roman" w:cs="Times New Roman"/>
              </w:rPr>
            </w:pPr>
            <w:r w:rsidRPr="00C35766">
              <w:rPr>
                <w:rFonts w:ascii="Times New Roman" w:eastAsia="Times New Roman" w:hAnsi="Times New Roman" w:cs="Times New Roman"/>
                <w:b/>
                <w:bCs/>
                <w:spacing w:val="-1"/>
                <w:lang w:val="it-IT"/>
              </w:rPr>
              <w:t>N= 33</w:t>
            </w:r>
          </w:p>
        </w:tc>
        <w:tc>
          <w:tcPr>
            <w:tcW w:w="1985" w:type="dxa"/>
            <w:gridSpan w:val="2"/>
            <w:tcBorders>
              <w:top w:val="single" w:sz="7" w:space="0" w:color="000000"/>
              <w:left w:val="single" w:sz="7" w:space="0" w:color="000000"/>
              <w:bottom w:val="single" w:sz="7" w:space="0" w:color="000000"/>
              <w:right w:val="single" w:sz="7" w:space="0" w:color="000000"/>
            </w:tcBorders>
          </w:tcPr>
          <w:p w14:paraId="422C40C7" w14:textId="77777777" w:rsidR="0075524C" w:rsidRPr="00C35766" w:rsidRDefault="0075524C" w:rsidP="00603A86">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N=38</w:t>
            </w:r>
          </w:p>
        </w:tc>
        <w:tc>
          <w:tcPr>
            <w:tcW w:w="1481" w:type="dxa"/>
            <w:gridSpan w:val="2"/>
            <w:tcBorders>
              <w:top w:val="single" w:sz="7" w:space="0" w:color="000000"/>
              <w:left w:val="single" w:sz="7" w:space="0" w:color="000000"/>
              <w:bottom w:val="single" w:sz="7" w:space="0" w:color="000000"/>
              <w:right w:val="single" w:sz="7" w:space="0" w:color="000000"/>
            </w:tcBorders>
          </w:tcPr>
          <w:p w14:paraId="36BDF593" w14:textId="77777777" w:rsidR="0075524C" w:rsidRPr="00C35766" w:rsidRDefault="0075524C" w:rsidP="00603A86">
            <w:pPr>
              <w:rPr>
                <w:rFonts w:ascii="Times New Roman" w:hAnsi="Times New Roman" w:cs="Times New Roman"/>
              </w:rPr>
            </w:pPr>
          </w:p>
        </w:tc>
      </w:tr>
      <w:tr w:rsidR="0075524C" w:rsidRPr="00C35766" w14:paraId="2E1B4B07"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264E2BCB" w14:textId="77777777" w:rsidR="0075524C" w:rsidRPr="00C35766" w:rsidRDefault="0075524C" w:rsidP="00603A86">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26</w:t>
            </w:r>
          </w:p>
        </w:tc>
        <w:tc>
          <w:tcPr>
            <w:tcW w:w="1843" w:type="dxa"/>
            <w:gridSpan w:val="2"/>
            <w:tcBorders>
              <w:top w:val="single" w:sz="7" w:space="0" w:color="000000"/>
              <w:left w:val="single" w:sz="7" w:space="0" w:color="000000"/>
              <w:bottom w:val="single" w:sz="7" w:space="0" w:color="000000"/>
              <w:right w:val="single" w:sz="7" w:space="0" w:color="000000"/>
            </w:tcBorders>
          </w:tcPr>
          <w:p w14:paraId="1FF2E1D1" w14:textId="77777777" w:rsidR="0075524C" w:rsidRPr="00C35766" w:rsidRDefault="0075524C" w:rsidP="00603A86">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84,8%</w:t>
            </w:r>
          </w:p>
        </w:tc>
        <w:tc>
          <w:tcPr>
            <w:tcW w:w="1985" w:type="dxa"/>
            <w:gridSpan w:val="2"/>
            <w:tcBorders>
              <w:top w:val="single" w:sz="7" w:space="0" w:color="000000"/>
              <w:left w:val="single" w:sz="7" w:space="0" w:color="000000"/>
              <w:bottom w:val="single" w:sz="7" w:space="0" w:color="000000"/>
              <w:right w:val="single" w:sz="7" w:space="0" w:color="000000"/>
            </w:tcBorders>
          </w:tcPr>
          <w:p w14:paraId="43CDC4F3" w14:textId="77777777" w:rsidR="0075524C" w:rsidRPr="00C35766" w:rsidRDefault="0075524C" w:rsidP="00603A86">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65,8%</w:t>
            </w:r>
          </w:p>
        </w:tc>
        <w:tc>
          <w:tcPr>
            <w:tcW w:w="1481" w:type="dxa"/>
            <w:gridSpan w:val="2"/>
            <w:tcBorders>
              <w:top w:val="single" w:sz="7" w:space="0" w:color="000000"/>
              <w:left w:val="single" w:sz="7" w:space="0" w:color="000000"/>
              <w:bottom w:val="single" w:sz="7" w:space="0" w:color="000000"/>
              <w:right w:val="single" w:sz="7" w:space="0" w:color="000000"/>
            </w:tcBorders>
          </w:tcPr>
          <w:p w14:paraId="480976B1" w14:textId="77777777" w:rsidR="0075524C" w:rsidRPr="00C35766" w:rsidRDefault="0075524C" w:rsidP="00603A86">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0,066</w:t>
            </w:r>
          </w:p>
        </w:tc>
      </w:tr>
      <w:tr w:rsidR="0075524C" w:rsidRPr="00C35766" w14:paraId="1363E03E"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681A2681" w14:textId="77777777" w:rsidR="0075524C" w:rsidRPr="00C35766" w:rsidRDefault="0075524C" w:rsidP="00603A86">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gridSpan w:val="2"/>
            <w:tcBorders>
              <w:top w:val="single" w:sz="7" w:space="0" w:color="000000"/>
              <w:left w:val="single" w:sz="7" w:space="0" w:color="000000"/>
              <w:bottom w:val="single" w:sz="7" w:space="0" w:color="000000"/>
              <w:right w:val="single" w:sz="7" w:space="0" w:color="000000"/>
            </w:tcBorders>
          </w:tcPr>
          <w:p w14:paraId="4E441055" w14:textId="77777777" w:rsidR="0075524C" w:rsidRPr="00C35766" w:rsidRDefault="0075524C" w:rsidP="00603A86">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69,7%</w:t>
            </w:r>
          </w:p>
        </w:tc>
        <w:tc>
          <w:tcPr>
            <w:tcW w:w="1985" w:type="dxa"/>
            <w:gridSpan w:val="2"/>
            <w:tcBorders>
              <w:top w:val="single" w:sz="7" w:space="0" w:color="000000"/>
              <w:left w:val="single" w:sz="7" w:space="0" w:color="000000"/>
              <w:bottom w:val="single" w:sz="7" w:space="0" w:color="000000"/>
              <w:right w:val="single" w:sz="7" w:space="0" w:color="000000"/>
            </w:tcBorders>
          </w:tcPr>
          <w:p w14:paraId="2433752E" w14:textId="77777777" w:rsidR="0075524C" w:rsidRPr="00C35766" w:rsidRDefault="0075524C" w:rsidP="00603A86">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60,5%</w:t>
            </w:r>
          </w:p>
        </w:tc>
        <w:tc>
          <w:tcPr>
            <w:tcW w:w="1481" w:type="dxa"/>
            <w:gridSpan w:val="2"/>
            <w:tcBorders>
              <w:top w:val="single" w:sz="7" w:space="0" w:color="000000"/>
              <w:left w:val="single" w:sz="7" w:space="0" w:color="000000"/>
              <w:bottom w:val="single" w:sz="7" w:space="0" w:color="000000"/>
              <w:right w:val="single" w:sz="7" w:space="0" w:color="000000"/>
            </w:tcBorders>
          </w:tcPr>
          <w:p w14:paraId="6523398E" w14:textId="77777777" w:rsidR="0075524C" w:rsidRPr="00C35766" w:rsidRDefault="0075524C" w:rsidP="00603A86">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0,420</w:t>
            </w:r>
          </w:p>
        </w:tc>
      </w:tr>
      <w:tr w:rsidR="0075524C" w:rsidRPr="00C35766" w14:paraId="19ABC0A9"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799E7453" w14:textId="77777777" w:rsidR="0075524C" w:rsidRPr="00C35766" w:rsidRDefault="0075524C" w:rsidP="00603A86">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Interruzione degli immunomodulatori</w:t>
            </w:r>
            <w:r w:rsidRPr="00C35766">
              <w:rPr>
                <w:rFonts w:ascii="Times New Roman" w:hAnsi="Times New Roman" w:cs="Times New Roman"/>
                <w:b/>
                <w:spacing w:val="-1"/>
                <w:vertAlign w:val="superscript"/>
                <w:lang w:val="it-IT"/>
              </w:rPr>
              <w:t>2</w:t>
            </w:r>
          </w:p>
        </w:tc>
        <w:tc>
          <w:tcPr>
            <w:tcW w:w="1843" w:type="dxa"/>
            <w:gridSpan w:val="2"/>
            <w:tcBorders>
              <w:top w:val="single" w:sz="7" w:space="0" w:color="000000"/>
              <w:left w:val="single" w:sz="7" w:space="0" w:color="000000"/>
              <w:bottom w:val="single" w:sz="7" w:space="0" w:color="000000"/>
              <w:right w:val="single" w:sz="7" w:space="0" w:color="000000"/>
            </w:tcBorders>
          </w:tcPr>
          <w:p w14:paraId="4EE19122" w14:textId="77777777" w:rsidR="0075524C" w:rsidRPr="00C35766" w:rsidRDefault="0075524C" w:rsidP="00603A86">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N=60</w:t>
            </w:r>
          </w:p>
        </w:tc>
        <w:tc>
          <w:tcPr>
            <w:tcW w:w="1985" w:type="dxa"/>
            <w:gridSpan w:val="2"/>
            <w:tcBorders>
              <w:top w:val="single" w:sz="7" w:space="0" w:color="000000"/>
              <w:left w:val="single" w:sz="7" w:space="0" w:color="000000"/>
              <w:bottom w:val="single" w:sz="7" w:space="0" w:color="000000"/>
              <w:right w:val="single" w:sz="7" w:space="0" w:color="000000"/>
            </w:tcBorders>
          </w:tcPr>
          <w:p w14:paraId="3E899E4B" w14:textId="77777777" w:rsidR="0075524C" w:rsidRPr="00C35766" w:rsidRDefault="0075524C" w:rsidP="00603A86">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N=57</w:t>
            </w:r>
          </w:p>
        </w:tc>
        <w:tc>
          <w:tcPr>
            <w:tcW w:w="1481" w:type="dxa"/>
            <w:gridSpan w:val="2"/>
            <w:tcBorders>
              <w:top w:val="single" w:sz="7" w:space="0" w:color="000000"/>
              <w:left w:val="single" w:sz="7" w:space="0" w:color="000000"/>
              <w:bottom w:val="single" w:sz="7" w:space="0" w:color="000000"/>
              <w:right w:val="single" w:sz="7" w:space="0" w:color="000000"/>
            </w:tcBorders>
          </w:tcPr>
          <w:p w14:paraId="408A6E06" w14:textId="77777777" w:rsidR="0075524C" w:rsidRPr="00C35766" w:rsidRDefault="0075524C" w:rsidP="00603A86">
            <w:pPr>
              <w:rPr>
                <w:rFonts w:ascii="Times New Roman" w:hAnsi="Times New Roman" w:cs="Times New Roman"/>
              </w:rPr>
            </w:pPr>
          </w:p>
        </w:tc>
      </w:tr>
      <w:tr w:rsidR="0075524C" w:rsidRPr="00C35766" w14:paraId="4E64AA3D"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6D0ADD1F" w14:textId="77777777" w:rsidR="0075524C" w:rsidRPr="00C35766" w:rsidRDefault="0075524C" w:rsidP="00603A86">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gridSpan w:val="2"/>
            <w:tcBorders>
              <w:top w:val="single" w:sz="7" w:space="0" w:color="000000"/>
              <w:left w:val="single" w:sz="7" w:space="0" w:color="000000"/>
              <w:bottom w:val="single" w:sz="7" w:space="0" w:color="000000"/>
              <w:right w:val="single" w:sz="7" w:space="0" w:color="000000"/>
            </w:tcBorders>
          </w:tcPr>
          <w:p w14:paraId="54D1E446" w14:textId="77777777" w:rsidR="0075524C" w:rsidRPr="00C35766" w:rsidRDefault="0075524C" w:rsidP="00603A86">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30,0%</w:t>
            </w:r>
          </w:p>
        </w:tc>
        <w:tc>
          <w:tcPr>
            <w:tcW w:w="1985" w:type="dxa"/>
            <w:gridSpan w:val="2"/>
            <w:tcBorders>
              <w:top w:val="single" w:sz="7" w:space="0" w:color="000000"/>
              <w:left w:val="single" w:sz="7" w:space="0" w:color="000000"/>
              <w:bottom w:val="single" w:sz="7" w:space="0" w:color="000000"/>
              <w:right w:val="single" w:sz="7" w:space="0" w:color="000000"/>
            </w:tcBorders>
          </w:tcPr>
          <w:p w14:paraId="132F2E92" w14:textId="77777777" w:rsidR="0075524C" w:rsidRPr="00C35766" w:rsidRDefault="0075524C" w:rsidP="00603A86">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29,8%</w:t>
            </w:r>
          </w:p>
        </w:tc>
        <w:tc>
          <w:tcPr>
            <w:tcW w:w="1481" w:type="dxa"/>
            <w:gridSpan w:val="2"/>
            <w:tcBorders>
              <w:top w:val="single" w:sz="7" w:space="0" w:color="000000"/>
              <w:left w:val="single" w:sz="7" w:space="0" w:color="000000"/>
              <w:bottom w:val="single" w:sz="7" w:space="0" w:color="000000"/>
              <w:right w:val="single" w:sz="7" w:space="0" w:color="000000"/>
            </w:tcBorders>
          </w:tcPr>
          <w:p w14:paraId="141A420D" w14:textId="77777777" w:rsidR="0075524C" w:rsidRPr="00C35766" w:rsidRDefault="0075524C" w:rsidP="00603A86">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0,983</w:t>
            </w:r>
          </w:p>
        </w:tc>
      </w:tr>
      <w:tr w:rsidR="0075524C" w:rsidRPr="00C35766" w14:paraId="11607D6D"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06E3C4E0" w14:textId="77777777" w:rsidR="0075524C" w:rsidRPr="00C35766" w:rsidRDefault="0075524C" w:rsidP="00603A86">
            <w:pPr>
              <w:pStyle w:val="TableParagraph"/>
              <w:spacing w:line="251" w:lineRule="exact"/>
              <w:ind w:left="-1"/>
              <w:rPr>
                <w:rFonts w:ascii="Times New Roman" w:eastAsia="Times New Roman" w:hAnsi="Times New Roman" w:cs="Times New Roman"/>
              </w:rPr>
            </w:pPr>
            <w:r w:rsidRPr="00C35766">
              <w:rPr>
                <w:rFonts w:ascii="Times New Roman" w:eastAsia="Times New Roman" w:hAnsi="Times New Roman" w:cs="Times New Roman"/>
                <w:b/>
                <w:bCs/>
                <w:spacing w:val="-1"/>
                <w:lang w:val="it-IT"/>
              </w:rPr>
              <w:t>Remissione della fistola</w:t>
            </w:r>
            <w:r w:rsidRPr="00C35766">
              <w:rPr>
                <w:rFonts w:ascii="Times New Roman" w:eastAsia="Times New Roman" w:hAnsi="Times New Roman" w:cs="Times New Roman"/>
                <w:b/>
                <w:bCs/>
                <w:spacing w:val="-1"/>
                <w:vertAlign w:val="superscript"/>
                <w:lang w:val="it-IT"/>
              </w:rPr>
              <w:t>3</w:t>
            </w:r>
          </w:p>
        </w:tc>
        <w:tc>
          <w:tcPr>
            <w:tcW w:w="1843" w:type="dxa"/>
            <w:gridSpan w:val="2"/>
            <w:tcBorders>
              <w:top w:val="single" w:sz="7" w:space="0" w:color="000000"/>
              <w:left w:val="single" w:sz="7" w:space="0" w:color="000000"/>
              <w:bottom w:val="single" w:sz="7" w:space="0" w:color="000000"/>
              <w:right w:val="single" w:sz="7" w:space="0" w:color="000000"/>
            </w:tcBorders>
          </w:tcPr>
          <w:p w14:paraId="6B046943" w14:textId="77777777" w:rsidR="0075524C" w:rsidRPr="00C35766" w:rsidRDefault="0075524C" w:rsidP="00603A86">
            <w:pPr>
              <w:pStyle w:val="TableParagraph"/>
              <w:spacing w:line="251" w:lineRule="exact"/>
              <w:ind w:left="557" w:right="543"/>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N=15</w:t>
            </w:r>
          </w:p>
        </w:tc>
        <w:tc>
          <w:tcPr>
            <w:tcW w:w="1985" w:type="dxa"/>
            <w:gridSpan w:val="2"/>
            <w:tcBorders>
              <w:top w:val="single" w:sz="7" w:space="0" w:color="000000"/>
              <w:left w:val="single" w:sz="7" w:space="0" w:color="000000"/>
              <w:bottom w:val="single" w:sz="7" w:space="0" w:color="000000"/>
              <w:right w:val="single" w:sz="7" w:space="0" w:color="000000"/>
            </w:tcBorders>
          </w:tcPr>
          <w:p w14:paraId="23472FC5" w14:textId="77777777" w:rsidR="0075524C" w:rsidRPr="00C35766" w:rsidRDefault="0075524C" w:rsidP="00603A86">
            <w:pPr>
              <w:pStyle w:val="TableParagraph"/>
              <w:spacing w:line="251" w:lineRule="exact"/>
              <w:ind w:left="537" w:right="526"/>
              <w:jc w:val="center"/>
              <w:rPr>
                <w:rFonts w:ascii="Times New Roman" w:eastAsia="Times New Roman" w:hAnsi="Times New Roman" w:cs="Times New Roman"/>
              </w:rPr>
            </w:pPr>
            <w:r w:rsidRPr="00C35766">
              <w:rPr>
                <w:rFonts w:ascii="Times New Roman" w:eastAsia="Times New Roman" w:hAnsi="Times New Roman" w:cs="Times New Roman"/>
                <w:b/>
                <w:bCs/>
                <w:spacing w:val="-1"/>
                <w:lang w:val="it-IT"/>
              </w:rPr>
              <w:t>N=21</w:t>
            </w:r>
          </w:p>
        </w:tc>
        <w:tc>
          <w:tcPr>
            <w:tcW w:w="1481" w:type="dxa"/>
            <w:gridSpan w:val="2"/>
            <w:tcBorders>
              <w:top w:val="single" w:sz="7" w:space="0" w:color="000000"/>
              <w:left w:val="single" w:sz="7" w:space="0" w:color="000000"/>
              <w:bottom w:val="single" w:sz="7" w:space="0" w:color="000000"/>
              <w:right w:val="single" w:sz="7" w:space="0" w:color="000000"/>
            </w:tcBorders>
          </w:tcPr>
          <w:p w14:paraId="7D0058ED" w14:textId="77777777" w:rsidR="0075524C" w:rsidRPr="00C35766" w:rsidRDefault="0075524C" w:rsidP="00603A86">
            <w:pPr>
              <w:rPr>
                <w:rFonts w:ascii="Times New Roman" w:hAnsi="Times New Roman" w:cs="Times New Roman"/>
              </w:rPr>
            </w:pPr>
          </w:p>
        </w:tc>
      </w:tr>
      <w:tr w:rsidR="0075524C" w:rsidRPr="00C35766" w14:paraId="23900E7F" w14:textId="77777777" w:rsidTr="00AF25F1">
        <w:trPr>
          <w:jc w:val="center"/>
        </w:trPr>
        <w:tc>
          <w:tcPr>
            <w:tcW w:w="3935" w:type="dxa"/>
            <w:gridSpan w:val="2"/>
            <w:tcBorders>
              <w:top w:val="single" w:sz="7" w:space="0" w:color="000000"/>
              <w:left w:val="single" w:sz="7" w:space="0" w:color="000000"/>
              <w:bottom w:val="single" w:sz="7" w:space="0" w:color="000000"/>
              <w:right w:val="single" w:sz="7" w:space="0" w:color="000000"/>
            </w:tcBorders>
          </w:tcPr>
          <w:p w14:paraId="3DB885DB" w14:textId="77777777" w:rsidR="0075524C" w:rsidRPr="00C35766" w:rsidRDefault="0075524C" w:rsidP="00603A86">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lastRenderedPageBreak/>
              <w:t>Settimana 26</w:t>
            </w:r>
          </w:p>
        </w:tc>
        <w:tc>
          <w:tcPr>
            <w:tcW w:w="1843" w:type="dxa"/>
            <w:gridSpan w:val="2"/>
            <w:tcBorders>
              <w:top w:val="single" w:sz="7" w:space="0" w:color="000000"/>
              <w:left w:val="single" w:sz="7" w:space="0" w:color="000000"/>
              <w:bottom w:val="single" w:sz="7" w:space="0" w:color="000000"/>
              <w:right w:val="single" w:sz="7" w:space="0" w:color="000000"/>
            </w:tcBorders>
          </w:tcPr>
          <w:p w14:paraId="6AF3F26E" w14:textId="77777777" w:rsidR="0075524C" w:rsidRPr="00C35766" w:rsidRDefault="0075524C" w:rsidP="00603A86">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46,7%</w:t>
            </w:r>
          </w:p>
        </w:tc>
        <w:tc>
          <w:tcPr>
            <w:tcW w:w="1985" w:type="dxa"/>
            <w:gridSpan w:val="2"/>
            <w:tcBorders>
              <w:top w:val="single" w:sz="7" w:space="0" w:color="000000"/>
              <w:left w:val="single" w:sz="7" w:space="0" w:color="000000"/>
              <w:bottom w:val="single" w:sz="7" w:space="0" w:color="000000"/>
              <w:right w:val="single" w:sz="7" w:space="0" w:color="000000"/>
            </w:tcBorders>
          </w:tcPr>
          <w:p w14:paraId="2BA857EE" w14:textId="77777777" w:rsidR="0075524C" w:rsidRPr="00C35766" w:rsidRDefault="0075524C" w:rsidP="00603A86">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38,1%</w:t>
            </w:r>
          </w:p>
        </w:tc>
        <w:tc>
          <w:tcPr>
            <w:tcW w:w="1481" w:type="dxa"/>
            <w:gridSpan w:val="2"/>
            <w:tcBorders>
              <w:top w:val="single" w:sz="7" w:space="0" w:color="000000"/>
              <w:left w:val="single" w:sz="7" w:space="0" w:color="000000"/>
              <w:bottom w:val="single" w:sz="7" w:space="0" w:color="000000"/>
              <w:right w:val="single" w:sz="7" w:space="0" w:color="000000"/>
            </w:tcBorders>
          </w:tcPr>
          <w:p w14:paraId="74420393" w14:textId="77777777" w:rsidR="0075524C" w:rsidRPr="00C35766" w:rsidRDefault="0075524C" w:rsidP="00603A86">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0,608</w:t>
            </w:r>
          </w:p>
        </w:tc>
      </w:tr>
      <w:tr w:rsidR="0075524C" w:rsidRPr="00C35766" w14:paraId="7AB9ED9D" w14:textId="77777777" w:rsidTr="00AF25F1">
        <w:trPr>
          <w:jc w:val="center"/>
        </w:trPr>
        <w:tc>
          <w:tcPr>
            <w:tcW w:w="3935" w:type="dxa"/>
            <w:gridSpan w:val="2"/>
            <w:tcBorders>
              <w:top w:val="single" w:sz="7" w:space="0" w:color="000000"/>
              <w:left w:val="single" w:sz="7" w:space="0" w:color="000000"/>
              <w:bottom w:val="single" w:sz="5" w:space="0" w:color="000000"/>
              <w:right w:val="single" w:sz="7" w:space="0" w:color="000000"/>
            </w:tcBorders>
          </w:tcPr>
          <w:p w14:paraId="6888EDC9" w14:textId="77777777" w:rsidR="0075524C" w:rsidRPr="00C35766" w:rsidRDefault="0075524C" w:rsidP="00603A86">
            <w:pPr>
              <w:pStyle w:val="TableParagraph"/>
              <w:spacing w:line="246" w:lineRule="exact"/>
              <w:ind w:left="-1"/>
              <w:rPr>
                <w:rFonts w:ascii="Times New Roman" w:eastAsia="Times New Roman" w:hAnsi="Times New Roman" w:cs="Times New Roman"/>
              </w:rPr>
            </w:pPr>
            <w:r w:rsidRPr="00C35766">
              <w:rPr>
                <w:rFonts w:ascii="Times New Roman" w:eastAsia="Times New Roman" w:hAnsi="Times New Roman" w:cs="Times New Roman"/>
                <w:lang w:val="it-IT"/>
              </w:rPr>
              <w:t>Settimana 52</w:t>
            </w:r>
          </w:p>
        </w:tc>
        <w:tc>
          <w:tcPr>
            <w:tcW w:w="1843" w:type="dxa"/>
            <w:gridSpan w:val="2"/>
            <w:tcBorders>
              <w:top w:val="single" w:sz="7" w:space="0" w:color="000000"/>
              <w:left w:val="single" w:sz="7" w:space="0" w:color="000000"/>
              <w:bottom w:val="single" w:sz="5" w:space="0" w:color="000000"/>
              <w:right w:val="single" w:sz="7" w:space="0" w:color="000000"/>
            </w:tcBorders>
          </w:tcPr>
          <w:p w14:paraId="68171514" w14:textId="77777777" w:rsidR="0075524C" w:rsidRPr="00C35766" w:rsidRDefault="0075524C" w:rsidP="00603A86">
            <w:pPr>
              <w:pStyle w:val="TableParagraph"/>
              <w:spacing w:line="246" w:lineRule="exact"/>
              <w:ind w:left="541"/>
              <w:rPr>
                <w:rFonts w:ascii="Times New Roman" w:eastAsia="Times New Roman" w:hAnsi="Times New Roman" w:cs="Times New Roman"/>
              </w:rPr>
            </w:pPr>
            <w:r w:rsidRPr="00C35766">
              <w:rPr>
                <w:rFonts w:ascii="Times New Roman" w:eastAsia="Times New Roman" w:hAnsi="Times New Roman" w:cs="Times New Roman"/>
                <w:lang w:val="it-IT"/>
              </w:rPr>
              <w:t>40,0%</w:t>
            </w:r>
          </w:p>
        </w:tc>
        <w:tc>
          <w:tcPr>
            <w:tcW w:w="1985" w:type="dxa"/>
            <w:gridSpan w:val="2"/>
            <w:tcBorders>
              <w:top w:val="single" w:sz="7" w:space="0" w:color="000000"/>
              <w:left w:val="single" w:sz="7" w:space="0" w:color="000000"/>
              <w:bottom w:val="single" w:sz="5" w:space="0" w:color="000000"/>
              <w:right w:val="single" w:sz="7" w:space="0" w:color="000000"/>
            </w:tcBorders>
          </w:tcPr>
          <w:p w14:paraId="58909108" w14:textId="77777777" w:rsidR="0075524C" w:rsidRPr="00C35766" w:rsidRDefault="0075524C" w:rsidP="00603A86">
            <w:pPr>
              <w:pStyle w:val="TableParagraph"/>
              <w:spacing w:line="246" w:lineRule="exact"/>
              <w:ind w:left="522"/>
              <w:rPr>
                <w:rFonts w:ascii="Times New Roman" w:eastAsia="Times New Roman" w:hAnsi="Times New Roman" w:cs="Times New Roman"/>
              </w:rPr>
            </w:pPr>
            <w:r w:rsidRPr="00C35766">
              <w:rPr>
                <w:rFonts w:ascii="Times New Roman" w:eastAsia="Times New Roman" w:hAnsi="Times New Roman" w:cs="Times New Roman"/>
                <w:lang w:val="it-IT"/>
              </w:rPr>
              <w:t>23,8%</w:t>
            </w:r>
          </w:p>
        </w:tc>
        <w:tc>
          <w:tcPr>
            <w:tcW w:w="1481" w:type="dxa"/>
            <w:gridSpan w:val="2"/>
            <w:tcBorders>
              <w:top w:val="single" w:sz="7" w:space="0" w:color="000000"/>
              <w:left w:val="single" w:sz="7" w:space="0" w:color="000000"/>
              <w:bottom w:val="single" w:sz="5" w:space="0" w:color="000000"/>
              <w:right w:val="single" w:sz="7" w:space="0" w:color="000000"/>
            </w:tcBorders>
          </w:tcPr>
          <w:p w14:paraId="3D18C7E8" w14:textId="77777777" w:rsidR="0075524C" w:rsidRPr="00C35766" w:rsidRDefault="0075524C" w:rsidP="00603A86">
            <w:pPr>
              <w:pStyle w:val="TableParagraph"/>
              <w:spacing w:line="246" w:lineRule="exact"/>
              <w:ind w:left="318"/>
              <w:rPr>
                <w:rFonts w:ascii="Times New Roman" w:eastAsia="Times New Roman" w:hAnsi="Times New Roman" w:cs="Times New Roman"/>
              </w:rPr>
            </w:pPr>
            <w:r w:rsidRPr="00C35766">
              <w:rPr>
                <w:rFonts w:ascii="Times New Roman" w:eastAsia="Times New Roman" w:hAnsi="Times New Roman" w:cs="Times New Roman"/>
                <w:lang w:val="it-IT"/>
              </w:rPr>
              <w:t>0,303</w:t>
            </w:r>
          </w:p>
        </w:tc>
      </w:tr>
    </w:tbl>
    <w:p w14:paraId="49DD942C" w14:textId="762DED1C" w:rsidR="0075524C" w:rsidRPr="00C35766" w:rsidRDefault="00880031" w:rsidP="008A6AF4">
      <w:pPr>
        <w:pStyle w:val="a3"/>
        <w:numPr>
          <w:ilvl w:val="0"/>
          <w:numId w:val="0"/>
        </w:numPr>
        <w:ind w:leftChars="100" w:left="220"/>
        <w:rPr>
          <w:lang w:val="it-IT"/>
        </w:rPr>
      </w:pPr>
      <w:r w:rsidRPr="008A6AF4">
        <w:rPr>
          <w:rFonts w:eastAsia="Times New Roman"/>
          <w:vertAlign w:val="superscript"/>
          <w:lang w:val="it-IT"/>
        </w:rPr>
        <w:t>1</w:t>
      </w:r>
      <w:r>
        <w:rPr>
          <w:rFonts w:eastAsia="Times New Roman"/>
          <w:vertAlign w:val="superscript"/>
          <w:lang w:val="it-IT"/>
        </w:rPr>
        <w:t xml:space="preserve"> </w:t>
      </w:r>
      <w:r w:rsidR="0075524C" w:rsidRPr="00C35766">
        <w:rPr>
          <w:rFonts w:eastAsia="Times New Roman"/>
          <w:lang w:val="it-IT"/>
        </w:rPr>
        <w:t xml:space="preserve">confronto valore p per Dose Standard </w:t>
      </w:r>
      <w:r w:rsidR="0075524C" w:rsidRPr="00C35766">
        <w:rPr>
          <w:lang w:val="it-IT"/>
        </w:rPr>
        <w:t>versus</w:t>
      </w:r>
      <w:r w:rsidR="0075524C" w:rsidRPr="00C35766">
        <w:rPr>
          <w:rFonts w:eastAsia="Times New Roman"/>
          <w:lang w:val="it-IT"/>
        </w:rPr>
        <w:t xml:space="preserve"> Bassa Dose.</w:t>
      </w:r>
    </w:p>
    <w:p w14:paraId="548A4ACD" w14:textId="7E04E38D" w:rsidR="0075524C" w:rsidRPr="00C35766" w:rsidRDefault="00880031" w:rsidP="008A6AF4">
      <w:pPr>
        <w:pStyle w:val="a3"/>
        <w:numPr>
          <w:ilvl w:val="0"/>
          <w:numId w:val="0"/>
        </w:numPr>
        <w:ind w:leftChars="100" w:left="220"/>
        <w:rPr>
          <w:lang w:val="it-IT"/>
        </w:rPr>
      </w:pPr>
      <w:r w:rsidRPr="008A6AF4">
        <w:rPr>
          <w:rFonts w:eastAsia="Times New Roman"/>
          <w:vertAlign w:val="superscript"/>
          <w:lang w:val="it-IT"/>
        </w:rPr>
        <w:t>2</w:t>
      </w:r>
      <w:r>
        <w:rPr>
          <w:rFonts w:eastAsia="Times New Roman"/>
          <w:vertAlign w:val="superscript"/>
          <w:lang w:val="it-IT"/>
        </w:rPr>
        <w:t xml:space="preserve"> </w:t>
      </w:r>
      <w:r w:rsidR="0075524C" w:rsidRPr="00C35766">
        <w:rPr>
          <w:rFonts w:eastAsia="Times New Roman"/>
          <w:lang w:val="it-IT"/>
        </w:rPr>
        <w:t>la terapia immunosoppressiva poteva essere interrotta solo alla o dopo la Settimana 26 a discrezione dello sperimentatore se il soggetto aveva raggiunto il criterio della risposta clinica</w:t>
      </w:r>
    </w:p>
    <w:p w14:paraId="58648D1D" w14:textId="4B94DFE5" w:rsidR="0075524C" w:rsidRPr="00C35766" w:rsidRDefault="00880031" w:rsidP="008A6AF4">
      <w:pPr>
        <w:pStyle w:val="a3"/>
        <w:numPr>
          <w:ilvl w:val="0"/>
          <w:numId w:val="0"/>
        </w:numPr>
        <w:ind w:leftChars="100" w:left="220"/>
        <w:rPr>
          <w:lang w:val="it-IT"/>
        </w:rPr>
      </w:pPr>
      <w:r w:rsidRPr="008A6AF4">
        <w:rPr>
          <w:rFonts w:eastAsia="Times New Roman"/>
          <w:vertAlign w:val="superscript"/>
          <w:lang w:val="it-IT"/>
        </w:rPr>
        <w:t>3</w:t>
      </w:r>
      <w:r>
        <w:rPr>
          <w:rFonts w:eastAsia="Times New Roman"/>
          <w:vertAlign w:val="superscript"/>
          <w:lang w:val="it-IT"/>
        </w:rPr>
        <w:t xml:space="preserve"> </w:t>
      </w:r>
      <w:r w:rsidR="0075524C" w:rsidRPr="00C35766">
        <w:rPr>
          <w:rFonts w:eastAsia="Times New Roman"/>
          <w:lang w:val="it-IT"/>
        </w:rPr>
        <w:t>definito come chiusura di tutte le fistole che si stavano esaurendo al basale per almeno 2 visite consecutive post-basale</w:t>
      </w:r>
    </w:p>
    <w:p w14:paraId="248667EE" w14:textId="77777777" w:rsidR="0075524C" w:rsidRPr="00C35766" w:rsidRDefault="0075524C" w:rsidP="0075524C">
      <w:pPr>
        <w:spacing w:before="8" w:line="170" w:lineRule="exact"/>
        <w:rPr>
          <w:rFonts w:ascii="Times New Roman" w:hAnsi="Times New Roman" w:cs="Times New Roman"/>
          <w:sz w:val="17"/>
          <w:lang w:val="it-IT"/>
        </w:rPr>
      </w:pPr>
    </w:p>
    <w:p w14:paraId="534DD97F" w14:textId="77777777" w:rsidR="0075524C" w:rsidRPr="00C35766" w:rsidRDefault="0075524C" w:rsidP="0075524C">
      <w:pPr>
        <w:pStyle w:val="a3"/>
        <w:rPr>
          <w:lang w:val="pt-BR"/>
        </w:rPr>
      </w:pPr>
      <w:r w:rsidRPr="00C35766">
        <w:rPr>
          <w:rFonts w:eastAsia="Times New Roman"/>
          <w:lang w:val="it-IT"/>
        </w:rPr>
        <w:t>Per entrambi i gruppi di trattamento sono stati osservati incrementi (miglioramenti) statisticamente significativi dell’Indice di Massa Corporea e della velocità di accrescimento staturale dal basale alla Settimana 26 e 52.</w:t>
      </w:r>
    </w:p>
    <w:p w14:paraId="6C9DB447" w14:textId="77777777" w:rsidR="0075524C" w:rsidRPr="00C35766" w:rsidRDefault="0075524C" w:rsidP="0075524C">
      <w:pPr>
        <w:spacing w:before="14" w:line="240" w:lineRule="exact"/>
        <w:rPr>
          <w:rFonts w:ascii="Times New Roman" w:hAnsi="Times New Roman" w:cs="Times New Roman"/>
          <w:sz w:val="24"/>
          <w:szCs w:val="24"/>
          <w:lang w:val="pt-BR"/>
        </w:rPr>
      </w:pPr>
    </w:p>
    <w:p w14:paraId="7919EB25" w14:textId="77777777" w:rsidR="0075524C" w:rsidRPr="00C35766" w:rsidRDefault="0075524C" w:rsidP="0075524C">
      <w:pPr>
        <w:pStyle w:val="a3"/>
        <w:rPr>
          <w:lang w:val="pt-BR"/>
        </w:rPr>
      </w:pPr>
      <w:r w:rsidRPr="00C35766">
        <w:rPr>
          <w:rFonts w:eastAsia="Times New Roman"/>
          <w:lang w:val="it-IT"/>
        </w:rPr>
        <w:t>In entrambi i gruppi di trattamento sono stati inoltre osservati miglioramenti statisticamente e clinicamente significativi rispetto al basale dei parametri di qualità di vita (incluso IMPACT III).</w:t>
      </w:r>
    </w:p>
    <w:p w14:paraId="725EE53F" w14:textId="77777777" w:rsidR="0075524C" w:rsidRPr="00C35766" w:rsidRDefault="0075524C" w:rsidP="0075524C">
      <w:pPr>
        <w:pStyle w:val="a3"/>
        <w:rPr>
          <w:lang w:val="pt-BR"/>
        </w:rPr>
      </w:pPr>
    </w:p>
    <w:p w14:paraId="3D8D9700" w14:textId="77777777" w:rsidR="0075524C" w:rsidRPr="00C35766" w:rsidRDefault="0075524C" w:rsidP="0075524C">
      <w:pPr>
        <w:pStyle w:val="a3"/>
        <w:rPr>
          <w:lang w:val="it-IT"/>
        </w:rPr>
      </w:pPr>
      <w:r w:rsidRPr="00C35766">
        <w:rPr>
          <w:rFonts w:eastAsia="Times New Roman"/>
          <w:lang w:val="it-IT"/>
        </w:rPr>
        <w:t>Cento pazienti (n=100) dello Studio della Malattia di Crohn Pediatrica hanno continuato in uno studio di estensione in aperto a lungo termine. Dopo 5 anni di trattamento con adalimumab, il 74,0% (37/50) dei 50 pazienti rimasti nello studio ha continuato ad essere in remissione clinica e il 92,0% (46/50) dei pazienti ha continuato ad avere la risposta clinica per PCDAI.</w:t>
      </w:r>
    </w:p>
    <w:p w14:paraId="7BE6B13D" w14:textId="77777777" w:rsidR="0075524C" w:rsidRPr="00824699" w:rsidRDefault="0075524C" w:rsidP="0075524C">
      <w:pPr>
        <w:rPr>
          <w:rFonts w:ascii="Times New Roman" w:hAnsi="Times New Roman" w:cs="Times New Roman"/>
          <w:lang w:val="it-IT"/>
        </w:rPr>
      </w:pPr>
    </w:p>
    <w:p w14:paraId="66ACA70A" w14:textId="77777777" w:rsidR="0075524C" w:rsidRPr="00C35766" w:rsidRDefault="0075524C" w:rsidP="0075524C">
      <w:pPr>
        <w:pStyle w:val="a3"/>
        <w:rPr>
          <w:rFonts w:eastAsia="Times New Roman"/>
          <w:lang w:val="es-ES"/>
        </w:rPr>
      </w:pPr>
      <w:r w:rsidRPr="00C35766">
        <w:rPr>
          <w:rFonts w:eastAsia="Times New Roman"/>
          <w:i/>
          <w:iCs/>
          <w:spacing w:val="-1"/>
          <w:lang w:val="it-IT"/>
        </w:rPr>
        <w:t>Uveite pediatrica</w:t>
      </w:r>
    </w:p>
    <w:p w14:paraId="08910E97" w14:textId="77777777" w:rsidR="0075524C" w:rsidRPr="00C35766" w:rsidRDefault="0075524C" w:rsidP="0075524C">
      <w:pPr>
        <w:pStyle w:val="a3"/>
        <w:rPr>
          <w:sz w:val="24"/>
          <w:szCs w:val="24"/>
          <w:lang w:val="es-ES"/>
        </w:rPr>
      </w:pPr>
    </w:p>
    <w:p w14:paraId="3FE9762C" w14:textId="77777777" w:rsidR="0075524C" w:rsidRPr="00C35766" w:rsidRDefault="0075524C" w:rsidP="0075524C">
      <w:pPr>
        <w:pStyle w:val="a3"/>
        <w:rPr>
          <w:lang w:val="it-IT"/>
        </w:rPr>
      </w:pPr>
      <w:r w:rsidRPr="00C35766">
        <w:rPr>
          <w:rFonts w:eastAsia="Times New Roman"/>
          <w:lang w:val="it-IT"/>
        </w:rPr>
        <w:t>La sicurezza e l’efficacia di adalimumab sono state valutate in uno studio randomizzato, controllato, in doppio cieco su 90 pazienti pediatrici dai 2 ai &lt; 18 anni di età con uveite anteriore non infettiva attiva associata ad artrite idiopatica giovanile (JIA) refrattari ad almeno 12 settimane di trattamento con metotressato. I pazienti hanno ricevuto placebo oppure 20 mg di adalimumab (se &lt; 30 kg) o 40 mg di adalimumab (se ≥ 30 kg) a settimane alterne in associazione con la loro dose basale di metotressato.</w:t>
      </w:r>
    </w:p>
    <w:p w14:paraId="7A673C1D" w14:textId="77777777" w:rsidR="0075524C" w:rsidRPr="00C35766" w:rsidRDefault="0075524C" w:rsidP="0075524C">
      <w:pPr>
        <w:pStyle w:val="a3"/>
        <w:rPr>
          <w:lang w:val="it-IT"/>
        </w:rPr>
      </w:pPr>
      <w:r w:rsidRPr="00C35766">
        <w:rPr>
          <w:rFonts w:eastAsia="Times New Roman"/>
          <w:lang w:val="it-IT"/>
        </w:rPr>
        <w:t>L'endpoint primario di efficacia in entrambi gli studi era il “tempo al fallimento del trattamento”. I criteri che definivano il fallimento del trattamento erano il peggioramento o l’assenza prolungata di un miglioramento dell’infiammazione oculare o il miglioramento parziale con sviluppo di comorbidità oculari prolungate o peggioramento delle comorbidità oculari esistenti, l’uso non consentito di medicinali concomitanti e la sospensione del trattamento per un periodo di tempo prolungato.</w:t>
      </w:r>
    </w:p>
    <w:p w14:paraId="657A2556" w14:textId="77777777" w:rsidR="0075524C" w:rsidRPr="00C35766" w:rsidRDefault="0075524C" w:rsidP="0075524C">
      <w:pPr>
        <w:pStyle w:val="a3"/>
        <w:rPr>
          <w:sz w:val="24"/>
          <w:szCs w:val="24"/>
          <w:lang w:val="it-IT"/>
        </w:rPr>
      </w:pPr>
    </w:p>
    <w:p w14:paraId="19F73760" w14:textId="77777777" w:rsidR="0075524C" w:rsidRPr="00C35766" w:rsidRDefault="0075524C" w:rsidP="0075524C">
      <w:pPr>
        <w:pStyle w:val="a3"/>
        <w:rPr>
          <w:rFonts w:eastAsia="Times New Roman"/>
          <w:lang w:val="it-IT"/>
        </w:rPr>
      </w:pPr>
      <w:r w:rsidRPr="00C35766">
        <w:rPr>
          <w:rFonts w:eastAsia="Times New Roman"/>
          <w:i/>
          <w:iCs/>
          <w:spacing w:val="-1"/>
          <w:u w:val="single" w:color="000000"/>
          <w:lang w:val="it-IT"/>
        </w:rPr>
        <w:t>Risposta clinica</w:t>
      </w:r>
    </w:p>
    <w:p w14:paraId="3C141D44" w14:textId="77777777" w:rsidR="0075524C" w:rsidRPr="00C35766" w:rsidRDefault="0075524C" w:rsidP="0075524C">
      <w:pPr>
        <w:pStyle w:val="a3"/>
        <w:rPr>
          <w:sz w:val="20"/>
          <w:szCs w:val="20"/>
          <w:lang w:val="it-IT"/>
        </w:rPr>
      </w:pPr>
    </w:p>
    <w:p w14:paraId="6AB386CD" w14:textId="7A29CC56" w:rsidR="0075524C" w:rsidRPr="00C35766" w:rsidRDefault="0075524C" w:rsidP="0075524C">
      <w:pPr>
        <w:pStyle w:val="a3"/>
        <w:rPr>
          <w:lang w:val="es-ES"/>
        </w:rPr>
      </w:pPr>
      <w:r w:rsidRPr="00C35766">
        <w:rPr>
          <w:rFonts w:eastAsia="Times New Roman"/>
          <w:lang w:val="it-IT"/>
        </w:rPr>
        <w:t xml:space="preserve">Adalimumab ha ritardato in misura significativa il tempo al fallimento del trattamento rispetto al placebo (vedere Figura </w:t>
      </w:r>
      <w:r w:rsidR="00F729F7">
        <w:rPr>
          <w:rFonts w:eastAsia="Times New Roman"/>
          <w:lang w:val="it-IT"/>
        </w:rPr>
        <w:t>2</w:t>
      </w:r>
      <w:r w:rsidRPr="00C35766">
        <w:rPr>
          <w:rFonts w:eastAsia="Times New Roman"/>
          <w:lang w:val="it-IT"/>
        </w:rPr>
        <w:t>, P &lt; 0,0001 dal test dei ranghi logaritmici). La mediana del tempo al fallimento del trattamento è stata di 24,1 settimane per i soggetti trattati con placebo, mentre la mediana del tempo al fallimento del trattamento è risultata non valutabile per i soggetti trattati con adalimumab in quanto meno di metà di questi soggetti è andata incontro a fallimento del trattamento. Adalimumab ha ridotto in maniera significativa il rischio di fallimento del trattamento nella misura del 75% rispetto al placebo, come evidenziato dal rapporto di rischio (HR = 0,25 [IC al 95%: 0,12; 0,49]).</w:t>
      </w:r>
    </w:p>
    <w:p w14:paraId="555DAB73" w14:textId="67A3373A" w:rsidR="0075524C" w:rsidRPr="00C35766" w:rsidRDefault="0075524C" w:rsidP="0075524C">
      <w:pPr>
        <w:pStyle w:val="a3"/>
        <w:jc w:val="center"/>
        <w:rPr>
          <w:b/>
          <w:lang w:val="es-ES"/>
        </w:rPr>
      </w:pPr>
      <w:r w:rsidRPr="00C35766">
        <w:rPr>
          <w:rFonts w:eastAsia="Times New Roman"/>
          <w:b/>
          <w:bCs/>
          <w:lang w:val="it-IT"/>
        </w:rPr>
        <w:t xml:space="preserve">Figura </w:t>
      </w:r>
      <w:r w:rsidR="00F729F7">
        <w:rPr>
          <w:rFonts w:eastAsia="Times New Roman"/>
          <w:b/>
          <w:bCs/>
          <w:lang w:val="it-IT"/>
        </w:rPr>
        <w:t>2</w:t>
      </w:r>
      <w:r w:rsidRPr="00C35766">
        <w:rPr>
          <w:rFonts w:eastAsia="Times New Roman"/>
          <w:b/>
          <w:bCs/>
          <w:lang w:val="it-IT"/>
        </w:rPr>
        <w:t>: curve di Kaplan-Meier del tempo al fallimento del trattamento nello studio sull’uveite pediatrica</w:t>
      </w:r>
    </w:p>
    <w:p w14:paraId="05873299" w14:textId="12E66903" w:rsidR="0075524C" w:rsidRPr="00C35766" w:rsidRDefault="0075524C" w:rsidP="0075524C">
      <w:pPr>
        <w:spacing w:before="16" w:line="240" w:lineRule="exact"/>
        <w:rPr>
          <w:rFonts w:ascii="Times New Roman" w:hAnsi="Times New Roman" w:cs="Times New Roman"/>
          <w:sz w:val="24"/>
          <w:szCs w:val="24"/>
          <w:lang w:val="es-ES"/>
        </w:rPr>
      </w:pPr>
      <w:r w:rsidRPr="00C35766">
        <w:rPr>
          <w:rFonts w:ascii="Times New Roman" w:eastAsiaTheme="minorHAnsi" w:hAnsi="Times New Roman" w:cs="Times New Roman"/>
          <w:noProof/>
          <w:lang w:eastAsia="ko-KR"/>
        </w:rPr>
        <mc:AlternateContent>
          <mc:Choice Requires="wps">
            <w:drawing>
              <wp:anchor distT="0" distB="0" distL="114300" distR="114300" simplePos="0" relativeHeight="251658360" behindDoc="1" locked="0" layoutInCell="1" allowOverlap="1" wp14:anchorId="04F31D86" wp14:editId="7DC05F9E">
                <wp:simplePos x="0" y="0"/>
                <wp:positionH relativeFrom="page">
                  <wp:posOffset>968829</wp:posOffset>
                </wp:positionH>
                <wp:positionV relativeFrom="paragraph">
                  <wp:posOffset>50891</wp:posOffset>
                </wp:positionV>
                <wp:extent cx="206828" cy="3791585"/>
                <wp:effectExtent l="0" t="0" r="3175" b="18415"/>
                <wp:wrapNone/>
                <wp:docPr id="3965"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28" cy="3791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3261B" w14:textId="77777777" w:rsidR="00D97785" w:rsidRDefault="00D97785" w:rsidP="0075524C">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31D86" id="_x0000_s1047" type="#_x0000_t202" style="position:absolute;margin-left:76.3pt;margin-top:4pt;width:16.3pt;height:298.55pt;z-index:-251658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" filled="f" stroked="f">
                <v:textbox style="layout-flow:vertical;mso-layout-flow-alt:bottom-to-top" inset="0,0,0,0">
                  <w:txbxContent>
                    <w:p w14:paraId="1623261B" w14:textId="77777777" w:rsidR="00D97785" w:rsidRDefault="00D97785" w:rsidP="0075524C">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it-IT"/>
                        </w:rPr>
                        <w:t>PROBABILITÀ DI FALLIMENTO DEL TRATTAMENTO</w:t>
                      </w:r>
                    </w:p>
                  </w:txbxContent>
                </v:textbox>
                <w10:wrap anchorx="page"/>
              </v:shape>
            </w:pict>
          </mc:Fallback>
        </mc:AlternateContent>
      </w:r>
    </w:p>
    <w:p w14:paraId="2EACC690" w14:textId="75E99DAB" w:rsidR="0075524C" w:rsidRPr="00C35766" w:rsidRDefault="0075524C" w:rsidP="0075524C">
      <w:pPr>
        <w:ind w:left="687" w:right="10920"/>
        <w:rPr>
          <w:rFonts w:ascii="Times New Roman" w:eastAsia="Times New Roman" w:hAnsi="Times New Roman" w:cs="Times New Roman"/>
          <w:sz w:val="20"/>
          <w:szCs w:val="20"/>
        </w:rPr>
      </w:pPr>
      <w:r w:rsidRPr="00C35766">
        <w:rPr>
          <w:rFonts w:ascii="Times New Roman" w:eastAsia="Times New Roman" w:hAnsi="Times New Roman" w:cs="Times New Roman"/>
          <w:noProof/>
          <w:sz w:val="20"/>
          <w:szCs w:val="20"/>
          <w:lang w:eastAsia="ko-KR"/>
        </w:rPr>
        <w:lastRenderedPageBreak/>
        <mc:AlternateContent>
          <mc:Choice Requires="wps">
            <w:drawing>
              <wp:anchor distT="0" distB="0" distL="114300" distR="114300" simplePos="0" relativeHeight="251658362" behindDoc="0" locked="0" layoutInCell="1" allowOverlap="1" wp14:anchorId="58211B3C" wp14:editId="091EBE9E">
                <wp:simplePos x="0" y="0"/>
                <wp:positionH relativeFrom="column">
                  <wp:posOffset>612775</wp:posOffset>
                </wp:positionH>
                <wp:positionV relativeFrom="paragraph">
                  <wp:posOffset>3937966</wp:posOffset>
                </wp:positionV>
                <wp:extent cx="222637" cy="273685"/>
                <wp:effectExtent l="0" t="0" r="6350" b="0"/>
                <wp:wrapNone/>
                <wp:docPr id="3966" name="Text Box 3966"/>
                <wp:cNvGraphicFramePr/>
                <a:graphic xmlns:a="http://schemas.openxmlformats.org/drawingml/2006/main">
                  <a:graphicData uri="http://schemas.microsoft.com/office/word/2010/wordprocessingShape">
                    <wps:wsp>
                      <wps:cNvSpPr txBox="1"/>
                      <wps:spPr>
                        <a:xfrm>
                          <a:off x="0" y="0"/>
                          <a:ext cx="222637" cy="2736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BC336" w14:textId="77777777" w:rsidR="00D97785" w:rsidRPr="00933A6C" w:rsidRDefault="00D97785" w:rsidP="0075524C">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A</w:t>
                            </w:r>
                          </w:p>
                          <w:p w14:paraId="18FCBAF9" w14:textId="77777777" w:rsidR="00D97785" w:rsidRPr="00933A6C" w:rsidRDefault="00D97785" w:rsidP="0075524C">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8211B3C" id="Text Box 3966" o:spid="_x0000_s1048" type="#_x0000_t202" style="position:absolute;left:0;text-align:left;margin-left:48.25pt;margin-top:310.1pt;width:17.55pt;height:21.5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" fillcolor="white [3212]" stroked="f" strokeweight=".5pt">
                <v:textbox inset="0,0,0,0">
                  <w:txbxContent>
                    <w:p w14:paraId="1A7BC336" w14:textId="77777777" w:rsidR="00D97785" w:rsidRPr="00933A6C" w:rsidRDefault="00D97785" w:rsidP="0075524C">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A</w:t>
                      </w:r>
                    </w:p>
                    <w:p w14:paraId="18FCBAF9" w14:textId="77777777" w:rsidR="00D97785" w:rsidRPr="00933A6C" w:rsidRDefault="00D97785" w:rsidP="0075524C">
                      <w:pPr>
                        <w:rPr>
                          <w:rFonts w:asciiTheme="majorBidi" w:hAnsiTheme="majorBidi" w:cstheme="majorBidi"/>
                          <w:sz w:val="20"/>
                          <w:szCs w:val="20"/>
                        </w:rPr>
                      </w:pPr>
                      <w:r w:rsidRPr="00933A6C">
                        <w:rPr>
                          <w:rFonts w:ascii="Times New Roman" w:eastAsia="Times New Roman" w:hAnsi="Times New Roman" w:cs="Times New Roman"/>
                          <w:sz w:val="20"/>
                          <w:szCs w:val="20"/>
                          <w:lang w:val="it-IT"/>
                        </w:rPr>
                        <w:t>P</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61" behindDoc="0" locked="0" layoutInCell="1" allowOverlap="1" wp14:anchorId="7B836380" wp14:editId="7A8D16DD">
                <wp:simplePos x="0" y="0"/>
                <wp:positionH relativeFrom="column">
                  <wp:posOffset>400398</wp:posOffset>
                </wp:positionH>
                <wp:positionV relativeFrom="paragraph">
                  <wp:posOffset>16447</wp:posOffset>
                </wp:positionV>
                <wp:extent cx="225865" cy="3519377"/>
                <wp:effectExtent l="0" t="0" r="3175" b="5080"/>
                <wp:wrapNone/>
                <wp:docPr id="3967" name="Text Box 3967"/>
                <wp:cNvGraphicFramePr/>
                <a:graphic xmlns:a="http://schemas.openxmlformats.org/drawingml/2006/main">
                  <a:graphicData uri="http://schemas.microsoft.com/office/word/2010/wordprocessingShape">
                    <wps:wsp>
                      <wps:cNvSpPr txBox="1"/>
                      <wps:spPr>
                        <a:xfrm>
                          <a:off x="0" y="0"/>
                          <a:ext cx="225865"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14DD6A"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327F2963"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53639ACC"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2F366A2A"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55938FDE"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190323D9"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B836380" id="Text Box 3967" o:spid="_x0000_s1049" type="#_x0000_t202" style="position:absolute;left:0;text-align:left;margin-left:31.55pt;margin-top:1.3pt;width:17.8pt;height:277.1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" fillcolor="white [3212]" stroked="f" strokeweight=".5pt">
                <v:textbox inset="0,0,0,0">
                  <w:txbxContent>
                    <w:p w14:paraId="6314DD6A"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1,0</w:t>
                      </w:r>
                    </w:p>
                    <w:p w14:paraId="327F2963"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0,8</w:t>
                      </w:r>
                    </w:p>
                    <w:p w14:paraId="53639ACC"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0,6</w:t>
                      </w:r>
                    </w:p>
                    <w:p w14:paraId="2F366A2A"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0,4</w:t>
                      </w:r>
                    </w:p>
                    <w:p w14:paraId="55938FDE"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0,2</w:t>
                      </w:r>
                    </w:p>
                    <w:p w14:paraId="190323D9" w14:textId="77777777" w:rsidR="00D97785" w:rsidRDefault="00D97785" w:rsidP="0075524C">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it-IT"/>
                        </w:rPr>
                        <w:t>0,0</w:t>
                      </w:r>
                    </w:p>
                  </w:txbxContent>
                </v:textbox>
              </v:shape>
            </w:pict>
          </mc:Fallback>
        </mc:AlternateContent>
      </w:r>
      <w:r w:rsidRPr="00C35766">
        <w:rPr>
          <w:rFonts w:ascii="Times New Roman" w:hAnsi="Times New Roman" w:cs="Times New Roman"/>
          <w:noProof/>
          <w:lang w:eastAsia="ko-KR"/>
        </w:rPr>
        <w:drawing>
          <wp:inline distT="0" distB="0" distL="0" distR="0" wp14:anchorId="11B315BF" wp14:editId="1E5604CC">
            <wp:extent cx="5461000" cy="4214192"/>
            <wp:effectExtent l="0" t="0" r="6350" b="0"/>
            <wp:docPr id="3975"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464254" cy="4216703"/>
                    </a:xfrm>
                    <a:prstGeom prst="rect">
                      <a:avLst/>
                    </a:prstGeom>
                    <a:noFill/>
                    <a:ln>
                      <a:noFill/>
                    </a:ln>
                  </pic:spPr>
                </pic:pic>
              </a:graphicData>
            </a:graphic>
          </wp:inline>
        </w:drawing>
      </w:r>
    </w:p>
    <w:p w14:paraId="354A57E2" w14:textId="77777777" w:rsidR="0075524C" w:rsidRPr="00C35766" w:rsidRDefault="0075524C" w:rsidP="0075524C">
      <w:pPr>
        <w:spacing w:before="36"/>
        <w:ind w:left="479"/>
        <w:jc w:val="center"/>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TEMPO (SETTIMANE)</w:t>
      </w:r>
    </w:p>
    <w:p w14:paraId="001A3D37" w14:textId="77777777" w:rsidR="0075524C" w:rsidRPr="00C35766" w:rsidRDefault="0075524C" w:rsidP="0075524C">
      <w:pPr>
        <w:pStyle w:val="a3"/>
        <w:rPr>
          <w:lang w:val="pt-BR"/>
        </w:rPr>
      </w:pPr>
      <w:r w:rsidRPr="00C35766">
        <w:rPr>
          <w:noProof/>
          <w:lang w:eastAsia="ko-KR"/>
        </w:rPr>
        <w:drawing>
          <wp:anchor distT="0" distB="0" distL="114300" distR="114300" simplePos="0" relativeHeight="251658359" behindDoc="1" locked="0" layoutInCell="1" allowOverlap="1" wp14:anchorId="6502D9BA" wp14:editId="3967A9AF">
            <wp:simplePos x="0" y="0"/>
            <wp:positionH relativeFrom="page">
              <wp:posOffset>5091430</wp:posOffset>
            </wp:positionH>
            <wp:positionV relativeFrom="paragraph">
              <wp:posOffset>67310</wp:posOffset>
            </wp:positionV>
            <wp:extent cx="452755" cy="86995"/>
            <wp:effectExtent l="0" t="0" r="0" b="0"/>
            <wp:wrapNone/>
            <wp:docPr id="3976" name="그림 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C35766">
        <w:rPr>
          <w:rFonts w:eastAsia="Times New Roman"/>
          <w:lang w:val="it-IT"/>
        </w:rPr>
        <w:t>Trattamento</w:t>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rFonts w:eastAsia="Times New Roman"/>
          <w:lang w:val="it-IT"/>
        </w:rPr>
        <w:tab/>
      </w:r>
      <w:r w:rsidRPr="00C35766">
        <w:rPr>
          <w:noProof/>
          <w:lang w:eastAsia="ko-KR"/>
        </w:rPr>
        <w:drawing>
          <wp:inline distT="0" distB="0" distL="0" distR="0" wp14:anchorId="58E574BE" wp14:editId="75BC7283">
            <wp:extent cx="457200" cy="127000"/>
            <wp:effectExtent l="0" t="0" r="0" b="0"/>
            <wp:docPr id="3977"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C35766">
        <w:rPr>
          <w:rFonts w:eastAsia="Times New Roman"/>
          <w:lang w:val="it-IT"/>
        </w:rPr>
        <w:t xml:space="preserve">  Placebo</w:t>
      </w:r>
      <w:r w:rsidRPr="00C35766">
        <w:rPr>
          <w:rFonts w:eastAsia="Times New Roman"/>
          <w:lang w:val="it-IT"/>
        </w:rPr>
        <w:tab/>
      </w:r>
      <w:r w:rsidRPr="00C35766">
        <w:rPr>
          <w:rFonts w:eastAsia="Times New Roman"/>
          <w:lang w:val="it-IT"/>
        </w:rPr>
        <w:tab/>
      </w:r>
      <w:r w:rsidRPr="00C35766">
        <w:rPr>
          <w:rFonts w:eastAsia="Times New Roman"/>
          <w:lang w:val="it-IT"/>
        </w:rPr>
        <w:tab/>
        <w:t>Adalimumab</w:t>
      </w:r>
    </w:p>
    <w:p w14:paraId="09AB1EBB" w14:textId="77777777" w:rsidR="0075524C" w:rsidRPr="00C35766" w:rsidRDefault="0075524C" w:rsidP="0075524C">
      <w:pPr>
        <w:pStyle w:val="a3"/>
        <w:rPr>
          <w:lang w:val="pt-BR"/>
        </w:rPr>
      </w:pPr>
      <w:r w:rsidRPr="00C35766">
        <w:rPr>
          <w:rFonts w:eastAsia="Times New Roman"/>
          <w:lang w:val="it-IT"/>
        </w:rPr>
        <w:t>Nota: P = Placebo (numero a rischio); A = Adalimumab (numero a rischio).</w:t>
      </w:r>
    </w:p>
    <w:p w14:paraId="04C6A4CF" w14:textId="77777777" w:rsidR="0075524C" w:rsidRPr="00C35766" w:rsidRDefault="0075524C" w:rsidP="0075524C">
      <w:pPr>
        <w:pStyle w:val="a3"/>
        <w:rPr>
          <w:lang w:val="es-ES"/>
        </w:rPr>
      </w:pPr>
    </w:p>
    <w:p w14:paraId="53AD55E2" w14:textId="77777777" w:rsidR="0075524C" w:rsidRPr="00C35766" w:rsidRDefault="0075524C" w:rsidP="0075524C">
      <w:pPr>
        <w:spacing w:before="16" w:line="240" w:lineRule="exact"/>
        <w:rPr>
          <w:rFonts w:ascii="Times New Roman" w:hAnsi="Times New Roman" w:cs="Times New Roman"/>
          <w:sz w:val="24"/>
          <w:szCs w:val="24"/>
          <w:lang w:val="es-ES"/>
        </w:rPr>
      </w:pPr>
    </w:p>
    <w:p w14:paraId="3BC48EA1" w14:textId="77777777" w:rsidR="0075524C" w:rsidRPr="00C35766" w:rsidRDefault="0075524C" w:rsidP="005C2D5B">
      <w:pPr>
        <w:widowControl/>
        <w:numPr>
          <w:ilvl w:val="1"/>
          <w:numId w:val="7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Proprietà farmacocinetiche</w:t>
      </w:r>
    </w:p>
    <w:p w14:paraId="7EA08D07" w14:textId="77777777" w:rsidR="0075524C" w:rsidRPr="00C35766" w:rsidRDefault="0075524C" w:rsidP="0075524C">
      <w:pPr>
        <w:spacing w:before="9" w:line="240" w:lineRule="exact"/>
        <w:rPr>
          <w:rFonts w:ascii="Times New Roman" w:hAnsi="Times New Roman" w:cs="Times New Roman"/>
          <w:sz w:val="24"/>
          <w:szCs w:val="24"/>
        </w:rPr>
      </w:pPr>
    </w:p>
    <w:p w14:paraId="704F3DE0" w14:textId="77777777" w:rsidR="0075524C" w:rsidRPr="00C35766" w:rsidRDefault="0075524C" w:rsidP="0075524C">
      <w:pPr>
        <w:pStyle w:val="a3"/>
        <w:rPr>
          <w:u w:val="single"/>
        </w:rPr>
      </w:pPr>
      <w:r w:rsidRPr="00C35766">
        <w:rPr>
          <w:rFonts w:eastAsia="Times New Roman"/>
          <w:u w:val="single" w:color="000000"/>
          <w:lang w:val="it-IT"/>
        </w:rPr>
        <w:t>Assorbimento e distribuzione</w:t>
      </w:r>
    </w:p>
    <w:p w14:paraId="2B05AFCA" w14:textId="77777777" w:rsidR="0075524C" w:rsidRPr="00C35766" w:rsidRDefault="0075524C" w:rsidP="0075524C">
      <w:pPr>
        <w:spacing w:before="1" w:line="180" w:lineRule="exact"/>
        <w:rPr>
          <w:rFonts w:ascii="Times New Roman" w:hAnsi="Times New Roman" w:cs="Times New Roman"/>
          <w:sz w:val="18"/>
          <w:szCs w:val="18"/>
        </w:rPr>
      </w:pPr>
    </w:p>
    <w:p w14:paraId="186194DD" w14:textId="77777777" w:rsidR="0075524C" w:rsidRPr="00C35766" w:rsidRDefault="0075524C" w:rsidP="0075524C">
      <w:pPr>
        <w:pStyle w:val="a3"/>
        <w:rPr>
          <w:lang w:val="pt-BR"/>
        </w:rPr>
      </w:pPr>
      <w:r w:rsidRPr="00C35766">
        <w:rPr>
          <w:rFonts w:eastAsia="Times New Roman"/>
          <w:lang w:val="it-IT"/>
        </w:rPr>
        <w:t>In seguito alla somministrazione di 24 mg/m</w:t>
      </w:r>
      <w:r w:rsidRPr="00C35766">
        <w:rPr>
          <w:vertAlign w:val="superscript"/>
          <w:lang w:val="it-IT"/>
        </w:rPr>
        <w:t>2</w:t>
      </w:r>
      <w:r w:rsidRPr="00C35766">
        <w:rPr>
          <w:rFonts w:eastAsia="Times New Roman"/>
          <w:sz w:val="14"/>
          <w:szCs w:val="14"/>
          <w:lang w:val="it-IT"/>
        </w:rPr>
        <w:t xml:space="preserve"> </w:t>
      </w:r>
      <w:r w:rsidRPr="00C35766">
        <w:rPr>
          <w:rFonts w:eastAsia="Times New Roman"/>
          <w:lang w:val="it-IT"/>
        </w:rPr>
        <w:t>di adalimumab (massimo 40 mg) per via sottocutanea a settimane alterne a pazienti di età dai 4 ai 17 anni affetti da artrite idiopatica giovanile poliarticolare (JIA), la concentrazione sierica minima media allo stato stazionario di adalimumab (valori misurati a partire dalla settimana 20 fino alla 48) è stata pari a 5,6 ± 5,6 µg/mL (102% CV) con adalimumab senza l’uso concomitante di metotressato ed a 10,9 ± 5,2 µg/mL (47,7% CV) con metotressato somministrato in concomitanza.</w:t>
      </w:r>
    </w:p>
    <w:p w14:paraId="7298AD5C" w14:textId="77777777" w:rsidR="0075524C" w:rsidRPr="00C35766" w:rsidRDefault="0075524C" w:rsidP="0075524C">
      <w:pPr>
        <w:spacing w:before="13" w:line="240" w:lineRule="exact"/>
        <w:rPr>
          <w:rFonts w:ascii="Times New Roman" w:hAnsi="Times New Roman" w:cs="Times New Roman"/>
          <w:sz w:val="24"/>
          <w:szCs w:val="24"/>
          <w:lang w:val="pt-BR"/>
        </w:rPr>
      </w:pPr>
    </w:p>
    <w:p w14:paraId="663FA2C6" w14:textId="77777777" w:rsidR="0075524C" w:rsidRPr="00C35766" w:rsidRDefault="0075524C" w:rsidP="0075524C">
      <w:pPr>
        <w:pStyle w:val="a3"/>
        <w:rPr>
          <w:lang w:val="pt-BR"/>
        </w:rPr>
      </w:pPr>
      <w:r w:rsidRPr="00C35766">
        <w:rPr>
          <w:rFonts w:eastAsia="Times New Roman"/>
          <w:lang w:val="it-IT"/>
        </w:rPr>
        <w:t>Nei pazienti affetti da artrite giovanile poliarticolare idiopatica che avevano da 2 a 4 anni di età (inclusi pazienti di 4 anni di età) e di peso &lt; 15 kg trattati con adalimumab alla dose di 24 mg/m</w:t>
      </w:r>
      <w:r w:rsidRPr="00C35766">
        <w:rPr>
          <w:vertAlign w:val="superscript"/>
          <w:lang w:val="it-IT"/>
        </w:rPr>
        <w:t>2</w:t>
      </w:r>
      <w:r w:rsidRPr="00C35766">
        <w:rPr>
          <w:rFonts w:eastAsia="Times New Roman"/>
          <w:lang w:val="it-IT"/>
        </w:rPr>
        <w:t>, la mediadelle concentrazioni sieriche minime di adalimumab allo stato stazionario è stata 6,0 ± 6,1 µg/mL (101% CV) per adalimumab senza terapia concomitante con metotressato e 7,9 ± 5,6 µg/mL (71,2% CV) con terapia concomitante con metotressato.</w:t>
      </w:r>
    </w:p>
    <w:p w14:paraId="3254659D" w14:textId="77777777" w:rsidR="0075524C" w:rsidRPr="00C35766" w:rsidRDefault="0075524C" w:rsidP="0075524C">
      <w:pPr>
        <w:spacing w:before="6" w:line="240" w:lineRule="exact"/>
        <w:rPr>
          <w:rFonts w:ascii="Times New Roman" w:hAnsi="Times New Roman" w:cs="Times New Roman"/>
          <w:sz w:val="24"/>
          <w:szCs w:val="24"/>
          <w:lang w:val="pt-BR"/>
        </w:rPr>
      </w:pPr>
    </w:p>
    <w:p w14:paraId="0B377306" w14:textId="324867C1" w:rsidR="0075524C" w:rsidRPr="00C35766" w:rsidRDefault="0075524C" w:rsidP="0075524C">
      <w:pPr>
        <w:pStyle w:val="a3"/>
        <w:rPr>
          <w:sz w:val="24"/>
          <w:szCs w:val="24"/>
          <w:lang w:val="pt-BR"/>
        </w:rPr>
      </w:pPr>
      <w:r w:rsidRPr="00C35766">
        <w:rPr>
          <w:rFonts w:eastAsia="Times New Roman"/>
          <w:lang w:val="it-IT"/>
        </w:rPr>
        <w:t>A seguito della somministrazione sottocutanea di 24 mg/m</w:t>
      </w:r>
      <w:r w:rsidRPr="00C35766">
        <w:rPr>
          <w:vertAlign w:val="superscript"/>
          <w:lang w:val="it-IT"/>
        </w:rPr>
        <w:t>2</w:t>
      </w:r>
      <w:r w:rsidRPr="00C35766">
        <w:rPr>
          <w:rFonts w:eastAsia="Times New Roman"/>
          <w:sz w:val="14"/>
          <w:szCs w:val="14"/>
          <w:lang w:val="it-IT"/>
        </w:rPr>
        <w:t xml:space="preserve"> </w:t>
      </w:r>
      <w:r w:rsidRPr="00C35766">
        <w:rPr>
          <w:rFonts w:eastAsia="Times New Roman"/>
          <w:lang w:val="it-IT"/>
        </w:rPr>
        <w:t>(massimo 40 mg), a settimane alterne a pazienti di età compresa tra 6 e 17 anni con artrite associata ad entesite, le concentrazioni sieriche medie minime di adalimumab allo stato stazionario (valori misurati alla settimana 24) sono state di 8,8 ± 6,6 μg/mL per adalimumab senza l’uso concomitante di metotressato e di 11,8 ± 4,3 μg/mL in co-somministrazione con metotressato.</w:t>
      </w:r>
    </w:p>
    <w:p w14:paraId="64D84EBC" w14:textId="77777777" w:rsidR="0075524C" w:rsidRPr="00C35766" w:rsidRDefault="0075524C" w:rsidP="0075524C">
      <w:pPr>
        <w:spacing w:before="11" w:line="240" w:lineRule="exact"/>
        <w:rPr>
          <w:rFonts w:ascii="Times New Roman" w:hAnsi="Times New Roman" w:cs="Times New Roman"/>
          <w:sz w:val="24"/>
          <w:szCs w:val="24"/>
          <w:lang w:val="pt-BR"/>
        </w:rPr>
      </w:pPr>
    </w:p>
    <w:p w14:paraId="595171EE" w14:textId="77777777" w:rsidR="0075524C" w:rsidRPr="00C35766" w:rsidRDefault="0075524C" w:rsidP="0075524C">
      <w:pPr>
        <w:pStyle w:val="a3"/>
        <w:rPr>
          <w:lang w:val="pt-BR"/>
        </w:rPr>
      </w:pPr>
      <w:r w:rsidRPr="00C35766">
        <w:rPr>
          <w:rFonts w:eastAsia="Times New Roman"/>
          <w:lang w:val="it-IT"/>
        </w:rPr>
        <w:lastRenderedPageBreak/>
        <w:t>Dopo la somministrazione di 0,8 mg/kg (massimo 40 mg) per via sottocutanea a settimane alterne nei pazienti pediatrici con psoriasi cronica a placche, la concentrazione media (±SD) minima di adalimumab allo stato stazionario era circa 7,4 ± 5,8 µg/mL (79% CV).</w:t>
      </w:r>
    </w:p>
    <w:p w14:paraId="3D603002" w14:textId="77777777" w:rsidR="0075524C" w:rsidRPr="00C35766" w:rsidRDefault="0075524C" w:rsidP="0075524C">
      <w:pPr>
        <w:spacing w:before="11" w:line="240" w:lineRule="exact"/>
        <w:rPr>
          <w:rFonts w:ascii="Times New Roman" w:hAnsi="Times New Roman" w:cs="Times New Roman"/>
          <w:sz w:val="24"/>
          <w:szCs w:val="24"/>
          <w:lang w:val="it-IT"/>
        </w:rPr>
      </w:pPr>
    </w:p>
    <w:p w14:paraId="2E1E9871" w14:textId="77777777" w:rsidR="0075524C" w:rsidRPr="00C35766" w:rsidRDefault="0075524C" w:rsidP="0075524C">
      <w:pPr>
        <w:pStyle w:val="a3"/>
        <w:rPr>
          <w:lang w:val="it-IT"/>
        </w:rPr>
      </w:pPr>
      <w:r w:rsidRPr="00C35766">
        <w:rPr>
          <w:rFonts w:eastAsia="Times New Roman"/>
          <w:lang w:val="it-IT"/>
        </w:rPr>
        <w:t xml:space="preserve">Nei pazienti pediatrici con MC di grado da moderato a severo, la dose di induzione di adalimumab in aperto era 160/80 mg o 80/40 mg alle settimane 0 e 2, rispettivamente, a seconda del cut-off del peso corporeo a 40 kg. Alla settimana 4, i pazienti erano randomizzati 1:1 sulla base del peso corporeo nei gruppi del trattamento di mantenimento o alla Dose Standard (40/20 mg a settimane alterne) o alla Dose Bassa (20/10 mg a settimane alterne). Le concentrazioni sieriche medie (±SD) dei livelli minimi di adalimumab raggiunte alla settimana 4 erano 15,7±6,6 </w:t>
      </w:r>
      <w:r w:rsidRPr="00C35766">
        <w:rPr>
          <w:rFonts w:eastAsia="Symbol"/>
          <w:lang w:val="it-IT"/>
        </w:rPr>
        <w:sym w:font="Symbol" w:char="F06D"/>
      </w:r>
      <w:r w:rsidRPr="00C35766">
        <w:rPr>
          <w:rFonts w:eastAsia="Times New Roman"/>
          <w:lang w:val="it-IT"/>
        </w:rPr>
        <w:t xml:space="preserve">g/mL per i pazienti ≥ 40 kg (160/80 mg) e 10,6±6,1 </w:t>
      </w:r>
      <w:r w:rsidRPr="00C35766">
        <w:rPr>
          <w:rFonts w:eastAsia="Symbol"/>
          <w:lang w:val="it-IT"/>
        </w:rPr>
        <w:sym w:font="Symbol" w:char="F06D"/>
      </w:r>
      <w:r w:rsidRPr="00C35766">
        <w:rPr>
          <w:rFonts w:eastAsia="Times New Roman"/>
          <w:lang w:val="it-IT"/>
        </w:rPr>
        <w:t>g/mL per i pazienti &lt; 40 kg (80/40 mg).</w:t>
      </w:r>
    </w:p>
    <w:p w14:paraId="66CAE71D" w14:textId="77777777" w:rsidR="0075524C" w:rsidRPr="00C35766" w:rsidRDefault="0075524C" w:rsidP="0075524C">
      <w:pPr>
        <w:spacing w:before="7" w:line="240" w:lineRule="exact"/>
        <w:rPr>
          <w:rFonts w:ascii="Times New Roman" w:hAnsi="Times New Roman" w:cs="Times New Roman"/>
          <w:sz w:val="24"/>
          <w:szCs w:val="24"/>
          <w:lang w:val="it-IT"/>
        </w:rPr>
      </w:pPr>
    </w:p>
    <w:p w14:paraId="5A5E4980" w14:textId="2A3EBDD8" w:rsidR="0075524C" w:rsidRPr="00C35766" w:rsidRDefault="0075524C" w:rsidP="005C2D5B">
      <w:pPr>
        <w:pStyle w:val="a3"/>
        <w:rPr>
          <w:lang w:val="it-IT"/>
        </w:rPr>
      </w:pPr>
      <w:r w:rsidRPr="00C35766">
        <w:rPr>
          <w:rFonts w:eastAsia="Times New Roman"/>
          <w:lang w:val="it-IT"/>
        </w:rPr>
        <w:t xml:space="preserve">Per i pazienti che rimanevano nella loro terapia randomizzata, le concentrazioni medie dei livelli minimi (±SD) di adalimumab alla settimana 52 erano 9,5±5,6 </w:t>
      </w:r>
      <w:r w:rsidRPr="00C35766">
        <w:rPr>
          <w:rFonts w:eastAsia="Symbol"/>
          <w:lang w:val="it-IT"/>
        </w:rPr>
        <w:sym w:font="Symbol" w:char="F06D"/>
      </w:r>
      <w:r w:rsidRPr="00C35766">
        <w:rPr>
          <w:rFonts w:eastAsia="Times New Roman"/>
          <w:lang w:val="it-IT"/>
        </w:rPr>
        <w:t xml:space="preserve">g/mL per il gruppo a Dose Standard e 3,5±2,2 </w:t>
      </w:r>
      <w:r w:rsidRPr="00C35766">
        <w:rPr>
          <w:rFonts w:eastAsia="Symbol"/>
          <w:lang w:val="it-IT"/>
        </w:rPr>
        <w:sym w:font="Symbol" w:char="F06D"/>
      </w:r>
      <w:r w:rsidRPr="00C35766">
        <w:rPr>
          <w:rFonts w:eastAsia="Times New Roman"/>
          <w:lang w:val="it-IT"/>
        </w:rPr>
        <w:t>g/mL per il gruppo a Bassa Dose. Le concentrazioni medie dei livelli minimi erano mantenute nei pazienti che continuavano a ricevere il trattamento di adalimumab a settimane alterne per 52 settimane. Per i pazienti che aumentavano la dose da un regime a settimane alterne a uno settimanale, le concentrazioni sieriche medie (±SD) di adalimumab alla settimana 52 erano 15,3±11,4μg/mL (40/20 mg, a settimana) e 6,7±3,5 μg/mL (20/10 mg, a settimana).</w:t>
      </w:r>
    </w:p>
    <w:p w14:paraId="0E323991" w14:textId="77777777" w:rsidR="0075524C" w:rsidRPr="00C35766" w:rsidRDefault="0075524C" w:rsidP="0075524C">
      <w:pPr>
        <w:spacing w:before="13" w:line="240" w:lineRule="exact"/>
        <w:rPr>
          <w:rFonts w:ascii="Times New Roman" w:hAnsi="Times New Roman" w:cs="Times New Roman"/>
          <w:sz w:val="24"/>
          <w:szCs w:val="24"/>
          <w:lang w:val="it-IT"/>
        </w:rPr>
      </w:pPr>
    </w:p>
    <w:p w14:paraId="37D737D5" w14:textId="77777777" w:rsidR="0075524C" w:rsidRPr="00C35766" w:rsidRDefault="0075524C" w:rsidP="0075524C">
      <w:pPr>
        <w:pStyle w:val="a3"/>
        <w:rPr>
          <w:lang w:val="it-IT"/>
        </w:rPr>
      </w:pPr>
      <w:r w:rsidRPr="00C35766">
        <w:rPr>
          <w:rFonts w:eastAsia="Times New Roman"/>
          <w:lang w:val="it-IT"/>
        </w:rPr>
        <w:t>L’esposizione ad adalimumab nei pazienti pediatrici con uveite è stata predetta usando modelli e simulazione farmacocinetici di popolazione basati sulla farmacocinetica cross-indicazione in altri pazienti pediatrici (psoriasi pediatrica, artrite idiopatica giovanile, malattia di Crohn pediatrica e artrite associata ad entesite). Non sono disponibili dati sull’esposizione clinica relativi all’uso di una dose di carico nei bambini di età inferiore ai 6 anni. Le esposizioni previste indicano che in assenza di metotressato una dose di carico potrebbe causare un aumento iniziale dell’esposizione sistemica.</w:t>
      </w:r>
    </w:p>
    <w:p w14:paraId="5685BD25" w14:textId="77777777" w:rsidR="0075524C" w:rsidRPr="00C35766" w:rsidRDefault="0075524C" w:rsidP="0075524C">
      <w:pPr>
        <w:spacing w:before="13" w:line="240" w:lineRule="exact"/>
        <w:rPr>
          <w:rFonts w:ascii="Times New Roman" w:hAnsi="Times New Roman" w:cs="Times New Roman"/>
          <w:sz w:val="24"/>
          <w:szCs w:val="24"/>
          <w:lang w:val="it-IT"/>
        </w:rPr>
      </w:pPr>
    </w:p>
    <w:p w14:paraId="0BE4E462" w14:textId="77777777" w:rsidR="0075524C" w:rsidRPr="00C35766" w:rsidRDefault="0075524C" w:rsidP="0075524C">
      <w:pPr>
        <w:pStyle w:val="a3"/>
        <w:rPr>
          <w:u w:val="single"/>
          <w:lang w:val="it-IT"/>
        </w:rPr>
      </w:pPr>
      <w:r w:rsidRPr="00C35766">
        <w:rPr>
          <w:rFonts w:eastAsia="Times New Roman"/>
          <w:u w:val="single" w:color="000000"/>
          <w:lang w:val="it-IT"/>
        </w:rPr>
        <w:t>Rapporto esposizione-risposta nella popolazione pediatrica</w:t>
      </w:r>
    </w:p>
    <w:p w14:paraId="671A4649" w14:textId="77777777" w:rsidR="0075524C" w:rsidRPr="00C35766" w:rsidRDefault="0075524C" w:rsidP="0075524C">
      <w:pPr>
        <w:pStyle w:val="a3"/>
        <w:rPr>
          <w:lang w:val="it-IT"/>
        </w:rPr>
      </w:pPr>
    </w:p>
    <w:p w14:paraId="760751AE" w14:textId="77777777" w:rsidR="0075524C" w:rsidRPr="00C35766" w:rsidRDefault="0075524C" w:rsidP="0075524C">
      <w:pPr>
        <w:pStyle w:val="a3"/>
        <w:rPr>
          <w:lang w:val="it-IT"/>
        </w:rPr>
      </w:pPr>
      <w:r w:rsidRPr="00C35766">
        <w:rPr>
          <w:rFonts w:eastAsia="Times New Roman"/>
          <w:lang w:val="it-IT"/>
        </w:rPr>
        <w:t>Sulla base dei risultati degli studi clinici in pazienti con JIA (pJIA e ERA), è stato stabilito un rapporto esposizione-risposta tra le concentrazioni plasmatiche e la risposta PedACR 50.  La concentrazione plasmatica apparente di adalimumab che produce metà della massima probabilità di risposta PedACR 50 (EC50) è stata 3 μg/mL (95% IC: 1-6 μg/ml).</w:t>
      </w:r>
    </w:p>
    <w:p w14:paraId="11D58762" w14:textId="77777777" w:rsidR="0075524C" w:rsidRPr="00C35766" w:rsidRDefault="0075524C" w:rsidP="0075524C">
      <w:pPr>
        <w:spacing w:before="13" w:line="240" w:lineRule="exact"/>
        <w:rPr>
          <w:rFonts w:ascii="Times New Roman" w:hAnsi="Times New Roman" w:cs="Times New Roman"/>
          <w:sz w:val="24"/>
          <w:szCs w:val="24"/>
          <w:lang w:val="it-IT"/>
        </w:rPr>
      </w:pPr>
    </w:p>
    <w:p w14:paraId="47B78827" w14:textId="77777777" w:rsidR="0075524C" w:rsidRPr="00C35766" w:rsidRDefault="0075524C" w:rsidP="0075524C">
      <w:pPr>
        <w:pStyle w:val="a3"/>
        <w:rPr>
          <w:lang w:val="it-IT"/>
        </w:rPr>
      </w:pPr>
      <w:r w:rsidRPr="00C35766">
        <w:rPr>
          <w:rFonts w:eastAsia="Times New Roman"/>
          <w:lang w:val="it-IT"/>
        </w:rPr>
        <w:t>I rapporti esposizione-risposta tra la concentrazione di adalimumab e l’efficacia in pazienti pediatrici affetti da psoriasi cronica a placche di grado severo sono stati stabiliti per PASI 75 e PGA corrispondente a remissione totale della malattia o a persistenza di malattia minima rispettivamente. PASI 75 e PGA corrispondente a remissione totale della malattia o a persistenza di malattia minima sono aumentati all’aumentare delle concentrazioni di adalimumab, entrambi con una simile EC50 apparente di circa 4,5 μg/mL (95% IC 0,4-47,6 e 1,9-10,5, rispettivamente).</w:t>
      </w:r>
    </w:p>
    <w:p w14:paraId="66EF19EE" w14:textId="7C8C301D" w:rsidR="0075524C" w:rsidRDefault="0075524C" w:rsidP="0075524C">
      <w:pPr>
        <w:spacing w:before="13" w:line="240" w:lineRule="exact"/>
        <w:rPr>
          <w:rFonts w:ascii="Times New Roman" w:hAnsi="Times New Roman" w:cs="Times New Roman"/>
          <w:sz w:val="24"/>
          <w:szCs w:val="24"/>
          <w:lang w:val="it-IT"/>
        </w:rPr>
      </w:pPr>
    </w:p>
    <w:p w14:paraId="439CC013" w14:textId="57E5C1AE" w:rsidR="00F729F7" w:rsidRPr="005C2D5B" w:rsidRDefault="00F729F7" w:rsidP="005C2D5B">
      <w:pPr>
        <w:pStyle w:val="a3"/>
        <w:rPr>
          <w:rFonts w:eastAsia="Times New Roman"/>
          <w:u w:val="single" w:color="000000"/>
          <w:lang w:val="it-IT"/>
        </w:rPr>
      </w:pPr>
      <w:r w:rsidRPr="005C2D5B">
        <w:rPr>
          <w:rFonts w:eastAsia="Times New Roman"/>
          <w:u w:val="single" w:color="000000"/>
          <w:lang w:val="it-IT"/>
        </w:rPr>
        <w:t>Adulti</w:t>
      </w:r>
    </w:p>
    <w:p w14:paraId="24441F1B" w14:textId="77777777" w:rsidR="00F729F7" w:rsidRDefault="00F729F7" w:rsidP="0075524C">
      <w:pPr>
        <w:spacing w:before="13" w:line="240" w:lineRule="exact"/>
        <w:rPr>
          <w:rFonts w:ascii="Times New Roman" w:hAnsi="Times New Roman" w:cs="Times New Roman"/>
          <w:sz w:val="24"/>
          <w:szCs w:val="24"/>
          <w:lang w:val="it-IT"/>
        </w:rPr>
      </w:pPr>
    </w:p>
    <w:p w14:paraId="62959EF0" w14:textId="77777777" w:rsidR="008F2D34" w:rsidRPr="00C35766" w:rsidRDefault="008F2D34" w:rsidP="008F2D34">
      <w:pPr>
        <w:pStyle w:val="a3"/>
        <w:rPr>
          <w:lang w:val="it-IT"/>
        </w:rPr>
      </w:pPr>
      <w:r w:rsidRPr="00C35766">
        <w:rPr>
          <w:rFonts w:eastAsia="Times New Roman"/>
          <w:lang w:val="it-IT"/>
        </w:rPr>
        <w:t>Dopo la somministrazione sottocutanea di una singola dose di 40 mg, l’assorbimento e la distribuzione di adalimumab sono stati lenti, con picchi di concentrazione sierica raggiunti circa 5 giorni dopo la somministrazione. La biodisponibilità media assoluta di adalimumab rilevata nei tre studi dopo un’unica dose sottocutanea di 40 mg è stata del 64%. Dopo dosi endovenose singole da 0,25 a 10 mg/kg, le concentrazioni sono state proporzionali alla dose. Dopo dosi di 0,5 mg/kg (~40 mg), la clearance è variata da 11 a 15 mL/ora, il volume di distribuzione (V</w:t>
      </w:r>
      <w:r w:rsidRPr="00C35766">
        <w:rPr>
          <w:rFonts w:eastAsia="Times New Roman"/>
          <w:sz w:val="14"/>
          <w:szCs w:val="14"/>
          <w:lang w:val="it-IT"/>
        </w:rPr>
        <w:t>ss</w:t>
      </w:r>
      <w:r w:rsidRPr="00C35766">
        <w:rPr>
          <w:rFonts w:eastAsia="Times New Roman"/>
          <w:lang w:val="it-IT"/>
        </w:rPr>
        <w:t>) è variato dai 5 ai 6 litri, e l’emivita media della fase finale è stata di circa due settimane. Le concentrazioni di adalimumab nel liquido sinoviale in diversi pazienti affetti da artrite reumatoide sono state del 31-96% rispetto a quelle sieriche.</w:t>
      </w:r>
    </w:p>
    <w:p w14:paraId="20FF5AFF" w14:textId="77777777" w:rsidR="008F2D34" w:rsidRPr="00C35766" w:rsidRDefault="008F2D34" w:rsidP="008F2D34">
      <w:pPr>
        <w:spacing w:before="14" w:line="240" w:lineRule="exact"/>
        <w:rPr>
          <w:rFonts w:ascii="Times New Roman" w:hAnsi="Times New Roman" w:cs="Times New Roman"/>
          <w:sz w:val="24"/>
          <w:szCs w:val="24"/>
          <w:lang w:val="it-IT"/>
        </w:rPr>
      </w:pPr>
    </w:p>
    <w:p w14:paraId="7F529B23" w14:textId="77777777" w:rsidR="008F2D34" w:rsidRPr="00C35766" w:rsidRDefault="008F2D34" w:rsidP="008F2D34">
      <w:pPr>
        <w:pStyle w:val="a3"/>
        <w:rPr>
          <w:lang w:val="pt-BR"/>
        </w:rPr>
      </w:pPr>
      <w:r w:rsidRPr="00C35766">
        <w:rPr>
          <w:rFonts w:eastAsia="Times New Roman"/>
          <w:lang w:val="it-IT"/>
        </w:rPr>
        <w:t xml:space="preserve">In seguito a somministrazione sottocutanea di 40 mg di adalimumab ogni due settimane in pazienti adulti con artrite reumatoide (AR) le concentrazioni minime allo stato stazionario sono state in media di circa 5 </w:t>
      </w:r>
      <w:r w:rsidRPr="00C35766">
        <w:rPr>
          <w:rFonts w:eastAsia="Symbol"/>
          <w:lang w:val="it-IT"/>
        </w:rPr>
        <w:lastRenderedPageBreak/>
        <w:sym w:font="Symbol" w:char="F06D"/>
      </w:r>
      <w:r w:rsidRPr="00C35766">
        <w:rPr>
          <w:rFonts w:eastAsia="Times New Roman"/>
          <w:lang w:val="it-IT"/>
        </w:rPr>
        <w:t xml:space="preserve">g/mL (senza terapia concomitante con metotressato) e 8-9 </w:t>
      </w:r>
      <w:r w:rsidRPr="00C35766">
        <w:rPr>
          <w:rFonts w:eastAsia="Symbol"/>
          <w:lang w:val="it-IT"/>
        </w:rPr>
        <w:sym w:font="Symbol" w:char="F06D"/>
      </w:r>
      <w:r w:rsidRPr="00C35766">
        <w:rPr>
          <w:rFonts w:eastAsia="Times New Roman"/>
          <w:lang w:val="it-IT"/>
        </w:rPr>
        <w:t>g/mL (in associazione con metotressato). I livelli sierici minimi di adalimumab allo stato stazionario a seguito di dosaggi sottocutanei da 20, 40 e 80 mg ogni 2 settimane e settimanalmente sono aumentati approssimativamente in maniera pressoché dose-dipendente.</w:t>
      </w:r>
    </w:p>
    <w:p w14:paraId="1F1677E4" w14:textId="77777777" w:rsidR="008F2D34" w:rsidRPr="00C35766" w:rsidRDefault="008F2D34" w:rsidP="008F2D34">
      <w:pPr>
        <w:spacing w:before="8" w:line="240" w:lineRule="exact"/>
        <w:rPr>
          <w:rFonts w:ascii="Times New Roman" w:hAnsi="Times New Roman" w:cs="Times New Roman"/>
          <w:sz w:val="24"/>
          <w:szCs w:val="24"/>
          <w:lang w:val="pt-BR"/>
        </w:rPr>
      </w:pPr>
    </w:p>
    <w:p w14:paraId="3211AD06" w14:textId="77777777" w:rsidR="00F729F7" w:rsidRPr="00C35766" w:rsidRDefault="00F729F7" w:rsidP="00F729F7">
      <w:pPr>
        <w:pStyle w:val="a3"/>
        <w:rPr>
          <w:lang w:val="pt-BR"/>
        </w:rPr>
      </w:pPr>
      <w:r w:rsidRPr="00C35766">
        <w:rPr>
          <w:rFonts w:eastAsia="Times New Roman"/>
          <w:lang w:val="it-IT"/>
        </w:rPr>
        <w:t xml:space="preserve">Nei pazienti adulti affetti da psoriasi la concentrazione minima allo stato stazionario è risultata essere in media di circa 5 </w:t>
      </w:r>
      <w:r w:rsidRPr="00C35766">
        <w:rPr>
          <w:rFonts w:eastAsia="Symbol"/>
          <w:lang w:val="it-IT"/>
        </w:rPr>
        <w:sym w:font="Symbol" w:char="F06D"/>
      </w:r>
      <w:r w:rsidRPr="00C35766">
        <w:rPr>
          <w:rFonts w:eastAsia="Times New Roman"/>
          <w:lang w:val="it-IT"/>
        </w:rPr>
        <w:t>g/mL durante il trattamento con una dose di adalimumab pari a 40 mg, somministrata a settimane alterne, in monoterapia.</w:t>
      </w:r>
    </w:p>
    <w:p w14:paraId="31CA385F" w14:textId="1934338C" w:rsidR="00F729F7" w:rsidRPr="005C2D5B" w:rsidRDefault="00F729F7" w:rsidP="0075524C">
      <w:pPr>
        <w:spacing w:before="13" w:line="240" w:lineRule="exact"/>
        <w:rPr>
          <w:rFonts w:ascii="Times New Roman" w:hAnsi="Times New Roman" w:cs="Times New Roman"/>
          <w:sz w:val="24"/>
          <w:szCs w:val="24"/>
          <w:lang w:val="pt-BR"/>
        </w:rPr>
      </w:pPr>
    </w:p>
    <w:p w14:paraId="31D13808" w14:textId="77777777" w:rsidR="008F2D34" w:rsidRPr="00C35766" w:rsidRDefault="008F2D34" w:rsidP="008F2D34">
      <w:pPr>
        <w:pStyle w:val="a3"/>
        <w:rPr>
          <w:lang w:val="it-IT"/>
        </w:rPr>
      </w:pPr>
      <w:r w:rsidRPr="00C35766">
        <w:rPr>
          <w:rFonts w:eastAsia="Times New Roman"/>
          <w:lang w:val="it-IT"/>
        </w:rPr>
        <w:t xml:space="preserve">Nei pazienti con malattia di Crohn, la dose di carico con 80 mg di adalimumab alla settimana 0 seguita da 40 mg di adalimumab alla settimana 2 ha ottenuto concentrazioni sieriche minime di adalimumab di circa 5,5 </w:t>
      </w:r>
      <w:r w:rsidRPr="00C35766">
        <w:rPr>
          <w:rFonts w:eastAsia="Symbol"/>
          <w:lang w:val="it-IT"/>
        </w:rPr>
        <w:sym w:font="Symbol" w:char="F06D"/>
      </w:r>
      <w:r w:rsidRPr="00C35766">
        <w:rPr>
          <w:rFonts w:eastAsia="Times New Roman"/>
          <w:lang w:val="it-IT"/>
        </w:rPr>
        <w:t xml:space="preserve">g/mL durante il periodo di induzione. Una dose di carico con 160 mg di adalimumab alla settimana 0 seguita da 80 mg di adalimumab alla settimana 2 ha ottenuto concentrazioni sieriche minime di adalimumab di circa 12 </w:t>
      </w:r>
      <w:r w:rsidRPr="00C35766">
        <w:rPr>
          <w:rFonts w:eastAsia="Symbol"/>
          <w:lang w:val="it-IT"/>
        </w:rPr>
        <w:sym w:font="Symbol" w:char="F06D"/>
      </w:r>
      <w:r w:rsidRPr="00C35766">
        <w:rPr>
          <w:rFonts w:eastAsia="Times New Roman"/>
          <w:lang w:val="it-IT"/>
        </w:rPr>
        <w:t xml:space="preserve">g/mL durante il periodo di induzione. Sono stati osservati livelli medi minimi allo stato stazionario di circa 7 </w:t>
      </w:r>
      <w:r w:rsidRPr="00C35766">
        <w:rPr>
          <w:rFonts w:eastAsia="Symbol"/>
          <w:lang w:val="it-IT"/>
        </w:rPr>
        <w:sym w:font="Symbol" w:char="F06D"/>
      </w:r>
      <w:r w:rsidRPr="00C35766">
        <w:rPr>
          <w:rFonts w:eastAsia="Times New Roman"/>
          <w:lang w:val="it-IT"/>
        </w:rPr>
        <w:t>g/mL nei pazienti con malattia di Crohn che hanno ricevuto una dose di mantenimento di 40 mg di adalimumab ogni due settimane.</w:t>
      </w:r>
    </w:p>
    <w:p w14:paraId="02AA4779" w14:textId="50509E63" w:rsidR="00F729F7" w:rsidRDefault="00F729F7" w:rsidP="0075524C">
      <w:pPr>
        <w:spacing w:before="13" w:line="240" w:lineRule="exact"/>
        <w:rPr>
          <w:rFonts w:ascii="Times New Roman" w:hAnsi="Times New Roman" w:cs="Times New Roman"/>
          <w:sz w:val="24"/>
          <w:szCs w:val="24"/>
          <w:lang w:val="it-IT"/>
        </w:rPr>
      </w:pPr>
    </w:p>
    <w:p w14:paraId="6D889E93" w14:textId="77777777" w:rsidR="00F729F7" w:rsidRPr="00C35766" w:rsidRDefault="00F729F7" w:rsidP="00F729F7">
      <w:pPr>
        <w:pStyle w:val="a3"/>
        <w:rPr>
          <w:lang w:val="it-IT"/>
        </w:rPr>
      </w:pPr>
      <w:r w:rsidRPr="00C35766">
        <w:rPr>
          <w:rFonts w:eastAsia="Times New Roman"/>
          <w:spacing w:val="-2"/>
          <w:lang w:val="it-IT"/>
        </w:rPr>
        <w:t xml:space="preserve">Nei pazienti adulti affetti da uveite, una dose di carico di 80 mg di adalimumab alla settimana 0 seguita da 40 mg di adalimumab a settimane alterne a partire dalla settimana 1 ha determinato concentrazioni medie allo stato stazionario di circa 8-10 </w:t>
      </w:r>
      <w:r w:rsidRPr="00C35766">
        <w:rPr>
          <w:rFonts w:eastAsia="Symbol"/>
          <w:spacing w:val="-2"/>
          <w:lang w:val="it-IT"/>
        </w:rPr>
        <w:sym w:font="Symbol" w:char="F06D"/>
      </w:r>
      <w:r w:rsidRPr="00C35766">
        <w:rPr>
          <w:rFonts w:eastAsia="Times New Roman"/>
          <w:spacing w:val="-2"/>
          <w:lang w:val="it-IT"/>
        </w:rPr>
        <w:t>g/ml.</w:t>
      </w:r>
    </w:p>
    <w:p w14:paraId="3FD91D12" w14:textId="00799CD5" w:rsidR="00F729F7" w:rsidRPr="005C2D5B" w:rsidRDefault="00F729F7" w:rsidP="0075524C">
      <w:pPr>
        <w:spacing w:before="13" w:line="240" w:lineRule="exact"/>
        <w:rPr>
          <w:rFonts w:ascii="Times New Roman" w:hAnsi="Times New Roman" w:cs="Times New Roman"/>
          <w:sz w:val="24"/>
          <w:szCs w:val="24"/>
          <w:lang w:val="it-IT"/>
        </w:rPr>
      </w:pPr>
    </w:p>
    <w:p w14:paraId="5482569E" w14:textId="0583A855" w:rsidR="00F729F7" w:rsidRPr="005C2D5B" w:rsidRDefault="008F2D34" w:rsidP="005C2D5B">
      <w:pPr>
        <w:pStyle w:val="a3"/>
        <w:rPr>
          <w:lang w:val="it-IT"/>
        </w:rPr>
      </w:pPr>
      <w:r w:rsidRPr="00C35766">
        <w:rPr>
          <w:rFonts w:eastAsia="Times New Roman"/>
          <w:lang w:val="it-IT"/>
        </w:rPr>
        <w:t>Dal modello e dalla simulazione farmacocinetici e farmacocinetici/ farmacodinamici di popolazione è stato previsto che l’esposizione e l'efficacia di adalimumab sono paragonabili in pazienti trattati con 80 mg a settimane alterne e in quelli trattati con 40 mg ogni settimana (compresi i pazienti adulti con AR, HS, CU, MC o Ps, pazienti adolescenti con HS e pazienti pediatrici ≥ 40 kg con MC</w:t>
      </w:r>
      <w:r w:rsidRPr="00C35766">
        <w:rPr>
          <w:color w:val="000000"/>
          <w:lang w:val="it-IT"/>
        </w:rPr>
        <w:t xml:space="preserve"> e CU</w:t>
      </w:r>
      <w:r w:rsidRPr="00C35766">
        <w:rPr>
          <w:rFonts w:eastAsia="Times New Roman"/>
          <w:lang w:val="it-IT"/>
        </w:rPr>
        <w:t>).</w:t>
      </w:r>
    </w:p>
    <w:p w14:paraId="17E27197" w14:textId="77777777" w:rsidR="00F729F7" w:rsidRPr="00C35766" w:rsidRDefault="00F729F7" w:rsidP="0075524C">
      <w:pPr>
        <w:spacing w:before="13" w:line="240" w:lineRule="exact"/>
        <w:rPr>
          <w:rFonts w:ascii="Times New Roman" w:hAnsi="Times New Roman" w:cs="Times New Roman"/>
          <w:sz w:val="24"/>
          <w:szCs w:val="24"/>
          <w:lang w:val="it-IT"/>
        </w:rPr>
      </w:pPr>
    </w:p>
    <w:p w14:paraId="7DC2B086" w14:textId="77777777" w:rsidR="0075524C" w:rsidRPr="00C35766" w:rsidRDefault="0075524C" w:rsidP="0075524C">
      <w:pPr>
        <w:pStyle w:val="a3"/>
        <w:rPr>
          <w:u w:val="single"/>
          <w:lang w:val="es-ES"/>
        </w:rPr>
      </w:pPr>
      <w:r w:rsidRPr="00C35766">
        <w:rPr>
          <w:rFonts w:eastAsia="Times New Roman"/>
          <w:u w:val="single" w:color="000000"/>
          <w:lang w:val="it-IT"/>
        </w:rPr>
        <w:t>Eliminazione</w:t>
      </w:r>
    </w:p>
    <w:p w14:paraId="30FB088E" w14:textId="77777777" w:rsidR="0075524C" w:rsidRPr="00C35766" w:rsidRDefault="0075524C" w:rsidP="0075524C">
      <w:pPr>
        <w:spacing w:before="1" w:line="180" w:lineRule="exact"/>
        <w:rPr>
          <w:rFonts w:ascii="Times New Roman" w:hAnsi="Times New Roman" w:cs="Times New Roman"/>
          <w:sz w:val="18"/>
          <w:szCs w:val="18"/>
          <w:lang w:val="es-ES"/>
        </w:rPr>
      </w:pPr>
    </w:p>
    <w:p w14:paraId="2983FD70" w14:textId="77777777" w:rsidR="0075524C" w:rsidRPr="00C35766" w:rsidRDefault="0075524C" w:rsidP="0075524C">
      <w:pPr>
        <w:pStyle w:val="a3"/>
        <w:rPr>
          <w:lang w:val="it-IT"/>
        </w:rPr>
      </w:pPr>
      <w:r w:rsidRPr="00C35766">
        <w:rPr>
          <w:rFonts w:eastAsia="Times New Roman"/>
          <w:lang w:val="it-IT"/>
        </w:rPr>
        <w:t>Le analisi farmacocinetiche di popolazione, su un campione di più di 1.300 pazienti con AR, hanno evidenziato una tendenza ad un apparente aumento della clearance di adalimumab con l’aumentare del peso corporeo. Dopo correzione per le differenze di peso corporeo, sesso ed età sono risultati avere un effetto minimo sulla clearance di adalimumab. I livelli sierici di adalimumab libero (non legato agli anticorpi anti-adalimumab – AAA) sono stati più bassi nei pazienti con titoli misurabili di AAA.</w:t>
      </w:r>
    </w:p>
    <w:p w14:paraId="479E80F6" w14:textId="77777777" w:rsidR="0075524C" w:rsidRPr="00C35766" w:rsidRDefault="0075524C" w:rsidP="0075524C">
      <w:pPr>
        <w:spacing w:before="13" w:line="240" w:lineRule="exact"/>
        <w:rPr>
          <w:rFonts w:ascii="Times New Roman" w:hAnsi="Times New Roman" w:cs="Times New Roman"/>
          <w:sz w:val="24"/>
          <w:szCs w:val="24"/>
          <w:lang w:val="it-IT"/>
        </w:rPr>
      </w:pPr>
    </w:p>
    <w:p w14:paraId="26C63DF4" w14:textId="77777777" w:rsidR="0075524C" w:rsidRPr="00C35766" w:rsidRDefault="0075524C" w:rsidP="0075524C">
      <w:pPr>
        <w:pStyle w:val="a3"/>
        <w:rPr>
          <w:u w:val="single"/>
          <w:lang w:val="es-ES"/>
        </w:rPr>
      </w:pPr>
      <w:r w:rsidRPr="00C35766">
        <w:rPr>
          <w:rFonts w:eastAsia="Times New Roman"/>
          <w:u w:val="single" w:color="000000"/>
          <w:lang w:val="it-IT"/>
        </w:rPr>
        <w:t>Compromissione epatica o renale</w:t>
      </w:r>
    </w:p>
    <w:p w14:paraId="1E43724A" w14:textId="77777777" w:rsidR="0075524C" w:rsidRPr="00C35766" w:rsidRDefault="0075524C" w:rsidP="0075524C">
      <w:pPr>
        <w:spacing w:before="1" w:line="180" w:lineRule="exact"/>
        <w:rPr>
          <w:rFonts w:ascii="Times New Roman" w:hAnsi="Times New Roman" w:cs="Times New Roman"/>
          <w:sz w:val="18"/>
          <w:szCs w:val="18"/>
          <w:lang w:val="es-ES"/>
        </w:rPr>
      </w:pPr>
    </w:p>
    <w:p w14:paraId="1C8440A6" w14:textId="77777777" w:rsidR="0075524C" w:rsidRPr="00C35766" w:rsidRDefault="0075524C" w:rsidP="0075524C">
      <w:pPr>
        <w:pStyle w:val="a3"/>
        <w:rPr>
          <w:lang w:val="es-ES"/>
        </w:rPr>
      </w:pPr>
      <w:r w:rsidRPr="00C35766">
        <w:rPr>
          <w:rFonts w:eastAsia="Times New Roman"/>
          <w:lang w:val="it-IT"/>
        </w:rPr>
        <w:t>Adalimumab non è stato studiato in pazienti con compromissione epatica o renale.</w:t>
      </w:r>
    </w:p>
    <w:p w14:paraId="18B0E9E3" w14:textId="77777777" w:rsidR="0075524C" w:rsidRPr="00C35766" w:rsidRDefault="0075524C" w:rsidP="0075524C">
      <w:pPr>
        <w:spacing w:before="18" w:line="240" w:lineRule="exact"/>
        <w:rPr>
          <w:rFonts w:ascii="Times New Roman" w:hAnsi="Times New Roman" w:cs="Times New Roman"/>
          <w:sz w:val="24"/>
          <w:szCs w:val="24"/>
          <w:lang w:val="es-ES"/>
        </w:rPr>
      </w:pPr>
    </w:p>
    <w:p w14:paraId="56096B2D" w14:textId="77777777" w:rsidR="0075524C" w:rsidRPr="00C35766" w:rsidRDefault="0075524C" w:rsidP="005C2D5B">
      <w:pPr>
        <w:widowControl/>
        <w:numPr>
          <w:ilvl w:val="1"/>
          <w:numId w:val="74"/>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Dati preclinici di sicurezza</w:t>
      </w:r>
    </w:p>
    <w:p w14:paraId="426182A7" w14:textId="77777777" w:rsidR="0075524C" w:rsidRPr="00C35766" w:rsidRDefault="0075524C" w:rsidP="0075524C">
      <w:pPr>
        <w:spacing w:before="6" w:line="240" w:lineRule="exact"/>
        <w:rPr>
          <w:rFonts w:ascii="Times New Roman" w:hAnsi="Times New Roman" w:cs="Times New Roman"/>
          <w:sz w:val="24"/>
          <w:szCs w:val="24"/>
        </w:rPr>
      </w:pPr>
    </w:p>
    <w:p w14:paraId="31DE0A53" w14:textId="77777777" w:rsidR="0075524C" w:rsidRPr="00C35766" w:rsidRDefault="0075524C" w:rsidP="0075524C">
      <w:pPr>
        <w:pStyle w:val="a3"/>
        <w:rPr>
          <w:lang w:val="pt-BR"/>
        </w:rPr>
      </w:pPr>
      <w:r w:rsidRPr="00C35766">
        <w:rPr>
          <w:rFonts w:eastAsia="Times New Roman"/>
          <w:lang w:val="it-IT"/>
        </w:rPr>
        <w:t>I dati non clinici non rivelano rischi particolari per l’uomo sulla base di studi di tossicità a dosi singole, tossicità a dosi ripetute e genotossicità.</w:t>
      </w:r>
    </w:p>
    <w:p w14:paraId="2E3EDAD6" w14:textId="77777777" w:rsidR="0075524C" w:rsidRPr="00C35766" w:rsidRDefault="0075524C" w:rsidP="0075524C">
      <w:pPr>
        <w:spacing w:before="12" w:line="240" w:lineRule="exact"/>
        <w:rPr>
          <w:rFonts w:ascii="Times New Roman" w:hAnsi="Times New Roman" w:cs="Times New Roman"/>
          <w:sz w:val="24"/>
          <w:szCs w:val="24"/>
          <w:lang w:val="pt-BR"/>
        </w:rPr>
      </w:pPr>
    </w:p>
    <w:p w14:paraId="3C5DFE90" w14:textId="77777777" w:rsidR="0075524C" w:rsidRPr="00C35766" w:rsidRDefault="0075524C" w:rsidP="0075524C">
      <w:pPr>
        <w:pStyle w:val="a3"/>
        <w:rPr>
          <w:rFonts w:eastAsia="Times New Roman"/>
          <w:lang w:val="it-IT"/>
        </w:rPr>
      </w:pPr>
      <w:r w:rsidRPr="00C35766">
        <w:rPr>
          <w:rFonts w:eastAsia="Times New Roman"/>
          <w:lang w:val="it-IT"/>
        </w:rPr>
        <w:t>È stato condotto uno studio sulla tossicità nello sviluppo embrio-fetale/sviluppo perinatale in scimmie cynomolgus con dosaggi di 0,30 e 100 mg/kg (9-17 scimmie/gruppo); tale studio non ha evidenziato danni fetali provocati da adalimumab. Sia le prove di cancerogenesi che le valutazioni standard sulla fertilità e sulla tossicità postnatale non sono state condotte con adalimumab a causa di mancanza di modelli appropriati per un anticorpo con limitata reattività crociata per il TNF nei roditori e lo sviluppo di anticorpi neutralizzanti nei roditori.</w:t>
      </w:r>
    </w:p>
    <w:p w14:paraId="7CFBA457" w14:textId="77777777" w:rsidR="0075524C" w:rsidRPr="00C35766" w:rsidRDefault="0075524C" w:rsidP="0075524C">
      <w:pPr>
        <w:pStyle w:val="a3"/>
        <w:rPr>
          <w:rFonts w:eastAsia="Times New Roman"/>
          <w:lang w:val="it-IT"/>
        </w:rPr>
      </w:pPr>
    </w:p>
    <w:p w14:paraId="5CDC8920" w14:textId="77777777" w:rsidR="0075524C" w:rsidRPr="00C35766" w:rsidRDefault="0075524C" w:rsidP="0075524C">
      <w:pPr>
        <w:pStyle w:val="a3"/>
        <w:rPr>
          <w:rFonts w:eastAsia="Times New Roman"/>
          <w:lang w:val="it-IT"/>
        </w:rPr>
      </w:pPr>
    </w:p>
    <w:p w14:paraId="138583A5" w14:textId="77777777" w:rsidR="0075524C" w:rsidRPr="00C35766" w:rsidRDefault="0075524C" w:rsidP="005C2D5B">
      <w:pPr>
        <w:widowControl/>
        <w:numPr>
          <w:ilvl w:val="0"/>
          <w:numId w:val="7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INFORMAZIONI FARMACEUTICHE</w:t>
      </w:r>
    </w:p>
    <w:p w14:paraId="0417FD74" w14:textId="77777777" w:rsidR="0075524C" w:rsidRPr="00C35766" w:rsidRDefault="0075524C" w:rsidP="0075524C">
      <w:pPr>
        <w:spacing w:before="13" w:line="240" w:lineRule="exact"/>
        <w:rPr>
          <w:rFonts w:ascii="Times New Roman" w:hAnsi="Times New Roman" w:cs="Times New Roman"/>
          <w:sz w:val="24"/>
          <w:szCs w:val="24"/>
        </w:rPr>
      </w:pPr>
    </w:p>
    <w:p w14:paraId="2762FA92"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Elenco degli eccipienti</w:t>
      </w:r>
    </w:p>
    <w:p w14:paraId="1B338C0E" w14:textId="77777777" w:rsidR="0075524C" w:rsidRPr="00C35766" w:rsidRDefault="0075524C" w:rsidP="0075524C">
      <w:pPr>
        <w:spacing w:line="240" w:lineRule="exact"/>
        <w:rPr>
          <w:rFonts w:ascii="Times New Roman" w:hAnsi="Times New Roman" w:cs="Times New Roman"/>
          <w:sz w:val="24"/>
          <w:szCs w:val="24"/>
        </w:rPr>
      </w:pPr>
    </w:p>
    <w:p w14:paraId="2390C6D6" w14:textId="77777777" w:rsidR="0075524C" w:rsidRPr="00C35766" w:rsidRDefault="0075524C" w:rsidP="0075524C">
      <w:pPr>
        <w:pStyle w:val="a3"/>
      </w:pPr>
      <w:r w:rsidRPr="00C35766">
        <w:rPr>
          <w:rFonts w:eastAsia="Times New Roman"/>
          <w:lang w:val="it-IT"/>
        </w:rPr>
        <w:t>Acido acetico</w:t>
      </w:r>
    </w:p>
    <w:p w14:paraId="0428B9BE" w14:textId="77777777" w:rsidR="0075524C" w:rsidRPr="00C35766" w:rsidRDefault="0075524C" w:rsidP="0075524C">
      <w:pPr>
        <w:pStyle w:val="a3"/>
      </w:pPr>
      <w:r w:rsidRPr="00C35766">
        <w:rPr>
          <w:rFonts w:eastAsia="Times New Roman"/>
          <w:lang w:val="it-IT"/>
        </w:rPr>
        <w:t>Sodio acetato triidrato</w:t>
      </w:r>
    </w:p>
    <w:p w14:paraId="296A51C4" w14:textId="77777777" w:rsidR="0075524C" w:rsidRPr="00C35766" w:rsidRDefault="0075524C" w:rsidP="0075524C">
      <w:pPr>
        <w:pStyle w:val="a3"/>
      </w:pPr>
      <w:r w:rsidRPr="00C35766">
        <w:rPr>
          <w:rFonts w:eastAsia="Times New Roman"/>
          <w:lang w:val="it-IT"/>
        </w:rPr>
        <w:t>Glicina</w:t>
      </w:r>
    </w:p>
    <w:p w14:paraId="6ECF9854" w14:textId="77777777" w:rsidR="0075524C" w:rsidRPr="00C35766" w:rsidRDefault="0075524C" w:rsidP="0075524C">
      <w:pPr>
        <w:pStyle w:val="a3"/>
      </w:pPr>
      <w:r w:rsidRPr="00C35766">
        <w:rPr>
          <w:rFonts w:eastAsia="Times New Roman"/>
          <w:lang w:val="it-IT"/>
        </w:rPr>
        <w:t>Polisorbato 80</w:t>
      </w:r>
    </w:p>
    <w:p w14:paraId="2D13BD56" w14:textId="77777777" w:rsidR="0075524C" w:rsidRPr="00C35766" w:rsidRDefault="0075524C" w:rsidP="0075524C">
      <w:pPr>
        <w:pStyle w:val="a3"/>
      </w:pPr>
      <w:r w:rsidRPr="00C35766">
        <w:rPr>
          <w:rFonts w:eastAsia="Times New Roman"/>
          <w:lang w:val="it-IT"/>
        </w:rPr>
        <w:t>Acqua per preparazioni iniettabili</w:t>
      </w:r>
    </w:p>
    <w:p w14:paraId="69535898" w14:textId="77777777" w:rsidR="0075524C" w:rsidRPr="00C35766" w:rsidRDefault="0075524C" w:rsidP="0075524C">
      <w:pPr>
        <w:spacing w:line="240" w:lineRule="exact"/>
        <w:rPr>
          <w:rFonts w:ascii="Times New Roman" w:hAnsi="Times New Roman" w:cs="Times New Roman"/>
          <w:sz w:val="24"/>
          <w:szCs w:val="24"/>
        </w:rPr>
      </w:pPr>
    </w:p>
    <w:p w14:paraId="3D7A9C94"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Incompatibilità</w:t>
      </w:r>
    </w:p>
    <w:p w14:paraId="23D5C00B" w14:textId="77777777" w:rsidR="0075524C" w:rsidRPr="00C35766" w:rsidRDefault="0075524C" w:rsidP="0075524C">
      <w:pPr>
        <w:spacing w:line="240" w:lineRule="exact"/>
        <w:rPr>
          <w:rFonts w:ascii="Times New Roman" w:hAnsi="Times New Roman" w:cs="Times New Roman"/>
          <w:sz w:val="24"/>
          <w:szCs w:val="24"/>
        </w:rPr>
      </w:pPr>
    </w:p>
    <w:p w14:paraId="5A353D83" w14:textId="77777777" w:rsidR="0075524C" w:rsidRPr="00C35766" w:rsidRDefault="0075524C" w:rsidP="0075524C">
      <w:pPr>
        <w:pStyle w:val="a3"/>
        <w:rPr>
          <w:lang w:val="it-IT"/>
        </w:rPr>
      </w:pPr>
      <w:r w:rsidRPr="00C35766">
        <w:rPr>
          <w:rFonts w:eastAsia="Times New Roman"/>
          <w:lang w:val="it-IT"/>
        </w:rPr>
        <w:t>In assenza di studi di compatibilità, questo medicinale non deve essere miscelato con altri medicinali.</w:t>
      </w:r>
    </w:p>
    <w:p w14:paraId="4785AA6C" w14:textId="77777777" w:rsidR="0075524C" w:rsidRPr="00C35766" w:rsidRDefault="0075524C" w:rsidP="0075524C">
      <w:pPr>
        <w:spacing w:line="240" w:lineRule="exact"/>
        <w:rPr>
          <w:rFonts w:ascii="Times New Roman" w:hAnsi="Times New Roman" w:cs="Times New Roman"/>
          <w:sz w:val="24"/>
          <w:lang w:val="it-IT"/>
        </w:rPr>
      </w:pPr>
    </w:p>
    <w:p w14:paraId="6DE7D749"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Periodo di validità</w:t>
      </w:r>
    </w:p>
    <w:p w14:paraId="723AF47E" w14:textId="77777777" w:rsidR="0075524C" w:rsidRPr="00C35766" w:rsidRDefault="0075524C" w:rsidP="0075524C">
      <w:pPr>
        <w:spacing w:line="240" w:lineRule="exact"/>
        <w:rPr>
          <w:rFonts w:ascii="Times New Roman" w:hAnsi="Times New Roman" w:cs="Times New Roman"/>
          <w:sz w:val="24"/>
          <w:szCs w:val="24"/>
        </w:rPr>
      </w:pPr>
    </w:p>
    <w:p w14:paraId="5AC2720B" w14:textId="4DB324D9" w:rsidR="0075524C" w:rsidRPr="00C35766" w:rsidRDefault="003A04A9" w:rsidP="0075524C">
      <w:pPr>
        <w:pStyle w:val="a3"/>
      </w:pPr>
      <w:r w:rsidRPr="003A04A9">
        <w:rPr>
          <w:rFonts w:eastAsia="Times New Roman"/>
          <w:lang w:val="it-IT"/>
        </w:rPr>
        <w:t>3 anni</w:t>
      </w:r>
    </w:p>
    <w:p w14:paraId="709DFBF7" w14:textId="77777777" w:rsidR="0075524C" w:rsidRPr="00C35766" w:rsidRDefault="0075524C" w:rsidP="0075524C">
      <w:pPr>
        <w:spacing w:line="240" w:lineRule="exact"/>
        <w:rPr>
          <w:rFonts w:ascii="Times New Roman" w:hAnsi="Times New Roman" w:cs="Times New Roman"/>
          <w:sz w:val="24"/>
          <w:szCs w:val="24"/>
        </w:rPr>
      </w:pPr>
    </w:p>
    <w:p w14:paraId="77D8291D"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la conservazione</w:t>
      </w:r>
    </w:p>
    <w:p w14:paraId="3AAE3D70" w14:textId="77777777" w:rsidR="0075524C" w:rsidRPr="00C35766" w:rsidRDefault="0075524C" w:rsidP="0075524C">
      <w:pPr>
        <w:spacing w:line="260" w:lineRule="exact"/>
        <w:rPr>
          <w:rFonts w:ascii="Times New Roman" w:hAnsi="Times New Roman" w:cs="Times New Roman"/>
          <w:sz w:val="26"/>
          <w:szCs w:val="26"/>
        </w:rPr>
      </w:pPr>
    </w:p>
    <w:p w14:paraId="4977CDED" w14:textId="77777777" w:rsidR="0075524C" w:rsidRPr="00C35766" w:rsidRDefault="0075524C" w:rsidP="0075524C">
      <w:pPr>
        <w:pStyle w:val="a3"/>
        <w:rPr>
          <w:lang w:val="es-ES"/>
        </w:rPr>
      </w:pPr>
      <w:r w:rsidRPr="00C35766">
        <w:rPr>
          <w:rFonts w:eastAsia="Times New Roman"/>
          <w:lang w:val="it-IT"/>
        </w:rPr>
        <w:t>Conservare in frigorifero (2</w:t>
      </w:r>
      <w:r w:rsidRPr="00C35766">
        <w:rPr>
          <w:rFonts w:eastAsia="Symbol"/>
          <w:lang w:val="it-IT"/>
        </w:rPr>
        <w:sym w:font="Symbol" w:char="F0B0"/>
      </w:r>
      <w:r w:rsidRPr="00C35766">
        <w:rPr>
          <w:rFonts w:eastAsia="Times New Roman"/>
          <w:lang w:val="it-IT"/>
        </w:rPr>
        <w:t>C – 8</w:t>
      </w:r>
      <w:r w:rsidRPr="00C35766">
        <w:rPr>
          <w:rFonts w:eastAsia="Symbol"/>
          <w:lang w:val="it-IT"/>
        </w:rPr>
        <w:sym w:font="Symbol" w:char="F0B0"/>
      </w:r>
      <w:r w:rsidRPr="00C35766">
        <w:rPr>
          <w:rFonts w:eastAsia="Times New Roman"/>
          <w:lang w:val="it-IT"/>
        </w:rPr>
        <w:t xml:space="preserve">C). Non congelare. </w:t>
      </w:r>
    </w:p>
    <w:p w14:paraId="1423C794" w14:textId="67F5B18C" w:rsidR="0075524C" w:rsidRPr="00C35766" w:rsidRDefault="0075524C" w:rsidP="0075524C">
      <w:pPr>
        <w:pStyle w:val="a3"/>
        <w:rPr>
          <w:lang w:val="es-ES"/>
        </w:rPr>
      </w:pPr>
      <w:r>
        <w:rPr>
          <w:rFonts w:eastAsia="Times New Roman"/>
          <w:lang w:val="it-IT"/>
        </w:rPr>
        <w:t>Tenere</w:t>
      </w:r>
      <w:r w:rsidRPr="00C35766">
        <w:rPr>
          <w:rFonts w:eastAsia="Times New Roman"/>
          <w:lang w:val="it-IT"/>
        </w:rPr>
        <w:t xml:space="preserve"> la siringa pre-riempita nell’imballaggio esterno per protegger</w:t>
      </w:r>
      <w:r>
        <w:rPr>
          <w:rFonts w:eastAsia="Times New Roman"/>
          <w:lang w:val="it-IT"/>
        </w:rPr>
        <w:t>e il medicinale</w:t>
      </w:r>
      <w:r w:rsidRPr="00C35766">
        <w:rPr>
          <w:rFonts w:eastAsia="Times New Roman"/>
          <w:lang w:val="it-IT"/>
        </w:rPr>
        <w:t xml:space="preserve"> dalla luce.</w:t>
      </w:r>
    </w:p>
    <w:p w14:paraId="3BAC415F" w14:textId="77777777" w:rsidR="0075524C" w:rsidRPr="00C35766" w:rsidRDefault="0075524C" w:rsidP="0075524C">
      <w:pPr>
        <w:spacing w:line="240" w:lineRule="exact"/>
        <w:rPr>
          <w:rFonts w:ascii="Times New Roman" w:hAnsi="Times New Roman" w:cs="Times New Roman"/>
          <w:sz w:val="24"/>
          <w:szCs w:val="24"/>
          <w:lang w:val="es-ES"/>
        </w:rPr>
      </w:pPr>
    </w:p>
    <w:p w14:paraId="5A54B3B9" w14:textId="113082AA" w:rsidR="0075524C" w:rsidRPr="00C35766" w:rsidRDefault="0075524C" w:rsidP="0075524C">
      <w:pPr>
        <w:pStyle w:val="a3"/>
        <w:rPr>
          <w:lang w:val="it-IT"/>
        </w:rPr>
      </w:pPr>
      <w:r w:rsidRPr="00C35766">
        <w:rPr>
          <w:rFonts w:eastAsia="Times New Roman"/>
          <w:lang w:val="it-IT"/>
        </w:rPr>
        <w:t>Una singola siringa pre-riempita di Yuflyma può essere conservata a temperature fino a un massimo di 25°C per un periodo di non oltre 3</w:t>
      </w:r>
      <w:r>
        <w:rPr>
          <w:rFonts w:eastAsia="Times New Roman"/>
          <w:lang w:val="it-IT"/>
        </w:rPr>
        <w:t>1</w:t>
      </w:r>
      <w:r w:rsidRPr="00C35766">
        <w:rPr>
          <w:rFonts w:eastAsia="Times New Roman"/>
          <w:lang w:val="it-IT"/>
        </w:rPr>
        <w:t xml:space="preserve"> giorni. La siringa deve essere protetta dalla luce e gettata se non usata durante il periodo dei 3</w:t>
      </w:r>
      <w:r>
        <w:rPr>
          <w:rFonts w:eastAsia="Times New Roman"/>
          <w:lang w:val="it-IT"/>
        </w:rPr>
        <w:t>1</w:t>
      </w:r>
      <w:r w:rsidRPr="00C35766">
        <w:rPr>
          <w:rFonts w:eastAsia="Times New Roman"/>
          <w:lang w:val="it-IT"/>
        </w:rPr>
        <w:t xml:space="preserve"> giorni.</w:t>
      </w:r>
    </w:p>
    <w:p w14:paraId="7E7FB4B8" w14:textId="77777777" w:rsidR="0075524C" w:rsidRPr="00C35766" w:rsidRDefault="0075524C" w:rsidP="0075524C">
      <w:pPr>
        <w:spacing w:line="240" w:lineRule="exact"/>
        <w:rPr>
          <w:rFonts w:ascii="Times New Roman" w:hAnsi="Times New Roman" w:cs="Times New Roman"/>
          <w:sz w:val="24"/>
          <w:szCs w:val="24"/>
          <w:lang w:val="it-IT"/>
        </w:rPr>
      </w:pPr>
    </w:p>
    <w:p w14:paraId="0444E1FF"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Natura e contenuto del contenitore</w:t>
      </w:r>
    </w:p>
    <w:p w14:paraId="619E9D85" w14:textId="77777777" w:rsidR="0075524C" w:rsidRPr="00C35766" w:rsidRDefault="0075524C" w:rsidP="0075524C">
      <w:pPr>
        <w:pStyle w:val="a4"/>
        <w:spacing w:line="240" w:lineRule="exact"/>
        <w:rPr>
          <w:rFonts w:ascii="Times New Roman" w:hAnsi="Times New Roman" w:cs="Times New Roman"/>
          <w:sz w:val="24"/>
          <w:szCs w:val="24"/>
        </w:rPr>
      </w:pPr>
    </w:p>
    <w:p w14:paraId="1D0DE5C3" w14:textId="79EE9882" w:rsidR="0075524C" w:rsidRPr="00C35766" w:rsidRDefault="0075524C" w:rsidP="0075524C">
      <w:pPr>
        <w:pStyle w:val="a3"/>
        <w:rPr>
          <w:u w:val="single"/>
          <w:lang w:val="it-IT"/>
        </w:rPr>
      </w:pPr>
      <w:r w:rsidRPr="00C35766">
        <w:rPr>
          <w:rFonts w:eastAsia="Times New Roman"/>
          <w:u w:val="single"/>
          <w:lang w:val="it-IT"/>
        </w:rPr>
        <w:t xml:space="preserve">Yuflyma </w:t>
      </w:r>
      <w:r w:rsidR="00D8255F">
        <w:rPr>
          <w:rFonts w:eastAsia="Times New Roman"/>
          <w:u w:val="single"/>
          <w:lang w:val="it-IT"/>
        </w:rPr>
        <w:t>20</w:t>
      </w:r>
      <w:r w:rsidRPr="00C35766">
        <w:rPr>
          <w:rFonts w:eastAsia="Times New Roman"/>
          <w:u w:val="single"/>
          <w:lang w:val="it-IT"/>
        </w:rPr>
        <w:t xml:space="preserve"> </w:t>
      </w:r>
      <w:r>
        <w:rPr>
          <w:rFonts w:eastAsia="Times New Roman"/>
          <w:u w:val="single"/>
          <w:lang w:val="it-IT"/>
        </w:rPr>
        <w:t xml:space="preserve">mg </w:t>
      </w:r>
      <w:r w:rsidRPr="00C35766">
        <w:rPr>
          <w:rFonts w:eastAsia="Times New Roman"/>
          <w:u w:val="single"/>
          <w:lang w:val="it-IT"/>
        </w:rPr>
        <w:t>soluzione iniettabile in siringa pre-riempita</w:t>
      </w:r>
    </w:p>
    <w:p w14:paraId="393439A4" w14:textId="77777777" w:rsidR="0075524C" w:rsidRPr="00C35766" w:rsidRDefault="0075524C" w:rsidP="0075524C">
      <w:pPr>
        <w:pStyle w:val="a3"/>
        <w:rPr>
          <w:u w:val="single"/>
          <w:lang w:val="it-IT"/>
        </w:rPr>
      </w:pPr>
    </w:p>
    <w:p w14:paraId="23940D37" w14:textId="77777777" w:rsidR="0075524C" w:rsidRPr="00C35766" w:rsidRDefault="0075524C" w:rsidP="0075524C">
      <w:pPr>
        <w:pStyle w:val="a3"/>
        <w:rPr>
          <w:lang w:val="es-ES"/>
        </w:rPr>
      </w:pPr>
      <w:r w:rsidRPr="00C35766">
        <w:rPr>
          <w:rFonts w:eastAsia="Times New Roman"/>
          <w:lang w:val="it-IT"/>
        </w:rPr>
        <w:t>Soluzione iniettabile in una siringa pre-riempita (vetro tipo I) con un tappo a stantuffo (gomma bromobutilica) e un ago con cappuccio (elastomero termoplastico).</w:t>
      </w:r>
    </w:p>
    <w:p w14:paraId="01CBB925" w14:textId="77777777" w:rsidR="0075524C" w:rsidRPr="00C35766" w:rsidRDefault="0075524C" w:rsidP="0075524C">
      <w:pPr>
        <w:spacing w:line="240" w:lineRule="exact"/>
        <w:rPr>
          <w:rFonts w:ascii="Times New Roman" w:hAnsi="Times New Roman" w:cs="Times New Roman"/>
          <w:sz w:val="24"/>
          <w:szCs w:val="24"/>
          <w:lang w:val="es-ES"/>
        </w:rPr>
      </w:pPr>
    </w:p>
    <w:p w14:paraId="7F8A82D3" w14:textId="77777777" w:rsidR="0075524C" w:rsidRPr="00C35766" w:rsidRDefault="0075524C" w:rsidP="0075524C">
      <w:pPr>
        <w:pStyle w:val="a3"/>
      </w:pPr>
      <w:r w:rsidRPr="00C35766">
        <w:rPr>
          <w:rFonts w:eastAsia="Times New Roman"/>
          <w:lang w:val="it-IT"/>
        </w:rPr>
        <w:t>Confezioni:</w:t>
      </w:r>
    </w:p>
    <w:p w14:paraId="79C181D6" w14:textId="4009263C" w:rsidR="00667E0A" w:rsidRPr="00667E0A" w:rsidRDefault="00667E0A" w:rsidP="0075524C">
      <w:pPr>
        <w:pStyle w:val="a3"/>
        <w:numPr>
          <w:ilvl w:val="0"/>
          <w:numId w:val="15"/>
        </w:numPr>
        <w:ind w:left="660" w:hanging="660"/>
        <w:rPr>
          <w:lang w:val="es-ES"/>
        </w:rPr>
      </w:pPr>
      <w:r>
        <w:rPr>
          <w:rFonts w:hint="eastAsia"/>
          <w:lang w:val="es-ES" w:eastAsia="ko-KR"/>
        </w:rPr>
        <w:t>1</w:t>
      </w:r>
      <w:r w:rsidRPr="00667E0A">
        <w:rPr>
          <w:rFonts w:eastAsia="Times New Roman"/>
          <w:lang w:val="it-IT"/>
        </w:rPr>
        <w:t xml:space="preserve"> </w:t>
      </w:r>
      <w:r w:rsidRPr="00C35766">
        <w:rPr>
          <w:rFonts w:eastAsia="Times New Roman"/>
          <w:lang w:val="it-IT"/>
        </w:rPr>
        <w:t>siringa pre-riempita (0,</w:t>
      </w:r>
      <w:r>
        <w:rPr>
          <w:rFonts w:hint="eastAsia"/>
          <w:lang w:val="it-IT" w:eastAsia="ko-KR"/>
        </w:rPr>
        <w:t>2</w:t>
      </w:r>
      <w:r w:rsidRPr="00C35766">
        <w:rPr>
          <w:rFonts w:eastAsia="Times New Roman"/>
          <w:lang w:val="it-IT"/>
        </w:rPr>
        <w:t xml:space="preserve"> mL di soluzione sterile) con 2 tamponi imbevuti di alcol.</w:t>
      </w:r>
    </w:p>
    <w:p w14:paraId="7D2F76A1" w14:textId="2C4F501F" w:rsidR="0075524C" w:rsidRPr="00C35766" w:rsidRDefault="0075524C" w:rsidP="0075524C">
      <w:pPr>
        <w:pStyle w:val="a3"/>
        <w:numPr>
          <w:ilvl w:val="0"/>
          <w:numId w:val="15"/>
        </w:numPr>
        <w:ind w:left="660" w:hanging="660"/>
        <w:rPr>
          <w:lang w:val="es-ES"/>
        </w:rPr>
      </w:pPr>
      <w:r w:rsidRPr="00C35766">
        <w:rPr>
          <w:rFonts w:eastAsia="Times New Roman"/>
          <w:lang w:val="it-IT"/>
        </w:rPr>
        <w:t>2 siringhe pre-riempite (</w:t>
      </w:r>
      <w:r w:rsidR="00D8255F">
        <w:rPr>
          <w:rFonts w:eastAsia="Times New Roman"/>
          <w:lang w:val="it-IT"/>
        </w:rPr>
        <w:t>0,2</w:t>
      </w:r>
      <w:r w:rsidRPr="00C35766">
        <w:rPr>
          <w:rFonts w:eastAsia="Times New Roman"/>
          <w:lang w:val="it-IT"/>
        </w:rPr>
        <w:t xml:space="preserve"> mL di soluzione sterile), </w:t>
      </w:r>
      <w:r w:rsidR="003557F0" w:rsidRPr="00C35766">
        <w:rPr>
          <w:rFonts w:eastAsia="Times New Roman"/>
          <w:lang w:val="it-IT"/>
        </w:rPr>
        <w:t>con 2 tamponi imbevuti di alcol</w:t>
      </w:r>
      <w:r w:rsidRPr="00C35766">
        <w:rPr>
          <w:rFonts w:eastAsia="Times New Roman"/>
          <w:lang w:val="it-IT"/>
        </w:rPr>
        <w:t>.</w:t>
      </w:r>
    </w:p>
    <w:p w14:paraId="3CF3206B" w14:textId="77777777" w:rsidR="00667E0A" w:rsidRPr="00A64710" w:rsidRDefault="00667E0A" w:rsidP="00667E0A">
      <w:pPr>
        <w:spacing w:before="10" w:line="240" w:lineRule="exact"/>
        <w:rPr>
          <w:rFonts w:ascii="Times New Roman" w:hAnsi="Times New Roman" w:cs="Times New Roman"/>
          <w:sz w:val="24"/>
          <w:szCs w:val="24"/>
          <w:lang w:val="es-ES" w:eastAsia="ko-KR"/>
        </w:rPr>
      </w:pPr>
    </w:p>
    <w:p w14:paraId="002DDC67" w14:textId="42C6D7F4" w:rsidR="00667E0A" w:rsidRPr="00667E0A" w:rsidRDefault="00667E0A" w:rsidP="00667E0A">
      <w:pPr>
        <w:pStyle w:val="a3"/>
        <w:rPr>
          <w:b/>
          <w:noProof/>
          <w:lang w:val="fr-FR" w:eastAsia="ko-KR"/>
        </w:rPr>
      </w:pPr>
      <w:r w:rsidRPr="00C35766">
        <w:rPr>
          <w:rFonts w:eastAsia="Times New Roman"/>
          <w:lang w:val="it-IT"/>
        </w:rPr>
        <w:t>È possibile che non tutte le confezioni siano commercializzate.</w:t>
      </w:r>
    </w:p>
    <w:p w14:paraId="4673A6C2" w14:textId="77777777" w:rsidR="00667E0A" w:rsidRPr="00D95C47" w:rsidRDefault="00667E0A" w:rsidP="0075524C">
      <w:pPr>
        <w:widowControl/>
        <w:tabs>
          <w:tab w:val="left" w:pos="567"/>
        </w:tabs>
        <w:spacing w:line="260" w:lineRule="exact"/>
        <w:rPr>
          <w:rFonts w:ascii="Times New Roman" w:hAnsi="Times New Roman"/>
          <w:b/>
          <w:lang w:val="es-ES"/>
        </w:rPr>
      </w:pPr>
    </w:p>
    <w:p w14:paraId="054C1012" w14:textId="77777777" w:rsidR="0075524C" w:rsidRPr="00C35766" w:rsidRDefault="0075524C" w:rsidP="005C2D5B">
      <w:pPr>
        <w:widowControl/>
        <w:numPr>
          <w:ilvl w:val="1"/>
          <w:numId w:val="75"/>
        </w:numPr>
        <w:tabs>
          <w:tab w:val="left" w:pos="567"/>
        </w:tabs>
        <w:spacing w:line="26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Precauzioni particolari per lo smaltimento</w:t>
      </w:r>
    </w:p>
    <w:p w14:paraId="521126F4" w14:textId="77777777" w:rsidR="0075524C" w:rsidRPr="00C35766" w:rsidRDefault="0075524C" w:rsidP="0075524C">
      <w:pPr>
        <w:spacing w:before="12" w:line="240" w:lineRule="exact"/>
        <w:rPr>
          <w:rFonts w:ascii="Times New Roman" w:hAnsi="Times New Roman" w:cs="Times New Roman"/>
          <w:sz w:val="24"/>
          <w:szCs w:val="24"/>
        </w:rPr>
      </w:pPr>
    </w:p>
    <w:p w14:paraId="7710431E" w14:textId="77777777" w:rsidR="0075524C" w:rsidRPr="00C35766" w:rsidRDefault="0075524C" w:rsidP="0075524C">
      <w:pPr>
        <w:pStyle w:val="a3"/>
        <w:rPr>
          <w:lang w:val="it-IT"/>
        </w:rPr>
      </w:pPr>
      <w:r w:rsidRPr="00C35766">
        <w:rPr>
          <w:rFonts w:eastAsia="Times New Roman"/>
          <w:lang w:val="it-IT"/>
        </w:rPr>
        <w:t xml:space="preserve">Il medicinale non utilizzato e i rifiuti derivati da tale medicinale devono essere smaltiti in conformità alla normativa locale vigente. </w:t>
      </w:r>
    </w:p>
    <w:p w14:paraId="45EBC5FE" w14:textId="77777777" w:rsidR="0075524C" w:rsidRPr="00C35766" w:rsidRDefault="0075524C" w:rsidP="0075524C">
      <w:pPr>
        <w:spacing w:line="200" w:lineRule="exact"/>
        <w:rPr>
          <w:rFonts w:ascii="Times New Roman" w:hAnsi="Times New Roman" w:cs="Times New Roman"/>
          <w:sz w:val="20"/>
          <w:lang w:val="it-IT"/>
        </w:rPr>
      </w:pPr>
    </w:p>
    <w:p w14:paraId="011770ED" w14:textId="77777777" w:rsidR="0075524C" w:rsidRPr="00C35766" w:rsidRDefault="0075524C" w:rsidP="0075524C">
      <w:pPr>
        <w:widowControl/>
        <w:tabs>
          <w:tab w:val="left" w:pos="567"/>
        </w:tabs>
        <w:spacing w:line="260" w:lineRule="exact"/>
        <w:rPr>
          <w:rFonts w:ascii="Times New Roman" w:hAnsi="Times New Roman" w:cs="Times New Roman"/>
          <w:b/>
          <w:lang w:val="it-IT"/>
        </w:rPr>
      </w:pPr>
    </w:p>
    <w:p w14:paraId="7B53EACB" w14:textId="77777777" w:rsidR="0075524C" w:rsidRPr="00C35766" w:rsidRDefault="0075524C" w:rsidP="005C2D5B">
      <w:pPr>
        <w:widowControl/>
        <w:numPr>
          <w:ilvl w:val="0"/>
          <w:numId w:val="7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TITOLARE DELL’AUTORIZZAZIONE ALL’IMMISSIONE IN COMMERCIO</w:t>
      </w:r>
    </w:p>
    <w:p w14:paraId="5D635E83" w14:textId="77777777" w:rsidR="0075524C" w:rsidRPr="00C35766" w:rsidRDefault="0075524C" w:rsidP="0075524C">
      <w:pPr>
        <w:spacing w:before="12" w:line="240" w:lineRule="exact"/>
        <w:rPr>
          <w:rFonts w:ascii="Times New Roman" w:hAnsi="Times New Roman" w:cs="Times New Roman"/>
          <w:sz w:val="24"/>
          <w:szCs w:val="24"/>
        </w:rPr>
      </w:pPr>
    </w:p>
    <w:p w14:paraId="482DBB34" w14:textId="77777777" w:rsidR="0075524C" w:rsidRPr="00C35766" w:rsidRDefault="0075524C" w:rsidP="0075524C">
      <w:pPr>
        <w:spacing w:before="12" w:line="240" w:lineRule="exact"/>
        <w:rPr>
          <w:rFonts w:ascii="Times New Roman" w:hAnsi="Times New Roman" w:cs="Times New Roman"/>
        </w:rPr>
      </w:pPr>
      <w:r w:rsidRPr="00C35766">
        <w:rPr>
          <w:rFonts w:ascii="Times New Roman" w:hAnsi="Times New Roman" w:cs="Times New Roman"/>
        </w:rPr>
        <w:t xml:space="preserve">Celltrion Healthcare Hungary Kft. </w:t>
      </w:r>
    </w:p>
    <w:p w14:paraId="1D739E26" w14:textId="77777777" w:rsidR="0075524C" w:rsidRPr="00C35766" w:rsidRDefault="0075524C" w:rsidP="0075524C">
      <w:pPr>
        <w:spacing w:before="12" w:line="240" w:lineRule="exact"/>
        <w:rPr>
          <w:rFonts w:ascii="Times New Roman" w:hAnsi="Times New Roman" w:cs="Times New Roman"/>
        </w:rPr>
      </w:pPr>
      <w:r w:rsidRPr="00C35766">
        <w:rPr>
          <w:rFonts w:ascii="Times New Roman" w:hAnsi="Times New Roman" w:cs="Times New Roman"/>
        </w:rPr>
        <w:t>1062 Budapest</w:t>
      </w:r>
    </w:p>
    <w:p w14:paraId="225517A9" w14:textId="19042A42" w:rsidR="0075524C" w:rsidRPr="00C35766" w:rsidRDefault="0075524C" w:rsidP="00E27619">
      <w:pPr>
        <w:pStyle w:val="a3"/>
        <w:rPr>
          <w:vanish/>
        </w:rPr>
      </w:pPr>
      <w:r w:rsidRPr="00D95C47">
        <w:t>Váci út 1-3. WestEnd Office Building B torony</w:t>
      </w:r>
    </w:p>
    <w:p w14:paraId="3579611F" w14:textId="77777777" w:rsidR="0075524C" w:rsidRPr="00C35766" w:rsidRDefault="0075524C" w:rsidP="0075524C">
      <w:pPr>
        <w:pStyle w:val="a3"/>
      </w:pPr>
      <w:r w:rsidRPr="00C35766">
        <w:rPr>
          <w:rFonts w:eastAsia="Times New Roman"/>
          <w:lang w:val="it-IT"/>
        </w:rPr>
        <w:t>Ungheria</w:t>
      </w:r>
    </w:p>
    <w:p w14:paraId="0C8FBAFB" w14:textId="77777777" w:rsidR="0075524C" w:rsidRPr="00C35766" w:rsidRDefault="0075524C" w:rsidP="0075524C">
      <w:pPr>
        <w:spacing w:line="200" w:lineRule="exact"/>
        <w:rPr>
          <w:rFonts w:ascii="Times New Roman" w:hAnsi="Times New Roman" w:cs="Times New Roman"/>
          <w:sz w:val="20"/>
          <w:szCs w:val="20"/>
        </w:rPr>
      </w:pPr>
    </w:p>
    <w:p w14:paraId="0104E510" w14:textId="77777777" w:rsidR="0075524C" w:rsidRPr="00C35766" w:rsidRDefault="0075524C" w:rsidP="0075524C">
      <w:pPr>
        <w:spacing w:line="200" w:lineRule="exact"/>
        <w:rPr>
          <w:rFonts w:ascii="Times New Roman" w:hAnsi="Times New Roman" w:cs="Times New Roman"/>
          <w:sz w:val="20"/>
          <w:szCs w:val="20"/>
        </w:rPr>
      </w:pPr>
    </w:p>
    <w:p w14:paraId="33D43AEE" w14:textId="77777777" w:rsidR="0075524C" w:rsidRPr="00C35766" w:rsidRDefault="0075524C" w:rsidP="005C2D5B">
      <w:pPr>
        <w:widowControl/>
        <w:numPr>
          <w:ilvl w:val="0"/>
          <w:numId w:val="7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NUMERI DELL’AUTORIZZAZIONE ALL’IMMISSIONE IN COMMERCIO</w:t>
      </w:r>
    </w:p>
    <w:p w14:paraId="6FE58511" w14:textId="77777777" w:rsidR="0075524C" w:rsidRPr="00C35766" w:rsidRDefault="0075524C" w:rsidP="0075524C">
      <w:pPr>
        <w:spacing w:before="9" w:line="240" w:lineRule="exact"/>
        <w:rPr>
          <w:rFonts w:ascii="Times New Roman" w:hAnsi="Times New Roman" w:cs="Times New Roman"/>
          <w:sz w:val="24"/>
          <w:szCs w:val="24"/>
        </w:rPr>
      </w:pPr>
    </w:p>
    <w:p w14:paraId="532EC2E4" w14:textId="5B01D65E" w:rsidR="0075524C" w:rsidRPr="00C35766" w:rsidRDefault="0075524C" w:rsidP="0075524C">
      <w:pPr>
        <w:pStyle w:val="a3"/>
        <w:rPr>
          <w:u w:val="single"/>
          <w:lang w:val="it-IT"/>
        </w:rPr>
      </w:pPr>
      <w:r w:rsidRPr="00C35766">
        <w:rPr>
          <w:rFonts w:eastAsia="Times New Roman"/>
          <w:u w:val="single" w:color="000000"/>
          <w:lang w:val="it-IT"/>
        </w:rPr>
        <w:t xml:space="preserve">Yuflyma </w:t>
      </w:r>
      <w:r w:rsidR="00D8255F">
        <w:rPr>
          <w:rFonts w:eastAsia="Times New Roman"/>
          <w:u w:val="single" w:color="000000"/>
          <w:lang w:val="it-IT"/>
        </w:rPr>
        <w:t>20</w:t>
      </w:r>
      <w:r w:rsidRPr="00C35766">
        <w:rPr>
          <w:rFonts w:eastAsia="Times New Roman"/>
          <w:u w:val="single" w:color="000000"/>
          <w:lang w:val="it-IT"/>
        </w:rPr>
        <w:t xml:space="preserve"> </w:t>
      </w:r>
      <w:r>
        <w:rPr>
          <w:rFonts w:eastAsia="Times New Roman"/>
          <w:u w:val="single" w:color="000000"/>
          <w:lang w:val="it-IT"/>
        </w:rPr>
        <w:t xml:space="preserve">mg </w:t>
      </w:r>
      <w:r w:rsidRPr="00C35766">
        <w:rPr>
          <w:rFonts w:eastAsia="Times New Roman"/>
          <w:u w:val="single" w:color="000000"/>
          <w:lang w:val="it-IT"/>
        </w:rPr>
        <w:t>soluzione iniettabile in siringa pre-riempita</w:t>
      </w:r>
    </w:p>
    <w:p w14:paraId="43F781AA" w14:textId="77777777" w:rsidR="0075524C" w:rsidRPr="00C35766" w:rsidRDefault="0075524C" w:rsidP="0075524C">
      <w:pPr>
        <w:pStyle w:val="a3"/>
        <w:rPr>
          <w:lang w:val="it-IT"/>
        </w:rPr>
      </w:pPr>
    </w:p>
    <w:p w14:paraId="093632A0" w14:textId="42CF030C" w:rsidR="0075524C" w:rsidRDefault="0075524C" w:rsidP="0075524C">
      <w:pPr>
        <w:pStyle w:val="a3"/>
        <w:rPr>
          <w:color w:val="000000"/>
          <w:lang w:val="it-IT" w:eastAsia="ko-KR"/>
        </w:rPr>
      </w:pPr>
      <w:r w:rsidRPr="00C35766">
        <w:rPr>
          <w:rFonts w:eastAsia="Times New Roman"/>
          <w:lang w:val="it-IT"/>
        </w:rPr>
        <w:t>EU/</w:t>
      </w:r>
      <w:r w:rsidRPr="00C35766">
        <w:rPr>
          <w:rFonts w:eastAsia="Times New Roman"/>
          <w:color w:val="000000"/>
          <w:lang w:val="it-IT"/>
        </w:rPr>
        <w:t>1/20/1513/</w:t>
      </w:r>
      <w:r w:rsidR="00D8255F">
        <w:rPr>
          <w:rFonts w:eastAsia="Times New Roman"/>
          <w:color w:val="000000"/>
          <w:lang w:val="it-IT"/>
        </w:rPr>
        <w:t>017</w:t>
      </w:r>
    </w:p>
    <w:p w14:paraId="01455720" w14:textId="0D8382F2" w:rsidR="00A358A8" w:rsidRPr="00A358A8" w:rsidRDefault="00A358A8" w:rsidP="0075524C">
      <w:pPr>
        <w:pStyle w:val="a3"/>
        <w:rPr>
          <w:lang w:val="it-IT" w:eastAsia="ko-KR"/>
        </w:rPr>
      </w:pPr>
      <w:r>
        <w:rPr>
          <w:rFonts w:hint="eastAsia"/>
          <w:color w:val="000000"/>
          <w:lang w:val="it-IT" w:eastAsia="ko-KR"/>
        </w:rPr>
        <w:lastRenderedPageBreak/>
        <w:t>EU/1/20/1513/018</w:t>
      </w:r>
    </w:p>
    <w:p w14:paraId="15152CD8" w14:textId="77777777" w:rsidR="0075524C" w:rsidRPr="00C35766" w:rsidRDefault="0075524C" w:rsidP="0075524C">
      <w:pPr>
        <w:pStyle w:val="a3"/>
        <w:rPr>
          <w:lang w:val="fr-FR"/>
        </w:rPr>
      </w:pPr>
    </w:p>
    <w:p w14:paraId="686608EC" w14:textId="77777777" w:rsidR="0075524C" w:rsidRPr="00C35766" w:rsidRDefault="0075524C" w:rsidP="0075524C">
      <w:pPr>
        <w:spacing w:line="200" w:lineRule="exact"/>
        <w:rPr>
          <w:rFonts w:ascii="Times New Roman" w:hAnsi="Times New Roman" w:cs="Times New Roman"/>
          <w:sz w:val="20"/>
          <w:szCs w:val="20"/>
          <w:lang w:val="fr-FR"/>
        </w:rPr>
      </w:pPr>
    </w:p>
    <w:p w14:paraId="2D713741" w14:textId="77777777" w:rsidR="0075524C" w:rsidRPr="00C35766" w:rsidRDefault="0075524C" w:rsidP="005C2D5B">
      <w:pPr>
        <w:widowControl/>
        <w:numPr>
          <w:ilvl w:val="0"/>
          <w:numId w:val="72"/>
        </w:numPr>
        <w:tabs>
          <w:tab w:val="left" w:pos="567"/>
        </w:tabs>
        <w:spacing w:line="260" w:lineRule="exact"/>
        <w:ind w:left="0" w:firstLine="0"/>
        <w:rPr>
          <w:rFonts w:ascii="Times New Roman" w:hAnsi="Times New Roman" w:cs="Times New Roman"/>
          <w:b/>
          <w:lang w:val="it-IT"/>
        </w:rPr>
      </w:pPr>
      <w:r w:rsidRPr="00C35766">
        <w:rPr>
          <w:rFonts w:ascii="Times New Roman" w:eastAsia="Times New Roman" w:hAnsi="Times New Roman" w:cs="Times New Roman"/>
          <w:b/>
          <w:bCs/>
          <w:noProof/>
          <w:lang w:val="it-IT"/>
        </w:rPr>
        <w:t>DATA DELLA PRIMA AUTORIZZAZIONE/RINNOVO DELL’AUTORIZZAZIONE</w:t>
      </w:r>
    </w:p>
    <w:p w14:paraId="6B617334" w14:textId="77777777" w:rsidR="0075524C" w:rsidRPr="00C35766" w:rsidRDefault="0075524C" w:rsidP="0075524C">
      <w:pPr>
        <w:widowControl/>
        <w:tabs>
          <w:tab w:val="left" w:pos="567"/>
        </w:tabs>
        <w:spacing w:line="260" w:lineRule="exact"/>
        <w:rPr>
          <w:rFonts w:ascii="Times New Roman" w:hAnsi="Times New Roman" w:cs="Times New Roman"/>
          <w:b/>
          <w:lang w:val="it-IT"/>
        </w:rPr>
      </w:pPr>
    </w:p>
    <w:p w14:paraId="148D93BF" w14:textId="77777777" w:rsidR="0075524C" w:rsidRPr="00824699" w:rsidRDefault="0075524C" w:rsidP="0075524C">
      <w:pPr>
        <w:widowControl/>
        <w:tabs>
          <w:tab w:val="left" w:pos="567"/>
        </w:tabs>
        <w:spacing w:line="260" w:lineRule="exact"/>
        <w:rPr>
          <w:rFonts w:ascii="Times New Roman" w:eastAsia="Times New Roman" w:hAnsi="Times New Roman" w:cs="Times New Roman"/>
          <w:bCs/>
          <w:noProof/>
          <w:lang w:val="it-IT"/>
        </w:rPr>
      </w:pPr>
      <w:r w:rsidRPr="00C35766">
        <w:rPr>
          <w:rFonts w:ascii="Times New Roman" w:eastAsia="Times New Roman" w:hAnsi="Times New Roman" w:cs="Times New Roman"/>
          <w:bCs/>
          <w:noProof/>
          <w:lang w:val="it-IT"/>
        </w:rPr>
        <w:t>Data della prima autorizzazione: 11 febbraio 2021</w:t>
      </w:r>
    </w:p>
    <w:p w14:paraId="1669B1A0" w14:textId="77777777" w:rsidR="0075524C" w:rsidRPr="00824699" w:rsidRDefault="0075524C" w:rsidP="0075524C">
      <w:pPr>
        <w:widowControl/>
        <w:tabs>
          <w:tab w:val="left" w:pos="567"/>
        </w:tabs>
        <w:spacing w:line="260" w:lineRule="exact"/>
        <w:rPr>
          <w:rFonts w:ascii="Times New Roman" w:eastAsia="Times New Roman" w:hAnsi="Times New Roman" w:cs="Times New Roman"/>
          <w:b/>
          <w:noProof/>
          <w:lang w:val="it-IT"/>
        </w:rPr>
      </w:pPr>
    </w:p>
    <w:p w14:paraId="6FCFF32E" w14:textId="77777777" w:rsidR="0075524C" w:rsidRPr="00824699" w:rsidRDefault="0075524C" w:rsidP="0075524C">
      <w:pPr>
        <w:widowControl/>
        <w:tabs>
          <w:tab w:val="left" w:pos="567"/>
        </w:tabs>
        <w:spacing w:line="260" w:lineRule="exact"/>
        <w:rPr>
          <w:rFonts w:ascii="Times New Roman" w:eastAsia="Times New Roman" w:hAnsi="Times New Roman" w:cs="Times New Roman"/>
          <w:b/>
          <w:noProof/>
          <w:lang w:val="it-IT"/>
        </w:rPr>
      </w:pPr>
    </w:p>
    <w:p w14:paraId="17B1246C" w14:textId="77777777" w:rsidR="0075524C" w:rsidRPr="00C35766" w:rsidRDefault="0075524C" w:rsidP="005C2D5B">
      <w:pPr>
        <w:widowControl/>
        <w:numPr>
          <w:ilvl w:val="0"/>
          <w:numId w:val="72"/>
        </w:numPr>
        <w:tabs>
          <w:tab w:val="left" w:pos="567"/>
        </w:tabs>
        <w:spacing w:line="260" w:lineRule="exact"/>
        <w:ind w:left="0" w:firstLine="0"/>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DATA DI REVISIONE DEL TESTO</w:t>
      </w:r>
    </w:p>
    <w:p w14:paraId="01CF0EB1" w14:textId="77777777" w:rsidR="0075524C" w:rsidRPr="00C35766" w:rsidRDefault="0075524C" w:rsidP="0075524C">
      <w:pPr>
        <w:spacing w:before="12" w:line="240" w:lineRule="exact"/>
        <w:rPr>
          <w:rFonts w:ascii="Times New Roman" w:hAnsi="Times New Roman" w:cs="Times New Roman"/>
          <w:sz w:val="24"/>
          <w:szCs w:val="24"/>
        </w:rPr>
      </w:pPr>
    </w:p>
    <w:p w14:paraId="7F734C67" w14:textId="77777777" w:rsidR="0075524C" w:rsidRPr="00C35766" w:rsidRDefault="0075524C" w:rsidP="0075524C">
      <w:pPr>
        <w:pStyle w:val="a3"/>
        <w:rPr>
          <w:lang w:val="pt-BR"/>
        </w:rPr>
      </w:pPr>
      <w:r w:rsidRPr="00C35766">
        <w:rPr>
          <w:rFonts w:eastAsia="Times New Roman"/>
          <w:lang w:val="it-IT"/>
        </w:rPr>
        <w:t xml:space="preserve">Informazioni più dettagliate su questo medicinale sono disponibili sul sito web dell’Agenzia europea dei medicinali, </w:t>
      </w:r>
      <w:hyperlink r:id="rId30" w:history="1">
        <w:r w:rsidRPr="00C35766">
          <w:rPr>
            <w:rFonts w:eastAsia="Times New Roman"/>
            <w:color w:val="0000FF"/>
            <w:u w:val="single"/>
            <w:lang w:val="it-IT"/>
          </w:rPr>
          <w:t>http://www.ema.europa.eu</w:t>
        </w:r>
      </w:hyperlink>
    </w:p>
    <w:p w14:paraId="78C6A650" w14:textId="0C307A5C" w:rsidR="00953B2E" w:rsidRPr="0075524C" w:rsidRDefault="0075524C">
      <w:pPr>
        <w:rPr>
          <w:rFonts w:ascii="Times New Roman" w:hAnsi="Times New Roman" w:cs="Times New Roman"/>
          <w:lang w:val="pt-BR"/>
        </w:rPr>
      </w:pPr>
      <w:r w:rsidRPr="00C35766">
        <w:rPr>
          <w:rFonts w:ascii="Times New Roman" w:hAnsi="Times New Roman" w:cs="Times New Roman"/>
          <w:lang w:val="pt-BR"/>
        </w:rPr>
        <w:br w:type="page"/>
      </w:r>
    </w:p>
    <w:p w14:paraId="77E74E4A" w14:textId="77777777" w:rsidR="00953B2E" w:rsidRPr="00C35766" w:rsidRDefault="00953B2E">
      <w:pPr>
        <w:rPr>
          <w:rFonts w:ascii="Times New Roman" w:hAnsi="Times New Roman" w:cs="Times New Roman"/>
          <w:lang w:val="pt-BR"/>
        </w:rPr>
      </w:pPr>
    </w:p>
    <w:p w14:paraId="7FB3673D" w14:textId="77777777" w:rsidR="00953B2E" w:rsidRPr="00C35766" w:rsidRDefault="00953B2E">
      <w:pPr>
        <w:spacing w:line="200" w:lineRule="exact"/>
        <w:rPr>
          <w:rFonts w:ascii="Times New Roman" w:hAnsi="Times New Roman" w:cs="Times New Roman"/>
          <w:sz w:val="20"/>
          <w:szCs w:val="20"/>
          <w:lang w:val="pt-BR"/>
        </w:rPr>
      </w:pPr>
    </w:p>
    <w:p w14:paraId="208C80D4" w14:textId="77777777" w:rsidR="00953B2E" w:rsidRPr="00C35766" w:rsidRDefault="00953B2E">
      <w:pPr>
        <w:spacing w:line="200" w:lineRule="exact"/>
        <w:rPr>
          <w:rFonts w:ascii="Times New Roman" w:hAnsi="Times New Roman" w:cs="Times New Roman"/>
          <w:sz w:val="20"/>
          <w:szCs w:val="20"/>
          <w:lang w:val="pt-BR"/>
        </w:rPr>
      </w:pPr>
    </w:p>
    <w:p w14:paraId="49370D9F" w14:textId="77777777" w:rsidR="00953B2E" w:rsidRPr="00C35766" w:rsidRDefault="00953B2E">
      <w:pPr>
        <w:spacing w:line="200" w:lineRule="exact"/>
        <w:rPr>
          <w:rFonts w:ascii="Times New Roman" w:hAnsi="Times New Roman" w:cs="Times New Roman"/>
          <w:sz w:val="20"/>
          <w:szCs w:val="20"/>
          <w:lang w:val="pt-BR"/>
        </w:rPr>
      </w:pPr>
    </w:p>
    <w:p w14:paraId="576A7EA7" w14:textId="77777777" w:rsidR="00953B2E" w:rsidRPr="00C35766" w:rsidRDefault="00953B2E">
      <w:pPr>
        <w:spacing w:line="200" w:lineRule="exact"/>
        <w:rPr>
          <w:rFonts w:ascii="Times New Roman" w:hAnsi="Times New Roman" w:cs="Times New Roman"/>
          <w:sz w:val="20"/>
          <w:szCs w:val="20"/>
          <w:lang w:val="pt-BR"/>
        </w:rPr>
      </w:pPr>
    </w:p>
    <w:p w14:paraId="2B89B857" w14:textId="77777777" w:rsidR="00953B2E" w:rsidRPr="00C35766" w:rsidRDefault="00953B2E">
      <w:pPr>
        <w:spacing w:line="200" w:lineRule="exact"/>
        <w:rPr>
          <w:rFonts w:ascii="Times New Roman" w:hAnsi="Times New Roman" w:cs="Times New Roman"/>
          <w:sz w:val="20"/>
          <w:szCs w:val="20"/>
          <w:lang w:val="pt-BR"/>
        </w:rPr>
      </w:pPr>
    </w:p>
    <w:p w14:paraId="5D71BC1E" w14:textId="77777777" w:rsidR="00953B2E" w:rsidRPr="00C35766" w:rsidRDefault="00953B2E">
      <w:pPr>
        <w:spacing w:line="200" w:lineRule="exact"/>
        <w:rPr>
          <w:rFonts w:ascii="Times New Roman" w:hAnsi="Times New Roman" w:cs="Times New Roman"/>
          <w:sz w:val="20"/>
          <w:szCs w:val="20"/>
          <w:lang w:val="pt-BR"/>
        </w:rPr>
      </w:pPr>
    </w:p>
    <w:p w14:paraId="6F4AB4EB" w14:textId="77777777" w:rsidR="00953B2E" w:rsidRPr="00C35766" w:rsidRDefault="00953B2E">
      <w:pPr>
        <w:spacing w:line="200" w:lineRule="exact"/>
        <w:rPr>
          <w:rFonts w:ascii="Times New Roman" w:hAnsi="Times New Roman" w:cs="Times New Roman"/>
          <w:sz w:val="20"/>
          <w:szCs w:val="20"/>
          <w:lang w:val="pt-BR"/>
        </w:rPr>
      </w:pPr>
    </w:p>
    <w:p w14:paraId="200B9C66" w14:textId="77777777" w:rsidR="00953B2E" w:rsidRPr="00C35766" w:rsidRDefault="00953B2E">
      <w:pPr>
        <w:spacing w:line="200" w:lineRule="exact"/>
        <w:rPr>
          <w:rFonts w:ascii="Times New Roman" w:hAnsi="Times New Roman" w:cs="Times New Roman"/>
          <w:sz w:val="20"/>
          <w:szCs w:val="20"/>
          <w:lang w:val="pt-BR"/>
        </w:rPr>
      </w:pPr>
    </w:p>
    <w:p w14:paraId="787BC6CC" w14:textId="77777777" w:rsidR="00953B2E" w:rsidRPr="00C35766" w:rsidRDefault="00953B2E">
      <w:pPr>
        <w:spacing w:line="200" w:lineRule="exact"/>
        <w:rPr>
          <w:rFonts w:ascii="Times New Roman" w:hAnsi="Times New Roman" w:cs="Times New Roman"/>
          <w:sz w:val="20"/>
          <w:szCs w:val="20"/>
          <w:lang w:val="pt-BR"/>
        </w:rPr>
      </w:pPr>
    </w:p>
    <w:p w14:paraId="3F8686D5" w14:textId="77777777" w:rsidR="00953B2E" w:rsidRPr="00C35766" w:rsidRDefault="00953B2E">
      <w:pPr>
        <w:spacing w:line="200" w:lineRule="exact"/>
        <w:rPr>
          <w:rFonts w:ascii="Times New Roman" w:hAnsi="Times New Roman" w:cs="Times New Roman"/>
          <w:sz w:val="20"/>
          <w:szCs w:val="20"/>
          <w:lang w:val="pt-BR"/>
        </w:rPr>
      </w:pPr>
    </w:p>
    <w:p w14:paraId="26EF63A2" w14:textId="77777777" w:rsidR="00953B2E" w:rsidRPr="00C35766" w:rsidRDefault="00953B2E">
      <w:pPr>
        <w:spacing w:line="200" w:lineRule="exact"/>
        <w:rPr>
          <w:rFonts w:ascii="Times New Roman" w:hAnsi="Times New Roman" w:cs="Times New Roman"/>
          <w:sz w:val="20"/>
          <w:szCs w:val="20"/>
          <w:lang w:val="pt-BR"/>
        </w:rPr>
      </w:pPr>
    </w:p>
    <w:p w14:paraId="48CE17EA" w14:textId="77777777" w:rsidR="00953B2E" w:rsidRPr="00C35766" w:rsidRDefault="00953B2E">
      <w:pPr>
        <w:spacing w:line="200" w:lineRule="exact"/>
        <w:rPr>
          <w:rFonts w:ascii="Times New Roman" w:hAnsi="Times New Roman" w:cs="Times New Roman"/>
          <w:sz w:val="20"/>
          <w:szCs w:val="20"/>
          <w:lang w:val="pt-BR"/>
        </w:rPr>
      </w:pPr>
    </w:p>
    <w:p w14:paraId="25785296" w14:textId="77777777" w:rsidR="00953B2E" w:rsidRPr="00C35766" w:rsidRDefault="00953B2E">
      <w:pPr>
        <w:spacing w:line="200" w:lineRule="exact"/>
        <w:rPr>
          <w:rFonts w:ascii="Times New Roman" w:hAnsi="Times New Roman" w:cs="Times New Roman"/>
          <w:sz w:val="20"/>
          <w:szCs w:val="20"/>
          <w:lang w:val="pt-BR"/>
        </w:rPr>
      </w:pPr>
    </w:p>
    <w:p w14:paraId="14051185" w14:textId="77777777" w:rsidR="00953B2E" w:rsidRPr="00C35766" w:rsidRDefault="00953B2E">
      <w:pPr>
        <w:spacing w:line="200" w:lineRule="exact"/>
        <w:rPr>
          <w:rFonts w:ascii="Times New Roman" w:hAnsi="Times New Roman" w:cs="Times New Roman"/>
          <w:sz w:val="20"/>
          <w:szCs w:val="20"/>
          <w:lang w:val="pt-BR"/>
        </w:rPr>
      </w:pPr>
    </w:p>
    <w:p w14:paraId="217DEAAB" w14:textId="77777777" w:rsidR="00953B2E" w:rsidRPr="00C35766" w:rsidRDefault="00953B2E">
      <w:pPr>
        <w:spacing w:line="200" w:lineRule="exact"/>
        <w:rPr>
          <w:rFonts w:ascii="Times New Roman" w:hAnsi="Times New Roman" w:cs="Times New Roman"/>
          <w:sz w:val="20"/>
          <w:szCs w:val="20"/>
          <w:lang w:val="pt-BR"/>
        </w:rPr>
      </w:pPr>
    </w:p>
    <w:p w14:paraId="76A0634E" w14:textId="77777777" w:rsidR="00953B2E" w:rsidRPr="00C35766" w:rsidRDefault="00953B2E">
      <w:pPr>
        <w:spacing w:line="200" w:lineRule="exact"/>
        <w:rPr>
          <w:rFonts w:ascii="Times New Roman" w:hAnsi="Times New Roman" w:cs="Times New Roman"/>
          <w:sz w:val="20"/>
          <w:szCs w:val="20"/>
          <w:lang w:val="pt-BR"/>
        </w:rPr>
      </w:pPr>
    </w:p>
    <w:p w14:paraId="020EA897" w14:textId="77777777" w:rsidR="00953B2E" w:rsidRPr="00C35766" w:rsidRDefault="00953B2E">
      <w:pPr>
        <w:spacing w:line="200" w:lineRule="exact"/>
        <w:rPr>
          <w:rFonts w:ascii="Times New Roman" w:hAnsi="Times New Roman" w:cs="Times New Roman"/>
          <w:sz w:val="20"/>
          <w:szCs w:val="20"/>
          <w:lang w:val="pt-BR"/>
        </w:rPr>
      </w:pPr>
    </w:p>
    <w:p w14:paraId="07666913" w14:textId="77777777" w:rsidR="00953B2E" w:rsidRPr="00C35766" w:rsidRDefault="00953B2E">
      <w:pPr>
        <w:spacing w:line="200" w:lineRule="exact"/>
        <w:rPr>
          <w:rFonts w:ascii="Times New Roman" w:hAnsi="Times New Roman" w:cs="Times New Roman"/>
          <w:sz w:val="20"/>
          <w:szCs w:val="20"/>
          <w:lang w:val="pt-BR"/>
        </w:rPr>
      </w:pPr>
    </w:p>
    <w:p w14:paraId="7ED9A490" w14:textId="77777777" w:rsidR="00953B2E" w:rsidRPr="00C35766" w:rsidRDefault="00953B2E">
      <w:pPr>
        <w:spacing w:line="200" w:lineRule="exact"/>
        <w:rPr>
          <w:rFonts w:ascii="Times New Roman" w:hAnsi="Times New Roman" w:cs="Times New Roman"/>
          <w:sz w:val="20"/>
          <w:szCs w:val="20"/>
          <w:lang w:val="pt-BR"/>
        </w:rPr>
      </w:pPr>
    </w:p>
    <w:p w14:paraId="7E8B3504" w14:textId="77777777" w:rsidR="00953B2E" w:rsidRPr="00C35766" w:rsidRDefault="00953B2E">
      <w:pPr>
        <w:spacing w:before="4" w:line="200" w:lineRule="exact"/>
        <w:rPr>
          <w:rFonts w:ascii="Times New Roman" w:hAnsi="Times New Roman" w:cs="Times New Roman"/>
          <w:sz w:val="20"/>
          <w:szCs w:val="20"/>
          <w:lang w:val="pt-BR"/>
        </w:rPr>
      </w:pPr>
    </w:p>
    <w:p w14:paraId="3D7DD02A" w14:textId="77777777" w:rsidR="00953B2E" w:rsidRPr="00C35766" w:rsidRDefault="005F0C19">
      <w:pPr>
        <w:pStyle w:val="TableParagraph"/>
        <w:tabs>
          <w:tab w:val="left" w:pos="4171"/>
          <w:tab w:val="center" w:pos="4800"/>
        </w:tabs>
        <w:rPr>
          <w:rFonts w:ascii="Times New Roman" w:hAnsi="Times New Roman" w:cs="Times New Roman"/>
          <w:b/>
        </w:rPr>
      </w:pPr>
      <w:r w:rsidRPr="00C35766">
        <w:rPr>
          <w:rFonts w:ascii="Times New Roman" w:eastAsia="Times New Roman" w:hAnsi="Times New Roman" w:cs="Times New Roman"/>
          <w:b/>
          <w:bCs/>
          <w:lang w:val="it-IT"/>
        </w:rPr>
        <w:tab/>
      </w:r>
      <w:r w:rsidRPr="00C35766">
        <w:rPr>
          <w:rFonts w:ascii="Times New Roman" w:eastAsia="Times New Roman" w:hAnsi="Times New Roman" w:cs="Times New Roman"/>
          <w:b/>
          <w:bCs/>
          <w:lang w:val="it-IT"/>
        </w:rPr>
        <w:tab/>
        <w:t>ALLEGATO II</w:t>
      </w:r>
    </w:p>
    <w:p w14:paraId="1EA7C2E3" w14:textId="77777777" w:rsidR="00953B2E" w:rsidRPr="00C35766" w:rsidRDefault="00953B2E">
      <w:pPr>
        <w:pStyle w:val="TableParagraph"/>
        <w:jc w:val="center"/>
        <w:rPr>
          <w:rFonts w:ascii="Times New Roman" w:hAnsi="Times New Roman" w:cs="Times New Roman"/>
          <w:b/>
        </w:rPr>
      </w:pPr>
    </w:p>
    <w:p w14:paraId="24EC39F6" w14:textId="77777777" w:rsidR="00953B2E" w:rsidRPr="00C35766" w:rsidRDefault="005F0C19" w:rsidP="00787805">
      <w:pPr>
        <w:pStyle w:val="TableParagraph"/>
        <w:numPr>
          <w:ilvl w:val="0"/>
          <w:numId w:val="31"/>
        </w:numPr>
        <w:ind w:left="1701" w:right="1701"/>
        <w:rPr>
          <w:rFonts w:ascii="Times New Roman" w:hAnsi="Times New Roman" w:cs="Times New Roman"/>
          <w:b/>
          <w:lang w:val="pt-BR"/>
        </w:rPr>
      </w:pPr>
      <w:r w:rsidRPr="00C35766">
        <w:rPr>
          <w:rFonts w:ascii="Times New Roman" w:eastAsia="Times New Roman" w:hAnsi="Times New Roman" w:cs="Times New Roman"/>
          <w:b/>
          <w:bCs/>
          <w:lang w:val="it-IT"/>
        </w:rPr>
        <w:t>PRODUTTORI DEL PRINCIPIO ATTIVO BIOLOGICO E PRODUTTORE(I) RESPONSABILE(I) DEL RILASCIO DEI LOTTI</w:t>
      </w:r>
    </w:p>
    <w:p w14:paraId="15784E63" w14:textId="77777777" w:rsidR="00953B2E" w:rsidRPr="00C35766" w:rsidRDefault="00953B2E">
      <w:pPr>
        <w:pStyle w:val="TableParagraph"/>
        <w:ind w:left="1701" w:right="1701"/>
        <w:rPr>
          <w:rFonts w:ascii="Times New Roman" w:hAnsi="Times New Roman" w:cs="Times New Roman"/>
          <w:b/>
          <w:lang w:val="pt-BR"/>
        </w:rPr>
      </w:pPr>
    </w:p>
    <w:p w14:paraId="4363F266" w14:textId="77777777" w:rsidR="00953B2E" w:rsidRPr="00C35766" w:rsidRDefault="005F0C19" w:rsidP="00787805">
      <w:pPr>
        <w:pStyle w:val="TableParagraph"/>
        <w:numPr>
          <w:ilvl w:val="0"/>
          <w:numId w:val="31"/>
        </w:numPr>
        <w:ind w:left="1701" w:right="1701"/>
        <w:rPr>
          <w:rFonts w:ascii="Times New Roman" w:hAnsi="Times New Roman" w:cs="Times New Roman"/>
          <w:b/>
          <w:lang w:val="pt-BR"/>
        </w:rPr>
      </w:pPr>
      <w:r w:rsidRPr="00C35766">
        <w:rPr>
          <w:rFonts w:ascii="Times New Roman" w:eastAsia="Times New Roman" w:hAnsi="Times New Roman" w:cs="Times New Roman"/>
          <w:b/>
          <w:bCs/>
          <w:lang w:val="it-IT"/>
        </w:rPr>
        <w:t>CONDIZIONI O LIMITAZIONI DI FORNITURA E UTILIZZO</w:t>
      </w:r>
    </w:p>
    <w:p w14:paraId="6C570300" w14:textId="77777777" w:rsidR="00953B2E" w:rsidRPr="00C35766" w:rsidRDefault="00953B2E">
      <w:pPr>
        <w:pStyle w:val="TableParagraph"/>
        <w:ind w:left="1701" w:right="1701"/>
        <w:rPr>
          <w:rFonts w:ascii="Times New Roman" w:hAnsi="Times New Roman" w:cs="Times New Roman"/>
          <w:b/>
          <w:lang w:val="pt-BR"/>
        </w:rPr>
      </w:pPr>
    </w:p>
    <w:p w14:paraId="611B0FEF" w14:textId="77777777" w:rsidR="00953B2E" w:rsidRPr="00C35766" w:rsidRDefault="005F0C19" w:rsidP="00787805">
      <w:pPr>
        <w:pStyle w:val="TableParagraph"/>
        <w:numPr>
          <w:ilvl w:val="0"/>
          <w:numId w:val="31"/>
        </w:numPr>
        <w:ind w:left="1701" w:right="1701"/>
        <w:rPr>
          <w:rFonts w:ascii="Times New Roman" w:hAnsi="Times New Roman" w:cs="Times New Roman"/>
          <w:b/>
          <w:lang w:val="it-IT"/>
        </w:rPr>
      </w:pPr>
      <w:r w:rsidRPr="00C35766">
        <w:rPr>
          <w:rFonts w:ascii="Times New Roman" w:eastAsia="Times New Roman" w:hAnsi="Times New Roman" w:cs="Times New Roman"/>
          <w:b/>
          <w:bCs/>
          <w:lang w:val="it-IT"/>
        </w:rPr>
        <w:t>ALTRE CONDIZIONI E REQUISITI DELL’AUTORIZZAZIONE ALL’IMMISSIONE IN COMMERCIO</w:t>
      </w:r>
    </w:p>
    <w:p w14:paraId="663F2441" w14:textId="77777777" w:rsidR="00953B2E" w:rsidRPr="00C35766" w:rsidRDefault="00953B2E">
      <w:pPr>
        <w:pStyle w:val="TableParagraph"/>
        <w:ind w:left="1701" w:right="1701"/>
        <w:rPr>
          <w:rFonts w:ascii="Times New Roman" w:hAnsi="Times New Roman" w:cs="Times New Roman"/>
          <w:b/>
          <w:lang w:val="it-IT"/>
        </w:rPr>
      </w:pPr>
    </w:p>
    <w:p w14:paraId="1F5EC90D" w14:textId="77777777" w:rsidR="00953B2E" w:rsidRPr="00C35766" w:rsidRDefault="005F0C19" w:rsidP="00787805">
      <w:pPr>
        <w:pStyle w:val="TableParagraph"/>
        <w:numPr>
          <w:ilvl w:val="0"/>
          <w:numId w:val="31"/>
        </w:numPr>
        <w:ind w:left="1701" w:right="1701"/>
        <w:rPr>
          <w:rFonts w:ascii="Times New Roman" w:hAnsi="Times New Roman" w:cs="Times New Roman"/>
          <w:b/>
          <w:lang w:val="it-IT"/>
        </w:rPr>
      </w:pPr>
      <w:r w:rsidRPr="00C35766">
        <w:rPr>
          <w:rFonts w:ascii="Times New Roman" w:eastAsia="Times New Roman" w:hAnsi="Times New Roman" w:cs="Times New Roman"/>
          <w:b/>
          <w:bCs/>
          <w:lang w:val="it-IT"/>
        </w:rPr>
        <w:t>CONDIZIONI O LIMITAZIONI PER QUANTO RIGUARDA L’USO SICURO ED EFFICACE DEL MEDICINALE</w:t>
      </w:r>
    </w:p>
    <w:p w14:paraId="1253BFBB" w14:textId="77777777" w:rsidR="00953B2E" w:rsidRPr="00C35766" w:rsidRDefault="005F0C19" w:rsidP="00787805">
      <w:pPr>
        <w:pStyle w:val="TableParagraph"/>
        <w:numPr>
          <w:ilvl w:val="0"/>
          <w:numId w:val="31"/>
        </w:numPr>
        <w:ind w:left="1701" w:right="1701"/>
        <w:rPr>
          <w:rFonts w:ascii="Times New Roman" w:hAnsi="Times New Roman" w:cs="Times New Roman"/>
          <w:b/>
          <w:lang w:val="it-IT"/>
        </w:rPr>
      </w:pPr>
      <w:r w:rsidRPr="00C35766">
        <w:rPr>
          <w:rFonts w:ascii="Times New Roman" w:hAnsi="Times New Roman" w:cs="Times New Roman"/>
          <w:b/>
          <w:lang w:val="it-IT"/>
        </w:rPr>
        <w:br w:type="page"/>
      </w:r>
    </w:p>
    <w:p w14:paraId="31EF31C4" w14:textId="77777777" w:rsidR="00953B2E" w:rsidRPr="00C35766" w:rsidRDefault="005F0C19" w:rsidP="00787805">
      <w:pPr>
        <w:pStyle w:val="1"/>
        <w:numPr>
          <w:ilvl w:val="0"/>
          <w:numId w:val="33"/>
        </w:numPr>
        <w:ind w:left="360"/>
        <w:rPr>
          <w:rFonts w:cs="Times New Roman"/>
          <w:lang w:val="pt-BR"/>
        </w:rPr>
      </w:pPr>
      <w:bookmarkStart w:id="13" w:name="A._MANUFACTURERS_OF_THE_BIOLOGICAL_ACTIV"/>
      <w:bookmarkEnd w:id="13"/>
      <w:r w:rsidRPr="00C35766">
        <w:rPr>
          <w:rFonts w:cs="Times New Roman"/>
          <w:lang w:val="it-IT"/>
        </w:rPr>
        <w:lastRenderedPageBreak/>
        <w:t>PRODUTTORI DEL PRINCIPIO ATTIVO BIOLOGICO E PRODUTTORE(I) RESPONSABILE(I) DEL RILASCIO DEI LOTTI</w:t>
      </w:r>
    </w:p>
    <w:p w14:paraId="4054F4F5" w14:textId="77777777" w:rsidR="00953B2E" w:rsidRPr="00C35766" w:rsidRDefault="00953B2E">
      <w:pPr>
        <w:spacing w:before="5" w:line="240" w:lineRule="exact"/>
        <w:rPr>
          <w:rFonts w:ascii="Times New Roman" w:hAnsi="Times New Roman" w:cs="Times New Roman"/>
          <w:sz w:val="24"/>
          <w:szCs w:val="24"/>
          <w:lang w:val="pt-BR"/>
        </w:rPr>
      </w:pPr>
    </w:p>
    <w:p w14:paraId="16464328" w14:textId="77777777" w:rsidR="00953B2E" w:rsidRPr="00C35766" w:rsidRDefault="005F0C19">
      <w:pPr>
        <w:pStyle w:val="a3"/>
        <w:rPr>
          <w:u w:val="single"/>
          <w:lang w:val="pt-BR"/>
        </w:rPr>
      </w:pPr>
      <w:r w:rsidRPr="00C35766">
        <w:rPr>
          <w:rFonts w:eastAsia="Times New Roman"/>
          <w:u w:val="single" w:color="000000"/>
          <w:lang w:val="it-IT"/>
        </w:rPr>
        <w:t>Nome e indirizzo del(dei) produttore(i) del(dei) principio(i) attivo(i) biologico(i)</w:t>
      </w:r>
    </w:p>
    <w:p w14:paraId="208B1B71" w14:textId="77777777" w:rsidR="00953B2E" w:rsidRPr="00C35766" w:rsidRDefault="00953B2E">
      <w:pPr>
        <w:spacing w:before="1" w:line="180" w:lineRule="exact"/>
        <w:rPr>
          <w:rFonts w:ascii="Times New Roman" w:hAnsi="Times New Roman" w:cs="Times New Roman"/>
          <w:sz w:val="18"/>
          <w:szCs w:val="18"/>
          <w:lang w:val="pt-BR"/>
        </w:rPr>
      </w:pPr>
    </w:p>
    <w:p w14:paraId="13A88396" w14:textId="77777777" w:rsidR="00A02C1D" w:rsidRPr="00C35766" w:rsidRDefault="00A02C1D" w:rsidP="00A02C1D">
      <w:pPr>
        <w:pStyle w:val="a3"/>
      </w:pPr>
      <w:r w:rsidRPr="00C35766">
        <w:t>CELLTRION INC.</w:t>
      </w:r>
    </w:p>
    <w:p w14:paraId="42CCDA8C" w14:textId="77777777" w:rsidR="00A02C1D" w:rsidRPr="00C35766" w:rsidRDefault="00A02C1D" w:rsidP="00A02C1D">
      <w:pPr>
        <w:pStyle w:val="a3"/>
      </w:pPr>
      <w:r w:rsidRPr="00C35766">
        <w:t>20 Academy-ro 51 beon-gil</w:t>
      </w:r>
    </w:p>
    <w:p w14:paraId="47E90A85" w14:textId="77777777" w:rsidR="00A02C1D" w:rsidRPr="00C35766" w:rsidRDefault="00A02C1D" w:rsidP="00A02C1D">
      <w:pPr>
        <w:pStyle w:val="a3"/>
        <w:rPr>
          <w:rFonts w:eastAsia="Times New Roman"/>
          <w:lang w:val="it-IT"/>
        </w:rPr>
      </w:pPr>
      <w:r w:rsidRPr="00C35766">
        <w:rPr>
          <w:rFonts w:eastAsia="Times New Roman"/>
          <w:lang w:val="it-IT"/>
        </w:rPr>
        <w:t>Yeonsu-gu</w:t>
      </w:r>
    </w:p>
    <w:p w14:paraId="52456C1A" w14:textId="77777777" w:rsidR="00A02C1D" w:rsidRPr="00C35766" w:rsidRDefault="00A02C1D" w:rsidP="00A02C1D">
      <w:pPr>
        <w:pStyle w:val="a3"/>
        <w:rPr>
          <w:rFonts w:eastAsia="Times New Roman"/>
          <w:lang w:val="it-IT"/>
        </w:rPr>
      </w:pPr>
      <w:r w:rsidRPr="00C35766">
        <w:rPr>
          <w:rFonts w:eastAsia="Times New Roman"/>
          <w:lang w:val="it-IT"/>
        </w:rPr>
        <w:t>22014 Incheon</w:t>
      </w:r>
    </w:p>
    <w:p w14:paraId="4C510ED7" w14:textId="7452C781" w:rsidR="00953B2E" w:rsidRPr="00C35766" w:rsidRDefault="005F0C19">
      <w:pPr>
        <w:pStyle w:val="a3"/>
        <w:rPr>
          <w:lang w:val="pt-BR"/>
        </w:rPr>
      </w:pPr>
      <w:r w:rsidRPr="00C35766">
        <w:rPr>
          <w:rFonts w:eastAsia="Times New Roman"/>
          <w:lang w:val="it-IT"/>
        </w:rPr>
        <w:t>Repubblica di Corea</w:t>
      </w:r>
    </w:p>
    <w:p w14:paraId="5CB32F70" w14:textId="77777777" w:rsidR="00953B2E" w:rsidRPr="00C35766" w:rsidRDefault="00953B2E">
      <w:pPr>
        <w:spacing w:before="13" w:line="240" w:lineRule="exact"/>
        <w:rPr>
          <w:rFonts w:ascii="Times New Roman" w:hAnsi="Times New Roman" w:cs="Times New Roman"/>
          <w:sz w:val="24"/>
          <w:szCs w:val="24"/>
          <w:u w:val="single"/>
          <w:lang w:val="pt-BR"/>
        </w:rPr>
      </w:pPr>
    </w:p>
    <w:p w14:paraId="612FB3A7" w14:textId="77777777" w:rsidR="00953B2E" w:rsidRPr="00C35766" w:rsidRDefault="005F0C19">
      <w:pPr>
        <w:pStyle w:val="a3"/>
        <w:rPr>
          <w:u w:val="single"/>
          <w:lang w:val="pt-BR"/>
        </w:rPr>
      </w:pPr>
      <w:r w:rsidRPr="00C35766">
        <w:rPr>
          <w:rFonts w:eastAsia="Times New Roman"/>
          <w:u w:val="single" w:color="000000"/>
          <w:lang w:val="it-IT"/>
        </w:rPr>
        <w:t>Nome e indirizzo del(dei) produttore(i) responsabile(i) del rilascio dei lotti</w:t>
      </w:r>
    </w:p>
    <w:p w14:paraId="7E0BF0F2" w14:textId="77777777" w:rsidR="00953B2E" w:rsidRPr="00C35766" w:rsidRDefault="00953B2E">
      <w:pPr>
        <w:spacing w:before="1" w:line="180" w:lineRule="exact"/>
        <w:rPr>
          <w:rFonts w:ascii="Times New Roman" w:hAnsi="Times New Roman" w:cs="Times New Roman"/>
          <w:sz w:val="18"/>
          <w:szCs w:val="18"/>
          <w:lang w:val="pt-BR"/>
        </w:rPr>
      </w:pPr>
    </w:p>
    <w:p w14:paraId="2B27679B" w14:textId="73F6BADF" w:rsidR="00A02C1D" w:rsidRPr="00D95C47" w:rsidDel="009328A5" w:rsidRDefault="00A02C1D" w:rsidP="00D95C47">
      <w:pPr>
        <w:pStyle w:val="a3"/>
        <w:rPr>
          <w:del w:id="14" w:author="만든 이"/>
          <w:lang w:val="it-IT"/>
        </w:rPr>
      </w:pPr>
      <w:del w:id="15" w:author="만든 이">
        <w:r w:rsidRPr="00D95C47" w:rsidDel="009328A5">
          <w:rPr>
            <w:lang w:val="it-IT"/>
          </w:rPr>
          <w:delText>Millmount Healthcare Ltd.</w:delText>
        </w:r>
      </w:del>
    </w:p>
    <w:p w14:paraId="21BE6A2B" w14:textId="5562E0D1" w:rsidR="00A02C1D" w:rsidRPr="00D95C47" w:rsidDel="009328A5" w:rsidRDefault="00A02C1D" w:rsidP="00D95C47">
      <w:pPr>
        <w:pStyle w:val="a3"/>
        <w:rPr>
          <w:del w:id="16" w:author="만든 이"/>
          <w:lang w:val="it-IT"/>
        </w:rPr>
      </w:pPr>
      <w:del w:id="17" w:author="만든 이">
        <w:r w:rsidRPr="00D95C47" w:rsidDel="009328A5">
          <w:rPr>
            <w:lang w:val="it-IT"/>
          </w:rPr>
          <w:delText>Block 7</w:delText>
        </w:r>
      </w:del>
    </w:p>
    <w:p w14:paraId="20FBCAB1" w14:textId="354E70B5" w:rsidR="00A02C1D" w:rsidRPr="00D95C47" w:rsidDel="009328A5" w:rsidRDefault="00A02C1D" w:rsidP="00D95C47">
      <w:pPr>
        <w:pStyle w:val="a3"/>
        <w:rPr>
          <w:del w:id="18" w:author="만든 이"/>
          <w:lang w:val="it-IT"/>
        </w:rPr>
      </w:pPr>
      <w:del w:id="19" w:author="만든 이">
        <w:r w:rsidRPr="00D95C47" w:rsidDel="009328A5">
          <w:rPr>
            <w:lang w:val="it-IT"/>
          </w:rPr>
          <w:delText>City North Business Campus</w:delText>
        </w:r>
      </w:del>
    </w:p>
    <w:p w14:paraId="769B9E52" w14:textId="3B77974C" w:rsidR="00A02C1D" w:rsidRPr="00D95C47" w:rsidDel="009328A5" w:rsidRDefault="00A02C1D" w:rsidP="00D95C47">
      <w:pPr>
        <w:pStyle w:val="a3"/>
        <w:rPr>
          <w:del w:id="20" w:author="만든 이"/>
          <w:lang w:val="it-IT"/>
        </w:rPr>
      </w:pPr>
      <w:del w:id="21" w:author="만든 이">
        <w:r w:rsidRPr="00D95C47" w:rsidDel="009328A5">
          <w:rPr>
            <w:lang w:val="it-IT"/>
          </w:rPr>
          <w:delText>Stamullen, Co. Meath K32 YD60</w:delText>
        </w:r>
      </w:del>
    </w:p>
    <w:p w14:paraId="0ABB73EF" w14:textId="064BD3B0" w:rsidR="00953B2E" w:rsidRPr="00D95C47" w:rsidDel="009328A5" w:rsidRDefault="005F0C19">
      <w:pPr>
        <w:pStyle w:val="a3"/>
        <w:rPr>
          <w:del w:id="22" w:author="만든 이"/>
          <w:lang w:val="it-IT"/>
        </w:rPr>
      </w:pPr>
      <w:del w:id="23" w:author="만든 이">
        <w:r w:rsidRPr="00622E23" w:rsidDel="009328A5">
          <w:rPr>
            <w:rFonts w:eastAsia="Times New Roman"/>
            <w:lang w:val="it-IT"/>
          </w:rPr>
          <w:delText>Ir</w:delText>
        </w:r>
        <w:r w:rsidR="00675F32" w:rsidRPr="00622E23" w:rsidDel="009328A5">
          <w:rPr>
            <w:rFonts w:eastAsia="Times New Roman"/>
            <w:lang w:val="it-IT"/>
          </w:rPr>
          <w:delText>landa</w:delText>
        </w:r>
      </w:del>
    </w:p>
    <w:p w14:paraId="545B5531" w14:textId="2604CAD3" w:rsidR="00953B2E" w:rsidRPr="00C35766" w:rsidDel="009328A5" w:rsidRDefault="00953B2E">
      <w:pPr>
        <w:pStyle w:val="a3"/>
        <w:rPr>
          <w:del w:id="24" w:author="만든 이"/>
          <w:lang w:val="de-CH"/>
        </w:rPr>
      </w:pPr>
    </w:p>
    <w:p w14:paraId="0377BE2A" w14:textId="77777777" w:rsidR="009328A5" w:rsidRPr="00C35766" w:rsidRDefault="009328A5" w:rsidP="009328A5">
      <w:pPr>
        <w:pStyle w:val="a3"/>
        <w:rPr>
          <w:moveTo w:id="25" w:author="만든 이" w16du:dateUtc="2025-09-09T05:42:00Z"/>
          <w:rFonts w:eastAsia="Times New Roman"/>
          <w:lang w:val="it-IT"/>
        </w:rPr>
      </w:pPr>
      <w:moveToRangeStart w:id="26" w:author="만든 이" w:name="move208321338"/>
      <w:moveTo w:id="27" w:author="만든 이" w16du:dateUtc="2025-09-09T05:42:00Z">
        <w:r w:rsidRPr="00C35766">
          <w:rPr>
            <w:rFonts w:eastAsia="Times New Roman"/>
            <w:lang w:val="it-IT"/>
          </w:rPr>
          <w:t>Nuvisan France SARL</w:t>
        </w:r>
      </w:moveTo>
    </w:p>
    <w:p w14:paraId="23C70722" w14:textId="77777777" w:rsidR="009328A5" w:rsidRPr="00D74B3A" w:rsidRDefault="009328A5" w:rsidP="009328A5">
      <w:pPr>
        <w:pStyle w:val="a3"/>
        <w:rPr>
          <w:moveTo w:id="28" w:author="만든 이" w16du:dateUtc="2025-09-09T05:42:00Z"/>
          <w:lang w:val="it-IT" w:eastAsia="ko-KR"/>
        </w:rPr>
      </w:pPr>
      <w:moveTo w:id="29" w:author="만든 이" w16du:dateUtc="2025-09-09T05:42:00Z">
        <w:r w:rsidRPr="00C35766">
          <w:rPr>
            <w:rFonts w:eastAsia="Times New Roman"/>
            <w:lang w:val="it-IT"/>
          </w:rPr>
          <w:t>2400, Route des Colles</w:t>
        </w:r>
      </w:moveTo>
    </w:p>
    <w:p w14:paraId="25696DD5" w14:textId="77777777" w:rsidR="009328A5" w:rsidRPr="00D74B3A" w:rsidRDefault="009328A5" w:rsidP="009328A5">
      <w:pPr>
        <w:pStyle w:val="a3"/>
        <w:rPr>
          <w:moveTo w:id="30" w:author="만든 이" w16du:dateUtc="2025-09-09T05:42:00Z"/>
          <w:lang w:val="it-IT" w:eastAsia="ko-KR"/>
        </w:rPr>
      </w:pPr>
      <w:moveTo w:id="31" w:author="만든 이" w16du:dateUtc="2025-09-09T05:42:00Z">
        <w:r w:rsidRPr="00C35766">
          <w:rPr>
            <w:rFonts w:eastAsia="Times New Roman"/>
            <w:lang w:val="it-IT"/>
          </w:rPr>
          <w:t>06410, Biot</w:t>
        </w:r>
      </w:moveTo>
    </w:p>
    <w:p w14:paraId="58A74CFC" w14:textId="77777777" w:rsidR="009328A5" w:rsidRPr="00C35766" w:rsidRDefault="009328A5" w:rsidP="009328A5">
      <w:pPr>
        <w:pStyle w:val="a3"/>
        <w:rPr>
          <w:moveTo w:id="32" w:author="만든 이" w16du:dateUtc="2025-09-09T05:42:00Z"/>
          <w:rFonts w:eastAsia="Times New Roman"/>
          <w:lang w:val="it-IT"/>
        </w:rPr>
      </w:pPr>
      <w:moveTo w:id="33" w:author="만든 이" w16du:dateUtc="2025-09-09T05:42:00Z">
        <w:r w:rsidRPr="00C35766">
          <w:rPr>
            <w:rFonts w:eastAsia="Times New Roman"/>
            <w:lang w:val="it-IT"/>
          </w:rPr>
          <w:t>Francia</w:t>
        </w:r>
      </w:moveTo>
    </w:p>
    <w:p w14:paraId="254139C3" w14:textId="77777777" w:rsidR="009328A5" w:rsidRPr="00824699" w:rsidRDefault="009328A5" w:rsidP="009328A5">
      <w:pPr>
        <w:pStyle w:val="a3"/>
        <w:rPr>
          <w:moveTo w:id="34" w:author="만든 이" w16du:dateUtc="2025-09-09T05:42:00Z"/>
          <w:rFonts w:eastAsia="Times New Roman"/>
          <w:lang w:val="it-IT"/>
        </w:rPr>
      </w:pPr>
    </w:p>
    <w:moveToRangeEnd w:id="26"/>
    <w:p w14:paraId="006A4FBD" w14:textId="77777777" w:rsidR="008F4C1A" w:rsidRPr="00C35766" w:rsidRDefault="008F4C1A" w:rsidP="005458B6">
      <w:pPr>
        <w:pStyle w:val="a3"/>
        <w:rPr>
          <w:rFonts w:eastAsia="Times New Roman"/>
          <w:lang w:val="it-IT"/>
        </w:rPr>
      </w:pPr>
      <w:r w:rsidRPr="00C35766">
        <w:rPr>
          <w:rFonts w:eastAsia="Times New Roman"/>
          <w:lang w:val="it-IT"/>
        </w:rPr>
        <w:t>Nuvisan GmbH</w:t>
      </w:r>
    </w:p>
    <w:p w14:paraId="0981A821" w14:textId="6B8920F8" w:rsidR="008F4C1A" w:rsidRPr="00D74B3A" w:rsidRDefault="008F4C1A" w:rsidP="005458B6">
      <w:pPr>
        <w:pStyle w:val="a3"/>
        <w:rPr>
          <w:lang w:val="it-IT" w:eastAsia="ko-KR"/>
        </w:rPr>
      </w:pPr>
      <w:r w:rsidRPr="00C35766">
        <w:rPr>
          <w:rFonts w:eastAsia="Times New Roman"/>
          <w:lang w:val="it-IT"/>
        </w:rPr>
        <w:t>Wegenerstraße 13</w:t>
      </w:r>
    </w:p>
    <w:p w14:paraId="4E1BC2BF" w14:textId="03F667E3" w:rsidR="008F4C1A" w:rsidRPr="00D74B3A" w:rsidRDefault="008F4C1A" w:rsidP="005458B6">
      <w:pPr>
        <w:pStyle w:val="a3"/>
        <w:rPr>
          <w:lang w:val="it-IT" w:eastAsia="ko-KR"/>
        </w:rPr>
      </w:pPr>
      <w:r w:rsidRPr="00C35766">
        <w:rPr>
          <w:rFonts w:eastAsia="Times New Roman"/>
          <w:lang w:val="it-IT"/>
        </w:rPr>
        <w:t>89231 Neu</w:t>
      </w:r>
      <w:r w:rsidR="003A4F8F">
        <w:rPr>
          <w:rFonts w:hint="eastAsia"/>
          <w:lang w:val="it-IT" w:eastAsia="ko-KR"/>
        </w:rPr>
        <w:t>-</w:t>
      </w:r>
      <w:r w:rsidRPr="00C35766">
        <w:rPr>
          <w:rFonts w:eastAsia="Times New Roman"/>
          <w:lang w:val="it-IT"/>
        </w:rPr>
        <w:t>Ulm</w:t>
      </w:r>
    </w:p>
    <w:p w14:paraId="1A0AE6AE" w14:textId="77777777" w:rsidR="008F4C1A" w:rsidRPr="00C35766" w:rsidRDefault="008F4C1A" w:rsidP="005458B6">
      <w:pPr>
        <w:pStyle w:val="a3"/>
        <w:rPr>
          <w:rFonts w:eastAsia="Times New Roman"/>
          <w:lang w:val="it-IT"/>
        </w:rPr>
      </w:pPr>
      <w:r w:rsidRPr="00C35766">
        <w:rPr>
          <w:rFonts w:eastAsia="Times New Roman"/>
          <w:lang w:val="it-IT"/>
        </w:rPr>
        <w:t>Germania</w:t>
      </w:r>
    </w:p>
    <w:p w14:paraId="2F404F5E" w14:textId="77777777" w:rsidR="008F4C1A" w:rsidRPr="00C35766" w:rsidRDefault="008F4C1A" w:rsidP="005458B6">
      <w:pPr>
        <w:pStyle w:val="a3"/>
        <w:rPr>
          <w:rFonts w:eastAsia="Times New Roman"/>
          <w:lang w:val="it-IT"/>
        </w:rPr>
      </w:pPr>
    </w:p>
    <w:p w14:paraId="51319ECA" w14:textId="631065B8" w:rsidR="008F4C1A" w:rsidRPr="00C35766" w:rsidDel="009328A5" w:rsidRDefault="008F4C1A" w:rsidP="005458B6">
      <w:pPr>
        <w:pStyle w:val="a3"/>
        <w:rPr>
          <w:moveFrom w:id="35" w:author="만든 이" w16du:dateUtc="2025-09-09T05:42:00Z"/>
          <w:rFonts w:eastAsia="Times New Roman"/>
          <w:lang w:val="it-IT"/>
        </w:rPr>
      </w:pPr>
      <w:moveFromRangeStart w:id="36" w:author="만든 이" w:name="move208321338"/>
      <w:moveFrom w:id="37" w:author="만든 이" w16du:dateUtc="2025-09-09T05:42:00Z">
        <w:r w:rsidRPr="00C35766" w:rsidDel="009328A5">
          <w:rPr>
            <w:rFonts w:eastAsia="Times New Roman"/>
            <w:lang w:val="it-IT"/>
          </w:rPr>
          <w:t>Nuvisan France SARL</w:t>
        </w:r>
      </w:moveFrom>
    </w:p>
    <w:p w14:paraId="77A59CD2" w14:textId="3A64E52C" w:rsidR="008F4C1A" w:rsidRPr="00D74B3A" w:rsidDel="009328A5" w:rsidRDefault="008F4C1A" w:rsidP="005458B6">
      <w:pPr>
        <w:pStyle w:val="a3"/>
        <w:rPr>
          <w:moveFrom w:id="38" w:author="만든 이" w16du:dateUtc="2025-09-09T05:42:00Z"/>
          <w:lang w:val="it-IT" w:eastAsia="ko-KR"/>
        </w:rPr>
      </w:pPr>
      <w:moveFrom w:id="39" w:author="만든 이" w16du:dateUtc="2025-09-09T05:42:00Z">
        <w:r w:rsidRPr="00C35766" w:rsidDel="009328A5">
          <w:rPr>
            <w:rFonts w:eastAsia="Times New Roman"/>
            <w:lang w:val="it-IT"/>
          </w:rPr>
          <w:t>2400, Route des Colles</w:t>
        </w:r>
      </w:moveFrom>
    </w:p>
    <w:p w14:paraId="277E24A5" w14:textId="04A491D4" w:rsidR="008F4C1A" w:rsidRPr="00D74B3A" w:rsidDel="009328A5" w:rsidRDefault="008F4C1A" w:rsidP="005458B6">
      <w:pPr>
        <w:pStyle w:val="a3"/>
        <w:rPr>
          <w:moveFrom w:id="40" w:author="만든 이" w16du:dateUtc="2025-09-09T05:42:00Z"/>
          <w:lang w:val="it-IT" w:eastAsia="ko-KR"/>
        </w:rPr>
      </w:pPr>
      <w:moveFrom w:id="41" w:author="만든 이" w16du:dateUtc="2025-09-09T05:42:00Z">
        <w:r w:rsidRPr="00C35766" w:rsidDel="009328A5">
          <w:rPr>
            <w:rFonts w:eastAsia="Times New Roman"/>
            <w:lang w:val="it-IT"/>
          </w:rPr>
          <w:t>06410, Biot</w:t>
        </w:r>
      </w:moveFrom>
    </w:p>
    <w:p w14:paraId="2D508743" w14:textId="689C15F5" w:rsidR="008F4C1A" w:rsidRPr="00C35766" w:rsidDel="009328A5" w:rsidRDefault="008F4C1A" w:rsidP="005458B6">
      <w:pPr>
        <w:pStyle w:val="a3"/>
        <w:rPr>
          <w:moveFrom w:id="42" w:author="만든 이" w16du:dateUtc="2025-09-09T05:42:00Z"/>
          <w:rFonts w:eastAsia="Times New Roman"/>
          <w:lang w:val="it-IT"/>
        </w:rPr>
      </w:pPr>
      <w:moveFrom w:id="43" w:author="만든 이" w16du:dateUtc="2025-09-09T05:42:00Z">
        <w:r w:rsidRPr="00C35766" w:rsidDel="009328A5">
          <w:rPr>
            <w:rFonts w:eastAsia="Times New Roman"/>
            <w:lang w:val="it-IT"/>
          </w:rPr>
          <w:t>Francia</w:t>
        </w:r>
      </w:moveFrom>
    </w:p>
    <w:p w14:paraId="2859B71A" w14:textId="4703568F" w:rsidR="0007460C" w:rsidRPr="00824699" w:rsidDel="009328A5" w:rsidRDefault="0007460C" w:rsidP="0007460C">
      <w:pPr>
        <w:pStyle w:val="a3"/>
        <w:rPr>
          <w:moveFrom w:id="44" w:author="만든 이" w16du:dateUtc="2025-09-09T05:42:00Z"/>
          <w:rFonts w:eastAsia="Times New Roman"/>
          <w:lang w:val="it-IT"/>
        </w:rPr>
      </w:pPr>
    </w:p>
    <w:moveFromRangeEnd w:id="36"/>
    <w:p w14:paraId="14D21B7E" w14:textId="77777777" w:rsidR="0007460C" w:rsidRPr="006501B3" w:rsidRDefault="0007460C" w:rsidP="0007460C">
      <w:pPr>
        <w:pStyle w:val="a3"/>
        <w:rPr>
          <w:rFonts w:eastAsia="Times New Roman"/>
          <w:lang w:val="it-IT"/>
        </w:rPr>
      </w:pPr>
      <w:r w:rsidRPr="006501B3">
        <w:rPr>
          <w:rFonts w:eastAsia="Times New Roman"/>
          <w:lang w:val="it-IT"/>
        </w:rPr>
        <w:t>Midas Pharma GmbH</w:t>
      </w:r>
    </w:p>
    <w:p w14:paraId="5B756958" w14:textId="53BDD74B" w:rsidR="0007460C" w:rsidRPr="006501B3" w:rsidRDefault="0007460C" w:rsidP="0007460C">
      <w:pPr>
        <w:pStyle w:val="a3"/>
        <w:rPr>
          <w:lang w:val="it-IT" w:eastAsia="ko-KR"/>
        </w:rPr>
      </w:pPr>
      <w:r w:rsidRPr="006501B3">
        <w:rPr>
          <w:rFonts w:eastAsia="Times New Roman"/>
          <w:lang w:val="it-IT"/>
        </w:rPr>
        <w:t>Rheinstr. 49</w:t>
      </w:r>
    </w:p>
    <w:p w14:paraId="42573421" w14:textId="34F94A4A" w:rsidR="0007460C" w:rsidRPr="006501B3" w:rsidRDefault="0007460C" w:rsidP="0007460C">
      <w:pPr>
        <w:pStyle w:val="a3"/>
        <w:rPr>
          <w:lang w:val="it-IT" w:eastAsia="ko-KR"/>
        </w:rPr>
      </w:pPr>
      <w:r w:rsidRPr="006501B3">
        <w:rPr>
          <w:rFonts w:eastAsia="Times New Roman"/>
          <w:lang w:val="it-IT"/>
        </w:rPr>
        <w:t>55218 Ingelheim</w:t>
      </w:r>
    </w:p>
    <w:p w14:paraId="2677A3B1" w14:textId="6DEBFFA1" w:rsidR="0007460C" w:rsidRPr="006501B3" w:rsidRDefault="0007460C" w:rsidP="0007460C">
      <w:pPr>
        <w:pStyle w:val="a3"/>
        <w:rPr>
          <w:rFonts w:eastAsia="Times New Roman"/>
          <w:lang w:val="it-IT"/>
        </w:rPr>
      </w:pPr>
      <w:r w:rsidRPr="006501B3">
        <w:rPr>
          <w:rFonts w:eastAsia="Times New Roman"/>
          <w:lang w:val="it-IT"/>
        </w:rPr>
        <w:t>Germania</w:t>
      </w:r>
    </w:p>
    <w:p w14:paraId="56CF7EA3" w14:textId="77777777" w:rsidR="0007460C" w:rsidRPr="006501B3" w:rsidRDefault="0007460C" w:rsidP="0007460C">
      <w:pPr>
        <w:pStyle w:val="a3"/>
        <w:rPr>
          <w:rFonts w:eastAsia="Times New Roman"/>
          <w:lang w:val="it-IT"/>
        </w:rPr>
      </w:pPr>
    </w:p>
    <w:p w14:paraId="713A1C09" w14:textId="29773E49" w:rsidR="0007460C" w:rsidRPr="006501B3" w:rsidRDefault="0007460C" w:rsidP="0007460C">
      <w:pPr>
        <w:pStyle w:val="a3"/>
        <w:rPr>
          <w:lang w:val="it-IT" w:eastAsia="ko-KR"/>
        </w:rPr>
      </w:pPr>
      <w:r w:rsidRPr="006501B3">
        <w:rPr>
          <w:rFonts w:eastAsia="Times New Roman"/>
          <w:lang w:val="it-IT"/>
        </w:rPr>
        <w:t>KYMOS S.L.</w:t>
      </w:r>
    </w:p>
    <w:p w14:paraId="5D5289E4" w14:textId="5AA3BDE4" w:rsidR="0007460C" w:rsidRPr="006501B3" w:rsidRDefault="0007460C" w:rsidP="0007460C">
      <w:pPr>
        <w:pStyle w:val="a3"/>
        <w:rPr>
          <w:lang w:val="it-IT" w:eastAsia="ko-KR"/>
        </w:rPr>
      </w:pPr>
      <w:r w:rsidRPr="006501B3">
        <w:rPr>
          <w:rFonts w:eastAsia="Times New Roman"/>
          <w:lang w:val="it-IT"/>
        </w:rPr>
        <w:t>Ronda Can Fatjó, 7B.</w:t>
      </w:r>
    </w:p>
    <w:p w14:paraId="4280DD26" w14:textId="07979787" w:rsidR="0007460C" w:rsidRPr="006501B3" w:rsidRDefault="0007460C" w:rsidP="0007460C">
      <w:pPr>
        <w:pStyle w:val="a3"/>
        <w:rPr>
          <w:lang w:val="it-IT" w:eastAsia="ko-KR"/>
        </w:rPr>
      </w:pPr>
      <w:r w:rsidRPr="006501B3">
        <w:rPr>
          <w:rFonts w:eastAsia="Times New Roman"/>
          <w:lang w:val="it-IT"/>
        </w:rPr>
        <w:t>08290 Cerdanyola del Vallès</w:t>
      </w:r>
    </w:p>
    <w:p w14:paraId="64B0D52B" w14:textId="62D1E626" w:rsidR="0007460C" w:rsidRPr="00D74B3A" w:rsidRDefault="0007460C" w:rsidP="0007460C">
      <w:pPr>
        <w:pStyle w:val="a3"/>
        <w:rPr>
          <w:lang w:val="fr-FR" w:eastAsia="ko-KR"/>
        </w:rPr>
      </w:pPr>
      <w:r w:rsidRPr="0007460C">
        <w:rPr>
          <w:rFonts w:eastAsia="Times New Roman"/>
          <w:lang w:val="fr-FR"/>
        </w:rPr>
        <w:t>Barcelona</w:t>
      </w:r>
    </w:p>
    <w:p w14:paraId="6EEEAEB5" w14:textId="7E669E2B" w:rsidR="0007460C" w:rsidRPr="0007460C" w:rsidRDefault="0007460C" w:rsidP="0007460C">
      <w:pPr>
        <w:pStyle w:val="a3"/>
        <w:rPr>
          <w:rFonts w:eastAsia="Times New Roman"/>
          <w:lang w:val="fr-FR"/>
        </w:rPr>
      </w:pPr>
      <w:r w:rsidRPr="0007460C">
        <w:rPr>
          <w:rFonts w:eastAsia="Times New Roman"/>
          <w:lang w:val="fr-FR"/>
        </w:rPr>
        <w:t>Spagna</w:t>
      </w:r>
    </w:p>
    <w:p w14:paraId="0561ED76" w14:textId="77777777" w:rsidR="008F4C1A" w:rsidRPr="00C35766" w:rsidRDefault="008F4C1A" w:rsidP="005458B6">
      <w:pPr>
        <w:pStyle w:val="a3"/>
        <w:rPr>
          <w:rFonts w:eastAsia="Times New Roman"/>
          <w:lang w:val="it-IT"/>
        </w:rPr>
      </w:pPr>
    </w:p>
    <w:p w14:paraId="18DF6C5C" w14:textId="77777777" w:rsidR="008F4C1A" w:rsidRPr="00C35766" w:rsidRDefault="008F4C1A" w:rsidP="005458B6">
      <w:pPr>
        <w:pStyle w:val="a3"/>
        <w:rPr>
          <w:rFonts w:eastAsia="Times New Roman"/>
          <w:lang w:val="it-IT"/>
        </w:rPr>
      </w:pPr>
      <w:r w:rsidRPr="00C35766">
        <w:rPr>
          <w:rFonts w:eastAsia="Times New Roman"/>
          <w:lang w:val="it-IT"/>
        </w:rPr>
        <w:t>Il foglio illustrativo del medicinale deve riportare il nome e l’indirizzo del produttore responsabile del rilascio dei lotti in questione.</w:t>
      </w:r>
    </w:p>
    <w:p w14:paraId="39E1E6DE" w14:textId="77777777" w:rsidR="008F4C1A" w:rsidRPr="00C35766" w:rsidRDefault="008F4C1A">
      <w:pPr>
        <w:pStyle w:val="a3"/>
        <w:rPr>
          <w:lang w:val="it-IT"/>
        </w:rPr>
      </w:pPr>
    </w:p>
    <w:p w14:paraId="4EE00993" w14:textId="77777777" w:rsidR="00953B2E" w:rsidRPr="00824699" w:rsidRDefault="00953B2E">
      <w:pPr>
        <w:pStyle w:val="a3"/>
        <w:rPr>
          <w:lang w:val="it-IT"/>
        </w:rPr>
      </w:pPr>
    </w:p>
    <w:p w14:paraId="03DC1EE7" w14:textId="77777777" w:rsidR="00953B2E" w:rsidRPr="00C35766" w:rsidRDefault="005F0C19" w:rsidP="00787805">
      <w:pPr>
        <w:pStyle w:val="1"/>
        <w:numPr>
          <w:ilvl w:val="0"/>
          <w:numId w:val="33"/>
        </w:numPr>
        <w:ind w:left="360"/>
        <w:rPr>
          <w:rFonts w:cs="Times New Roman"/>
          <w:lang w:val="pt-BR"/>
        </w:rPr>
      </w:pPr>
      <w:bookmarkStart w:id="45" w:name="B._CONDITIONS_OR_RESTRICTIONS_REGARDING_"/>
      <w:bookmarkEnd w:id="45"/>
      <w:r w:rsidRPr="00C35766">
        <w:rPr>
          <w:rFonts w:cs="Times New Roman"/>
          <w:lang w:val="it-IT"/>
        </w:rPr>
        <w:t>CONDIZIONI O LIMITAZIONI DI FORNITURA E UTILIZZO</w:t>
      </w:r>
    </w:p>
    <w:p w14:paraId="2E9A36DF" w14:textId="77777777" w:rsidR="00953B2E" w:rsidRPr="00C35766" w:rsidRDefault="00953B2E">
      <w:pPr>
        <w:spacing w:before="12" w:line="240" w:lineRule="exact"/>
        <w:rPr>
          <w:rFonts w:ascii="Times New Roman" w:hAnsi="Times New Roman" w:cs="Times New Roman"/>
          <w:sz w:val="24"/>
          <w:szCs w:val="24"/>
          <w:lang w:val="pt-BR"/>
        </w:rPr>
      </w:pPr>
    </w:p>
    <w:p w14:paraId="6D37D044" w14:textId="77777777" w:rsidR="00953B2E" w:rsidRPr="00C35766" w:rsidRDefault="005F0C19">
      <w:pPr>
        <w:pStyle w:val="a3"/>
        <w:rPr>
          <w:lang w:val="it-IT"/>
        </w:rPr>
      </w:pPr>
      <w:r w:rsidRPr="00C35766">
        <w:rPr>
          <w:rFonts w:eastAsia="Times New Roman"/>
          <w:lang w:val="it-IT"/>
        </w:rPr>
        <w:t>Medicinale soggetto a prescrizione medica limitativa (vedere allegato I: riassunto delle caratteristiche del prodotto, paragrafo 4.2).</w:t>
      </w:r>
    </w:p>
    <w:p w14:paraId="113DB6F1" w14:textId="77777777" w:rsidR="00953B2E" w:rsidRPr="00C35766" w:rsidRDefault="00953B2E">
      <w:pPr>
        <w:spacing w:before="7" w:line="100" w:lineRule="exact"/>
        <w:rPr>
          <w:rFonts w:ascii="Times New Roman" w:hAnsi="Times New Roman" w:cs="Times New Roman"/>
          <w:sz w:val="10"/>
          <w:lang w:val="it-IT"/>
        </w:rPr>
      </w:pPr>
    </w:p>
    <w:p w14:paraId="07A0074F" w14:textId="77777777" w:rsidR="00953B2E" w:rsidRPr="00C35766" w:rsidRDefault="00953B2E">
      <w:pPr>
        <w:spacing w:line="200" w:lineRule="exact"/>
        <w:rPr>
          <w:rFonts w:ascii="Times New Roman" w:hAnsi="Times New Roman" w:cs="Times New Roman"/>
          <w:sz w:val="20"/>
          <w:lang w:val="it-IT"/>
        </w:rPr>
      </w:pPr>
    </w:p>
    <w:p w14:paraId="21450751" w14:textId="77777777" w:rsidR="00953B2E" w:rsidRPr="00C35766" w:rsidRDefault="00953B2E">
      <w:pPr>
        <w:pStyle w:val="a3"/>
        <w:rPr>
          <w:lang w:val="it-IT"/>
        </w:rPr>
      </w:pPr>
    </w:p>
    <w:p w14:paraId="703668F1" w14:textId="77777777" w:rsidR="00953B2E" w:rsidRPr="00C35766" w:rsidRDefault="005F0C19" w:rsidP="00787805">
      <w:pPr>
        <w:pStyle w:val="1"/>
        <w:numPr>
          <w:ilvl w:val="0"/>
          <w:numId w:val="33"/>
        </w:numPr>
        <w:ind w:left="360"/>
        <w:rPr>
          <w:rFonts w:cs="Times New Roman"/>
          <w:lang w:val="it-IT"/>
        </w:rPr>
      </w:pPr>
      <w:bookmarkStart w:id="46" w:name="C.__OTHER_CONDITIONS_AND_REQUIREMENTS_OF"/>
      <w:bookmarkEnd w:id="46"/>
      <w:r w:rsidRPr="00C35766">
        <w:rPr>
          <w:rFonts w:cs="Times New Roman"/>
          <w:lang w:val="it-IT"/>
        </w:rPr>
        <w:t>ALTRE CONDIZIONI E REQUISITI DELL’AUTORIZZAZIONE ALL’IMMISSIONE IN COMMERCIO</w:t>
      </w:r>
    </w:p>
    <w:p w14:paraId="7264E06E" w14:textId="77777777" w:rsidR="00953B2E" w:rsidRPr="00C35766" w:rsidRDefault="00953B2E">
      <w:pPr>
        <w:spacing w:before="13" w:line="240" w:lineRule="exact"/>
        <w:rPr>
          <w:rFonts w:ascii="Times New Roman" w:hAnsi="Times New Roman" w:cs="Times New Roman"/>
          <w:sz w:val="24"/>
          <w:lang w:val="it-IT"/>
        </w:rPr>
      </w:pPr>
    </w:p>
    <w:p w14:paraId="2302D7F8" w14:textId="77777777" w:rsidR="00953B2E" w:rsidRPr="00C35766" w:rsidRDefault="005F0C19" w:rsidP="00787805">
      <w:pPr>
        <w:numPr>
          <w:ilvl w:val="1"/>
          <w:numId w:val="7"/>
        </w:numPr>
        <w:tabs>
          <w:tab w:val="left" w:pos="831"/>
        </w:tabs>
        <w:ind w:left="831"/>
        <w:rPr>
          <w:rFonts w:ascii="Times New Roman" w:hAnsi="Times New Roman" w:cs="Times New Roman"/>
          <w:lang w:val="it-IT"/>
        </w:rPr>
      </w:pPr>
      <w:r w:rsidRPr="00C35766">
        <w:rPr>
          <w:rFonts w:ascii="Times New Roman" w:eastAsia="Times New Roman" w:hAnsi="Times New Roman" w:cs="Times New Roman"/>
          <w:b/>
          <w:bCs/>
          <w:spacing w:val="-1"/>
          <w:lang w:val="it-IT"/>
        </w:rPr>
        <w:t>* Rapporti periodici di aggiornamento sulla sicurezza (PSUR)</w:t>
      </w:r>
    </w:p>
    <w:p w14:paraId="3F24103F" w14:textId="77777777" w:rsidR="00953B2E" w:rsidRPr="00C35766" w:rsidRDefault="00953B2E">
      <w:pPr>
        <w:tabs>
          <w:tab w:val="left" w:pos="831"/>
        </w:tabs>
        <w:rPr>
          <w:rFonts w:ascii="Times New Roman" w:hAnsi="Times New Roman" w:cs="Times New Roman"/>
          <w:lang w:val="it-IT"/>
        </w:rPr>
      </w:pPr>
    </w:p>
    <w:p w14:paraId="659021D8" w14:textId="77777777" w:rsidR="00953B2E" w:rsidRPr="00C35766" w:rsidRDefault="005F0C19">
      <w:pPr>
        <w:pStyle w:val="a3"/>
        <w:rPr>
          <w:lang w:val="it-IT"/>
        </w:rPr>
      </w:pPr>
      <w:r w:rsidRPr="00C35766">
        <w:rPr>
          <w:rFonts w:eastAsia="Times New Roman"/>
          <w:lang w:val="it-IT"/>
        </w:rPr>
        <w:t>I requisiti per la presentazione degli PSUR per questo medicinale sono definiti nell’elenco delle date di riferimento per l’Unione europea (elenco EURD) di cui all’articolo 107 quater, paragrafo 7, della Direttiva 2001/83/CE e successive modifiche, pubblicato sul sito web dell'Agenzia europea dei medicinali.</w:t>
      </w:r>
    </w:p>
    <w:p w14:paraId="656F36F4" w14:textId="77777777" w:rsidR="00953B2E" w:rsidRPr="00C35766" w:rsidRDefault="00953B2E">
      <w:pPr>
        <w:spacing w:before="4" w:line="110" w:lineRule="exact"/>
        <w:rPr>
          <w:rFonts w:ascii="Times New Roman" w:hAnsi="Times New Roman" w:cs="Times New Roman"/>
          <w:sz w:val="11"/>
          <w:lang w:val="it-IT"/>
        </w:rPr>
      </w:pPr>
    </w:p>
    <w:p w14:paraId="769C2686" w14:textId="77777777" w:rsidR="00953B2E" w:rsidRPr="00C35766" w:rsidRDefault="00953B2E">
      <w:pPr>
        <w:spacing w:line="200" w:lineRule="exact"/>
        <w:rPr>
          <w:rFonts w:ascii="Times New Roman" w:hAnsi="Times New Roman" w:cs="Times New Roman"/>
          <w:sz w:val="20"/>
          <w:lang w:val="it-IT"/>
        </w:rPr>
      </w:pPr>
    </w:p>
    <w:p w14:paraId="5F7ED47F" w14:textId="77777777" w:rsidR="00953B2E" w:rsidRPr="00C35766" w:rsidRDefault="00953B2E">
      <w:pPr>
        <w:pStyle w:val="a3"/>
        <w:rPr>
          <w:lang w:val="it-IT"/>
        </w:rPr>
      </w:pPr>
    </w:p>
    <w:p w14:paraId="1FAAE2AE" w14:textId="77777777" w:rsidR="00953B2E" w:rsidRPr="00C35766" w:rsidRDefault="005F0C19" w:rsidP="00787805">
      <w:pPr>
        <w:pStyle w:val="1"/>
        <w:numPr>
          <w:ilvl w:val="0"/>
          <w:numId w:val="33"/>
        </w:numPr>
        <w:ind w:left="360"/>
        <w:rPr>
          <w:rFonts w:cs="Times New Roman"/>
          <w:lang w:val="it-IT"/>
        </w:rPr>
      </w:pPr>
      <w:bookmarkStart w:id="47" w:name="D._CONDITIONS_OR_RESTRICTIONS_WITH_REGAR"/>
      <w:bookmarkEnd w:id="47"/>
      <w:r w:rsidRPr="00C35766">
        <w:rPr>
          <w:rFonts w:cs="Times New Roman"/>
          <w:lang w:val="it-IT"/>
        </w:rPr>
        <w:lastRenderedPageBreak/>
        <w:t>CONDIZIONI O LIMITAZIONI PER QUANTO RIGUARDA L’USO SICURO ED EFFICACE DEL MEDICINALE</w:t>
      </w:r>
    </w:p>
    <w:p w14:paraId="79C6FF2E" w14:textId="77777777" w:rsidR="00953B2E" w:rsidRPr="00C35766" w:rsidRDefault="00953B2E">
      <w:pPr>
        <w:spacing w:before="20" w:line="220" w:lineRule="exact"/>
        <w:rPr>
          <w:rFonts w:ascii="Times New Roman" w:hAnsi="Times New Roman" w:cs="Times New Roman"/>
          <w:lang w:val="it-IT"/>
        </w:rPr>
      </w:pPr>
    </w:p>
    <w:p w14:paraId="62387CF9" w14:textId="77777777" w:rsidR="00953B2E" w:rsidRPr="00C35766" w:rsidRDefault="005F0C19" w:rsidP="00787805">
      <w:pPr>
        <w:numPr>
          <w:ilvl w:val="0"/>
          <w:numId w:val="15"/>
        </w:numPr>
        <w:tabs>
          <w:tab w:val="left" w:pos="660"/>
        </w:tabs>
        <w:ind w:left="660" w:hanging="550"/>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Piano di gestione del rischio (RMP)</w:t>
      </w:r>
    </w:p>
    <w:p w14:paraId="2C1F40A3" w14:textId="77777777" w:rsidR="00953B2E" w:rsidRPr="00C35766" w:rsidRDefault="00953B2E">
      <w:pPr>
        <w:spacing w:before="1" w:line="260" w:lineRule="exact"/>
        <w:rPr>
          <w:rFonts w:ascii="Times New Roman" w:hAnsi="Times New Roman" w:cs="Times New Roman"/>
          <w:sz w:val="26"/>
          <w:szCs w:val="26"/>
          <w:lang w:val="es-ES"/>
        </w:rPr>
      </w:pPr>
    </w:p>
    <w:p w14:paraId="45FF816F" w14:textId="77777777" w:rsidR="00953B2E" w:rsidRPr="00C35766" w:rsidRDefault="005F0C19">
      <w:pPr>
        <w:pStyle w:val="a3"/>
        <w:rPr>
          <w:lang w:val="es-ES"/>
        </w:rPr>
      </w:pPr>
      <w:r w:rsidRPr="00C35766">
        <w:rPr>
          <w:rFonts w:eastAsia="Times New Roman"/>
          <w:lang w:val="it-IT"/>
        </w:rPr>
        <w:t>Il titolare dell'autorizzazione all'immissione in commercio deve effettuare le attività e le azioni di farmacovigilanza richieste e dettagliate nel RMP approvato e presentato nel modulo 1.8.2 dell'autorizzazione all'immissione in commercio e in ogni successivo aggiornamento approvato del RMP.</w:t>
      </w:r>
    </w:p>
    <w:p w14:paraId="76155F74" w14:textId="77777777" w:rsidR="00953B2E" w:rsidRPr="00C35766" w:rsidRDefault="00953B2E">
      <w:pPr>
        <w:spacing w:before="11" w:line="240" w:lineRule="exact"/>
        <w:rPr>
          <w:rFonts w:ascii="Times New Roman" w:hAnsi="Times New Roman" w:cs="Times New Roman"/>
          <w:sz w:val="24"/>
          <w:szCs w:val="24"/>
          <w:lang w:val="es-ES"/>
        </w:rPr>
      </w:pPr>
    </w:p>
    <w:p w14:paraId="2CFBE711" w14:textId="77777777" w:rsidR="00953B2E" w:rsidRPr="00C35766" w:rsidRDefault="005F0C19">
      <w:pPr>
        <w:pStyle w:val="a3"/>
        <w:rPr>
          <w:lang w:val="pt-BR"/>
        </w:rPr>
      </w:pPr>
      <w:r w:rsidRPr="00C35766">
        <w:rPr>
          <w:rFonts w:eastAsia="Times New Roman"/>
          <w:lang w:val="it-IT"/>
        </w:rPr>
        <w:t>Il RMP aggiornato deve essere presentato:</w:t>
      </w:r>
    </w:p>
    <w:p w14:paraId="56DC4FD1" w14:textId="77777777" w:rsidR="00953B2E" w:rsidRPr="00C35766" w:rsidRDefault="005F0C19" w:rsidP="00787805">
      <w:pPr>
        <w:pStyle w:val="a3"/>
        <w:numPr>
          <w:ilvl w:val="1"/>
          <w:numId w:val="15"/>
        </w:numPr>
        <w:ind w:left="660" w:hanging="660"/>
        <w:rPr>
          <w:lang w:val="it-IT"/>
        </w:rPr>
      </w:pPr>
      <w:r w:rsidRPr="00C35766">
        <w:rPr>
          <w:rFonts w:eastAsia="Times New Roman"/>
          <w:lang w:val="it-IT"/>
        </w:rPr>
        <w:t>su richiesta dell’Agenzia europea dei medicinali;</w:t>
      </w:r>
    </w:p>
    <w:p w14:paraId="5CEEDA31" w14:textId="77777777" w:rsidR="00953B2E" w:rsidRPr="00C35766" w:rsidRDefault="005F0C19" w:rsidP="00787805">
      <w:pPr>
        <w:pStyle w:val="a3"/>
        <w:numPr>
          <w:ilvl w:val="1"/>
          <w:numId w:val="15"/>
        </w:numPr>
        <w:ind w:left="660" w:hanging="660"/>
        <w:rPr>
          <w:lang w:val="it-IT"/>
        </w:rPr>
      </w:pPr>
      <w:r w:rsidRPr="00C35766">
        <w:rPr>
          <w:rFonts w:eastAsia="Times New Roman"/>
          <w:lang w:val="it-IT"/>
        </w:rPr>
        <w:t>ogni volta che il sistema di gestione del rischio è modificato, in particolare a seguito del ricevimento di nuove informazioni che possono portare a un cambiamento significativo del profilo beneficio/rischio o a seguito del raggiungimento di un importante obiettivo (di farmacovigilanza o di minimizzazione del rischio).</w:t>
      </w:r>
    </w:p>
    <w:p w14:paraId="52357EC3" w14:textId="77777777" w:rsidR="00953B2E" w:rsidRPr="00C35766" w:rsidRDefault="00953B2E">
      <w:pPr>
        <w:spacing w:before="2" w:line="240" w:lineRule="exact"/>
        <w:rPr>
          <w:rFonts w:ascii="Times New Roman" w:hAnsi="Times New Roman" w:cs="Times New Roman"/>
          <w:sz w:val="24"/>
          <w:lang w:val="it-IT"/>
        </w:rPr>
      </w:pPr>
    </w:p>
    <w:p w14:paraId="694CED6F" w14:textId="77777777" w:rsidR="00953B2E" w:rsidRPr="00C35766" w:rsidRDefault="005F0C19" w:rsidP="00787805">
      <w:pPr>
        <w:numPr>
          <w:ilvl w:val="0"/>
          <w:numId w:val="15"/>
        </w:numPr>
        <w:tabs>
          <w:tab w:val="left" w:pos="660"/>
        </w:tabs>
        <w:ind w:left="660" w:hanging="550"/>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Misure aggiuntive di minimizzazione del rischio</w:t>
      </w:r>
    </w:p>
    <w:p w14:paraId="473D990F" w14:textId="77777777" w:rsidR="00953B2E" w:rsidRPr="00C35766" w:rsidRDefault="00953B2E">
      <w:pPr>
        <w:spacing w:before="17" w:line="240" w:lineRule="exact"/>
        <w:rPr>
          <w:rFonts w:ascii="Times New Roman" w:hAnsi="Times New Roman" w:cs="Times New Roman"/>
          <w:lang w:val="it-IT"/>
        </w:rPr>
      </w:pPr>
    </w:p>
    <w:p w14:paraId="2125B735" w14:textId="78F6898C" w:rsidR="00953B2E" w:rsidRPr="00C35766" w:rsidRDefault="005F0C19">
      <w:pPr>
        <w:spacing w:before="17" w:line="240" w:lineRule="exact"/>
        <w:rPr>
          <w:rFonts w:ascii="Times New Roman" w:hAnsi="Times New Roman" w:cs="Times New Roman"/>
          <w:lang w:val="pt-BR"/>
        </w:rPr>
      </w:pPr>
      <w:r w:rsidRPr="00C35766">
        <w:rPr>
          <w:rFonts w:ascii="Times New Roman" w:eastAsia="Times New Roman" w:hAnsi="Times New Roman" w:cs="Times New Roman"/>
          <w:lang w:val="it-IT"/>
        </w:rPr>
        <w:t xml:space="preserve">Prima del lancio di Yuflyma in ogni Stato Membro, il titolare dell’autorizzazione all’immissione in commercio deve concordare con l’Autorità Nazionale Competente il contenuto ed il formato del programma </w:t>
      </w:r>
      <w:r w:rsidR="00A55EEE" w:rsidRPr="00C35766">
        <w:rPr>
          <w:rFonts w:ascii="Times New Roman" w:eastAsia="Times New Roman" w:hAnsi="Times New Roman" w:cs="Times New Roman"/>
          <w:lang w:val="it-IT"/>
        </w:rPr>
        <w:t>educazionale</w:t>
      </w:r>
      <w:r w:rsidRPr="00C35766">
        <w:rPr>
          <w:rFonts w:ascii="Times New Roman" w:eastAsia="Times New Roman" w:hAnsi="Times New Roman" w:cs="Times New Roman"/>
          <w:lang w:val="it-IT"/>
        </w:rPr>
        <w:t xml:space="preserve">, compresi i mezzi di comunicazione, le modalità di distribuzione e ogni altro aspetto del programma. Il programma </w:t>
      </w:r>
      <w:r w:rsidR="00A55EEE" w:rsidRPr="00C35766">
        <w:rPr>
          <w:rFonts w:ascii="Times New Roman" w:eastAsia="Times New Roman" w:hAnsi="Times New Roman" w:cs="Times New Roman"/>
          <w:lang w:val="it-IT"/>
        </w:rPr>
        <w:t xml:space="preserve">educazionale </w:t>
      </w:r>
      <w:r w:rsidRPr="00C35766">
        <w:rPr>
          <w:rFonts w:ascii="Times New Roman" w:eastAsia="Times New Roman" w:hAnsi="Times New Roman" w:cs="Times New Roman"/>
          <w:lang w:val="it-IT"/>
        </w:rPr>
        <w:t>è costituito da una Scheda Promemoria per il Paziente.</w:t>
      </w:r>
    </w:p>
    <w:p w14:paraId="3EF22F2A" w14:textId="77777777" w:rsidR="00953B2E" w:rsidRPr="00C35766" w:rsidRDefault="00953B2E">
      <w:pPr>
        <w:spacing w:before="17" w:line="240" w:lineRule="exact"/>
        <w:rPr>
          <w:rFonts w:ascii="Times New Roman" w:hAnsi="Times New Roman" w:cs="Times New Roman"/>
          <w:lang w:val="pt-BR"/>
        </w:rPr>
      </w:pPr>
    </w:p>
    <w:p w14:paraId="6C083FF6" w14:textId="77777777" w:rsidR="00953B2E" w:rsidRPr="00C35766" w:rsidRDefault="005F0C19">
      <w:pPr>
        <w:pStyle w:val="a3"/>
        <w:rPr>
          <w:lang w:val="it-IT"/>
        </w:rPr>
      </w:pPr>
      <w:r w:rsidRPr="00C35766">
        <w:rPr>
          <w:rFonts w:eastAsia="Times New Roman"/>
          <w:lang w:val="it-IT"/>
        </w:rPr>
        <w:t>La scheda promemoria per il paziente contiene importanti informazioni di sicurezza di cui un paziente deve essere a conoscenza prima e durante il trattamento con Yuflyma. Questa scheda promemoria vuole evidenziare il rischio di infezioni gravi, tubercolosi (TB), neoplasie maligne, disturbi demielinizzanti (tra cui sclerosi multipla [SM], sindrome di Guillain Barré [GBS] e neurite ottica [NO]) e malattia da BCG a seguito di vaccinazione con BCG vivo nei neonati con esposizione in utero a Yuflyma.</w:t>
      </w:r>
    </w:p>
    <w:p w14:paraId="138ABB2D" w14:textId="77777777" w:rsidR="00953B2E" w:rsidRPr="00C35766" w:rsidRDefault="00953B2E">
      <w:pPr>
        <w:pStyle w:val="a3"/>
        <w:rPr>
          <w:lang w:val="it-IT"/>
        </w:rPr>
      </w:pPr>
    </w:p>
    <w:p w14:paraId="4C3B7C19" w14:textId="206BD73D" w:rsidR="00953B2E" w:rsidRPr="00C35766" w:rsidRDefault="005F0C19">
      <w:pPr>
        <w:pStyle w:val="a3"/>
        <w:rPr>
          <w:lang w:val="it-IT"/>
        </w:rPr>
      </w:pPr>
      <w:r w:rsidRPr="00C35766">
        <w:rPr>
          <w:rFonts w:eastAsia="Times New Roman"/>
          <w:lang w:val="it-IT"/>
        </w:rPr>
        <w:t>Il titolare dell’autorizzazione all’immissione in commercio dovrà assicurarsi che, in ciascuno Stato Membro in cui Yuflyma viene commercializzato, tutti gli operatori sanitari che prevedono di prescrivere e usare adalimumab e tutti i pazienti che si prevede utilizze</w:t>
      </w:r>
      <w:r w:rsidR="00A55EEE" w:rsidRPr="00C35766">
        <w:rPr>
          <w:rFonts w:eastAsia="Times New Roman"/>
          <w:lang w:val="it-IT"/>
        </w:rPr>
        <w:t>r</w:t>
      </w:r>
      <w:r w:rsidRPr="00C35766">
        <w:rPr>
          <w:rFonts w:eastAsia="Times New Roman"/>
          <w:lang w:val="it-IT"/>
        </w:rPr>
        <w:t>anno adalimumab, abbiano accesso/siano in possesso de</w:t>
      </w:r>
      <w:r w:rsidR="00A55EEE" w:rsidRPr="00C35766">
        <w:rPr>
          <w:rFonts w:eastAsia="Times New Roman"/>
          <w:lang w:val="it-IT"/>
        </w:rPr>
        <w:t>i</w:t>
      </w:r>
      <w:r w:rsidRPr="00C35766">
        <w:rPr>
          <w:rFonts w:eastAsia="Times New Roman"/>
          <w:lang w:val="it-IT"/>
        </w:rPr>
        <w:t xml:space="preserve"> </w:t>
      </w:r>
      <w:r w:rsidR="00A55EEE" w:rsidRPr="00C35766">
        <w:rPr>
          <w:rFonts w:eastAsia="Times New Roman"/>
          <w:lang w:val="it-IT"/>
        </w:rPr>
        <w:t>materiali educazionali</w:t>
      </w:r>
      <w:r w:rsidRPr="00C35766">
        <w:rPr>
          <w:rFonts w:eastAsia="Times New Roman"/>
          <w:lang w:val="it-IT"/>
        </w:rPr>
        <w:t xml:space="preserve"> riportat</w:t>
      </w:r>
      <w:r w:rsidR="00A55EEE" w:rsidRPr="00C35766">
        <w:rPr>
          <w:rFonts w:eastAsia="Times New Roman"/>
          <w:lang w:val="it-IT"/>
        </w:rPr>
        <w:t>i</w:t>
      </w:r>
      <w:r w:rsidRPr="00C35766">
        <w:rPr>
          <w:rFonts w:eastAsia="Times New Roman"/>
          <w:lang w:val="it-IT"/>
        </w:rPr>
        <w:t xml:space="preserve"> di seguito:</w:t>
      </w:r>
    </w:p>
    <w:p w14:paraId="2114A140" w14:textId="77777777" w:rsidR="00953B2E" w:rsidRPr="00C35766" w:rsidRDefault="00953B2E">
      <w:pPr>
        <w:spacing w:before="17" w:line="240" w:lineRule="exact"/>
        <w:rPr>
          <w:rFonts w:ascii="Times New Roman" w:hAnsi="Times New Roman" w:cs="Times New Roman"/>
          <w:sz w:val="24"/>
          <w:szCs w:val="24"/>
          <w:lang w:val="it-IT"/>
        </w:rPr>
      </w:pPr>
    </w:p>
    <w:p w14:paraId="2F7AE9BF" w14:textId="77777777" w:rsidR="00953B2E" w:rsidRPr="00C35766" w:rsidRDefault="005F0C19">
      <w:pPr>
        <w:pStyle w:val="a3"/>
        <w:rPr>
          <w:lang w:val="pt-BR"/>
        </w:rPr>
      </w:pPr>
      <w:r w:rsidRPr="00C35766">
        <w:rPr>
          <w:rFonts w:eastAsia="Times New Roman"/>
          <w:b/>
          <w:bCs/>
          <w:lang w:val="it-IT"/>
        </w:rPr>
        <w:t>Schede promemoria per i pazienti (adulti e pediatrici)</w:t>
      </w:r>
      <w:r w:rsidRPr="00C35766">
        <w:rPr>
          <w:rFonts w:eastAsia="Times New Roman"/>
          <w:lang w:val="it-IT"/>
        </w:rPr>
        <w:t xml:space="preserve"> contenenti i seguenti elementi chiave</w:t>
      </w:r>
    </w:p>
    <w:p w14:paraId="19660188" w14:textId="77777777" w:rsidR="00953B2E" w:rsidRPr="00C35766" w:rsidRDefault="00953B2E">
      <w:pPr>
        <w:spacing w:before="13" w:line="240" w:lineRule="exact"/>
        <w:rPr>
          <w:rFonts w:ascii="Times New Roman" w:hAnsi="Times New Roman" w:cs="Times New Roman"/>
          <w:sz w:val="24"/>
          <w:szCs w:val="24"/>
          <w:lang w:val="pt-BR"/>
        </w:rPr>
      </w:pPr>
    </w:p>
    <w:p w14:paraId="5F40AE4A" w14:textId="096B5008" w:rsidR="00953B2E" w:rsidRPr="00824699" w:rsidRDefault="005F0C19" w:rsidP="00787805">
      <w:pPr>
        <w:pStyle w:val="a3"/>
        <w:numPr>
          <w:ilvl w:val="0"/>
          <w:numId w:val="40"/>
        </w:numPr>
        <w:ind w:left="360"/>
        <w:rPr>
          <w:lang w:val="it-IT"/>
        </w:rPr>
      </w:pPr>
      <w:r w:rsidRPr="00C35766">
        <w:rPr>
          <w:rFonts w:eastAsia="Times New Roman"/>
          <w:lang w:val="it-IT"/>
        </w:rPr>
        <w:t>Il trattamento con Yuflyma può aumentare il rischio di infezioni, compres</w:t>
      </w:r>
      <w:r w:rsidR="00A55EEE" w:rsidRPr="00C35766">
        <w:rPr>
          <w:rFonts w:eastAsia="Times New Roman"/>
          <w:lang w:val="it-IT"/>
        </w:rPr>
        <w:t>a</w:t>
      </w:r>
      <w:r w:rsidRPr="00C35766">
        <w:rPr>
          <w:rFonts w:eastAsia="Times New Roman"/>
          <w:lang w:val="it-IT"/>
        </w:rPr>
        <w:t xml:space="preserve"> tubercolosi, tumore e</w:t>
      </w:r>
      <w:r w:rsidR="00793CAE" w:rsidRPr="00C35766">
        <w:rPr>
          <w:rFonts w:eastAsia="Times New Roman"/>
          <w:lang w:val="it-IT"/>
        </w:rPr>
        <w:t xml:space="preserve"> </w:t>
      </w:r>
      <w:r w:rsidRPr="00C35766">
        <w:rPr>
          <w:rFonts w:eastAsia="Times New Roman"/>
          <w:lang w:val="it-IT"/>
        </w:rPr>
        <w:t>problemi del sistema nervoso;</w:t>
      </w:r>
    </w:p>
    <w:p w14:paraId="4F6B2539" w14:textId="50052F1B" w:rsidR="00953B2E" w:rsidRPr="00C35766" w:rsidRDefault="005F0C19" w:rsidP="00787805">
      <w:pPr>
        <w:pStyle w:val="a3"/>
        <w:numPr>
          <w:ilvl w:val="0"/>
          <w:numId w:val="40"/>
        </w:numPr>
        <w:ind w:left="360"/>
        <w:rPr>
          <w:lang w:val="it-IT"/>
        </w:rPr>
      </w:pPr>
      <w:r w:rsidRPr="00C35766">
        <w:rPr>
          <w:rFonts w:eastAsia="Times New Roman"/>
          <w:lang w:val="it-IT"/>
        </w:rPr>
        <w:t xml:space="preserve">Segni o sintomi di queste </w:t>
      </w:r>
      <w:r w:rsidR="00A55EEE" w:rsidRPr="00C35766">
        <w:rPr>
          <w:rFonts w:eastAsia="Times New Roman"/>
          <w:lang w:val="it-IT"/>
        </w:rPr>
        <w:t>problematiche</w:t>
      </w:r>
      <w:r w:rsidRPr="00C35766">
        <w:rPr>
          <w:rFonts w:eastAsia="Times New Roman"/>
          <w:lang w:val="it-IT"/>
        </w:rPr>
        <w:t xml:space="preserve"> </w:t>
      </w:r>
      <w:r w:rsidR="00A55EEE" w:rsidRPr="00C35766">
        <w:rPr>
          <w:rFonts w:eastAsia="Times New Roman"/>
          <w:lang w:val="it-IT"/>
        </w:rPr>
        <w:t xml:space="preserve">di </w:t>
      </w:r>
      <w:r w:rsidRPr="00C35766">
        <w:rPr>
          <w:rFonts w:eastAsia="Times New Roman"/>
          <w:lang w:val="it-IT"/>
        </w:rPr>
        <w:t>sicurezza e quando consultare un operatore sanitario;</w:t>
      </w:r>
    </w:p>
    <w:p w14:paraId="5C7FDB77" w14:textId="77777777" w:rsidR="00953B2E" w:rsidRPr="00C35766" w:rsidRDefault="005F0C19" w:rsidP="00787805">
      <w:pPr>
        <w:pStyle w:val="a3"/>
        <w:numPr>
          <w:ilvl w:val="0"/>
          <w:numId w:val="40"/>
        </w:numPr>
        <w:ind w:left="360"/>
        <w:rPr>
          <w:lang w:val="it-IT"/>
        </w:rPr>
      </w:pPr>
      <w:r w:rsidRPr="00C35766">
        <w:rPr>
          <w:rFonts w:eastAsia="Times New Roman"/>
          <w:lang w:val="it-IT"/>
        </w:rPr>
        <w:t>Importanza di non ricevere vaccini vivi e di informare l'operatore sanitario che il paziente sta ricevendo il trattamento in caso di gravidanza;</w:t>
      </w:r>
    </w:p>
    <w:p w14:paraId="30134351" w14:textId="77777777" w:rsidR="00953B2E" w:rsidRPr="00C35766" w:rsidRDefault="005F0C19" w:rsidP="00787805">
      <w:pPr>
        <w:pStyle w:val="a3"/>
        <w:numPr>
          <w:ilvl w:val="0"/>
          <w:numId w:val="40"/>
        </w:numPr>
        <w:ind w:left="360"/>
        <w:rPr>
          <w:lang w:val="it-IT"/>
        </w:rPr>
      </w:pPr>
      <w:r w:rsidRPr="00C35766">
        <w:rPr>
          <w:rFonts w:eastAsia="Times New Roman"/>
          <w:lang w:val="it-IT"/>
        </w:rPr>
        <w:t>Istruzioni per registrare il nome commerciale e il numero di lotto del farmaco per garantire la tracciabilità;</w:t>
      </w:r>
    </w:p>
    <w:p w14:paraId="6E0A4128" w14:textId="77777777" w:rsidR="00953B2E" w:rsidRPr="00C35766" w:rsidRDefault="005F0C19" w:rsidP="00787805">
      <w:pPr>
        <w:pStyle w:val="a3"/>
        <w:numPr>
          <w:ilvl w:val="0"/>
          <w:numId w:val="40"/>
        </w:numPr>
        <w:ind w:left="360"/>
        <w:rPr>
          <w:lang w:val="es-ES"/>
        </w:rPr>
      </w:pPr>
      <w:r w:rsidRPr="00C35766">
        <w:rPr>
          <w:rFonts w:eastAsia="Times New Roman"/>
          <w:lang w:val="it-IT"/>
        </w:rPr>
        <w:t>Dati di contatto del medico prescrittore di adalimumab</w:t>
      </w:r>
    </w:p>
    <w:p w14:paraId="1A72875B" w14:textId="77777777" w:rsidR="00953B2E" w:rsidRPr="00C35766" w:rsidRDefault="005F0C19">
      <w:pPr>
        <w:rPr>
          <w:rFonts w:ascii="Times New Roman" w:hAnsi="Times New Roman" w:cs="Times New Roman"/>
          <w:lang w:val="es-ES"/>
        </w:rPr>
      </w:pPr>
      <w:r w:rsidRPr="00C35766">
        <w:rPr>
          <w:rFonts w:ascii="Times New Roman" w:hAnsi="Times New Roman" w:cs="Times New Roman"/>
          <w:lang w:val="es-ES"/>
        </w:rPr>
        <w:br w:type="page"/>
      </w:r>
    </w:p>
    <w:p w14:paraId="36BF7039" w14:textId="77777777" w:rsidR="00953B2E" w:rsidRPr="00C35766" w:rsidRDefault="00953B2E">
      <w:pPr>
        <w:spacing w:line="200" w:lineRule="exact"/>
        <w:rPr>
          <w:rFonts w:ascii="Times New Roman" w:hAnsi="Times New Roman" w:cs="Times New Roman"/>
          <w:sz w:val="20"/>
          <w:szCs w:val="20"/>
          <w:lang w:val="es-ES"/>
        </w:rPr>
      </w:pPr>
    </w:p>
    <w:p w14:paraId="6940FD17" w14:textId="77777777" w:rsidR="00953B2E" w:rsidRPr="00C35766" w:rsidRDefault="00953B2E">
      <w:pPr>
        <w:spacing w:line="200" w:lineRule="exact"/>
        <w:rPr>
          <w:rFonts w:ascii="Times New Roman" w:hAnsi="Times New Roman" w:cs="Times New Roman"/>
          <w:sz w:val="20"/>
          <w:szCs w:val="20"/>
          <w:lang w:val="es-ES"/>
        </w:rPr>
      </w:pPr>
    </w:p>
    <w:p w14:paraId="7D3A5902" w14:textId="77777777" w:rsidR="00953B2E" w:rsidRPr="00C35766" w:rsidRDefault="00953B2E">
      <w:pPr>
        <w:spacing w:line="200" w:lineRule="exact"/>
        <w:rPr>
          <w:rFonts w:ascii="Times New Roman" w:hAnsi="Times New Roman" w:cs="Times New Roman"/>
          <w:sz w:val="20"/>
          <w:szCs w:val="20"/>
          <w:lang w:val="es-ES"/>
        </w:rPr>
      </w:pPr>
    </w:p>
    <w:p w14:paraId="42759305" w14:textId="77777777" w:rsidR="00953B2E" w:rsidRPr="00C35766" w:rsidRDefault="00953B2E">
      <w:pPr>
        <w:spacing w:line="200" w:lineRule="exact"/>
        <w:rPr>
          <w:rFonts w:ascii="Times New Roman" w:hAnsi="Times New Roman" w:cs="Times New Roman"/>
          <w:sz w:val="20"/>
          <w:szCs w:val="20"/>
          <w:lang w:val="es-ES"/>
        </w:rPr>
      </w:pPr>
    </w:p>
    <w:p w14:paraId="3395F2DF" w14:textId="77777777" w:rsidR="00953B2E" w:rsidRPr="00C35766" w:rsidRDefault="00953B2E">
      <w:pPr>
        <w:spacing w:line="200" w:lineRule="exact"/>
        <w:rPr>
          <w:rFonts w:ascii="Times New Roman" w:hAnsi="Times New Roman" w:cs="Times New Roman"/>
          <w:sz w:val="20"/>
          <w:szCs w:val="20"/>
          <w:lang w:val="es-ES"/>
        </w:rPr>
      </w:pPr>
    </w:p>
    <w:p w14:paraId="1A931680" w14:textId="77777777" w:rsidR="00953B2E" w:rsidRPr="00C35766" w:rsidRDefault="00953B2E">
      <w:pPr>
        <w:spacing w:line="200" w:lineRule="exact"/>
        <w:rPr>
          <w:rFonts w:ascii="Times New Roman" w:hAnsi="Times New Roman" w:cs="Times New Roman"/>
          <w:sz w:val="20"/>
          <w:szCs w:val="20"/>
          <w:lang w:val="es-ES"/>
        </w:rPr>
      </w:pPr>
    </w:p>
    <w:p w14:paraId="17D2FCE7" w14:textId="77777777" w:rsidR="00953B2E" w:rsidRPr="00C35766" w:rsidRDefault="00953B2E">
      <w:pPr>
        <w:spacing w:line="200" w:lineRule="exact"/>
        <w:rPr>
          <w:rFonts w:ascii="Times New Roman" w:hAnsi="Times New Roman" w:cs="Times New Roman"/>
          <w:sz w:val="20"/>
          <w:szCs w:val="20"/>
          <w:lang w:val="es-ES"/>
        </w:rPr>
      </w:pPr>
    </w:p>
    <w:p w14:paraId="143CD993" w14:textId="77777777" w:rsidR="00953B2E" w:rsidRPr="00C35766" w:rsidRDefault="00953B2E">
      <w:pPr>
        <w:spacing w:line="200" w:lineRule="exact"/>
        <w:rPr>
          <w:rFonts w:ascii="Times New Roman" w:hAnsi="Times New Roman" w:cs="Times New Roman"/>
          <w:sz w:val="20"/>
          <w:szCs w:val="20"/>
          <w:lang w:val="es-ES"/>
        </w:rPr>
      </w:pPr>
    </w:p>
    <w:p w14:paraId="7D73A3F5" w14:textId="77777777" w:rsidR="00953B2E" w:rsidRPr="00C35766" w:rsidRDefault="00953B2E">
      <w:pPr>
        <w:spacing w:line="200" w:lineRule="exact"/>
        <w:rPr>
          <w:rFonts w:ascii="Times New Roman" w:hAnsi="Times New Roman" w:cs="Times New Roman"/>
          <w:sz w:val="20"/>
          <w:szCs w:val="20"/>
          <w:lang w:val="es-ES"/>
        </w:rPr>
      </w:pPr>
    </w:p>
    <w:p w14:paraId="5865D9C0" w14:textId="77777777" w:rsidR="00953B2E" w:rsidRPr="00C35766" w:rsidRDefault="00953B2E">
      <w:pPr>
        <w:spacing w:line="200" w:lineRule="exact"/>
        <w:rPr>
          <w:rFonts w:ascii="Times New Roman" w:hAnsi="Times New Roman" w:cs="Times New Roman"/>
          <w:sz w:val="20"/>
          <w:szCs w:val="20"/>
          <w:lang w:val="es-ES"/>
        </w:rPr>
      </w:pPr>
    </w:p>
    <w:p w14:paraId="565F7C61" w14:textId="77777777" w:rsidR="00953B2E" w:rsidRPr="00C35766" w:rsidRDefault="00953B2E">
      <w:pPr>
        <w:spacing w:line="200" w:lineRule="exact"/>
        <w:rPr>
          <w:rFonts w:ascii="Times New Roman" w:hAnsi="Times New Roman" w:cs="Times New Roman"/>
          <w:sz w:val="20"/>
          <w:szCs w:val="20"/>
          <w:lang w:val="es-ES"/>
        </w:rPr>
      </w:pPr>
    </w:p>
    <w:p w14:paraId="28338914" w14:textId="77777777" w:rsidR="00953B2E" w:rsidRPr="00C35766" w:rsidRDefault="00953B2E">
      <w:pPr>
        <w:spacing w:line="200" w:lineRule="exact"/>
        <w:rPr>
          <w:rFonts w:ascii="Times New Roman" w:hAnsi="Times New Roman" w:cs="Times New Roman"/>
          <w:sz w:val="20"/>
          <w:szCs w:val="20"/>
          <w:lang w:val="es-ES"/>
        </w:rPr>
      </w:pPr>
    </w:p>
    <w:p w14:paraId="5C1E970F" w14:textId="77777777" w:rsidR="00953B2E" w:rsidRPr="00C35766" w:rsidRDefault="00953B2E">
      <w:pPr>
        <w:spacing w:line="200" w:lineRule="exact"/>
        <w:rPr>
          <w:rFonts w:ascii="Times New Roman" w:hAnsi="Times New Roman" w:cs="Times New Roman"/>
          <w:sz w:val="20"/>
          <w:szCs w:val="20"/>
          <w:lang w:val="es-ES"/>
        </w:rPr>
      </w:pPr>
    </w:p>
    <w:p w14:paraId="1C960FA4" w14:textId="77777777" w:rsidR="00953B2E" w:rsidRPr="00C35766" w:rsidRDefault="00953B2E">
      <w:pPr>
        <w:spacing w:line="200" w:lineRule="exact"/>
        <w:rPr>
          <w:rFonts w:ascii="Times New Roman" w:hAnsi="Times New Roman" w:cs="Times New Roman"/>
          <w:sz w:val="20"/>
          <w:szCs w:val="20"/>
          <w:lang w:val="es-ES"/>
        </w:rPr>
      </w:pPr>
    </w:p>
    <w:p w14:paraId="43E2BD5A" w14:textId="77777777" w:rsidR="00953B2E" w:rsidRPr="00C35766" w:rsidRDefault="00953B2E">
      <w:pPr>
        <w:spacing w:line="200" w:lineRule="exact"/>
        <w:rPr>
          <w:rFonts w:ascii="Times New Roman" w:hAnsi="Times New Roman" w:cs="Times New Roman"/>
          <w:sz w:val="20"/>
          <w:szCs w:val="20"/>
          <w:lang w:val="es-ES"/>
        </w:rPr>
      </w:pPr>
    </w:p>
    <w:p w14:paraId="6C86F711" w14:textId="77777777" w:rsidR="00953B2E" w:rsidRPr="00C35766" w:rsidRDefault="00953B2E">
      <w:pPr>
        <w:spacing w:line="200" w:lineRule="exact"/>
        <w:rPr>
          <w:rFonts w:ascii="Times New Roman" w:hAnsi="Times New Roman" w:cs="Times New Roman"/>
          <w:sz w:val="20"/>
          <w:szCs w:val="20"/>
          <w:lang w:val="es-ES"/>
        </w:rPr>
      </w:pPr>
    </w:p>
    <w:p w14:paraId="10C12B0F" w14:textId="77777777" w:rsidR="00953B2E" w:rsidRPr="00C35766" w:rsidRDefault="00953B2E">
      <w:pPr>
        <w:spacing w:line="200" w:lineRule="exact"/>
        <w:rPr>
          <w:rFonts w:ascii="Times New Roman" w:hAnsi="Times New Roman" w:cs="Times New Roman"/>
          <w:sz w:val="20"/>
          <w:szCs w:val="20"/>
          <w:lang w:val="es-ES"/>
        </w:rPr>
      </w:pPr>
    </w:p>
    <w:p w14:paraId="5D9D96DE" w14:textId="77777777" w:rsidR="00953B2E" w:rsidRPr="00C35766" w:rsidRDefault="00953B2E">
      <w:pPr>
        <w:spacing w:line="200" w:lineRule="exact"/>
        <w:rPr>
          <w:rFonts w:ascii="Times New Roman" w:hAnsi="Times New Roman" w:cs="Times New Roman"/>
          <w:sz w:val="20"/>
          <w:szCs w:val="20"/>
          <w:lang w:val="es-ES"/>
        </w:rPr>
      </w:pPr>
    </w:p>
    <w:p w14:paraId="01B1BA3D" w14:textId="77777777" w:rsidR="00953B2E" w:rsidRPr="00C35766" w:rsidRDefault="00953B2E">
      <w:pPr>
        <w:spacing w:line="200" w:lineRule="exact"/>
        <w:rPr>
          <w:rFonts w:ascii="Times New Roman" w:hAnsi="Times New Roman" w:cs="Times New Roman"/>
          <w:sz w:val="20"/>
          <w:szCs w:val="20"/>
          <w:lang w:val="es-ES"/>
        </w:rPr>
      </w:pPr>
    </w:p>
    <w:p w14:paraId="1A4265BE" w14:textId="77777777" w:rsidR="00953B2E" w:rsidRPr="00C35766" w:rsidRDefault="00953B2E">
      <w:pPr>
        <w:spacing w:line="200" w:lineRule="exact"/>
        <w:rPr>
          <w:rFonts w:ascii="Times New Roman" w:hAnsi="Times New Roman" w:cs="Times New Roman"/>
          <w:sz w:val="20"/>
          <w:szCs w:val="20"/>
          <w:lang w:val="es-ES"/>
        </w:rPr>
      </w:pPr>
    </w:p>
    <w:p w14:paraId="0045EA9E" w14:textId="77777777" w:rsidR="00953B2E" w:rsidRPr="00C35766" w:rsidRDefault="00953B2E">
      <w:pPr>
        <w:spacing w:line="200" w:lineRule="exact"/>
        <w:rPr>
          <w:rFonts w:ascii="Times New Roman" w:hAnsi="Times New Roman" w:cs="Times New Roman"/>
          <w:sz w:val="20"/>
          <w:szCs w:val="20"/>
          <w:lang w:val="es-ES"/>
        </w:rPr>
      </w:pPr>
    </w:p>
    <w:p w14:paraId="1546698C" w14:textId="77777777" w:rsidR="00953B2E" w:rsidRPr="00C35766" w:rsidRDefault="00953B2E">
      <w:pPr>
        <w:spacing w:line="200" w:lineRule="exact"/>
        <w:rPr>
          <w:rFonts w:ascii="Times New Roman" w:hAnsi="Times New Roman" w:cs="Times New Roman"/>
          <w:sz w:val="20"/>
          <w:szCs w:val="20"/>
          <w:lang w:val="es-ES"/>
        </w:rPr>
      </w:pPr>
    </w:p>
    <w:p w14:paraId="494BD18A" w14:textId="77777777" w:rsidR="00953B2E" w:rsidRPr="00C35766" w:rsidRDefault="00953B2E">
      <w:pPr>
        <w:spacing w:line="200" w:lineRule="exact"/>
        <w:rPr>
          <w:rFonts w:ascii="Times New Roman" w:hAnsi="Times New Roman" w:cs="Times New Roman"/>
          <w:sz w:val="20"/>
          <w:szCs w:val="20"/>
          <w:lang w:val="es-ES"/>
        </w:rPr>
      </w:pPr>
    </w:p>
    <w:p w14:paraId="7CB26D62" w14:textId="77777777" w:rsidR="00953B2E" w:rsidRPr="00C35766" w:rsidRDefault="00953B2E">
      <w:pPr>
        <w:spacing w:line="200" w:lineRule="exact"/>
        <w:rPr>
          <w:rFonts w:ascii="Times New Roman" w:hAnsi="Times New Roman" w:cs="Times New Roman"/>
          <w:sz w:val="20"/>
          <w:szCs w:val="20"/>
          <w:lang w:val="es-ES"/>
        </w:rPr>
      </w:pPr>
    </w:p>
    <w:p w14:paraId="641B3B3D" w14:textId="77777777" w:rsidR="00953B2E" w:rsidRPr="00C35766" w:rsidRDefault="00953B2E">
      <w:pPr>
        <w:spacing w:line="200" w:lineRule="exact"/>
        <w:rPr>
          <w:rFonts w:ascii="Times New Roman" w:hAnsi="Times New Roman" w:cs="Times New Roman"/>
          <w:sz w:val="20"/>
          <w:szCs w:val="20"/>
          <w:lang w:val="es-ES"/>
        </w:rPr>
      </w:pPr>
    </w:p>
    <w:p w14:paraId="03BC9012" w14:textId="77777777" w:rsidR="00953B2E" w:rsidRPr="00C35766" w:rsidRDefault="00953B2E">
      <w:pPr>
        <w:spacing w:line="200" w:lineRule="exact"/>
        <w:rPr>
          <w:rFonts w:ascii="Times New Roman" w:hAnsi="Times New Roman" w:cs="Times New Roman"/>
          <w:sz w:val="20"/>
          <w:szCs w:val="20"/>
          <w:lang w:val="es-ES"/>
        </w:rPr>
      </w:pPr>
    </w:p>
    <w:p w14:paraId="73EFAE25" w14:textId="77777777" w:rsidR="00953B2E" w:rsidRPr="00C35766" w:rsidRDefault="00953B2E">
      <w:pPr>
        <w:spacing w:before="4" w:line="200" w:lineRule="exact"/>
        <w:rPr>
          <w:rFonts w:ascii="Times New Roman" w:hAnsi="Times New Roman" w:cs="Times New Roman"/>
          <w:sz w:val="20"/>
          <w:szCs w:val="20"/>
          <w:lang w:val="es-ES"/>
        </w:rPr>
      </w:pPr>
    </w:p>
    <w:p w14:paraId="4CF8B6B4" w14:textId="77777777" w:rsidR="00953B2E" w:rsidRPr="00C35766" w:rsidRDefault="005F0C19">
      <w:pPr>
        <w:pStyle w:val="TableParagraph"/>
        <w:jc w:val="center"/>
        <w:rPr>
          <w:rFonts w:ascii="Times New Roman" w:hAnsi="Times New Roman" w:cs="Times New Roman"/>
          <w:b/>
          <w:lang w:val="pt-BR"/>
        </w:rPr>
      </w:pPr>
      <w:r w:rsidRPr="00C35766">
        <w:rPr>
          <w:rFonts w:ascii="Times New Roman" w:eastAsia="Times New Roman" w:hAnsi="Times New Roman" w:cs="Times New Roman"/>
          <w:b/>
          <w:bCs/>
          <w:lang w:val="it-IT"/>
        </w:rPr>
        <w:t>ALLEGATO III</w:t>
      </w:r>
    </w:p>
    <w:p w14:paraId="7C85FB91" w14:textId="77777777" w:rsidR="00953B2E" w:rsidRPr="00C35766" w:rsidRDefault="00953B2E">
      <w:pPr>
        <w:pStyle w:val="TableParagraph"/>
        <w:jc w:val="center"/>
        <w:rPr>
          <w:rFonts w:ascii="Times New Roman" w:hAnsi="Times New Roman" w:cs="Times New Roman"/>
          <w:b/>
          <w:lang w:val="pt-BR"/>
        </w:rPr>
      </w:pPr>
    </w:p>
    <w:p w14:paraId="3B10E442" w14:textId="77777777" w:rsidR="00953B2E" w:rsidRPr="00C35766" w:rsidRDefault="005F0C19">
      <w:pPr>
        <w:pStyle w:val="TableParagraph"/>
        <w:jc w:val="center"/>
        <w:rPr>
          <w:rFonts w:ascii="Times New Roman" w:hAnsi="Times New Roman" w:cs="Times New Roman"/>
          <w:b/>
          <w:lang w:val="pt-BR"/>
        </w:rPr>
      </w:pPr>
      <w:r w:rsidRPr="00C35766">
        <w:rPr>
          <w:rFonts w:ascii="Times New Roman" w:eastAsia="Times New Roman" w:hAnsi="Times New Roman" w:cs="Times New Roman"/>
          <w:b/>
          <w:bCs/>
          <w:lang w:val="it-IT"/>
        </w:rPr>
        <w:t>ETICHETTATURA E FOGLIO ILLUSTRATIVO</w:t>
      </w:r>
    </w:p>
    <w:p w14:paraId="1211981D" w14:textId="77777777" w:rsidR="00953B2E" w:rsidRPr="00C35766" w:rsidRDefault="005F0C19">
      <w:pPr>
        <w:rPr>
          <w:rFonts w:ascii="Times New Roman" w:hAnsi="Times New Roman" w:cs="Times New Roman"/>
          <w:b/>
          <w:lang w:val="pt-BR"/>
        </w:rPr>
      </w:pPr>
      <w:r w:rsidRPr="00C35766">
        <w:rPr>
          <w:rFonts w:ascii="Times New Roman" w:hAnsi="Times New Roman" w:cs="Times New Roman"/>
          <w:b/>
          <w:lang w:val="pt-BR"/>
        </w:rPr>
        <w:br w:type="page"/>
      </w:r>
    </w:p>
    <w:p w14:paraId="480545BC" w14:textId="77777777" w:rsidR="00953B2E" w:rsidRPr="00C35766" w:rsidRDefault="00953B2E">
      <w:pPr>
        <w:spacing w:line="200" w:lineRule="exact"/>
        <w:rPr>
          <w:rFonts w:ascii="Times New Roman" w:hAnsi="Times New Roman" w:cs="Times New Roman"/>
          <w:sz w:val="20"/>
          <w:szCs w:val="20"/>
          <w:lang w:val="pt-BR"/>
        </w:rPr>
      </w:pPr>
    </w:p>
    <w:p w14:paraId="0D5115CA" w14:textId="77777777" w:rsidR="00953B2E" w:rsidRPr="00C35766" w:rsidRDefault="00953B2E">
      <w:pPr>
        <w:spacing w:line="200" w:lineRule="exact"/>
        <w:rPr>
          <w:rFonts w:ascii="Times New Roman" w:hAnsi="Times New Roman" w:cs="Times New Roman"/>
          <w:sz w:val="20"/>
          <w:szCs w:val="20"/>
          <w:lang w:val="pt-BR"/>
        </w:rPr>
      </w:pPr>
    </w:p>
    <w:p w14:paraId="7ABDADB6" w14:textId="77777777" w:rsidR="00953B2E" w:rsidRPr="00C35766" w:rsidRDefault="00953B2E">
      <w:pPr>
        <w:spacing w:line="200" w:lineRule="exact"/>
        <w:rPr>
          <w:rFonts w:ascii="Times New Roman" w:hAnsi="Times New Roman" w:cs="Times New Roman"/>
          <w:sz w:val="20"/>
          <w:szCs w:val="20"/>
          <w:lang w:val="pt-BR"/>
        </w:rPr>
      </w:pPr>
    </w:p>
    <w:p w14:paraId="59BE1C52" w14:textId="77777777" w:rsidR="00953B2E" w:rsidRPr="00C35766" w:rsidRDefault="00953B2E">
      <w:pPr>
        <w:spacing w:line="200" w:lineRule="exact"/>
        <w:rPr>
          <w:rFonts w:ascii="Times New Roman" w:hAnsi="Times New Roman" w:cs="Times New Roman"/>
          <w:sz w:val="20"/>
          <w:szCs w:val="20"/>
          <w:lang w:val="pt-BR"/>
        </w:rPr>
      </w:pPr>
    </w:p>
    <w:p w14:paraId="6D5163B5" w14:textId="77777777" w:rsidR="00953B2E" w:rsidRPr="00C35766" w:rsidRDefault="00953B2E">
      <w:pPr>
        <w:spacing w:line="200" w:lineRule="exact"/>
        <w:rPr>
          <w:rFonts w:ascii="Times New Roman" w:hAnsi="Times New Roman" w:cs="Times New Roman"/>
          <w:sz w:val="20"/>
          <w:szCs w:val="20"/>
          <w:lang w:val="pt-BR"/>
        </w:rPr>
      </w:pPr>
    </w:p>
    <w:p w14:paraId="666B0280" w14:textId="77777777" w:rsidR="00953B2E" w:rsidRPr="00C35766" w:rsidRDefault="00953B2E">
      <w:pPr>
        <w:spacing w:line="200" w:lineRule="exact"/>
        <w:rPr>
          <w:rFonts w:ascii="Times New Roman" w:hAnsi="Times New Roman" w:cs="Times New Roman"/>
          <w:sz w:val="20"/>
          <w:szCs w:val="20"/>
          <w:lang w:val="pt-BR"/>
        </w:rPr>
      </w:pPr>
    </w:p>
    <w:p w14:paraId="324BCA22" w14:textId="77777777" w:rsidR="00953B2E" w:rsidRPr="00C35766" w:rsidRDefault="00953B2E">
      <w:pPr>
        <w:spacing w:line="200" w:lineRule="exact"/>
        <w:rPr>
          <w:rFonts w:ascii="Times New Roman" w:hAnsi="Times New Roman" w:cs="Times New Roman"/>
          <w:sz w:val="20"/>
          <w:szCs w:val="20"/>
          <w:lang w:val="pt-BR"/>
        </w:rPr>
      </w:pPr>
    </w:p>
    <w:p w14:paraId="209647D4" w14:textId="77777777" w:rsidR="00953B2E" w:rsidRPr="00C35766" w:rsidRDefault="00953B2E">
      <w:pPr>
        <w:spacing w:line="200" w:lineRule="exact"/>
        <w:rPr>
          <w:rFonts w:ascii="Times New Roman" w:hAnsi="Times New Roman" w:cs="Times New Roman"/>
          <w:sz w:val="20"/>
          <w:szCs w:val="20"/>
          <w:lang w:val="pt-BR"/>
        </w:rPr>
      </w:pPr>
    </w:p>
    <w:p w14:paraId="404E62D0" w14:textId="77777777" w:rsidR="00953B2E" w:rsidRPr="00C35766" w:rsidRDefault="00953B2E">
      <w:pPr>
        <w:spacing w:line="200" w:lineRule="exact"/>
        <w:rPr>
          <w:rFonts w:ascii="Times New Roman" w:hAnsi="Times New Roman" w:cs="Times New Roman"/>
          <w:sz w:val="20"/>
          <w:szCs w:val="20"/>
          <w:lang w:val="pt-BR"/>
        </w:rPr>
      </w:pPr>
    </w:p>
    <w:p w14:paraId="1A319464" w14:textId="77777777" w:rsidR="00953B2E" w:rsidRPr="00C35766" w:rsidRDefault="00953B2E">
      <w:pPr>
        <w:spacing w:line="200" w:lineRule="exact"/>
        <w:rPr>
          <w:rFonts w:ascii="Times New Roman" w:hAnsi="Times New Roman" w:cs="Times New Roman"/>
          <w:sz w:val="20"/>
          <w:szCs w:val="20"/>
          <w:lang w:val="pt-BR"/>
        </w:rPr>
      </w:pPr>
    </w:p>
    <w:p w14:paraId="7B167719" w14:textId="77777777" w:rsidR="00953B2E" w:rsidRPr="00C35766" w:rsidRDefault="00953B2E">
      <w:pPr>
        <w:spacing w:line="200" w:lineRule="exact"/>
        <w:rPr>
          <w:rFonts w:ascii="Times New Roman" w:hAnsi="Times New Roman" w:cs="Times New Roman"/>
          <w:sz w:val="20"/>
          <w:szCs w:val="20"/>
          <w:lang w:val="pt-BR"/>
        </w:rPr>
      </w:pPr>
    </w:p>
    <w:p w14:paraId="27E3F1D2" w14:textId="77777777" w:rsidR="00953B2E" w:rsidRPr="00C35766" w:rsidRDefault="00953B2E">
      <w:pPr>
        <w:spacing w:line="200" w:lineRule="exact"/>
        <w:rPr>
          <w:rFonts w:ascii="Times New Roman" w:hAnsi="Times New Roman" w:cs="Times New Roman"/>
          <w:sz w:val="20"/>
          <w:szCs w:val="20"/>
          <w:lang w:val="pt-BR"/>
        </w:rPr>
      </w:pPr>
    </w:p>
    <w:p w14:paraId="6EC0C2F4" w14:textId="77777777" w:rsidR="00953B2E" w:rsidRPr="00C35766" w:rsidRDefault="00953B2E">
      <w:pPr>
        <w:spacing w:line="200" w:lineRule="exact"/>
        <w:rPr>
          <w:rFonts w:ascii="Times New Roman" w:hAnsi="Times New Roman" w:cs="Times New Roman"/>
          <w:sz w:val="20"/>
          <w:szCs w:val="20"/>
          <w:lang w:val="pt-BR"/>
        </w:rPr>
      </w:pPr>
    </w:p>
    <w:p w14:paraId="7403F749" w14:textId="77777777" w:rsidR="00953B2E" w:rsidRPr="00C35766" w:rsidRDefault="00953B2E">
      <w:pPr>
        <w:spacing w:line="200" w:lineRule="exact"/>
        <w:rPr>
          <w:rFonts w:ascii="Times New Roman" w:hAnsi="Times New Roman" w:cs="Times New Roman"/>
          <w:sz w:val="20"/>
          <w:szCs w:val="20"/>
          <w:lang w:val="pt-BR"/>
        </w:rPr>
      </w:pPr>
    </w:p>
    <w:p w14:paraId="5732940B" w14:textId="77777777" w:rsidR="00953B2E" w:rsidRPr="00C35766" w:rsidRDefault="00953B2E">
      <w:pPr>
        <w:spacing w:line="200" w:lineRule="exact"/>
        <w:rPr>
          <w:rFonts w:ascii="Times New Roman" w:hAnsi="Times New Roman" w:cs="Times New Roman"/>
          <w:sz w:val="20"/>
          <w:szCs w:val="20"/>
          <w:lang w:val="pt-BR"/>
        </w:rPr>
      </w:pPr>
    </w:p>
    <w:p w14:paraId="4A6652D2" w14:textId="77777777" w:rsidR="00953B2E" w:rsidRPr="00C35766" w:rsidRDefault="00953B2E">
      <w:pPr>
        <w:spacing w:line="200" w:lineRule="exact"/>
        <w:rPr>
          <w:rFonts w:ascii="Times New Roman" w:hAnsi="Times New Roman" w:cs="Times New Roman"/>
          <w:sz w:val="20"/>
          <w:szCs w:val="20"/>
          <w:lang w:val="pt-BR"/>
        </w:rPr>
      </w:pPr>
    </w:p>
    <w:p w14:paraId="5284208C" w14:textId="77777777" w:rsidR="00953B2E" w:rsidRPr="00C35766" w:rsidRDefault="00953B2E">
      <w:pPr>
        <w:spacing w:line="200" w:lineRule="exact"/>
        <w:rPr>
          <w:rFonts w:ascii="Times New Roman" w:hAnsi="Times New Roman" w:cs="Times New Roman"/>
          <w:sz w:val="20"/>
          <w:szCs w:val="20"/>
          <w:lang w:val="pt-BR"/>
        </w:rPr>
      </w:pPr>
    </w:p>
    <w:p w14:paraId="31E18808" w14:textId="77777777" w:rsidR="00953B2E" w:rsidRPr="00C35766" w:rsidRDefault="00953B2E">
      <w:pPr>
        <w:spacing w:line="200" w:lineRule="exact"/>
        <w:rPr>
          <w:rFonts w:ascii="Times New Roman" w:hAnsi="Times New Roman" w:cs="Times New Roman"/>
          <w:sz w:val="20"/>
          <w:szCs w:val="20"/>
          <w:lang w:val="pt-BR"/>
        </w:rPr>
      </w:pPr>
    </w:p>
    <w:p w14:paraId="342C6756" w14:textId="77777777" w:rsidR="00953B2E" w:rsidRPr="00C35766" w:rsidRDefault="00953B2E">
      <w:pPr>
        <w:spacing w:line="200" w:lineRule="exact"/>
        <w:rPr>
          <w:rFonts w:ascii="Times New Roman" w:hAnsi="Times New Roman" w:cs="Times New Roman"/>
          <w:sz w:val="20"/>
          <w:szCs w:val="20"/>
          <w:lang w:val="pt-BR"/>
        </w:rPr>
      </w:pPr>
    </w:p>
    <w:p w14:paraId="26850C36" w14:textId="77777777" w:rsidR="00953B2E" w:rsidRPr="00C35766" w:rsidRDefault="00953B2E">
      <w:pPr>
        <w:spacing w:line="200" w:lineRule="exact"/>
        <w:rPr>
          <w:rFonts w:ascii="Times New Roman" w:hAnsi="Times New Roman" w:cs="Times New Roman"/>
          <w:sz w:val="20"/>
          <w:szCs w:val="20"/>
          <w:lang w:val="pt-BR"/>
        </w:rPr>
      </w:pPr>
    </w:p>
    <w:p w14:paraId="59322F69" w14:textId="77777777" w:rsidR="00953B2E" w:rsidRPr="00C35766" w:rsidRDefault="00953B2E">
      <w:pPr>
        <w:spacing w:line="200" w:lineRule="exact"/>
        <w:rPr>
          <w:rFonts w:ascii="Times New Roman" w:hAnsi="Times New Roman" w:cs="Times New Roman"/>
          <w:sz w:val="20"/>
          <w:szCs w:val="20"/>
          <w:lang w:val="pt-BR"/>
        </w:rPr>
      </w:pPr>
    </w:p>
    <w:p w14:paraId="7551A708" w14:textId="77777777" w:rsidR="00953B2E" w:rsidRPr="00C35766" w:rsidRDefault="00953B2E">
      <w:pPr>
        <w:spacing w:line="200" w:lineRule="exact"/>
        <w:rPr>
          <w:rFonts w:ascii="Times New Roman" w:hAnsi="Times New Roman" w:cs="Times New Roman"/>
          <w:sz w:val="20"/>
          <w:szCs w:val="20"/>
          <w:lang w:val="pt-BR"/>
        </w:rPr>
      </w:pPr>
    </w:p>
    <w:p w14:paraId="5881E094" w14:textId="77777777" w:rsidR="00953B2E" w:rsidRPr="00C35766" w:rsidRDefault="00953B2E">
      <w:pPr>
        <w:spacing w:line="200" w:lineRule="exact"/>
        <w:rPr>
          <w:rFonts w:ascii="Times New Roman" w:hAnsi="Times New Roman" w:cs="Times New Roman"/>
          <w:sz w:val="20"/>
          <w:szCs w:val="20"/>
          <w:lang w:val="pt-BR"/>
        </w:rPr>
      </w:pPr>
    </w:p>
    <w:p w14:paraId="09918594" w14:textId="77777777" w:rsidR="00953B2E" w:rsidRPr="00C35766" w:rsidRDefault="00953B2E">
      <w:pPr>
        <w:spacing w:line="200" w:lineRule="exact"/>
        <w:rPr>
          <w:rFonts w:ascii="Times New Roman" w:hAnsi="Times New Roman" w:cs="Times New Roman"/>
          <w:sz w:val="20"/>
          <w:szCs w:val="20"/>
          <w:lang w:val="pt-BR"/>
        </w:rPr>
      </w:pPr>
    </w:p>
    <w:p w14:paraId="2EBE4340" w14:textId="77777777" w:rsidR="00953B2E" w:rsidRPr="00C35766" w:rsidRDefault="00953B2E">
      <w:pPr>
        <w:spacing w:line="200" w:lineRule="exact"/>
        <w:rPr>
          <w:rFonts w:ascii="Times New Roman" w:hAnsi="Times New Roman" w:cs="Times New Roman"/>
          <w:sz w:val="20"/>
          <w:szCs w:val="20"/>
          <w:lang w:val="pt-BR"/>
        </w:rPr>
      </w:pPr>
    </w:p>
    <w:p w14:paraId="5426C8D6" w14:textId="77777777" w:rsidR="00953B2E" w:rsidRPr="00C35766" w:rsidRDefault="00953B2E">
      <w:pPr>
        <w:spacing w:line="200" w:lineRule="exact"/>
        <w:rPr>
          <w:rFonts w:ascii="Times New Roman" w:hAnsi="Times New Roman" w:cs="Times New Roman"/>
          <w:sz w:val="20"/>
          <w:szCs w:val="20"/>
          <w:lang w:val="pt-BR"/>
        </w:rPr>
      </w:pPr>
    </w:p>
    <w:p w14:paraId="6EF3AABB" w14:textId="77777777" w:rsidR="00953B2E" w:rsidRPr="00C35766" w:rsidRDefault="00953B2E">
      <w:pPr>
        <w:spacing w:before="4" w:line="200" w:lineRule="exact"/>
        <w:rPr>
          <w:rFonts w:ascii="Times New Roman" w:hAnsi="Times New Roman" w:cs="Times New Roman"/>
          <w:sz w:val="20"/>
          <w:szCs w:val="20"/>
          <w:lang w:val="pt-BR"/>
        </w:rPr>
      </w:pPr>
    </w:p>
    <w:p w14:paraId="14E9C4D8" w14:textId="77777777" w:rsidR="00953B2E" w:rsidRPr="00C35766" w:rsidRDefault="005F0C19" w:rsidP="00787805">
      <w:pPr>
        <w:pStyle w:val="1"/>
        <w:numPr>
          <w:ilvl w:val="0"/>
          <w:numId w:val="34"/>
        </w:numPr>
        <w:jc w:val="center"/>
        <w:rPr>
          <w:rFonts w:cs="Times New Roman"/>
        </w:rPr>
      </w:pPr>
      <w:bookmarkStart w:id="48" w:name="A._LABELLING"/>
      <w:bookmarkEnd w:id="48"/>
      <w:r w:rsidRPr="00C35766">
        <w:rPr>
          <w:rFonts w:cs="Times New Roman"/>
          <w:noProof/>
          <w:lang w:val="it-IT"/>
        </w:rPr>
        <w:t>ETICHETTATURA</w:t>
      </w:r>
    </w:p>
    <w:p w14:paraId="67313E26" w14:textId="77777777" w:rsidR="00953B2E" w:rsidRPr="00C35766" w:rsidRDefault="005F0C19">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953B2E" w:rsidRPr="003557F0" w14:paraId="689B48E4" w14:textId="77777777">
        <w:trPr>
          <w:trHeight w:val="822"/>
        </w:trPr>
        <w:tc>
          <w:tcPr>
            <w:tcW w:w="9666" w:type="dxa"/>
            <w:vAlign w:val="center"/>
          </w:tcPr>
          <w:p w14:paraId="672A3409" w14:textId="77777777" w:rsidR="00953B2E" w:rsidRPr="00C35766" w:rsidRDefault="005F0C19">
            <w:pPr>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INFORMAZIONI DA APPORRE SUL CONFEZIONAMENTO SECONDARIO</w:t>
            </w:r>
          </w:p>
          <w:p w14:paraId="591B1D40" w14:textId="77777777" w:rsidR="00953B2E" w:rsidRPr="00C35766" w:rsidRDefault="00953B2E">
            <w:pPr>
              <w:spacing w:line="180" w:lineRule="exact"/>
              <w:jc w:val="both"/>
              <w:rPr>
                <w:rFonts w:ascii="Times New Roman" w:hAnsi="Times New Roman" w:cs="Times New Roman"/>
                <w:lang w:val="pt-BR"/>
              </w:rPr>
            </w:pPr>
          </w:p>
          <w:p w14:paraId="003E143E" w14:textId="35262360" w:rsidR="00953B2E" w:rsidRPr="00C35766" w:rsidRDefault="005F0C19">
            <w:pPr>
              <w:jc w:val="both"/>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IMBALLAGGIO ESTERNO DELLA SIRINGA PRE</w:t>
            </w:r>
            <w:r w:rsidR="00B82D29" w:rsidRPr="00C35766">
              <w:rPr>
                <w:rFonts w:ascii="Times New Roman" w:eastAsia="Times New Roman" w:hAnsi="Times New Roman" w:cs="Times New Roman"/>
                <w:b/>
                <w:bCs/>
                <w:spacing w:val="-1"/>
                <w:lang w:val="it-IT"/>
              </w:rPr>
              <w:t>-</w:t>
            </w:r>
            <w:r w:rsidRPr="00C35766">
              <w:rPr>
                <w:rFonts w:ascii="Times New Roman" w:eastAsia="Times New Roman" w:hAnsi="Times New Roman" w:cs="Times New Roman"/>
                <w:b/>
                <w:bCs/>
                <w:spacing w:val="-1"/>
                <w:lang w:val="it-IT"/>
              </w:rPr>
              <w:t>RIEMPITA</w:t>
            </w:r>
          </w:p>
        </w:tc>
      </w:tr>
    </w:tbl>
    <w:p w14:paraId="28483FC7" w14:textId="77777777" w:rsidR="00953B2E" w:rsidRPr="00C35766" w:rsidRDefault="00953B2E">
      <w:pPr>
        <w:spacing w:line="200" w:lineRule="exact"/>
        <w:rPr>
          <w:rFonts w:ascii="Times New Roman" w:hAnsi="Times New Roman" w:cs="Times New Roman"/>
          <w:lang w:val="es-ES"/>
        </w:rPr>
      </w:pPr>
    </w:p>
    <w:p w14:paraId="76C37B33" w14:textId="77777777" w:rsidR="00953B2E" w:rsidRPr="00C35766" w:rsidRDefault="00953B2E">
      <w:pPr>
        <w:spacing w:line="200" w:lineRule="exact"/>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953B2E" w:rsidRPr="00C35766" w14:paraId="554001A7" w14:textId="77777777">
        <w:trPr>
          <w:trHeight w:val="317"/>
        </w:trPr>
        <w:tc>
          <w:tcPr>
            <w:tcW w:w="9666" w:type="dxa"/>
            <w:vAlign w:val="center"/>
          </w:tcPr>
          <w:p w14:paraId="445A3F6D"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rPr>
            </w:pPr>
            <w:r w:rsidRPr="00C35766">
              <w:rPr>
                <w:rFonts w:ascii="Times New Roman" w:eastAsia="Times New Roman" w:hAnsi="Times New Roman" w:cs="Times New Roman"/>
                <w:b/>
                <w:bCs/>
                <w:spacing w:val="-1"/>
                <w:lang w:val="it-IT"/>
              </w:rPr>
              <w:t>DENOMINAZIONE DEL MEDICINALE</w:t>
            </w:r>
          </w:p>
        </w:tc>
      </w:tr>
    </w:tbl>
    <w:p w14:paraId="138C4155" w14:textId="77777777" w:rsidR="00953B2E" w:rsidRPr="00C35766" w:rsidRDefault="00953B2E">
      <w:pPr>
        <w:spacing w:line="200" w:lineRule="exact"/>
        <w:rPr>
          <w:rFonts w:ascii="Times New Roman" w:hAnsi="Times New Roman" w:cs="Times New Roman"/>
        </w:rPr>
      </w:pPr>
    </w:p>
    <w:p w14:paraId="06B30F4E" w14:textId="2E47A4BB" w:rsidR="00953B2E" w:rsidRPr="00C35766" w:rsidRDefault="005F0C19">
      <w:pPr>
        <w:pStyle w:val="a3"/>
        <w:rPr>
          <w:lang w:val="it-IT"/>
        </w:rPr>
      </w:pPr>
      <w:r w:rsidRPr="00C35766">
        <w:rPr>
          <w:rFonts w:eastAsia="Times New Roman"/>
          <w:lang w:val="it-IT"/>
        </w:rPr>
        <w:t xml:space="preserve">Yuflyma 40 </w:t>
      </w:r>
      <w:r w:rsidR="00793CAE" w:rsidRPr="00C35766">
        <w:rPr>
          <w:rFonts w:eastAsia="Times New Roman"/>
          <w:lang w:val="it-IT"/>
        </w:rPr>
        <w:t xml:space="preserve">mg </w:t>
      </w:r>
      <w:r w:rsidRPr="00C35766">
        <w:rPr>
          <w:rFonts w:eastAsia="Times New Roman"/>
          <w:lang w:val="it-IT"/>
        </w:rPr>
        <w:t xml:space="preserve">soluzione iniettabile in siringa </w:t>
      </w:r>
      <w:r w:rsidR="0092097A" w:rsidRPr="00C35766">
        <w:rPr>
          <w:rFonts w:eastAsia="Times New Roman"/>
          <w:lang w:val="it-IT"/>
        </w:rPr>
        <w:t>pre-riempita</w:t>
      </w:r>
    </w:p>
    <w:p w14:paraId="1E5EEA5F" w14:textId="0D8775E0" w:rsidR="00953B2E" w:rsidRPr="00C35766" w:rsidRDefault="00A55EEE">
      <w:pPr>
        <w:pStyle w:val="a3"/>
      </w:pPr>
      <w:r w:rsidRPr="00C35766">
        <w:rPr>
          <w:rFonts w:eastAsia="Times New Roman"/>
          <w:lang w:val="it-IT"/>
        </w:rPr>
        <w:t>a</w:t>
      </w:r>
      <w:r w:rsidR="005F0C19" w:rsidRPr="00C35766">
        <w:rPr>
          <w:rFonts w:eastAsia="Times New Roman"/>
          <w:lang w:val="it-IT"/>
        </w:rPr>
        <w:t>dalimumab</w:t>
      </w:r>
    </w:p>
    <w:p w14:paraId="3A51F97B" w14:textId="77777777" w:rsidR="00953B2E" w:rsidRPr="00C35766" w:rsidRDefault="00953B2E">
      <w:pPr>
        <w:pStyle w:val="a3"/>
      </w:pPr>
    </w:p>
    <w:p w14:paraId="75DCBBA5"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182AF1E5" w14:textId="77777777">
        <w:trPr>
          <w:trHeight w:val="317"/>
        </w:trPr>
        <w:tc>
          <w:tcPr>
            <w:tcW w:w="9666" w:type="dxa"/>
            <w:vAlign w:val="center"/>
          </w:tcPr>
          <w:p w14:paraId="3017B296"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COMPOSIZIONE QUALITATIVA E QUANTITATIVA IN TERMINI DI PRINCIPIO(I) ATTIVO(I)</w:t>
            </w:r>
          </w:p>
        </w:tc>
      </w:tr>
    </w:tbl>
    <w:p w14:paraId="428EAA05" w14:textId="77777777" w:rsidR="00953B2E" w:rsidRPr="00C35766" w:rsidRDefault="00953B2E">
      <w:pPr>
        <w:spacing w:before="13" w:line="280" w:lineRule="exact"/>
        <w:rPr>
          <w:rFonts w:ascii="Times New Roman" w:hAnsi="Times New Roman" w:cs="Times New Roman"/>
          <w:lang w:val="pt-BR"/>
        </w:rPr>
      </w:pPr>
    </w:p>
    <w:p w14:paraId="761D54C2" w14:textId="44153646" w:rsidR="00953B2E" w:rsidRPr="00C35766" w:rsidRDefault="005F0C19">
      <w:pPr>
        <w:pStyle w:val="a3"/>
        <w:rPr>
          <w:lang w:val="es-ES"/>
        </w:rPr>
      </w:pPr>
      <w:r w:rsidRPr="00C35766">
        <w:rPr>
          <w:rFonts w:eastAsia="Times New Roman"/>
          <w:lang w:val="it-IT"/>
        </w:rPr>
        <w:t xml:space="preserve">Una siringa </w:t>
      </w:r>
      <w:r w:rsidR="0092097A" w:rsidRPr="00C35766">
        <w:rPr>
          <w:rFonts w:eastAsia="Times New Roman"/>
          <w:lang w:val="it-IT"/>
        </w:rPr>
        <w:t>pre-riempita</w:t>
      </w:r>
      <w:r w:rsidRPr="00C35766">
        <w:rPr>
          <w:rFonts w:eastAsia="Times New Roman"/>
          <w:lang w:val="it-IT"/>
        </w:rPr>
        <w:t xml:space="preserve"> da 0,4 </w:t>
      </w:r>
      <w:r w:rsidR="00331973" w:rsidRPr="00C35766">
        <w:rPr>
          <w:rFonts w:eastAsia="Times New Roman"/>
          <w:lang w:val="it-IT"/>
        </w:rPr>
        <w:t>mL</w:t>
      </w:r>
      <w:r w:rsidRPr="00C35766">
        <w:rPr>
          <w:rFonts w:eastAsia="Times New Roman"/>
          <w:lang w:val="it-IT"/>
        </w:rPr>
        <w:t xml:space="preserve"> contiene 40 mg di adalimumab.</w:t>
      </w:r>
    </w:p>
    <w:p w14:paraId="5E499999" w14:textId="77777777" w:rsidR="00953B2E" w:rsidRPr="00C35766" w:rsidRDefault="00953B2E">
      <w:pPr>
        <w:spacing w:line="280" w:lineRule="exact"/>
        <w:rPr>
          <w:rFonts w:ascii="Times New Roman" w:hAnsi="Times New Roman" w:cs="Times New Roman"/>
          <w:lang w:val="es-ES"/>
        </w:rPr>
      </w:pPr>
    </w:p>
    <w:p w14:paraId="48967DFD" w14:textId="77777777" w:rsidR="00953B2E" w:rsidRPr="00C35766" w:rsidRDefault="00953B2E">
      <w:pPr>
        <w:spacing w:line="280" w:lineRule="exact"/>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61EC28B0" w14:textId="77777777">
        <w:trPr>
          <w:trHeight w:val="317"/>
        </w:trPr>
        <w:tc>
          <w:tcPr>
            <w:tcW w:w="9666" w:type="dxa"/>
            <w:vAlign w:val="center"/>
          </w:tcPr>
          <w:p w14:paraId="506C32F8"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ELENCO DEGLI ECCIPIENTI</w:t>
            </w:r>
          </w:p>
        </w:tc>
      </w:tr>
    </w:tbl>
    <w:p w14:paraId="3BE1C48D" w14:textId="77777777" w:rsidR="00953B2E" w:rsidRPr="00C35766" w:rsidRDefault="00953B2E">
      <w:pPr>
        <w:pStyle w:val="a3"/>
      </w:pPr>
    </w:p>
    <w:p w14:paraId="5F3E1C2E" w14:textId="77777777" w:rsidR="00953B2E" w:rsidRPr="00C35766" w:rsidRDefault="005F0C19">
      <w:pPr>
        <w:pStyle w:val="a3"/>
        <w:rPr>
          <w:lang w:val="it-IT"/>
        </w:rPr>
      </w:pPr>
      <w:r w:rsidRPr="00C35766">
        <w:rPr>
          <w:rFonts w:eastAsia="Times New Roman"/>
          <w:lang w:val="it-IT"/>
        </w:rPr>
        <w:t>Eccipienti: acido acetico, acetato di sodio triidrato, glicina, polisorbato 80, acqua per preparazioni iniettabili.</w:t>
      </w:r>
    </w:p>
    <w:p w14:paraId="6CCBEB12" w14:textId="77777777" w:rsidR="00953B2E" w:rsidRPr="00C35766" w:rsidRDefault="005F0C19">
      <w:pPr>
        <w:pStyle w:val="a3"/>
        <w:rPr>
          <w:lang w:val="it-IT"/>
        </w:rPr>
      </w:pPr>
      <w:r w:rsidRPr="00C35766">
        <w:rPr>
          <w:rFonts w:eastAsia="Times New Roman"/>
          <w:highlight w:val="lightGray"/>
          <w:lang w:val="it-IT"/>
        </w:rPr>
        <w:t>Per ulteriori informazioni, vedere il foglio illustrativo.</w:t>
      </w:r>
    </w:p>
    <w:p w14:paraId="660613FD" w14:textId="3FE19906" w:rsidR="00953B2E" w:rsidRPr="00C35766" w:rsidRDefault="00953B2E" w:rsidP="001F24B7">
      <w:pPr>
        <w:pStyle w:val="a3"/>
        <w:tabs>
          <w:tab w:val="left" w:pos="1386"/>
        </w:tabs>
        <w:rPr>
          <w:lang w:val="it-IT"/>
        </w:rPr>
      </w:pPr>
    </w:p>
    <w:p w14:paraId="1239B3E5" w14:textId="77777777" w:rsidR="00953B2E" w:rsidRPr="00C35766" w:rsidRDefault="00953B2E">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6AF9D448" w14:textId="77777777">
        <w:trPr>
          <w:trHeight w:val="317"/>
        </w:trPr>
        <w:tc>
          <w:tcPr>
            <w:tcW w:w="9666" w:type="dxa"/>
            <w:vAlign w:val="center"/>
          </w:tcPr>
          <w:p w14:paraId="4AB709A5"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FORMA FARMACEUTICA E CONTENUTO</w:t>
            </w:r>
          </w:p>
        </w:tc>
      </w:tr>
    </w:tbl>
    <w:p w14:paraId="0D51CA17" w14:textId="77777777" w:rsidR="00953B2E" w:rsidRPr="00C35766" w:rsidRDefault="00953B2E">
      <w:pPr>
        <w:pStyle w:val="a3"/>
      </w:pPr>
    </w:p>
    <w:p w14:paraId="15C2989E" w14:textId="77777777" w:rsidR="00953B2E" w:rsidRPr="00C35766" w:rsidRDefault="005F0C19">
      <w:pPr>
        <w:pStyle w:val="a3"/>
      </w:pPr>
      <w:r w:rsidRPr="00C35766">
        <w:rPr>
          <w:rFonts w:eastAsia="Times New Roman"/>
          <w:highlight w:val="lightGray"/>
          <w:lang w:val="it-IT"/>
        </w:rPr>
        <w:t>Soluzione iniettabile</w:t>
      </w:r>
    </w:p>
    <w:p w14:paraId="6565AB14" w14:textId="7CCFF424" w:rsidR="00953B2E" w:rsidRPr="00C35766" w:rsidRDefault="005F0C19">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 xml:space="preserve">1 siringa </w:t>
      </w:r>
      <w:r w:rsidR="0092097A" w:rsidRPr="00C35766">
        <w:rPr>
          <w:rFonts w:ascii="Times New Roman" w:eastAsia="Times New Roman" w:hAnsi="Times New Roman" w:cs="Times New Roman"/>
          <w:lang w:val="it-IT"/>
        </w:rPr>
        <w:t>pre-riempita</w:t>
      </w:r>
    </w:p>
    <w:p w14:paraId="08611BA0" w14:textId="77777777" w:rsidR="00953B2E" w:rsidRPr="00C35766" w:rsidRDefault="005F0C19">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2 tamponi imbevuti di alcool</w:t>
      </w:r>
    </w:p>
    <w:p w14:paraId="106D782F" w14:textId="77777777" w:rsidR="00953B2E" w:rsidRPr="00C35766" w:rsidRDefault="00953B2E">
      <w:pPr>
        <w:autoSpaceDE w:val="0"/>
        <w:autoSpaceDN w:val="0"/>
        <w:adjustRightInd w:val="0"/>
        <w:rPr>
          <w:rFonts w:ascii="Times New Roman" w:hAnsi="Times New Roman" w:cs="Times New Roman"/>
        </w:rPr>
      </w:pPr>
    </w:p>
    <w:p w14:paraId="52A8593F" w14:textId="50D60BAD"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 xml:space="preserve">2 siringhe </w:t>
      </w:r>
      <w:r w:rsidR="00B82D29" w:rsidRPr="00C35766">
        <w:rPr>
          <w:rFonts w:ascii="Times New Roman" w:eastAsia="Times New Roman" w:hAnsi="Times New Roman" w:cs="Times New Roman"/>
          <w:highlight w:val="lightGray"/>
          <w:lang w:val="it-IT"/>
        </w:rPr>
        <w:t>pre-riempite</w:t>
      </w:r>
    </w:p>
    <w:p w14:paraId="1F74AC3E" w14:textId="77777777"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2 tamponi imbevuti di alcool</w:t>
      </w:r>
    </w:p>
    <w:p w14:paraId="5A007EA5" w14:textId="77777777" w:rsidR="00953B2E" w:rsidRPr="00C35766" w:rsidRDefault="00953B2E">
      <w:pPr>
        <w:autoSpaceDE w:val="0"/>
        <w:autoSpaceDN w:val="0"/>
        <w:adjustRightInd w:val="0"/>
        <w:rPr>
          <w:rFonts w:ascii="Times New Roman" w:hAnsi="Times New Roman" w:cs="Times New Roman"/>
          <w:highlight w:val="lightGray"/>
        </w:rPr>
      </w:pPr>
    </w:p>
    <w:p w14:paraId="60075BA7" w14:textId="3E8ADCC4"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 xml:space="preserve">4 siringhe </w:t>
      </w:r>
      <w:r w:rsidR="00B82D29" w:rsidRPr="00C35766">
        <w:rPr>
          <w:rFonts w:ascii="Times New Roman" w:eastAsia="Times New Roman" w:hAnsi="Times New Roman" w:cs="Times New Roman"/>
          <w:highlight w:val="lightGray"/>
          <w:lang w:val="it-IT"/>
        </w:rPr>
        <w:t>pre-riempite</w:t>
      </w:r>
    </w:p>
    <w:p w14:paraId="1553FC19" w14:textId="77777777"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4 tamponi imbevuti di alcool</w:t>
      </w:r>
    </w:p>
    <w:p w14:paraId="51FB0A2C" w14:textId="77777777" w:rsidR="00953B2E" w:rsidRPr="00C35766" w:rsidRDefault="00953B2E">
      <w:pPr>
        <w:autoSpaceDE w:val="0"/>
        <w:autoSpaceDN w:val="0"/>
        <w:adjustRightInd w:val="0"/>
        <w:rPr>
          <w:rFonts w:ascii="Times New Roman" w:hAnsi="Times New Roman" w:cs="Times New Roman"/>
          <w:highlight w:val="lightGray"/>
        </w:rPr>
      </w:pPr>
    </w:p>
    <w:p w14:paraId="26C21194" w14:textId="70441AC6"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 xml:space="preserve">6 siringhe </w:t>
      </w:r>
      <w:r w:rsidR="00B82D29" w:rsidRPr="00C35766">
        <w:rPr>
          <w:rFonts w:ascii="Times New Roman" w:eastAsia="Times New Roman" w:hAnsi="Times New Roman" w:cs="Times New Roman"/>
          <w:highlight w:val="lightGray"/>
          <w:lang w:val="it-IT"/>
        </w:rPr>
        <w:t>pre-riempite</w:t>
      </w:r>
    </w:p>
    <w:p w14:paraId="7E291B33" w14:textId="77777777" w:rsidR="00953B2E" w:rsidRPr="00C35766" w:rsidRDefault="005F0C19">
      <w:pPr>
        <w:autoSpaceDE w:val="0"/>
        <w:autoSpaceDN w:val="0"/>
        <w:adjustRightInd w:val="0"/>
        <w:rPr>
          <w:rFonts w:ascii="Times New Roman" w:hAnsi="Times New Roman" w:cs="Times New Roman"/>
          <w:highlight w:val="lightGray"/>
        </w:rPr>
      </w:pPr>
      <w:r w:rsidRPr="00C35766">
        <w:rPr>
          <w:rFonts w:ascii="Times New Roman" w:eastAsia="Times New Roman" w:hAnsi="Times New Roman" w:cs="Times New Roman"/>
          <w:highlight w:val="lightGray"/>
          <w:lang w:val="it-IT"/>
        </w:rPr>
        <w:t>6 tamponi imbevuti di alcool</w:t>
      </w:r>
    </w:p>
    <w:p w14:paraId="0A057BD3" w14:textId="77777777" w:rsidR="00953B2E" w:rsidRPr="00C35766" w:rsidRDefault="00953B2E">
      <w:pPr>
        <w:autoSpaceDE w:val="0"/>
        <w:autoSpaceDN w:val="0"/>
        <w:adjustRightInd w:val="0"/>
        <w:rPr>
          <w:rFonts w:ascii="Times New Roman" w:hAnsi="Times New Roman" w:cs="Times New Roman"/>
          <w:highlight w:val="lightGray"/>
        </w:rPr>
      </w:pPr>
    </w:p>
    <w:p w14:paraId="0F6C10B7" w14:textId="7FC41A62"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 xml:space="preserve">1 siringa </w:t>
      </w:r>
      <w:r w:rsidR="0092097A" w:rsidRPr="00C35766">
        <w:rPr>
          <w:rFonts w:ascii="Times New Roman" w:eastAsia="Times New Roman" w:hAnsi="Times New Roman" w:cs="Times New Roman"/>
          <w:highlight w:val="lightGray"/>
          <w:lang w:val="it-IT"/>
        </w:rPr>
        <w:t>pre-riempita</w:t>
      </w:r>
      <w:r w:rsidRPr="00C35766">
        <w:rPr>
          <w:rFonts w:ascii="Times New Roman" w:eastAsia="Times New Roman" w:hAnsi="Times New Roman" w:cs="Times New Roman"/>
          <w:highlight w:val="lightGray"/>
          <w:lang w:val="it-IT"/>
        </w:rPr>
        <w:t xml:space="preserve"> con dispositivo di sicurezza per l’ago</w:t>
      </w:r>
    </w:p>
    <w:p w14:paraId="3FCA05C3" w14:textId="77777777"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2 tamponi imbevuti di alcool</w:t>
      </w:r>
    </w:p>
    <w:p w14:paraId="444BD60B" w14:textId="77777777" w:rsidR="00953B2E" w:rsidRPr="00C35766" w:rsidRDefault="00953B2E">
      <w:pPr>
        <w:autoSpaceDE w:val="0"/>
        <w:autoSpaceDN w:val="0"/>
        <w:adjustRightInd w:val="0"/>
        <w:rPr>
          <w:rFonts w:ascii="Times New Roman" w:hAnsi="Times New Roman" w:cs="Times New Roman"/>
          <w:highlight w:val="lightGray"/>
          <w:lang w:val="es-ES"/>
        </w:rPr>
      </w:pPr>
    </w:p>
    <w:p w14:paraId="2C5F336C" w14:textId="21351691"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 xml:space="preserve">2 siringhe </w:t>
      </w:r>
      <w:r w:rsidR="00B82D29" w:rsidRPr="00C35766">
        <w:rPr>
          <w:rFonts w:ascii="Times New Roman" w:eastAsia="Times New Roman" w:hAnsi="Times New Roman" w:cs="Times New Roman"/>
          <w:highlight w:val="lightGray"/>
          <w:lang w:val="it-IT"/>
        </w:rPr>
        <w:t>pre-riempite</w:t>
      </w:r>
      <w:r w:rsidRPr="00C35766">
        <w:rPr>
          <w:rFonts w:ascii="Times New Roman" w:eastAsia="Times New Roman" w:hAnsi="Times New Roman" w:cs="Times New Roman"/>
          <w:highlight w:val="lightGray"/>
          <w:lang w:val="it-IT"/>
        </w:rPr>
        <w:t xml:space="preserve"> con dispositivo di sicurezza per l’ago</w:t>
      </w:r>
    </w:p>
    <w:p w14:paraId="5B447E64" w14:textId="77777777"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2 tamponi imbevuti di alcool</w:t>
      </w:r>
    </w:p>
    <w:p w14:paraId="6DB19918" w14:textId="77777777" w:rsidR="00953B2E" w:rsidRPr="00C35766" w:rsidRDefault="00953B2E">
      <w:pPr>
        <w:autoSpaceDE w:val="0"/>
        <w:autoSpaceDN w:val="0"/>
        <w:adjustRightInd w:val="0"/>
        <w:rPr>
          <w:rFonts w:ascii="Times New Roman" w:hAnsi="Times New Roman" w:cs="Times New Roman"/>
          <w:highlight w:val="lightGray"/>
          <w:lang w:val="es-ES"/>
        </w:rPr>
      </w:pPr>
    </w:p>
    <w:p w14:paraId="514B1498" w14:textId="0CAF80FC"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 xml:space="preserve">4 siringhe </w:t>
      </w:r>
      <w:r w:rsidR="00B82D29" w:rsidRPr="00C35766">
        <w:rPr>
          <w:rFonts w:ascii="Times New Roman" w:eastAsia="Times New Roman" w:hAnsi="Times New Roman" w:cs="Times New Roman"/>
          <w:highlight w:val="lightGray"/>
          <w:lang w:val="it-IT"/>
        </w:rPr>
        <w:t>pre-riempite</w:t>
      </w:r>
      <w:r w:rsidRPr="00C35766">
        <w:rPr>
          <w:rFonts w:ascii="Times New Roman" w:eastAsia="Times New Roman" w:hAnsi="Times New Roman" w:cs="Times New Roman"/>
          <w:highlight w:val="lightGray"/>
          <w:lang w:val="it-IT"/>
        </w:rPr>
        <w:t xml:space="preserve"> con dispositivo di sicurezza per l’ago</w:t>
      </w:r>
    </w:p>
    <w:p w14:paraId="4861F431" w14:textId="77777777" w:rsidR="00953B2E" w:rsidRPr="00C35766" w:rsidRDefault="005F0C19">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4 tamponi imbevuti di alcool</w:t>
      </w:r>
    </w:p>
    <w:p w14:paraId="70E1E7FF" w14:textId="77777777" w:rsidR="00953B2E" w:rsidRPr="00C35766" w:rsidRDefault="00953B2E">
      <w:pPr>
        <w:autoSpaceDE w:val="0"/>
        <w:autoSpaceDN w:val="0"/>
        <w:adjustRightInd w:val="0"/>
        <w:rPr>
          <w:rFonts w:ascii="Times New Roman" w:hAnsi="Times New Roman" w:cs="Times New Roman"/>
          <w:highlight w:val="lightGray"/>
          <w:lang w:val="es-ES"/>
        </w:rPr>
      </w:pPr>
    </w:p>
    <w:p w14:paraId="258E0691" w14:textId="43F401E3" w:rsidR="00953B2E" w:rsidRPr="00C35766" w:rsidRDefault="005F0C19">
      <w:pPr>
        <w:spacing w:line="200" w:lineRule="exact"/>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 xml:space="preserve">6 siringhe </w:t>
      </w:r>
      <w:r w:rsidR="00B82D29" w:rsidRPr="00C35766">
        <w:rPr>
          <w:rFonts w:ascii="Times New Roman" w:eastAsia="Times New Roman" w:hAnsi="Times New Roman" w:cs="Times New Roman"/>
          <w:highlight w:val="lightGray"/>
          <w:lang w:val="it-IT"/>
        </w:rPr>
        <w:t>pre-riempite</w:t>
      </w:r>
      <w:r w:rsidRPr="00C35766">
        <w:rPr>
          <w:rFonts w:ascii="Times New Roman" w:eastAsia="Times New Roman" w:hAnsi="Times New Roman" w:cs="Times New Roman"/>
          <w:highlight w:val="lightGray"/>
          <w:lang w:val="it-IT"/>
        </w:rPr>
        <w:t xml:space="preserve"> con dispositivo di </w:t>
      </w:r>
      <w:r w:rsidR="00B82D29" w:rsidRPr="00C35766">
        <w:rPr>
          <w:rFonts w:ascii="Times New Roman" w:eastAsia="Times New Roman" w:hAnsi="Times New Roman" w:cs="Times New Roman"/>
          <w:highlight w:val="lightGray"/>
          <w:lang w:val="it-IT"/>
        </w:rPr>
        <w:t>s</w:t>
      </w:r>
      <w:r w:rsidRPr="00C35766">
        <w:rPr>
          <w:rFonts w:ascii="Times New Roman" w:eastAsia="Times New Roman" w:hAnsi="Times New Roman" w:cs="Times New Roman"/>
          <w:highlight w:val="lightGray"/>
          <w:lang w:val="it-IT"/>
        </w:rPr>
        <w:t>icurezza per l’ago</w:t>
      </w:r>
    </w:p>
    <w:p w14:paraId="549EB5ED" w14:textId="77777777" w:rsidR="00953B2E" w:rsidRPr="00C35766" w:rsidRDefault="005F0C19">
      <w:pPr>
        <w:spacing w:line="200" w:lineRule="exact"/>
        <w:rPr>
          <w:rFonts w:ascii="Times New Roman" w:hAnsi="Times New Roman" w:cs="Times New Roman"/>
        </w:rPr>
      </w:pPr>
      <w:r w:rsidRPr="00C35766">
        <w:rPr>
          <w:rFonts w:ascii="Times New Roman" w:eastAsia="Times New Roman" w:hAnsi="Times New Roman" w:cs="Times New Roman"/>
          <w:highlight w:val="lightGray"/>
          <w:lang w:val="it-IT"/>
        </w:rPr>
        <w:t>6 tamponi imbevuti di alcool</w:t>
      </w:r>
    </w:p>
    <w:p w14:paraId="67B6295A" w14:textId="77777777" w:rsidR="00953B2E" w:rsidRPr="00C35766" w:rsidRDefault="00953B2E">
      <w:pPr>
        <w:spacing w:line="200" w:lineRule="exact"/>
        <w:rPr>
          <w:rFonts w:ascii="Times New Roman" w:hAnsi="Times New Roman" w:cs="Times New Roman"/>
        </w:rPr>
      </w:pPr>
    </w:p>
    <w:p w14:paraId="525D3CE2" w14:textId="77777777" w:rsidR="00953B2E" w:rsidRPr="00C35766" w:rsidRDefault="00953B2E">
      <w:pPr>
        <w:spacing w:line="20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2F26E279" w14:textId="77777777">
        <w:trPr>
          <w:trHeight w:val="317"/>
        </w:trPr>
        <w:tc>
          <w:tcPr>
            <w:tcW w:w="9666" w:type="dxa"/>
            <w:vAlign w:val="center"/>
          </w:tcPr>
          <w:p w14:paraId="5DF5861D" w14:textId="02F9401A" w:rsidR="00953B2E" w:rsidRPr="00C35766" w:rsidRDefault="005F0C19" w:rsidP="00A55EEE">
            <w:pPr>
              <w:numPr>
                <w:ilvl w:val="0"/>
                <w:numId w:val="6"/>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lastRenderedPageBreak/>
              <w:t>MODO E VIA DI SOMMINISTRAZIONE</w:t>
            </w:r>
          </w:p>
        </w:tc>
      </w:tr>
    </w:tbl>
    <w:p w14:paraId="01CB10EE" w14:textId="77777777" w:rsidR="00953B2E" w:rsidRPr="00C35766" w:rsidRDefault="00953B2E">
      <w:pPr>
        <w:spacing w:line="200" w:lineRule="exact"/>
        <w:rPr>
          <w:rFonts w:ascii="Times New Roman" w:hAnsi="Times New Roman" w:cs="Times New Roman"/>
          <w:lang w:val="pt-BR"/>
        </w:rPr>
      </w:pPr>
    </w:p>
    <w:p w14:paraId="66552D2F" w14:textId="77777777" w:rsidR="00953B2E" w:rsidRPr="00C35766" w:rsidRDefault="005F0C19">
      <w:pPr>
        <w:pStyle w:val="a3"/>
        <w:rPr>
          <w:lang w:val="pt-BR"/>
        </w:rPr>
      </w:pPr>
      <w:r w:rsidRPr="00C35766">
        <w:rPr>
          <w:rFonts w:eastAsia="Times New Roman"/>
          <w:lang w:val="it-IT"/>
        </w:rPr>
        <w:t>Uso sottocutaneo</w:t>
      </w:r>
    </w:p>
    <w:p w14:paraId="6CB36327" w14:textId="77777777" w:rsidR="00953B2E" w:rsidRPr="00C35766" w:rsidRDefault="00953B2E">
      <w:pPr>
        <w:pStyle w:val="a3"/>
        <w:rPr>
          <w:lang w:val="pt-BR"/>
        </w:rPr>
      </w:pPr>
    </w:p>
    <w:p w14:paraId="38EFC269" w14:textId="77777777" w:rsidR="00953B2E" w:rsidRPr="00C35766" w:rsidRDefault="005F0C19">
      <w:pPr>
        <w:pStyle w:val="a3"/>
        <w:rPr>
          <w:lang w:val="pt-BR"/>
        </w:rPr>
      </w:pPr>
      <w:r w:rsidRPr="00C35766">
        <w:rPr>
          <w:rFonts w:eastAsia="Times New Roman"/>
          <w:lang w:val="it-IT"/>
        </w:rPr>
        <w:t>Leggere il foglio illustrativo prima dell’uso.</w:t>
      </w:r>
    </w:p>
    <w:p w14:paraId="6101F7B5" w14:textId="77777777" w:rsidR="00953B2E" w:rsidRPr="00C35766" w:rsidRDefault="00953B2E">
      <w:pPr>
        <w:pStyle w:val="a3"/>
        <w:rPr>
          <w:lang w:val="pt-BR"/>
        </w:rPr>
      </w:pPr>
    </w:p>
    <w:p w14:paraId="2388B21F" w14:textId="77777777" w:rsidR="00953B2E" w:rsidRPr="00C35766" w:rsidRDefault="005F0C19">
      <w:pPr>
        <w:pStyle w:val="a3"/>
      </w:pPr>
      <w:r w:rsidRPr="00C35766">
        <w:rPr>
          <w:rFonts w:eastAsia="Times New Roman"/>
          <w:lang w:val="it-IT"/>
        </w:rPr>
        <w:t>Esclusivamente monouso.</w:t>
      </w:r>
    </w:p>
    <w:p w14:paraId="4E262128" w14:textId="77777777" w:rsidR="00953B2E" w:rsidRPr="00C35766" w:rsidRDefault="00953B2E">
      <w:pPr>
        <w:pStyle w:val="a3"/>
      </w:pPr>
    </w:p>
    <w:p w14:paraId="27D2E9D4"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2A37A2" w14:paraId="67DD239D" w14:textId="77777777">
        <w:trPr>
          <w:trHeight w:val="317"/>
        </w:trPr>
        <w:tc>
          <w:tcPr>
            <w:tcW w:w="9666" w:type="dxa"/>
            <w:vAlign w:val="center"/>
          </w:tcPr>
          <w:p w14:paraId="61612BE0" w14:textId="77777777" w:rsidR="00953B2E" w:rsidRPr="00C35766" w:rsidRDefault="005F0C19">
            <w:pPr>
              <w:numPr>
                <w:ilvl w:val="0"/>
                <w:numId w:val="6"/>
              </w:numPr>
              <w:tabs>
                <w:tab w:val="left" w:pos="672"/>
              </w:tabs>
              <w:ind w:left="550" w:hanging="550"/>
              <w:jc w:val="both"/>
              <w:rPr>
                <w:rFonts w:ascii="Times New Roman" w:hAnsi="Times New Roman" w:cs="Times New Roman"/>
                <w:lang w:val="it-IT"/>
              </w:rPr>
            </w:pPr>
            <w:r w:rsidRPr="00C35766">
              <w:rPr>
                <w:rFonts w:ascii="Times New Roman" w:eastAsia="Times New Roman" w:hAnsi="Times New Roman" w:cs="Times New Roman"/>
                <w:b/>
                <w:bCs/>
                <w:spacing w:val="-1"/>
                <w:lang w:val="it-IT"/>
              </w:rPr>
              <w:t>AVVERTENZA PARTICOLARE CHE PRESCRIVA DI TENERE IL MEDICINALE FUORI DALLA VISTA E DALLA PORTATA DEI BAMBINI</w:t>
            </w:r>
          </w:p>
        </w:tc>
      </w:tr>
    </w:tbl>
    <w:p w14:paraId="29AC25D0" w14:textId="77777777" w:rsidR="00953B2E" w:rsidRPr="00C35766" w:rsidRDefault="00953B2E">
      <w:pPr>
        <w:spacing w:before="1" w:line="200" w:lineRule="exact"/>
        <w:rPr>
          <w:rFonts w:ascii="Times New Roman" w:hAnsi="Times New Roman" w:cs="Times New Roman"/>
          <w:lang w:val="it-IT"/>
        </w:rPr>
      </w:pPr>
    </w:p>
    <w:p w14:paraId="4C3365FE" w14:textId="77777777" w:rsidR="00953B2E" w:rsidRPr="00C35766" w:rsidRDefault="005F0C19">
      <w:pPr>
        <w:pStyle w:val="a3"/>
        <w:rPr>
          <w:lang w:val="pt-BR"/>
        </w:rPr>
      </w:pPr>
      <w:r w:rsidRPr="00C35766">
        <w:rPr>
          <w:rFonts w:eastAsia="Times New Roman"/>
          <w:lang w:val="it-IT"/>
        </w:rPr>
        <w:t>Tenere fuori dalla vista e dalla portata dei bambini.</w:t>
      </w:r>
    </w:p>
    <w:p w14:paraId="6ADC9B69" w14:textId="77777777" w:rsidR="00953B2E" w:rsidRPr="00C35766" w:rsidRDefault="00953B2E">
      <w:pPr>
        <w:pStyle w:val="a3"/>
        <w:rPr>
          <w:lang w:val="pt-BR"/>
        </w:rPr>
      </w:pPr>
    </w:p>
    <w:p w14:paraId="2C42F8B1" w14:textId="77777777" w:rsidR="00953B2E" w:rsidRPr="00C35766" w:rsidRDefault="00953B2E">
      <w:pPr>
        <w:pStyle w:val="a3"/>
        <w:rPr>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07C8EBB9" w14:textId="77777777">
        <w:trPr>
          <w:trHeight w:val="317"/>
        </w:trPr>
        <w:tc>
          <w:tcPr>
            <w:tcW w:w="9666" w:type="dxa"/>
            <w:vAlign w:val="center"/>
          </w:tcPr>
          <w:p w14:paraId="204B675C"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ALTRA(E) AVVERTENZA(E) PARTICOLARE(I), SE NECESSARIO</w:t>
            </w:r>
          </w:p>
        </w:tc>
      </w:tr>
    </w:tbl>
    <w:p w14:paraId="4207CDA2" w14:textId="77777777" w:rsidR="00953B2E" w:rsidRPr="00C35766" w:rsidRDefault="00953B2E">
      <w:pPr>
        <w:rPr>
          <w:rFonts w:ascii="Times New Roman" w:hAnsi="Times New Roman" w:cs="Times New Roman"/>
          <w:lang w:val="pt-BR"/>
        </w:rPr>
      </w:pPr>
    </w:p>
    <w:p w14:paraId="406886E2" w14:textId="77777777" w:rsidR="00953B2E" w:rsidRPr="00C35766" w:rsidRDefault="00953B2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2272134B" w14:textId="77777777">
        <w:trPr>
          <w:trHeight w:val="317"/>
        </w:trPr>
        <w:tc>
          <w:tcPr>
            <w:tcW w:w="9666" w:type="dxa"/>
            <w:vAlign w:val="center"/>
          </w:tcPr>
          <w:p w14:paraId="050B6D70"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0D5AE12B" w14:textId="77777777" w:rsidR="00953B2E" w:rsidRPr="00C35766" w:rsidRDefault="00953B2E">
      <w:pPr>
        <w:rPr>
          <w:rFonts w:ascii="Times New Roman" w:hAnsi="Times New Roman" w:cs="Times New Roman"/>
        </w:rPr>
      </w:pPr>
    </w:p>
    <w:p w14:paraId="727CD595" w14:textId="77777777" w:rsidR="00953B2E" w:rsidRPr="00C35766" w:rsidRDefault="005F0C19">
      <w:pPr>
        <w:pStyle w:val="a3"/>
      </w:pPr>
      <w:r w:rsidRPr="00C35766">
        <w:rPr>
          <w:rFonts w:eastAsia="Times New Roman"/>
          <w:lang w:val="it-IT"/>
        </w:rPr>
        <w:t>Scad.</w:t>
      </w:r>
    </w:p>
    <w:p w14:paraId="3A1AA05A" w14:textId="77777777" w:rsidR="00953B2E" w:rsidRPr="00C35766" w:rsidRDefault="00953B2E">
      <w:pPr>
        <w:rPr>
          <w:rFonts w:ascii="Times New Roman" w:hAnsi="Times New Roman" w:cs="Times New Roman"/>
        </w:rPr>
      </w:pPr>
    </w:p>
    <w:p w14:paraId="2A8673D7" w14:textId="77777777" w:rsidR="00953B2E" w:rsidRPr="00C35766" w:rsidRDefault="00953B2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2A37A2" w14:paraId="1A3ADF61" w14:textId="77777777">
        <w:trPr>
          <w:trHeight w:val="317"/>
        </w:trPr>
        <w:tc>
          <w:tcPr>
            <w:tcW w:w="9666" w:type="dxa"/>
            <w:vAlign w:val="center"/>
          </w:tcPr>
          <w:p w14:paraId="0316BC1A" w14:textId="77777777" w:rsidR="00953B2E" w:rsidRPr="00C35766" w:rsidRDefault="005F0C19">
            <w:pPr>
              <w:numPr>
                <w:ilvl w:val="0"/>
                <w:numId w:val="6"/>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LA CONSERVAZIONE</w:t>
            </w:r>
          </w:p>
        </w:tc>
      </w:tr>
    </w:tbl>
    <w:p w14:paraId="5F984CFA" w14:textId="77777777" w:rsidR="00953B2E" w:rsidRPr="00C35766" w:rsidRDefault="00953B2E">
      <w:pPr>
        <w:rPr>
          <w:rFonts w:ascii="Times New Roman" w:hAnsi="Times New Roman" w:cs="Times New Roman"/>
          <w:lang w:val="it-IT"/>
        </w:rPr>
      </w:pPr>
    </w:p>
    <w:p w14:paraId="70CE0143" w14:textId="77777777" w:rsidR="00953B2E" w:rsidRPr="00C35766" w:rsidRDefault="005F0C19">
      <w:pPr>
        <w:pStyle w:val="a3"/>
        <w:rPr>
          <w:lang w:val="pt-BR"/>
        </w:rPr>
      </w:pPr>
      <w:r w:rsidRPr="00C35766">
        <w:rPr>
          <w:rFonts w:eastAsia="Times New Roman"/>
          <w:lang w:val="it-IT"/>
        </w:rPr>
        <w:t>Conservare in frigorifero. Non congelare.</w:t>
      </w:r>
    </w:p>
    <w:p w14:paraId="2A135D81" w14:textId="2F1CE8BB" w:rsidR="00953B2E" w:rsidRPr="00C35766" w:rsidRDefault="005F0C19">
      <w:pPr>
        <w:pStyle w:val="a3"/>
        <w:rPr>
          <w:lang w:val="es-ES"/>
        </w:rPr>
      </w:pPr>
      <w:r w:rsidRPr="00C35766">
        <w:rPr>
          <w:rFonts w:eastAsia="Times New Roman"/>
          <w:lang w:val="it-IT"/>
        </w:rPr>
        <w:t xml:space="preserve">Conservare la siringa </w:t>
      </w:r>
      <w:r w:rsidR="0092097A" w:rsidRPr="00C35766">
        <w:rPr>
          <w:rFonts w:eastAsia="Times New Roman"/>
          <w:lang w:val="it-IT"/>
        </w:rPr>
        <w:t>pre-riempita</w:t>
      </w:r>
      <w:r w:rsidRPr="00C35766">
        <w:rPr>
          <w:rFonts w:eastAsia="Times New Roman"/>
          <w:lang w:val="it-IT"/>
        </w:rPr>
        <w:t xml:space="preserve"> nell’imballaggio esterno per proteggerla dalla luce.</w:t>
      </w:r>
    </w:p>
    <w:p w14:paraId="43F6E293" w14:textId="2D316770" w:rsidR="00953B2E" w:rsidRPr="00C35766" w:rsidRDefault="005F0C19">
      <w:pPr>
        <w:pStyle w:val="a3"/>
        <w:rPr>
          <w:lang w:val="es-ES"/>
        </w:rPr>
      </w:pPr>
      <w:r w:rsidRPr="00C35766">
        <w:rPr>
          <w:rFonts w:eastAsia="Times New Roman"/>
          <w:highlight w:val="lightGray"/>
          <w:lang w:val="it-IT"/>
        </w:rPr>
        <w:t xml:space="preserve">Conservare </w:t>
      </w:r>
      <w:r w:rsidR="00793CAE" w:rsidRPr="00C35766">
        <w:rPr>
          <w:rFonts w:eastAsia="Times New Roman"/>
          <w:highlight w:val="lightGray"/>
          <w:lang w:val="it-IT"/>
        </w:rPr>
        <w:t xml:space="preserve">le </w:t>
      </w:r>
      <w:r w:rsidRPr="00C35766">
        <w:rPr>
          <w:rFonts w:eastAsia="Times New Roman"/>
          <w:highlight w:val="lightGray"/>
          <w:lang w:val="it-IT"/>
        </w:rPr>
        <w:t>siring</w:t>
      </w:r>
      <w:r w:rsidR="00793CAE" w:rsidRPr="00C35766">
        <w:rPr>
          <w:rFonts w:eastAsia="Times New Roman"/>
          <w:highlight w:val="lightGray"/>
          <w:lang w:val="it-IT"/>
        </w:rPr>
        <w:t>he</w:t>
      </w:r>
      <w:r w:rsidRPr="00C35766">
        <w:rPr>
          <w:rFonts w:eastAsia="Times New Roman"/>
          <w:highlight w:val="lightGray"/>
          <w:lang w:val="it-IT"/>
        </w:rPr>
        <w:t xml:space="preserve"> </w:t>
      </w:r>
      <w:r w:rsidR="0092097A" w:rsidRPr="00C35766">
        <w:rPr>
          <w:rFonts w:eastAsia="Times New Roman"/>
          <w:highlight w:val="lightGray"/>
          <w:lang w:val="it-IT"/>
        </w:rPr>
        <w:t>pre-riempit</w:t>
      </w:r>
      <w:r w:rsidR="00793CAE" w:rsidRPr="00C35766">
        <w:rPr>
          <w:rFonts w:eastAsia="Times New Roman"/>
          <w:highlight w:val="lightGray"/>
          <w:lang w:val="it-IT"/>
        </w:rPr>
        <w:t>e</w:t>
      </w:r>
      <w:r w:rsidRPr="00C35766">
        <w:rPr>
          <w:rFonts w:eastAsia="Times New Roman"/>
          <w:highlight w:val="lightGray"/>
          <w:lang w:val="it-IT"/>
        </w:rPr>
        <w:t xml:space="preserve"> nell’imballaggio esterno per proteggerl</w:t>
      </w:r>
      <w:r w:rsidR="00793CAE" w:rsidRPr="00C35766">
        <w:rPr>
          <w:rFonts w:eastAsia="Times New Roman"/>
          <w:highlight w:val="lightGray"/>
          <w:lang w:val="it-IT"/>
        </w:rPr>
        <w:t>e</w:t>
      </w:r>
      <w:r w:rsidRPr="00C35766">
        <w:rPr>
          <w:rFonts w:eastAsia="Times New Roman"/>
          <w:highlight w:val="lightGray"/>
          <w:lang w:val="it-IT"/>
        </w:rPr>
        <w:t xml:space="preserve"> dalla luce.</w:t>
      </w:r>
    </w:p>
    <w:p w14:paraId="715EEA88" w14:textId="77777777" w:rsidR="00953B2E" w:rsidRPr="00C35766" w:rsidRDefault="005F0C19">
      <w:pPr>
        <w:pStyle w:val="a3"/>
        <w:rPr>
          <w:lang w:val="it-IT"/>
        </w:rPr>
      </w:pPr>
      <w:r w:rsidRPr="00C35766">
        <w:rPr>
          <w:rFonts w:eastAsia="Times New Roman"/>
          <w:lang w:val="it-IT"/>
        </w:rPr>
        <w:t>Fare riferimento al foglio illustrativo per condizioni di conservazione alternative.</w:t>
      </w:r>
    </w:p>
    <w:p w14:paraId="61584809" w14:textId="77777777" w:rsidR="00953B2E" w:rsidRPr="00C35766" w:rsidRDefault="00953B2E">
      <w:pPr>
        <w:rPr>
          <w:rFonts w:ascii="Times New Roman" w:hAnsi="Times New Roman" w:cs="Times New Roman"/>
          <w:lang w:val="it-IT"/>
        </w:rPr>
      </w:pPr>
    </w:p>
    <w:p w14:paraId="12D05903" w14:textId="77777777" w:rsidR="00953B2E" w:rsidRPr="00C35766" w:rsidRDefault="00953B2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64E02CEB" w14:textId="77777777">
        <w:trPr>
          <w:trHeight w:val="317"/>
        </w:trPr>
        <w:tc>
          <w:tcPr>
            <w:tcW w:w="9666" w:type="dxa"/>
            <w:vAlign w:val="center"/>
          </w:tcPr>
          <w:p w14:paraId="5DF39677" w14:textId="77777777" w:rsidR="00953B2E" w:rsidRPr="00C35766" w:rsidRDefault="005F0C19">
            <w:pPr>
              <w:numPr>
                <w:ilvl w:val="0"/>
                <w:numId w:val="6"/>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LO SMALTIMENTO DEL MEDICINALE NON UTILIZZATO O DEI RIFIUTI DERIVATI DA TALE MEDICINALE, SE NECESSARIO</w:t>
            </w:r>
          </w:p>
        </w:tc>
      </w:tr>
    </w:tbl>
    <w:p w14:paraId="07281D79" w14:textId="77777777" w:rsidR="00953B2E" w:rsidRPr="00C35766" w:rsidRDefault="00953B2E">
      <w:pPr>
        <w:rPr>
          <w:rFonts w:ascii="Times New Roman" w:hAnsi="Times New Roman" w:cs="Times New Roman"/>
          <w:lang w:val="it-IT"/>
        </w:rPr>
      </w:pPr>
    </w:p>
    <w:p w14:paraId="28FF663A" w14:textId="77777777" w:rsidR="00953B2E" w:rsidRPr="00C35766" w:rsidRDefault="00953B2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7B79A9A7" w14:textId="77777777">
        <w:trPr>
          <w:trHeight w:val="317"/>
        </w:trPr>
        <w:tc>
          <w:tcPr>
            <w:tcW w:w="9666" w:type="dxa"/>
            <w:vAlign w:val="center"/>
          </w:tcPr>
          <w:p w14:paraId="69018C8B" w14:textId="77777777" w:rsidR="00953B2E" w:rsidRPr="00C35766" w:rsidRDefault="005F0C19">
            <w:pPr>
              <w:numPr>
                <w:ilvl w:val="0"/>
                <w:numId w:val="6"/>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NOME E INDIRIZZO DEL TITOLARE DELL’AUTORIZZAZIONE ALL’IMMISSIONE IN COMMERCIO</w:t>
            </w:r>
          </w:p>
        </w:tc>
      </w:tr>
    </w:tbl>
    <w:p w14:paraId="056E60DC" w14:textId="77777777" w:rsidR="00953B2E" w:rsidRPr="00C35766" w:rsidRDefault="00953B2E">
      <w:pPr>
        <w:spacing w:before="5" w:line="200" w:lineRule="exact"/>
        <w:rPr>
          <w:rFonts w:ascii="Times New Roman" w:hAnsi="Times New Roman" w:cs="Times New Roman"/>
          <w:lang w:val="it-IT"/>
        </w:rPr>
      </w:pPr>
    </w:p>
    <w:p w14:paraId="76868EB1" w14:textId="77777777" w:rsidR="00A02C1D" w:rsidRPr="00C35766" w:rsidRDefault="00A02C1D" w:rsidP="00A02C1D">
      <w:pPr>
        <w:spacing w:before="5" w:line="200" w:lineRule="exact"/>
        <w:rPr>
          <w:rFonts w:ascii="Times New Roman" w:hAnsi="Times New Roman" w:cs="Times New Roman"/>
        </w:rPr>
      </w:pPr>
      <w:r w:rsidRPr="00C35766">
        <w:rPr>
          <w:rFonts w:ascii="Times New Roman" w:hAnsi="Times New Roman" w:cs="Times New Roman"/>
        </w:rPr>
        <w:t xml:space="preserve">Celltrion Healthcare Hungary Kft. </w:t>
      </w:r>
    </w:p>
    <w:p w14:paraId="231D140A" w14:textId="77777777" w:rsidR="00A02C1D" w:rsidRPr="00C35766" w:rsidRDefault="00A02C1D" w:rsidP="00A02C1D">
      <w:pPr>
        <w:spacing w:before="5" w:line="200" w:lineRule="exact"/>
        <w:rPr>
          <w:rFonts w:ascii="Times New Roman" w:hAnsi="Times New Roman" w:cs="Times New Roman"/>
        </w:rPr>
      </w:pPr>
      <w:r w:rsidRPr="00C35766">
        <w:rPr>
          <w:rFonts w:ascii="Times New Roman" w:hAnsi="Times New Roman" w:cs="Times New Roman"/>
        </w:rPr>
        <w:t>1062 Budapest</w:t>
      </w:r>
    </w:p>
    <w:p w14:paraId="03CA0ABB" w14:textId="234ABFAC" w:rsidR="00953B2E" w:rsidRPr="00C35766" w:rsidRDefault="00A02C1D" w:rsidP="009113D9">
      <w:pPr>
        <w:pStyle w:val="a3"/>
        <w:rPr>
          <w:vanish/>
        </w:rPr>
      </w:pPr>
      <w:r w:rsidRPr="00D95C47">
        <w:t>Váci út 1-3. WestEnd Office Building B torony</w:t>
      </w:r>
    </w:p>
    <w:p w14:paraId="790A51BE" w14:textId="77777777" w:rsidR="00953B2E" w:rsidRPr="00C35766" w:rsidRDefault="005F0C19">
      <w:pPr>
        <w:pStyle w:val="a3"/>
      </w:pPr>
      <w:r w:rsidRPr="00C35766">
        <w:rPr>
          <w:rFonts w:eastAsia="Times New Roman"/>
          <w:lang w:val="it-IT"/>
        </w:rPr>
        <w:t>Ungheria</w:t>
      </w:r>
    </w:p>
    <w:p w14:paraId="1BEECD80" w14:textId="77777777" w:rsidR="00953B2E" w:rsidRPr="00C35766" w:rsidRDefault="00953B2E">
      <w:pPr>
        <w:rPr>
          <w:rFonts w:ascii="Times New Roman" w:hAnsi="Times New Roman" w:cs="Times New Roman"/>
        </w:rPr>
      </w:pPr>
    </w:p>
    <w:p w14:paraId="334E7B7F" w14:textId="77777777" w:rsidR="00953B2E" w:rsidRPr="00C35766" w:rsidRDefault="00953B2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2D6A11B6" w14:textId="77777777">
        <w:trPr>
          <w:trHeight w:val="317"/>
        </w:trPr>
        <w:tc>
          <w:tcPr>
            <w:tcW w:w="9666" w:type="dxa"/>
            <w:vAlign w:val="center"/>
          </w:tcPr>
          <w:p w14:paraId="64E4825D" w14:textId="77777777" w:rsidR="00953B2E" w:rsidRPr="00C35766" w:rsidRDefault="005F0C19">
            <w:pPr>
              <w:numPr>
                <w:ilvl w:val="0"/>
                <w:numId w:val="6"/>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NUMERO DELL’AUTORIZZAZIONE ALL’IMMISSIONE IN COMMERCIO</w:t>
            </w:r>
          </w:p>
        </w:tc>
      </w:tr>
    </w:tbl>
    <w:p w14:paraId="59364A7B" w14:textId="77777777" w:rsidR="00953B2E" w:rsidRPr="00C35766" w:rsidRDefault="00953B2E">
      <w:pPr>
        <w:rPr>
          <w:rFonts w:ascii="Times New Roman" w:hAnsi="Times New Roman" w:cs="Times New Roman"/>
          <w:lang w:val="it-IT"/>
        </w:rPr>
      </w:pPr>
    </w:p>
    <w:p w14:paraId="12D448F2" w14:textId="713FD676" w:rsidR="00953B2E" w:rsidRPr="00C35766" w:rsidRDefault="005F0C19">
      <w:pPr>
        <w:pStyle w:val="a3"/>
        <w:rPr>
          <w:highlight w:val="lightGray"/>
          <w:lang w:val="it-IT"/>
        </w:rPr>
      </w:pPr>
      <w:r w:rsidRPr="00D95C47">
        <w:rPr>
          <w:vanish/>
          <w:lang w:val="it-IT"/>
        </w:rPr>
        <w:t>EU/</w:t>
      </w:r>
      <w:r w:rsidRPr="00D95C47">
        <w:rPr>
          <w:vanish/>
          <w:color w:val="000000"/>
          <w:lang w:val="it-IT"/>
        </w:rPr>
        <w:t>1/20/1513/001</w:t>
      </w:r>
      <w:r w:rsidRPr="00D95C47">
        <w:rPr>
          <w:vanish/>
          <w:lang w:val="it-IT"/>
        </w:rPr>
        <w:t xml:space="preserve"> </w:t>
      </w:r>
      <w:r w:rsidRPr="00C35766">
        <w:rPr>
          <w:rFonts w:eastAsia="Times New Roman"/>
          <w:highlight w:val="lightGray"/>
          <w:lang w:val="it-IT"/>
        </w:rPr>
        <w:t xml:space="preserve">1 siringa </w:t>
      </w:r>
      <w:r w:rsidR="0092097A" w:rsidRPr="00C35766">
        <w:rPr>
          <w:rFonts w:eastAsia="Times New Roman"/>
          <w:highlight w:val="lightGray"/>
          <w:lang w:val="it-IT"/>
        </w:rPr>
        <w:t>pre-riempita</w:t>
      </w:r>
    </w:p>
    <w:p w14:paraId="74FF33D8" w14:textId="39299ED7" w:rsidR="00953B2E" w:rsidRPr="00C35766" w:rsidRDefault="005F0C19">
      <w:pPr>
        <w:pStyle w:val="a3"/>
        <w:rPr>
          <w:highlight w:val="lightGray"/>
          <w:lang w:val="it-IT"/>
        </w:rPr>
      </w:pPr>
      <w:r w:rsidRPr="00C35766">
        <w:rPr>
          <w:rFonts w:eastAsia="Times New Roman"/>
          <w:vanish/>
          <w:highlight w:val="lightGray"/>
          <w:lang w:val="it-IT"/>
        </w:rPr>
        <w:t>EU/</w:t>
      </w:r>
      <w:r w:rsidRPr="00C35766">
        <w:rPr>
          <w:rFonts w:eastAsia="Times New Roman"/>
          <w:vanish/>
          <w:color w:val="000000"/>
          <w:highlight w:val="lightGray"/>
          <w:lang w:val="it-IT"/>
        </w:rPr>
        <w:t>1/20/1513/002</w:t>
      </w:r>
      <w:r w:rsidRPr="00C35766">
        <w:rPr>
          <w:rFonts w:eastAsia="Times New Roman"/>
          <w:vanish/>
          <w:highlight w:val="lightGray"/>
          <w:lang w:val="it-IT"/>
        </w:rPr>
        <w:t xml:space="preserve"> </w:t>
      </w:r>
      <w:r w:rsidRPr="00C35766">
        <w:rPr>
          <w:rFonts w:eastAsia="Times New Roman"/>
          <w:highlight w:val="lightGray"/>
          <w:lang w:val="it-IT"/>
        </w:rPr>
        <w:t>2 siringhe pre</w:t>
      </w:r>
      <w:r w:rsidR="00B82D29" w:rsidRPr="00C35766">
        <w:rPr>
          <w:rFonts w:eastAsia="Times New Roman"/>
          <w:highlight w:val="lightGray"/>
          <w:lang w:val="it-IT"/>
        </w:rPr>
        <w:t>-</w:t>
      </w:r>
      <w:r w:rsidRPr="00C35766">
        <w:rPr>
          <w:rFonts w:eastAsia="Times New Roman"/>
          <w:highlight w:val="lightGray"/>
          <w:lang w:val="it-IT"/>
        </w:rPr>
        <w:t>riempite</w:t>
      </w:r>
    </w:p>
    <w:p w14:paraId="7D74CDB1" w14:textId="1914D02C" w:rsidR="00953B2E" w:rsidRPr="00C35766" w:rsidRDefault="005F0C19">
      <w:pPr>
        <w:pStyle w:val="a3"/>
        <w:rPr>
          <w:lang w:val="it-IT"/>
        </w:rPr>
      </w:pPr>
      <w:r w:rsidRPr="00C35766">
        <w:rPr>
          <w:rFonts w:eastAsia="Times New Roman"/>
          <w:vanish/>
          <w:highlight w:val="lightGray"/>
          <w:lang w:val="it-IT"/>
        </w:rPr>
        <w:lastRenderedPageBreak/>
        <w:t>EU/</w:t>
      </w:r>
      <w:r w:rsidRPr="00C35766">
        <w:rPr>
          <w:rFonts w:eastAsia="Times New Roman"/>
          <w:vanish/>
          <w:color w:val="000000"/>
          <w:highlight w:val="lightGray"/>
          <w:lang w:val="it-IT"/>
        </w:rPr>
        <w:t>1/20/1513/003</w:t>
      </w:r>
      <w:r w:rsidRPr="00C35766">
        <w:rPr>
          <w:rFonts w:eastAsia="Times New Roman"/>
          <w:vanish/>
          <w:highlight w:val="lightGray"/>
          <w:lang w:val="it-IT"/>
        </w:rPr>
        <w:t xml:space="preserve"> </w:t>
      </w:r>
      <w:r w:rsidRPr="00C35766">
        <w:rPr>
          <w:rFonts w:eastAsia="Times New Roman"/>
          <w:highlight w:val="lightGray"/>
          <w:lang w:val="it-IT"/>
        </w:rPr>
        <w:t>4 siringhe pre</w:t>
      </w:r>
      <w:r w:rsidR="00B82D29" w:rsidRPr="00C35766">
        <w:rPr>
          <w:rFonts w:eastAsia="Times New Roman"/>
          <w:highlight w:val="lightGray"/>
          <w:lang w:val="it-IT"/>
        </w:rPr>
        <w:t>-</w:t>
      </w:r>
      <w:r w:rsidRPr="00C35766">
        <w:rPr>
          <w:rFonts w:eastAsia="Times New Roman"/>
          <w:highlight w:val="lightGray"/>
          <w:lang w:val="it-IT"/>
        </w:rPr>
        <w:t>riempite</w:t>
      </w:r>
    </w:p>
    <w:p w14:paraId="0503F29F" w14:textId="688952F5" w:rsidR="00953B2E" w:rsidRPr="00C35766" w:rsidRDefault="005F0C19">
      <w:pPr>
        <w:pStyle w:val="a3"/>
        <w:rPr>
          <w:highlight w:val="lightGray"/>
          <w:lang w:val="it-IT"/>
        </w:rPr>
      </w:pPr>
      <w:r w:rsidRPr="00C35766">
        <w:rPr>
          <w:rFonts w:eastAsia="Times New Roman"/>
          <w:vanish/>
          <w:highlight w:val="lightGray"/>
          <w:lang w:val="it-IT"/>
        </w:rPr>
        <w:t>EU/</w:t>
      </w:r>
      <w:r w:rsidRPr="00C35766">
        <w:rPr>
          <w:rFonts w:eastAsia="Times New Roman"/>
          <w:vanish/>
          <w:color w:val="000000"/>
          <w:highlight w:val="lightGray"/>
          <w:lang w:val="it-IT"/>
        </w:rPr>
        <w:t>1/20/1513/004</w:t>
      </w:r>
      <w:r w:rsidRPr="00C35766">
        <w:rPr>
          <w:rFonts w:eastAsia="Times New Roman"/>
          <w:vanish/>
          <w:highlight w:val="lightGray"/>
          <w:lang w:val="it-IT"/>
        </w:rPr>
        <w:t xml:space="preserve"> </w:t>
      </w:r>
      <w:r w:rsidRPr="00C35766">
        <w:rPr>
          <w:rFonts w:eastAsia="Times New Roman"/>
          <w:highlight w:val="lightGray"/>
          <w:lang w:val="it-IT"/>
        </w:rPr>
        <w:t>6 siringhe pre</w:t>
      </w:r>
      <w:r w:rsidR="00B82D29" w:rsidRPr="00C35766">
        <w:rPr>
          <w:rFonts w:eastAsia="Times New Roman"/>
          <w:highlight w:val="lightGray"/>
          <w:lang w:val="it-IT"/>
        </w:rPr>
        <w:t>-</w:t>
      </w:r>
      <w:r w:rsidRPr="00C35766">
        <w:rPr>
          <w:rFonts w:eastAsia="Times New Roman"/>
          <w:highlight w:val="lightGray"/>
          <w:lang w:val="it-IT"/>
        </w:rPr>
        <w:t>riempite</w:t>
      </w:r>
    </w:p>
    <w:p w14:paraId="037F5FDC" w14:textId="2446BDB3" w:rsidR="00953B2E" w:rsidRPr="00C35766" w:rsidRDefault="005F0C19">
      <w:pPr>
        <w:pStyle w:val="a3"/>
        <w:rPr>
          <w:highlight w:val="lightGray"/>
          <w:lang w:val="it-IT"/>
        </w:rPr>
      </w:pPr>
      <w:r w:rsidRPr="00C35766">
        <w:rPr>
          <w:rFonts w:eastAsia="Times New Roman"/>
          <w:vanish/>
          <w:highlight w:val="lightGray"/>
          <w:lang w:val="it-IT"/>
        </w:rPr>
        <w:t>EU/</w:t>
      </w:r>
      <w:r w:rsidRPr="00C35766">
        <w:rPr>
          <w:rFonts w:eastAsia="Times New Roman"/>
          <w:vanish/>
          <w:color w:val="000000"/>
          <w:highlight w:val="lightGray"/>
          <w:lang w:val="it-IT"/>
        </w:rPr>
        <w:t>1/20/1513/005</w:t>
      </w:r>
      <w:r w:rsidRPr="00C35766">
        <w:rPr>
          <w:rFonts w:eastAsia="Times New Roman"/>
          <w:vanish/>
          <w:highlight w:val="lightGray"/>
          <w:lang w:val="it-IT"/>
        </w:rPr>
        <w:t xml:space="preserve"> </w:t>
      </w:r>
      <w:r w:rsidRPr="00C35766">
        <w:rPr>
          <w:rFonts w:eastAsia="Times New Roman"/>
          <w:highlight w:val="lightGray"/>
          <w:lang w:val="it-IT"/>
        </w:rPr>
        <w:t xml:space="preserve">1 siringa </w:t>
      </w:r>
      <w:r w:rsidR="0092097A" w:rsidRPr="00C35766">
        <w:rPr>
          <w:rFonts w:eastAsia="Times New Roman"/>
          <w:highlight w:val="lightGray"/>
          <w:lang w:val="it-IT"/>
        </w:rPr>
        <w:t>pre-riempita</w:t>
      </w:r>
      <w:r w:rsidRPr="00C35766">
        <w:rPr>
          <w:rFonts w:eastAsia="Times New Roman"/>
          <w:highlight w:val="lightGray"/>
          <w:lang w:val="it-IT"/>
        </w:rPr>
        <w:t xml:space="preserve"> con dispositivo di sicurezza per l’ago</w:t>
      </w:r>
    </w:p>
    <w:p w14:paraId="488D20D6" w14:textId="5DA77C89" w:rsidR="00953B2E" w:rsidRPr="00C35766" w:rsidRDefault="005F0C19">
      <w:pPr>
        <w:pStyle w:val="a3"/>
        <w:rPr>
          <w:highlight w:val="lightGray"/>
          <w:lang w:val="es-ES"/>
        </w:rPr>
      </w:pPr>
      <w:r w:rsidRPr="00C35766">
        <w:rPr>
          <w:rFonts w:eastAsia="Times New Roman"/>
          <w:vanish/>
          <w:highlight w:val="lightGray"/>
          <w:lang w:val="it-IT"/>
        </w:rPr>
        <w:t>EU/</w:t>
      </w:r>
      <w:r w:rsidRPr="00C35766">
        <w:rPr>
          <w:rFonts w:eastAsia="Times New Roman"/>
          <w:vanish/>
          <w:color w:val="000000"/>
          <w:highlight w:val="lightGray"/>
          <w:lang w:val="it-IT"/>
        </w:rPr>
        <w:t>1/20/1513/006</w:t>
      </w:r>
      <w:r w:rsidRPr="00C35766">
        <w:rPr>
          <w:rFonts w:eastAsia="Times New Roman"/>
          <w:vanish/>
          <w:highlight w:val="lightGray"/>
          <w:lang w:val="it-IT"/>
        </w:rPr>
        <w:t xml:space="preserve"> </w:t>
      </w:r>
      <w:r w:rsidRPr="00C35766">
        <w:rPr>
          <w:rFonts w:eastAsia="Times New Roman"/>
          <w:highlight w:val="lightGray"/>
          <w:lang w:val="it-IT"/>
        </w:rPr>
        <w:t>2 siringhe pre</w:t>
      </w:r>
      <w:r w:rsidR="00B82D29" w:rsidRPr="00C35766">
        <w:rPr>
          <w:rFonts w:eastAsia="Times New Roman"/>
          <w:highlight w:val="lightGray"/>
          <w:lang w:val="it-IT"/>
        </w:rPr>
        <w:t>-</w:t>
      </w:r>
      <w:r w:rsidRPr="00C35766">
        <w:rPr>
          <w:rFonts w:eastAsia="Times New Roman"/>
          <w:highlight w:val="lightGray"/>
          <w:lang w:val="it-IT"/>
        </w:rPr>
        <w:t>riempite con dispositivo di protezione dell’ago</w:t>
      </w:r>
    </w:p>
    <w:p w14:paraId="69318822" w14:textId="4D07AB46" w:rsidR="00953B2E" w:rsidRPr="00C35766" w:rsidRDefault="005F0C19">
      <w:pPr>
        <w:pStyle w:val="a3"/>
        <w:rPr>
          <w:highlight w:val="lightGray"/>
          <w:lang w:val="es-ES"/>
        </w:rPr>
      </w:pPr>
      <w:r w:rsidRPr="00C35766">
        <w:rPr>
          <w:rFonts w:eastAsia="Times New Roman"/>
          <w:vanish/>
          <w:highlight w:val="lightGray"/>
          <w:lang w:val="it-IT"/>
        </w:rPr>
        <w:t>EU/</w:t>
      </w:r>
      <w:r w:rsidRPr="00C35766">
        <w:rPr>
          <w:rFonts w:eastAsia="Times New Roman"/>
          <w:vanish/>
          <w:color w:val="000000"/>
          <w:highlight w:val="lightGray"/>
          <w:lang w:val="it-IT"/>
        </w:rPr>
        <w:t>1/20/1513/007</w:t>
      </w:r>
      <w:r w:rsidRPr="00C35766">
        <w:rPr>
          <w:rFonts w:eastAsia="Times New Roman"/>
          <w:vanish/>
          <w:highlight w:val="lightGray"/>
          <w:lang w:val="it-IT"/>
        </w:rPr>
        <w:t xml:space="preserve"> </w:t>
      </w:r>
      <w:r w:rsidRPr="00C35766">
        <w:rPr>
          <w:rFonts w:eastAsia="Times New Roman"/>
          <w:highlight w:val="lightGray"/>
          <w:lang w:val="it-IT"/>
        </w:rPr>
        <w:t>4 siringhe pre</w:t>
      </w:r>
      <w:r w:rsidR="00B82D29" w:rsidRPr="00C35766">
        <w:rPr>
          <w:rFonts w:eastAsia="Times New Roman"/>
          <w:highlight w:val="lightGray"/>
          <w:lang w:val="it-IT"/>
        </w:rPr>
        <w:t>-</w:t>
      </w:r>
      <w:r w:rsidRPr="00C35766">
        <w:rPr>
          <w:rFonts w:eastAsia="Times New Roman"/>
          <w:highlight w:val="lightGray"/>
          <w:lang w:val="it-IT"/>
        </w:rPr>
        <w:t>riempite con dispositivo di sicurezza per l’ago</w:t>
      </w:r>
    </w:p>
    <w:p w14:paraId="2C406AC0" w14:textId="3639CAF7" w:rsidR="00953B2E" w:rsidRPr="00C35766" w:rsidRDefault="005F0C19">
      <w:pPr>
        <w:pStyle w:val="a3"/>
        <w:rPr>
          <w:lang w:val="es-ES"/>
        </w:rPr>
      </w:pPr>
      <w:r w:rsidRPr="00C35766">
        <w:rPr>
          <w:rFonts w:eastAsia="Times New Roman"/>
          <w:vanish/>
          <w:highlight w:val="lightGray"/>
          <w:lang w:val="it-IT"/>
        </w:rPr>
        <w:t>EU/</w:t>
      </w:r>
      <w:r w:rsidRPr="00C35766">
        <w:rPr>
          <w:rFonts w:eastAsia="Times New Roman"/>
          <w:vanish/>
          <w:color w:val="000000"/>
          <w:highlight w:val="lightGray"/>
          <w:lang w:val="it-IT"/>
        </w:rPr>
        <w:t>1/20/1513/008</w:t>
      </w:r>
      <w:r w:rsidRPr="00C35766">
        <w:rPr>
          <w:rFonts w:eastAsia="Times New Roman"/>
          <w:vanish/>
          <w:highlight w:val="lightGray"/>
          <w:lang w:val="it-IT"/>
        </w:rPr>
        <w:t xml:space="preserve"> </w:t>
      </w:r>
      <w:r w:rsidRPr="00C35766">
        <w:rPr>
          <w:rFonts w:eastAsia="Times New Roman"/>
          <w:highlight w:val="lightGray"/>
          <w:lang w:val="it-IT"/>
        </w:rPr>
        <w:t>6 siringhe pre</w:t>
      </w:r>
      <w:r w:rsidR="00B82D29" w:rsidRPr="00C35766">
        <w:rPr>
          <w:rFonts w:eastAsia="Times New Roman"/>
          <w:highlight w:val="lightGray"/>
          <w:lang w:val="it-IT"/>
        </w:rPr>
        <w:t>-</w:t>
      </w:r>
      <w:r w:rsidRPr="00C35766">
        <w:rPr>
          <w:rFonts w:eastAsia="Times New Roman"/>
          <w:highlight w:val="lightGray"/>
          <w:lang w:val="it-IT"/>
        </w:rPr>
        <w:t>riempite con dispositivo di sicurezza per l’ago</w:t>
      </w:r>
    </w:p>
    <w:p w14:paraId="3E4C1EE4" w14:textId="77777777" w:rsidR="00953B2E" w:rsidRPr="00C35766" w:rsidRDefault="00953B2E">
      <w:pPr>
        <w:rPr>
          <w:rFonts w:ascii="Times New Roman" w:hAnsi="Times New Roman" w:cs="Times New Roman"/>
          <w:lang w:val="es-ES"/>
        </w:rPr>
      </w:pPr>
    </w:p>
    <w:p w14:paraId="0949F430" w14:textId="77777777" w:rsidR="00953B2E" w:rsidRPr="00C35766" w:rsidRDefault="00953B2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54A19440" w14:textId="77777777">
        <w:trPr>
          <w:trHeight w:val="317"/>
        </w:trPr>
        <w:tc>
          <w:tcPr>
            <w:tcW w:w="9666" w:type="dxa"/>
            <w:vAlign w:val="center"/>
          </w:tcPr>
          <w:p w14:paraId="7529835E"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55C132B1" w14:textId="77777777" w:rsidR="00953B2E" w:rsidRPr="00C35766" w:rsidRDefault="00953B2E">
      <w:pPr>
        <w:rPr>
          <w:rFonts w:ascii="Times New Roman" w:hAnsi="Times New Roman" w:cs="Times New Roman"/>
        </w:rPr>
      </w:pPr>
    </w:p>
    <w:p w14:paraId="6FC2892A" w14:textId="77777777" w:rsidR="00953B2E" w:rsidRPr="00C35766" w:rsidRDefault="005F0C19">
      <w:pPr>
        <w:pStyle w:val="a3"/>
      </w:pPr>
      <w:r w:rsidRPr="00C35766">
        <w:rPr>
          <w:rFonts w:eastAsia="Times New Roman"/>
          <w:lang w:val="it-IT"/>
        </w:rPr>
        <w:t xml:space="preserve">Lotto </w:t>
      </w:r>
    </w:p>
    <w:p w14:paraId="1514FA6F" w14:textId="77777777" w:rsidR="00953B2E" w:rsidRPr="00C35766" w:rsidRDefault="00953B2E">
      <w:pPr>
        <w:pStyle w:val="a3"/>
      </w:pPr>
    </w:p>
    <w:p w14:paraId="60D836A2"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72570C2E" w14:textId="77777777">
        <w:trPr>
          <w:trHeight w:val="317"/>
        </w:trPr>
        <w:tc>
          <w:tcPr>
            <w:tcW w:w="9666" w:type="dxa"/>
            <w:vAlign w:val="center"/>
          </w:tcPr>
          <w:p w14:paraId="61B4DB89"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CONDIZIONE GENERALE DI FORNITURA</w:t>
            </w:r>
          </w:p>
        </w:tc>
      </w:tr>
    </w:tbl>
    <w:p w14:paraId="107B32C1" w14:textId="77777777" w:rsidR="00953B2E" w:rsidRPr="00C35766" w:rsidRDefault="00953B2E">
      <w:pPr>
        <w:jc w:val="both"/>
        <w:rPr>
          <w:rFonts w:ascii="Times New Roman" w:hAnsi="Times New Roman" w:cs="Times New Roman"/>
        </w:rPr>
      </w:pPr>
    </w:p>
    <w:p w14:paraId="6156DB45"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595FEDA1" w14:textId="77777777">
        <w:trPr>
          <w:trHeight w:val="317"/>
        </w:trPr>
        <w:tc>
          <w:tcPr>
            <w:tcW w:w="9666" w:type="dxa"/>
            <w:vAlign w:val="center"/>
          </w:tcPr>
          <w:p w14:paraId="5C26D901"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ISTRUZIONI PER L’USO</w:t>
            </w:r>
          </w:p>
        </w:tc>
      </w:tr>
    </w:tbl>
    <w:p w14:paraId="502C1367" w14:textId="77777777" w:rsidR="00953B2E" w:rsidRPr="00C35766" w:rsidRDefault="00953B2E">
      <w:pPr>
        <w:jc w:val="both"/>
        <w:rPr>
          <w:rFonts w:ascii="Times New Roman" w:hAnsi="Times New Roman" w:cs="Times New Roman"/>
        </w:rPr>
      </w:pPr>
    </w:p>
    <w:p w14:paraId="45F12F0F"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37AB8C72" w14:textId="77777777">
        <w:trPr>
          <w:trHeight w:val="317"/>
        </w:trPr>
        <w:tc>
          <w:tcPr>
            <w:tcW w:w="9666" w:type="dxa"/>
            <w:vAlign w:val="center"/>
          </w:tcPr>
          <w:p w14:paraId="50A727B8"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INFORMAZIONI IN BRAILLE</w:t>
            </w:r>
          </w:p>
        </w:tc>
      </w:tr>
    </w:tbl>
    <w:p w14:paraId="4B37B9A5" w14:textId="77777777" w:rsidR="00953B2E" w:rsidRPr="00C35766" w:rsidRDefault="00953B2E">
      <w:pPr>
        <w:jc w:val="both"/>
        <w:rPr>
          <w:rFonts w:ascii="Times New Roman" w:hAnsi="Times New Roman" w:cs="Times New Roman"/>
        </w:rPr>
      </w:pPr>
    </w:p>
    <w:p w14:paraId="33D9CCAE" w14:textId="77777777" w:rsidR="00953B2E" w:rsidRPr="00C35766" w:rsidRDefault="005F0C19">
      <w:pPr>
        <w:pStyle w:val="a3"/>
      </w:pPr>
      <w:r w:rsidRPr="00C35766">
        <w:rPr>
          <w:rFonts w:eastAsia="Times New Roman"/>
          <w:lang w:val="it-IT"/>
        </w:rPr>
        <w:t>Yuflyma 40 mg</w:t>
      </w:r>
    </w:p>
    <w:p w14:paraId="458DEB9A" w14:textId="77777777" w:rsidR="00953B2E" w:rsidRPr="00C35766" w:rsidRDefault="00953B2E">
      <w:pPr>
        <w:jc w:val="both"/>
        <w:rPr>
          <w:rFonts w:ascii="Times New Roman" w:hAnsi="Times New Roman" w:cs="Times New Roman"/>
        </w:rPr>
      </w:pPr>
    </w:p>
    <w:p w14:paraId="70945C38"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2A37A2" w14:paraId="2A95712B" w14:textId="77777777">
        <w:trPr>
          <w:trHeight w:val="317"/>
        </w:trPr>
        <w:tc>
          <w:tcPr>
            <w:tcW w:w="9666" w:type="dxa"/>
            <w:vAlign w:val="center"/>
          </w:tcPr>
          <w:p w14:paraId="06A2B20E" w14:textId="77777777" w:rsidR="00953B2E" w:rsidRPr="00C35766" w:rsidRDefault="005F0C19">
            <w:pPr>
              <w:numPr>
                <w:ilvl w:val="0"/>
                <w:numId w:val="6"/>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IDENTIFICATIVO UNICO – CODICE A BARRE BIDIMENSIONALE</w:t>
            </w:r>
          </w:p>
        </w:tc>
      </w:tr>
    </w:tbl>
    <w:p w14:paraId="42234D4C" w14:textId="77777777" w:rsidR="00953B2E" w:rsidRPr="00C35766" w:rsidRDefault="00953B2E">
      <w:pPr>
        <w:jc w:val="both"/>
        <w:rPr>
          <w:rFonts w:ascii="Times New Roman" w:hAnsi="Times New Roman" w:cs="Times New Roman"/>
          <w:lang w:val="it-IT"/>
        </w:rPr>
      </w:pPr>
    </w:p>
    <w:p w14:paraId="5F592BCF" w14:textId="77777777" w:rsidR="00953B2E" w:rsidRPr="00C35766" w:rsidRDefault="005F0C19">
      <w:pPr>
        <w:pStyle w:val="a3"/>
        <w:rPr>
          <w:lang w:val="it-IT"/>
        </w:rPr>
      </w:pPr>
      <w:r w:rsidRPr="00C35766">
        <w:rPr>
          <w:rFonts w:eastAsia="Times New Roman"/>
          <w:highlight w:val="lightGray"/>
          <w:lang w:val="it-IT"/>
        </w:rPr>
        <w:t>Codice a barre bidimensionale con identificativo unico incluso.</w:t>
      </w:r>
    </w:p>
    <w:p w14:paraId="7AF27DCF" w14:textId="77777777" w:rsidR="00953B2E" w:rsidRPr="00C35766" w:rsidRDefault="00953B2E">
      <w:pPr>
        <w:jc w:val="both"/>
        <w:rPr>
          <w:rFonts w:ascii="Times New Roman" w:hAnsi="Times New Roman" w:cs="Times New Roman"/>
          <w:lang w:val="it-IT"/>
        </w:rPr>
      </w:pPr>
    </w:p>
    <w:p w14:paraId="43D177B1" w14:textId="77777777" w:rsidR="00953B2E" w:rsidRPr="00C35766" w:rsidRDefault="00953B2E">
      <w:pPr>
        <w:jc w:val="both"/>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7FBD710E" w14:textId="77777777">
        <w:trPr>
          <w:trHeight w:val="317"/>
        </w:trPr>
        <w:tc>
          <w:tcPr>
            <w:tcW w:w="9666" w:type="dxa"/>
            <w:vAlign w:val="center"/>
          </w:tcPr>
          <w:p w14:paraId="55E9A721" w14:textId="77777777" w:rsidR="00953B2E" w:rsidRPr="00C35766" w:rsidRDefault="005F0C19">
            <w:pPr>
              <w:numPr>
                <w:ilvl w:val="0"/>
                <w:numId w:val="6"/>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IDENTIFICATIVO UNICO – DATI LEGGIBILI</w:t>
            </w:r>
          </w:p>
        </w:tc>
      </w:tr>
    </w:tbl>
    <w:p w14:paraId="21A71EA6" w14:textId="77777777" w:rsidR="00953B2E" w:rsidRPr="00C35766" w:rsidRDefault="00953B2E">
      <w:pPr>
        <w:jc w:val="both"/>
        <w:rPr>
          <w:rFonts w:ascii="Times New Roman" w:hAnsi="Times New Roman" w:cs="Times New Roman"/>
        </w:rPr>
      </w:pPr>
    </w:p>
    <w:p w14:paraId="234F83D3" w14:textId="77777777" w:rsidR="00953B2E" w:rsidRPr="00C35766" w:rsidRDefault="005F0C19">
      <w:pPr>
        <w:pStyle w:val="a3"/>
      </w:pPr>
      <w:r w:rsidRPr="00C35766">
        <w:rPr>
          <w:rFonts w:eastAsia="Times New Roman"/>
          <w:lang w:val="it-IT"/>
        </w:rPr>
        <w:t>PC</w:t>
      </w:r>
    </w:p>
    <w:p w14:paraId="3C80EE00" w14:textId="77777777" w:rsidR="00953B2E" w:rsidRPr="00C35766" w:rsidRDefault="005F0C19">
      <w:pPr>
        <w:pStyle w:val="a3"/>
      </w:pPr>
      <w:r w:rsidRPr="00C35766">
        <w:rPr>
          <w:rFonts w:eastAsia="Times New Roman"/>
          <w:lang w:val="it-IT"/>
        </w:rPr>
        <w:t>SN</w:t>
      </w:r>
    </w:p>
    <w:p w14:paraId="39374041" w14:textId="77777777" w:rsidR="00953B2E" w:rsidRPr="00C35766" w:rsidRDefault="005F0C19">
      <w:pPr>
        <w:pStyle w:val="a3"/>
      </w:pPr>
      <w:r w:rsidRPr="00C35766">
        <w:rPr>
          <w:rFonts w:eastAsia="Times New Roman"/>
          <w:spacing w:val="-2"/>
          <w:lang w:val="it-IT"/>
        </w:rPr>
        <w:t>NN</w:t>
      </w:r>
    </w:p>
    <w:p w14:paraId="17A8D7AE" w14:textId="77777777" w:rsidR="00953B2E" w:rsidRPr="00C35766" w:rsidRDefault="005F0C19">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953B2E" w:rsidRPr="006501B3" w14:paraId="7C3E6681" w14:textId="77777777">
        <w:trPr>
          <w:trHeight w:val="822"/>
        </w:trPr>
        <w:tc>
          <w:tcPr>
            <w:tcW w:w="9666" w:type="dxa"/>
            <w:vAlign w:val="center"/>
          </w:tcPr>
          <w:p w14:paraId="4366EE6D" w14:textId="77777777" w:rsidR="00953B2E" w:rsidRPr="00C35766" w:rsidRDefault="005F0C19">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lastRenderedPageBreak/>
              <w:t xml:space="preserve">INFORMAZIONI MINIME DA APPORRE SUI CONFEZIONAMENTI PRIMARI DI PICCOLE DIMENSIONI </w:t>
            </w:r>
          </w:p>
          <w:p w14:paraId="5ED5989F" w14:textId="77777777" w:rsidR="00953B2E" w:rsidRPr="00C35766" w:rsidRDefault="00953B2E">
            <w:pPr>
              <w:tabs>
                <w:tab w:val="left" w:pos="672"/>
              </w:tabs>
              <w:jc w:val="both"/>
              <w:rPr>
                <w:rFonts w:ascii="Times New Roman" w:hAnsi="Times New Roman" w:cs="Times New Roman"/>
                <w:b/>
                <w:spacing w:val="-1"/>
                <w:lang w:val="it-IT"/>
              </w:rPr>
            </w:pPr>
          </w:p>
          <w:p w14:paraId="434D0179" w14:textId="736709EF" w:rsidR="00953B2E" w:rsidRPr="00C35766" w:rsidRDefault="005F0C19">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ETICHETTA DA APPORRE SULLA SIRINGA PRE</w:t>
            </w:r>
            <w:r w:rsidR="00B82D29" w:rsidRPr="00C35766">
              <w:rPr>
                <w:rFonts w:ascii="Times New Roman" w:eastAsia="Times New Roman" w:hAnsi="Times New Roman" w:cs="Times New Roman"/>
                <w:b/>
                <w:bCs/>
                <w:spacing w:val="-1"/>
                <w:lang w:val="it-IT"/>
              </w:rPr>
              <w:t>-</w:t>
            </w:r>
            <w:r w:rsidRPr="00C35766">
              <w:rPr>
                <w:rFonts w:ascii="Times New Roman" w:eastAsia="Times New Roman" w:hAnsi="Times New Roman" w:cs="Times New Roman"/>
                <w:b/>
                <w:bCs/>
                <w:spacing w:val="-1"/>
                <w:lang w:val="it-IT"/>
              </w:rPr>
              <w:t>RIEMPITA</w:t>
            </w:r>
          </w:p>
        </w:tc>
      </w:tr>
    </w:tbl>
    <w:p w14:paraId="00EF641E" w14:textId="77777777" w:rsidR="00953B2E" w:rsidRPr="00C35766" w:rsidRDefault="00953B2E">
      <w:pPr>
        <w:spacing w:line="200" w:lineRule="exact"/>
        <w:rPr>
          <w:rFonts w:ascii="Times New Roman" w:hAnsi="Times New Roman" w:cs="Times New Roman"/>
          <w:lang w:val="it-IT"/>
        </w:rPr>
      </w:pPr>
    </w:p>
    <w:p w14:paraId="7AE0931C" w14:textId="77777777" w:rsidR="00953B2E" w:rsidRPr="00C35766" w:rsidRDefault="00953B2E">
      <w:pPr>
        <w:spacing w:line="200" w:lineRule="exact"/>
        <w:rPr>
          <w:rFonts w:ascii="Times New Roman" w:hAnsi="Times New Roman" w:cs="Times New Roman"/>
          <w:lang w:val="it-IT"/>
        </w:rPr>
      </w:pPr>
    </w:p>
    <w:tbl>
      <w:tblPr>
        <w:tblStyle w:val="ac"/>
        <w:tblpPr w:leftFromText="142" w:rightFromText="142" w:vertAnchor="text" w:tblpY="55"/>
        <w:tblW w:w="9666" w:type="dxa"/>
        <w:tblLook w:val="04A0" w:firstRow="1" w:lastRow="0" w:firstColumn="1" w:lastColumn="0" w:noHBand="0" w:noVBand="1"/>
      </w:tblPr>
      <w:tblGrid>
        <w:gridCol w:w="9666"/>
      </w:tblGrid>
      <w:tr w:rsidR="00953B2E" w:rsidRPr="003557F0" w14:paraId="6FB54B33" w14:textId="77777777">
        <w:trPr>
          <w:trHeight w:val="317"/>
        </w:trPr>
        <w:tc>
          <w:tcPr>
            <w:tcW w:w="9666" w:type="dxa"/>
            <w:vAlign w:val="center"/>
          </w:tcPr>
          <w:p w14:paraId="14788C91"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DENOMINAZIONE DEL MEDICINALE E VIA(E) DI SOMMINISTRAZIONE</w:t>
            </w:r>
          </w:p>
        </w:tc>
      </w:tr>
    </w:tbl>
    <w:p w14:paraId="1912CA08" w14:textId="77777777" w:rsidR="00953B2E" w:rsidRPr="00C35766" w:rsidRDefault="00953B2E">
      <w:pPr>
        <w:spacing w:line="200" w:lineRule="exact"/>
        <w:rPr>
          <w:rFonts w:ascii="Times New Roman" w:hAnsi="Times New Roman" w:cs="Times New Roman"/>
          <w:lang w:val="pt-BR"/>
        </w:rPr>
      </w:pPr>
    </w:p>
    <w:p w14:paraId="00DD5AF8" w14:textId="0D61281B" w:rsidR="00953B2E" w:rsidRPr="00824699" w:rsidRDefault="005F0C19">
      <w:pPr>
        <w:pStyle w:val="a3"/>
        <w:rPr>
          <w:lang w:val="it-IT"/>
        </w:rPr>
      </w:pPr>
      <w:r w:rsidRPr="00C35766">
        <w:rPr>
          <w:rFonts w:eastAsia="Times New Roman"/>
          <w:lang w:val="it-IT"/>
        </w:rPr>
        <w:t xml:space="preserve">Yuflyma 40 mg </w:t>
      </w:r>
      <w:r w:rsidR="00DF2420" w:rsidRPr="00C35766">
        <w:rPr>
          <w:rFonts w:eastAsia="Times New Roman"/>
          <w:lang w:val="it-IT"/>
        </w:rPr>
        <w:t>per iniezioni</w:t>
      </w:r>
    </w:p>
    <w:p w14:paraId="46F78933" w14:textId="1F5B39D9" w:rsidR="00953B2E" w:rsidRPr="00824699" w:rsidRDefault="00175B27">
      <w:pPr>
        <w:pStyle w:val="a3"/>
        <w:rPr>
          <w:lang w:val="it-IT"/>
        </w:rPr>
      </w:pPr>
      <w:r w:rsidRPr="00C35766">
        <w:rPr>
          <w:rFonts w:eastAsia="Times New Roman"/>
          <w:lang w:val="it-IT"/>
        </w:rPr>
        <w:t>a</w:t>
      </w:r>
      <w:r w:rsidR="005F0C19" w:rsidRPr="00C35766">
        <w:rPr>
          <w:rFonts w:eastAsia="Times New Roman"/>
          <w:lang w:val="it-IT"/>
        </w:rPr>
        <w:t>dalimumab</w:t>
      </w:r>
    </w:p>
    <w:p w14:paraId="215750B5" w14:textId="0FE48F2E" w:rsidR="00953B2E" w:rsidRPr="00C35766" w:rsidRDefault="004F566E">
      <w:pPr>
        <w:pStyle w:val="a3"/>
        <w:rPr>
          <w:rFonts w:eastAsia="Times New Roman"/>
          <w:lang w:val="it-IT"/>
        </w:rPr>
      </w:pPr>
      <w:r w:rsidRPr="00C35766">
        <w:rPr>
          <w:rFonts w:eastAsia="Times New Roman"/>
          <w:lang w:val="it-IT"/>
        </w:rPr>
        <w:t>s.c.</w:t>
      </w:r>
      <w:r w:rsidR="005F0C19" w:rsidRPr="00C35766">
        <w:rPr>
          <w:rFonts w:eastAsia="Times New Roman"/>
          <w:lang w:val="it-IT"/>
        </w:rPr>
        <w:t xml:space="preserve"> </w:t>
      </w:r>
    </w:p>
    <w:p w14:paraId="2DBFF344" w14:textId="77777777" w:rsidR="00953B2E" w:rsidRPr="00824699" w:rsidRDefault="00953B2E">
      <w:pPr>
        <w:pStyle w:val="a3"/>
        <w:rPr>
          <w:lang w:val="it-IT"/>
        </w:rPr>
      </w:pPr>
    </w:p>
    <w:p w14:paraId="37E4446E" w14:textId="77777777" w:rsidR="00953B2E" w:rsidRPr="00824699" w:rsidRDefault="00953B2E">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73DECF24" w14:textId="77777777">
        <w:trPr>
          <w:trHeight w:val="317"/>
        </w:trPr>
        <w:tc>
          <w:tcPr>
            <w:tcW w:w="9666" w:type="dxa"/>
            <w:vAlign w:val="center"/>
          </w:tcPr>
          <w:p w14:paraId="4B2209CD"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MODO DI SOMMINISTRAZIONE</w:t>
            </w:r>
          </w:p>
        </w:tc>
      </w:tr>
    </w:tbl>
    <w:p w14:paraId="45BD97D5" w14:textId="77777777" w:rsidR="00953B2E" w:rsidRPr="00C35766" w:rsidRDefault="00953B2E">
      <w:pPr>
        <w:spacing w:before="13" w:line="280" w:lineRule="exact"/>
        <w:rPr>
          <w:rFonts w:ascii="Times New Roman" w:hAnsi="Times New Roman" w:cs="Times New Roman"/>
        </w:rPr>
      </w:pPr>
    </w:p>
    <w:p w14:paraId="157694AF" w14:textId="77777777" w:rsidR="00953B2E" w:rsidRPr="00C35766" w:rsidRDefault="00953B2E">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0FADFDAF" w14:textId="77777777">
        <w:trPr>
          <w:trHeight w:val="317"/>
        </w:trPr>
        <w:tc>
          <w:tcPr>
            <w:tcW w:w="9666" w:type="dxa"/>
            <w:vAlign w:val="center"/>
          </w:tcPr>
          <w:p w14:paraId="0132A9F0"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20E9DD79" w14:textId="77777777" w:rsidR="00953B2E" w:rsidRPr="00C35766" w:rsidRDefault="00953B2E">
      <w:pPr>
        <w:pStyle w:val="a3"/>
      </w:pPr>
    </w:p>
    <w:p w14:paraId="46E22118" w14:textId="202E7E09" w:rsidR="00953B2E" w:rsidRPr="00C35766" w:rsidRDefault="00947378">
      <w:pPr>
        <w:pStyle w:val="a3"/>
      </w:pPr>
      <w:r w:rsidRPr="00C35766">
        <w:rPr>
          <w:rFonts w:eastAsia="Times New Roman"/>
          <w:lang w:val="it-IT"/>
        </w:rPr>
        <w:t>EXP</w:t>
      </w:r>
    </w:p>
    <w:p w14:paraId="6C1C6567" w14:textId="77777777" w:rsidR="00953B2E" w:rsidRPr="00C35766" w:rsidRDefault="00953B2E">
      <w:pPr>
        <w:pStyle w:val="a3"/>
      </w:pPr>
    </w:p>
    <w:p w14:paraId="186B141C"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1AB878FA" w14:textId="77777777">
        <w:trPr>
          <w:trHeight w:val="317"/>
        </w:trPr>
        <w:tc>
          <w:tcPr>
            <w:tcW w:w="9666" w:type="dxa"/>
            <w:vAlign w:val="center"/>
          </w:tcPr>
          <w:p w14:paraId="5EEF3B08"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3205C4D8" w14:textId="77777777" w:rsidR="00953B2E" w:rsidRPr="00C35766" w:rsidRDefault="00953B2E">
      <w:pPr>
        <w:pStyle w:val="a3"/>
      </w:pPr>
    </w:p>
    <w:p w14:paraId="225D6AE3" w14:textId="2925CB3F" w:rsidR="00953B2E" w:rsidRPr="00C35766" w:rsidRDefault="00947378">
      <w:pPr>
        <w:pStyle w:val="a3"/>
      </w:pPr>
      <w:r w:rsidRPr="00C35766">
        <w:rPr>
          <w:rFonts w:eastAsia="Times New Roman"/>
          <w:lang w:val="it-IT"/>
        </w:rPr>
        <w:t>Lot</w:t>
      </w:r>
    </w:p>
    <w:p w14:paraId="74DA46D3" w14:textId="77777777" w:rsidR="00953B2E" w:rsidRPr="00C35766" w:rsidRDefault="00953B2E">
      <w:pPr>
        <w:pStyle w:val="a3"/>
      </w:pPr>
    </w:p>
    <w:p w14:paraId="74DC0DFA"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60A347FF" w14:textId="77777777">
        <w:trPr>
          <w:trHeight w:val="317"/>
        </w:trPr>
        <w:tc>
          <w:tcPr>
            <w:tcW w:w="9666" w:type="dxa"/>
            <w:vAlign w:val="center"/>
          </w:tcPr>
          <w:p w14:paraId="39111D71"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CONTENUTO IN PESO, VOLUME O UNITÀ</w:t>
            </w:r>
          </w:p>
        </w:tc>
      </w:tr>
    </w:tbl>
    <w:p w14:paraId="730DFA91" w14:textId="77777777" w:rsidR="00953B2E" w:rsidRPr="00C35766" w:rsidRDefault="00953B2E">
      <w:pPr>
        <w:spacing w:before="13" w:line="280" w:lineRule="exact"/>
        <w:rPr>
          <w:rFonts w:ascii="Times New Roman" w:hAnsi="Times New Roman" w:cs="Times New Roman"/>
          <w:lang w:val="pt-BR"/>
        </w:rPr>
      </w:pPr>
    </w:p>
    <w:p w14:paraId="7A529352" w14:textId="06354D3B" w:rsidR="00953B2E" w:rsidRPr="00C35766" w:rsidRDefault="005F0C19">
      <w:pPr>
        <w:pStyle w:val="a3"/>
      </w:pPr>
      <w:r w:rsidRPr="00C35766">
        <w:rPr>
          <w:rFonts w:eastAsia="Times New Roman"/>
          <w:spacing w:val="-4"/>
          <w:lang w:val="it-IT"/>
        </w:rPr>
        <w:t>40 mg/0</w:t>
      </w:r>
      <w:r w:rsidR="00107082">
        <w:rPr>
          <w:rFonts w:eastAsia="Times New Roman"/>
          <w:spacing w:val="-4"/>
          <w:lang w:val="it-IT"/>
        </w:rPr>
        <w:t>,</w:t>
      </w:r>
      <w:r w:rsidRPr="00C35766">
        <w:rPr>
          <w:rFonts w:eastAsia="Times New Roman"/>
          <w:spacing w:val="-4"/>
          <w:lang w:val="it-IT"/>
        </w:rPr>
        <w:t>4 </w:t>
      </w:r>
      <w:r w:rsidR="00331973" w:rsidRPr="00C35766">
        <w:rPr>
          <w:rFonts w:eastAsia="Times New Roman"/>
          <w:spacing w:val="-4"/>
          <w:lang w:val="it-IT"/>
        </w:rPr>
        <w:t>mL</w:t>
      </w:r>
    </w:p>
    <w:p w14:paraId="4CEA9A5D" w14:textId="77777777" w:rsidR="00953B2E" w:rsidRPr="00C35766" w:rsidRDefault="00953B2E">
      <w:pPr>
        <w:spacing w:before="13" w:line="280" w:lineRule="exact"/>
        <w:rPr>
          <w:rFonts w:ascii="Times New Roman" w:hAnsi="Times New Roman" w:cs="Times New Roman"/>
        </w:rPr>
      </w:pPr>
    </w:p>
    <w:p w14:paraId="5F30B913" w14:textId="77777777" w:rsidR="00953B2E" w:rsidRPr="00C35766" w:rsidRDefault="00953B2E">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04A2ED38" w14:textId="77777777">
        <w:trPr>
          <w:trHeight w:val="317"/>
        </w:trPr>
        <w:tc>
          <w:tcPr>
            <w:tcW w:w="9666" w:type="dxa"/>
            <w:vAlign w:val="center"/>
          </w:tcPr>
          <w:p w14:paraId="6B38FF31" w14:textId="77777777" w:rsidR="00953B2E" w:rsidRPr="00C35766" w:rsidRDefault="005F0C19" w:rsidP="00787805">
            <w:pPr>
              <w:numPr>
                <w:ilvl w:val="0"/>
                <w:numId w:val="26"/>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ALTRO</w:t>
            </w:r>
          </w:p>
        </w:tc>
      </w:tr>
    </w:tbl>
    <w:p w14:paraId="79733EE7" w14:textId="77777777" w:rsidR="00953B2E" w:rsidRPr="00C35766" w:rsidRDefault="00953B2E">
      <w:pPr>
        <w:pStyle w:val="a3"/>
      </w:pPr>
    </w:p>
    <w:p w14:paraId="554121A6" w14:textId="77777777" w:rsidR="00953B2E" w:rsidRPr="00C35766" w:rsidRDefault="00953B2E">
      <w:pPr>
        <w:rPr>
          <w:rFonts w:ascii="Times New Roman" w:hAnsi="Times New Roman" w:cs="Times New Roman"/>
        </w:rPr>
      </w:pPr>
    </w:p>
    <w:p w14:paraId="3EB4AF5A" w14:textId="77777777" w:rsidR="00953B2E" w:rsidRPr="00C35766" w:rsidRDefault="005F0C19">
      <w:pPr>
        <w:rPr>
          <w:rFonts w:ascii="Times New Roman" w:hAnsi="Times New Roman" w:cs="Times New Roman"/>
        </w:rPr>
      </w:pPr>
      <w:r w:rsidRPr="00C35766">
        <w:rPr>
          <w:rFonts w:ascii="Times New Roman" w:hAnsi="Times New Roman" w:cs="Times New Roman"/>
        </w:rPr>
        <w:br w:type="page"/>
      </w:r>
    </w:p>
    <w:p w14:paraId="34B7E590" w14:textId="77777777" w:rsidR="00953B2E" w:rsidRPr="00C35766" w:rsidRDefault="00953B2E">
      <w:pPr>
        <w:rPr>
          <w:rFonts w:ascii="Times New Roman" w:eastAsia="Times New Roman" w:hAnsi="Times New Roman" w:cs="Times New Roman"/>
          <w:b/>
          <w:bCs/>
          <w:spacing w:val="-1"/>
        </w:rPr>
      </w:pPr>
    </w:p>
    <w:tbl>
      <w:tblPr>
        <w:tblStyle w:val="ac"/>
        <w:tblW w:w="9666" w:type="dxa"/>
        <w:tblLook w:val="04A0" w:firstRow="1" w:lastRow="0" w:firstColumn="1" w:lastColumn="0" w:noHBand="0" w:noVBand="1"/>
      </w:tblPr>
      <w:tblGrid>
        <w:gridCol w:w="9666"/>
      </w:tblGrid>
      <w:tr w:rsidR="00953B2E" w:rsidRPr="003557F0" w14:paraId="17C37FFE" w14:textId="77777777">
        <w:trPr>
          <w:trHeight w:val="822"/>
        </w:trPr>
        <w:tc>
          <w:tcPr>
            <w:tcW w:w="9666" w:type="dxa"/>
            <w:vAlign w:val="center"/>
          </w:tcPr>
          <w:p w14:paraId="0DEEA54D" w14:textId="77777777" w:rsidR="00953B2E" w:rsidRPr="00C35766" w:rsidRDefault="005F0C19">
            <w:pPr>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INFORMAZIONI DA APPORRE SUL CONFEZIONAMENTO SECONDARIO</w:t>
            </w:r>
          </w:p>
          <w:p w14:paraId="1748223D" w14:textId="77777777" w:rsidR="00953B2E" w:rsidRPr="00C35766" w:rsidRDefault="00953B2E">
            <w:pPr>
              <w:spacing w:line="180" w:lineRule="exact"/>
              <w:jc w:val="both"/>
              <w:rPr>
                <w:rFonts w:ascii="Times New Roman" w:hAnsi="Times New Roman" w:cs="Times New Roman"/>
                <w:sz w:val="18"/>
                <w:szCs w:val="18"/>
                <w:lang w:val="pt-BR"/>
              </w:rPr>
            </w:pPr>
          </w:p>
          <w:p w14:paraId="45563888" w14:textId="302BBA21" w:rsidR="00953B2E" w:rsidRPr="00C35766" w:rsidRDefault="005F0C19" w:rsidP="00175B27">
            <w:pPr>
              <w:jc w:val="both"/>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 xml:space="preserve">IMBALLAGGIO ESTERNO DELLA </w:t>
            </w:r>
            <w:r w:rsidR="00175B27" w:rsidRPr="00C35766">
              <w:rPr>
                <w:rFonts w:ascii="Times New Roman" w:eastAsia="Times New Roman" w:hAnsi="Times New Roman" w:cs="Times New Roman"/>
                <w:b/>
                <w:bCs/>
                <w:spacing w:val="-1"/>
                <w:lang w:val="it-IT"/>
              </w:rPr>
              <w:t xml:space="preserve">PENNA </w:t>
            </w:r>
            <w:r w:rsidRPr="00C35766">
              <w:rPr>
                <w:rFonts w:ascii="Times New Roman" w:eastAsia="Times New Roman" w:hAnsi="Times New Roman" w:cs="Times New Roman"/>
                <w:b/>
                <w:bCs/>
                <w:spacing w:val="-1"/>
                <w:lang w:val="it-IT"/>
              </w:rPr>
              <w:t>PRE</w:t>
            </w:r>
            <w:r w:rsidR="00B82D29" w:rsidRPr="00C35766">
              <w:rPr>
                <w:rFonts w:ascii="Times New Roman" w:eastAsia="Times New Roman" w:hAnsi="Times New Roman" w:cs="Times New Roman"/>
                <w:b/>
                <w:bCs/>
                <w:spacing w:val="-1"/>
                <w:lang w:val="it-IT"/>
              </w:rPr>
              <w:t>-</w:t>
            </w:r>
            <w:r w:rsidRPr="00C35766">
              <w:rPr>
                <w:rFonts w:ascii="Times New Roman" w:eastAsia="Times New Roman" w:hAnsi="Times New Roman" w:cs="Times New Roman"/>
                <w:b/>
                <w:bCs/>
                <w:spacing w:val="-1"/>
                <w:lang w:val="it-IT"/>
              </w:rPr>
              <w:t>RIEMPITA</w:t>
            </w:r>
          </w:p>
        </w:tc>
      </w:tr>
    </w:tbl>
    <w:p w14:paraId="4211EACC" w14:textId="77777777" w:rsidR="00953B2E" w:rsidRPr="00C35766" w:rsidRDefault="00953B2E">
      <w:pPr>
        <w:spacing w:line="200" w:lineRule="exact"/>
        <w:rPr>
          <w:rFonts w:ascii="Times New Roman" w:hAnsi="Times New Roman" w:cs="Times New Roman"/>
          <w:sz w:val="20"/>
          <w:szCs w:val="20"/>
          <w:lang w:val="es-ES"/>
        </w:rPr>
      </w:pPr>
    </w:p>
    <w:p w14:paraId="44695E70" w14:textId="77777777" w:rsidR="00953B2E" w:rsidRPr="00C35766" w:rsidRDefault="00953B2E">
      <w:pPr>
        <w:spacing w:line="200" w:lineRule="exact"/>
        <w:rPr>
          <w:rFonts w:ascii="Times New Roman" w:hAnsi="Times New Roman" w:cs="Times New Roman"/>
          <w:sz w:val="20"/>
          <w:szCs w:val="20"/>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953B2E" w:rsidRPr="00C35766" w14:paraId="7F25A84C" w14:textId="77777777">
        <w:trPr>
          <w:trHeight w:val="317"/>
        </w:trPr>
        <w:tc>
          <w:tcPr>
            <w:tcW w:w="9666" w:type="dxa"/>
            <w:vAlign w:val="center"/>
          </w:tcPr>
          <w:p w14:paraId="1958CFB9" w14:textId="77777777" w:rsidR="00953B2E" w:rsidRPr="00C35766" w:rsidRDefault="005F0C19" w:rsidP="00787805">
            <w:pPr>
              <w:numPr>
                <w:ilvl w:val="0"/>
                <w:numId w:val="27"/>
              </w:numPr>
              <w:tabs>
                <w:tab w:val="left" w:pos="672"/>
              </w:tabs>
              <w:ind w:left="550"/>
              <w:jc w:val="both"/>
              <w:rPr>
                <w:rFonts w:ascii="Times New Roman" w:eastAsia="Times New Roman" w:hAnsi="Times New Roman" w:cs="Times New Roman"/>
              </w:rPr>
            </w:pPr>
            <w:r w:rsidRPr="00C35766">
              <w:rPr>
                <w:rFonts w:ascii="Times New Roman" w:eastAsia="Times New Roman" w:hAnsi="Times New Roman" w:cs="Times New Roman"/>
                <w:b/>
                <w:bCs/>
                <w:spacing w:val="-1"/>
                <w:lang w:val="it-IT"/>
              </w:rPr>
              <w:t>DENOMINAZIONE DEL MEDICINALE</w:t>
            </w:r>
          </w:p>
        </w:tc>
      </w:tr>
    </w:tbl>
    <w:p w14:paraId="62B65F5F" w14:textId="77777777" w:rsidR="00953B2E" w:rsidRPr="00C35766" w:rsidRDefault="00953B2E">
      <w:pPr>
        <w:spacing w:line="200" w:lineRule="exact"/>
        <w:rPr>
          <w:rFonts w:ascii="Times New Roman" w:hAnsi="Times New Roman" w:cs="Times New Roman"/>
          <w:sz w:val="20"/>
          <w:szCs w:val="20"/>
        </w:rPr>
      </w:pPr>
    </w:p>
    <w:p w14:paraId="0975B1C8" w14:textId="18905CC8" w:rsidR="00953B2E" w:rsidRPr="00C35766" w:rsidRDefault="005F0C19">
      <w:pPr>
        <w:pStyle w:val="a3"/>
        <w:rPr>
          <w:lang w:val="it-IT"/>
        </w:rPr>
      </w:pPr>
      <w:r w:rsidRPr="00C35766">
        <w:rPr>
          <w:rFonts w:eastAsia="Times New Roman"/>
          <w:lang w:val="it-IT"/>
        </w:rPr>
        <w:t xml:space="preserve">Yuflyma 40 mg  soluzione iniettabile in penna </w:t>
      </w:r>
      <w:r w:rsidR="0092097A" w:rsidRPr="00C35766">
        <w:rPr>
          <w:rFonts w:eastAsia="Times New Roman"/>
          <w:lang w:val="it-IT"/>
        </w:rPr>
        <w:t>pre-riempita</w:t>
      </w:r>
    </w:p>
    <w:p w14:paraId="0331F936" w14:textId="7544217F" w:rsidR="00953B2E" w:rsidRPr="00C35766" w:rsidRDefault="00175B27">
      <w:pPr>
        <w:pStyle w:val="a3"/>
      </w:pPr>
      <w:r w:rsidRPr="00C35766">
        <w:rPr>
          <w:rFonts w:eastAsia="Times New Roman"/>
          <w:lang w:val="it-IT"/>
        </w:rPr>
        <w:t>a</w:t>
      </w:r>
      <w:r w:rsidR="005F0C19" w:rsidRPr="00C35766">
        <w:rPr>
          <w:rFonts w:eastAsia="Times New Roman"/>
          <w:lang w:val="it-IT"/>
        </w:rPr>
        <w:t>dalimumab</w:t>
      </w:r>
    </w:p>
    <w:p w14:paraId="2F323EE5" w14:textId="77777777" w:rsidR="00953B2E" w:rsidRPr="00C35766" w:rsidRDefault="00953B2E">
      <w:pPr>
        <w:pStyle w:val="a3"/>
      </w:pPr>
    </w:p>
    <w:p w14:paraId="35A3AC77"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46B0B11F" w14:textId="77777777">
        <w:trPr>
          <w:trHeight w:val="317"/>
        </w:trPr>
        <w:tc>
          <w:tcPr>
            <w:tcW w:w="9666" w:type="dxa"/>
            <w:vAlign w:val="center"/>
          </w:tcPr>
          <w:p w14:paraId="631C1078"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COMPOSIZIONE QUALITATIVA E QUANTITATIVA IN TERMINI DI PRINCIPIO(I) ATTIVO(I)</w:t>
            </w:r>
          </w:p>
        </w:tc>
      </w:tr>
    </w:tbl>
    <w:p w14:paraId="0387D0D3" w14:textId="77777777" w:rsidR="00953B2E" w:rsidRPr="00C35766" w:rsidRDefault="00953B2E">
      <w:pPr>
        <w:spacing w:before="13" w:line="280" w:lineRule="exact"/>
        <w:rPr>
          <w:rFonts w:ascii="Times New Roman" w:hAnsi="Times New Roman" w:cs="Times New Roman"/>
          <w:sz w:val="28"/>
          <w:szCs w:val="28"/>
          <w:lang w:val="pt-BR"/>
        </w:rPr>
      </w:pPr>
    </w:p>
    <w:p w14:paraId="0C62EAF9" w14:textId="31DC4DFA" w:rsidR="00953B2E" w:rsidRPr="00C35766" w:rsidRDefault="005F0C19">
      <w:pPr>
        <w:pStyle w:val="a3"/>
        <w:rPr>
          <w:lang w:val="es-ES"/>
        </w:rPr>
      </w:pPr>
      <w:r w:rsidRPr="00C35766">
        <w:rPr>
          <w:rFonts w:eastAsia="Times New Roman"/>
          <w:lang w:val="it-IT"/>
        </w:rPr>
        <w:t xml:space="preserve">Una penna </w:t>
      </w:r>
      <w:r w:rsidR="0092097A" w:rsidRPr="00C35766">
        <w:rPr>
          <w:rFonts w:eastAsia="Times New Roman"/>
          <w:lang w:val="it-IT"/>
        </w:rPr>
        <w:t>pre-riempita</w:t>
      </w:r>
      <w:r w:rsidRPr="00C35766">
        <w:rPr>
          <w:rFonts w:eastAsia="Times New Roman"/>
          <w:lang w:val="it-IT"/>
        </w:rPr>
        <w:t xml:space="preserve"> da 0,4 </w:t>
      </w:r>
      <w:r w:rsidR="00331973" w:rsidRPr="00C35766">
        <w:rPr>
          <w:rFonts w:eastAsia="Times New Roman"/>
          <w:lang w:val="it-IT"/>
        </w:rPr>
        <w:t>mL</w:t>
      </w:r>
      <w:r w:rsidRPr="00C35766">
        <w:rPr>
          <w:rFonts w:eastAsia="Times New Roman"/>
          <w:lang w:val="it-IT"/>
        </w:rPr>
        <w:t xml:space="preserve"> contiene 40 mg di adalimumab.</w:t>
      </w:r>
    </w:p>
    <w:p w14:paraId="49DD0E66" w14:textId="77777777" w:rsidR="00953B2E" w:rsidRPr="00C35766" w:rsidRDefault="00953B2E">
      <w:pPr>
        <w:spacing w:before="13" w:line="280" w:lineRule="exact"/>
        <w:rPr>
          <w:rFonts w:ascii="Times New Roman" w:hAnsi="Times New Roman" w:cs="Times New Roman"/>
          <w:sz w:val="28"/>
          <w:szCs w:val="28"/>
          <w:lang w:val="es-ES"/>
        </w:rPr>
      </w:pPr>
    </w:p>
    <w:p w14:paraId="407E44E2" w14:textId="77777777" w:rsidR="00953B2E" w:rsidRPr="00C35766" w:rsidRDefault="00953B2E">
      <w:pPr>
        <w:spacing w:before="13" w:line="280" w:lineRule="exact"/>
        <w:rPr>
          <w:rFonts w:ascii="Times New Roman" w:hAnsi="Times New Roman" w:cs="Times New Roman"/>
          <w:sz w:val="28"/>
          <w:szCs w:val="28"/>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00CD782F" w14:textId="77777777">
        <w:trPr>
          <w:trHeight w:val="317"/>
        </w:trPr>
        <w:tc>
          <w:tcPr>
            <w:tcW w:w="9666" w:type="dxa"/>
            <w:vAlign w:val="center"/>
          </w:tcPr>
          <w:p w14:paraId="4725662C"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ELENCO DEGLI ECCIPIENTI</w:t>
            </w:r>
          </w:p>
        </w:tc>
      </w:tr>
    </w:tbl>
    <w:p w14:paraId="65886083" w14:textId="77777777" w:rsidR="00953B2E" w:rsidRPr="00C35766" w:rsidRDefault="00953B2E">
      <w:pPr>
        <w:pStyle w:val="a3"/>
      </w:pPr>
    </w:p>
    <w:p w14:paraId="3BEB7FB2" w14:textId="77777777" w:rsidR="00953B2E" w:rsidRPr="00C35766" w:rsidRDefault="005F0C19">
      <w:pPr>
        <w:pStyle w:val="a3"/>
        <w:rPr>
          <w:noProof/>
          <w:lang w:eastAsia="ko-KR"/>
        </w:rPr>
      </w:pPr>
      <w:r w:rsidRPr="00C35766">
        <w:rPr>
          <w:rFonts w:eastAsia="Times New Roman"/>
          <w:lang w:val="it-IT"/>
        </w:rPr>
        <w:t xml:space="preserve">Eccipienti: acido acetico, acetato di sodio triidrato, glicina, polisorbato 80, acqua per preparazioni iniettabili. </w:t>
      </w:r>
      <w:r w:rsidRPr="00C35766">
        <w:rPr>
          <w:rFonts w:eastAsia="Times New Roman"/>
          <w:highlight w:val="lightGray"/>
          <w:lang w:val="it-IT"/>
        </w:rPr>
        <w:t>Per ulteriori informazioni, vedere il foglio illustrativo.</w:t>
      </w:r>
    </w:p>
    <w:p w14:paraId="548EA981" w14:textId="77777777" w:rsidR="00953B2E" w:rsidRPr="00C35766" w:rsidRDefault="00953B2E">
      <w:pPr>
        <w:pStyle w:val="a3"/>
      </w:pPr>
    </w:p>
    <w:p w14:paraId="00098B8A"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32B6531F" w14:textId="77777777">
        <w:trPr>
          <w:trHeight w:val="317"/>
        </w:trPr>
        <w:tc>
          <w:tcPr>
            <w:tcW w:w="9666" w:type="dxa"/>
            <w:vAlign w:val="center"/>
          </w:tcPr>
          <w:p w14:paraId="093AE02A"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FORMA FARMACEUTICA E CONTENUTO</w:t>
            </w:r>
          </w:p>
        </w:tc>
      </w:tr>
    </w:tbl>
    <w:p w14:paraId="179FA5AC" w14:textId="77777777" w:rsidR="00953B2E" w:rsidRPr="00C35766" w:rsidRDefault="00953B2E">
      <w:pPr>
        <w:pStyle w:val="a3"/>
      </w:pPr>
    </w:p>
    <w:p w14:paraId="62A37DD7" w14:textId="77777777" w:rsidR="00953B2E" w:rsidRPr="00C35766" w:rsidRDefault="005F0C19">
      <w:pPr>
        <w:pStyle w:val="a3"/>
      </w:pPr>
      <w:r w:rsidRPr="00C35766">
        <w:rPr>
          <w:rFonts w:eastAsia="Times New Roman"/>
          <w:highlight w:val="lightGray"/>
          <w:lang w:val="it-IT"/>
        </w:rPr>
        <w:t>Soluzione iniettabile</w:t>
      </w:r>
    </w:p>
    <w:p w14:paraId="351F9073" w14:textId="6BA84D7A" w:rsidR="00953B2E" w:rsidRPr="00C35766" w:rsidRDefault="005F0C19">
      <w:pPr>
        <w:pStyle w:val="a3"/>
      </w:pPr>
      <w:r w:rsidRPr="00C35766">
        <w:rPr>
          <w:rFonts w:eastAsia="Times New Roman"/>
          <w:lang w:val="it-IT"/>
        </w:rPr>
        <w:t xml:space="preserve">1 penna </w:t>
      </w:r>
      <w:r w:rsidR="0092097A" w:rsidRPr="00C35766">
        <w:rPr>
          <w:rFonts w:eastAsia="Times New Roman"/>
          <w:lang w:val="it-IT"/>
        </w:rPr>
        <w:t>pre-riempita</w:t>
      </w:r>
    </w:p>
    <w:p w14:paraId="16F56279" w14:textId="77777777" w:rsidR="00953B2E" w:rsidRPr="00C35766" w:rsidRDefault="005F0C19">
      <w:pPr>
        <w:pStyle w:val="a3"/>
      </w:pPr>
      <w:r w:rsidRPr="00C35766">
        <w:rPr>
          <w:rFonts w:eastAsia="Times New Roman"/>
          <w:lang w:val="it-IT"/>
        </w:rPr>
        <w:t>2 tamponi imbevuti di alcool</w:t>
      </w:r>
    </w:p>
    <w:p w14:paraId="5ECF7580" w14:textId="77777777" w:rsidR="00953B2E" w:rsidRPr="00C35766" w:rsidRDefault="00953B2E">
      <w:pPr>
        <w:spacing w:line="180" w:lineRule="exact"/>
        <w:rPr>
          <w:rFonts w:ascii="Times New Roman" w:hAnsi="Times New Roman" w:cs="Times New Roman"/>
          <w:sz w:val="18"/>
          <w:szCs w:val="18"/>
        </w:rPr>
      </w:pPr>
    </w:p>
    <w:p w14:paraId="57DB9C85" w14:textId="32B14379" w:rsidR="00953B2E" w:rsidRPr="00C35766" w:rsidRDefault="005F0C19">
      <w:pPr>
        <w:pStyle w:val="a3"/>
        <w:rPr>
          <w:highlight w:val="lightGray"/>
        </w:rPr>
      </w:pPr>
      <w:r w:rsidRPr="00C35766">
        <w:rPr>
          <w:rFonts w:eastAsia="Times New Roman"/>
          <w:highlight w:val="lightGray"/>
          <w:lang w:val="it-IT"/>
        </w:rPr>
        <w:t xml:space="preserve">2 penne </w:t>
      </w:r>
      <w:r w:rsidR="00B82D29" w:rsidRPr="00C35766">
        <w:rPr>
          <w:rFonts w:eastAsia="Times New Roman"/>
          <w:highlight w:val="lightGray"/>
          <w:lang w:val="it-IT"/>
        </w:rPr>
        <w:t>pre-riempite</w:t>
      </w:r>
    </w:p>
    <w:p w14:paraId="1F107F2C" w14:textId="77777777" w:rsidR="00953B2E" w:rsidRPr="00C35766" w:rsidRDefault="005F0C19">
      <w:pPr>
        <w:pStyle w:val="a3"/>
        <w:rPr>
          <w:highlight w:val="lightGray"/>
        </w:rPr>
      </w:pPr>
      <w:r w:rsidRPr="00C35766">
        <w:rPr>
          <w:rFonts w:eastAsia="Times New Roman"/>
          <w:highlight w:val="lightGray"/>
          <w:lang w:val="it-IT"/>
        </w:rPr>
        <w:t>2 tamponi imbevuti di alcool</w:t>
      </w:r>
    </w:p>
    <w:p w14:paraId="56EB8131" w14:textId="77777777" w:rsidR="00953B2E" w:rsidRPr="00C35766" w:rsidRDefault="00953B2E">
      <w:pPr>
        <w:spacing w:line="170" w:lineRule="exact"/>
        <w:rPr>
          <w:rFonts w:ascii="Times New Roman" w:hAnsi="Times New Roman" w:cs="Times New Roman"/>
          <w:sz w:val="17"/>
          <w:szCs w:val="17"/>
          <w:highlight w:val="lightGray"/>
        </w:rPr>
      </w:pPr>
    </w:p>
    <w:p w14:paraId="23C81636" w14:textId="55764010" w:rsidR="00953B2E" w:rsidRPr="00C35766" w:rsidRDefault="005F0C19">
      <w:pPr>
        <w:pStyle w:val="a3"/>
        <w:rPr>
          <w:highlight w:val="lightGray"/>
        </w:rPr>
      </w:pPr>
      <w:r w:rsidRPr="00C35766">
        <w:rPr>
          <w:rFonts w:eastAsia="Times New Roman"/>
          <w:highlight w:val="lightGray"/>
          <w:lang w:val="it-IT"/>
        </w:rPr>
        <w:t xml:space="preserve">4 penne </w:t>
      </w:r>
      <w:r w:rsidR="00B82D29" w:rsidRPr="00C35766">
        <w:rPr>
          <w:rFonts w:eastAsia="Times New Roman"/>
          <w:highlight w:val="lightGray"/>
          <w:lang w:val="it-IT"/>
        </w:rPr>
        <w:t>pre-riempite</w:t>
      </w:r>
    </w:p>
    <w:p w14:paraId="4E08CE30" w14:textId="77777777" w:rsidR="00953B2E" w:rsidRPr="00C35766" w:rsidRDefault="005F0C19">
      <w:pPr>
        <w:pStyle w:val="a3"/>
        <w:rPr>
          <w:highlight w:val="lightGray"/>
        </w:rPr>
      </w:pPr>
      <w:r w:rsidRPr="00C35766">
        <w:rPr>
          <w:rFonts w:eastAsia="Times New Roman"/>
          <w:highlight w:val="lightGray"/>
          <w:lang w:val="it-IT"/>
        </w:rPr>
        <w:t>4 tamponi imbevuti di alcool</w:t>
      </w:r>
    </w:p>
    <w:p w14:paraId="42DAE699" w14:textId="77777777" w:rsidR="00953B2E" w:rsidRPr="00C35766" w:rsidRDefault="00953B2E">
      <w:pPr>
        <w:pStyle w:val="a3"/>
        <w:rPr>
          <w:highlight w:val="lightGray"/>
        </w:rPr>
      </w:pPr>
    </w:p>
    <w:p w14:paraId="62CD4948" w14:textId="34848E1D" w:rsidR="00953B2E" w:rsidRPr="00C35766" w:rsidRDefault="005F0C19">
      <w:pPr>
        <w:pStyle w:val="a3"/>
        <w:rPr>
          <w:highlight w:val="lightGray"/>
        </w:rPr>
      </w:pPr>
      <w:r w:rsidRPr="00C35766">
        <w:rPr>
          <w:rFonts w:eastAsia="Times New Roman"/>
          <w:highlight w:val="lightGray"/>
          <w:lang w:val="it-IT"/>
        </w:rPr>
        <w:t xml:space="preserve">6 penne </w:t>
      </w:r>
      <w:r w:rsidR="00B82D29" w:rsidRPr="00C35766">
        <w:rPr>
          <w:rFonts w:eastAsia="Times New Roman"/>
          <w:highlight w:val="lightGray"/>
          <w:lang w:val="it-IT"/>
        </w:rPr>
        <w:t>pre-riempite</w:t>
      </w:r>
    </w:p>
    <w:p w14:paraId="788136DB" w14:textId="77777777" w:rsidR="00953B2E" w:rsidRPr="00C35766" w:rsidRDefault="005F0C19">
      <w:pPr>
        <w:pStyle w:val="a3"/>
      </w:pPr>
      <w:r w:rsidRPr="00C35766">
        <w:rPr>
          <w:rFonts w:eastAsia="Times New Roman"/>
          <w:highlight w:val="lightGray"/>
          <w:lang w:val="it-IT"/>
        </w:rPr>
        <w:t>6 tamponi imbevuti di alcool</w:t>
      </w:r>
    </w:p>
    <w:p w14:paraId="10225863" w14:textId="77777777" w:rsidR="00953B2E" w:rsidRPr="00C35766" w:rsidRDefault="00953B2E">
      <w:pPr>
        <w:spacing w:line="200" w:lineRule="exact"/>
        <w:rPr>
          <w:rFonts w:ascii="Times New Roman" w:hAnsi="Times New Roman" w:cs="Times New Roman"/>
          <w:sz w:val="20"/>
          <w:szCs w:val="20"/>
        </w:rPr>
      </w:pPr>
    </w:p>
    <w:p w14:paraId="10A585F1" w14:textId="77777777" w:rsidR="00953B2E" w:rsidRPr="00C35766" w:rsidRDefault="00953B2E">
      <w:pPr>
        <w:spacing w:line="200" w:lineRule="exact"/>
        <w:rPr>
          <w:rFonts w:ascii="Times New Roman" w:hAnsi="Times New Roman" w:cs="Times New Roman"/>
          <w:sz w:val="20"/>
          <w:szCs w:val="20"/>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39276D09" w14:textId="77777777">
        <w:trPr>
          <w:trHeight w:val="317"/>
        </w:trPr>
        <w:tc>
          <w:tcPr>
            <w:tcW w:w="9666" w:type="dxa"/>
            <w:vAlign w:val="center"/>
          </w:tcPr>
          <w:p w14:paraId="391015F7" w14:textId="06155ED3"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M</w:t>
            </w:r>
            <w:r w:rsidR="00D63BDE">
              <w:rPr>
                <w:rFonts w:ascii="Times New Roman" w:eastAsia="Times New Roman" w:hAnsi="Times New Roman" w:cs="Times New Roman"/>
                <w:b/>
                <w:bCs/>
                <w:spacing w:val="-1"/>
                <w:lang w:val="it-IT"/>
              </w:rPr>
              <w:t>O</w:t>
            </w:r>
            <w:r w:rsidRPr="00C35766">
              <w:rPr>
                <w:rFonts w:ascii="Times New Roman" w:eastAsia="Times New Roman" w:hAnsi="Times New Roman" w:cs="Times New Roman"/>
                <w:b/>
                <w:bCs/>
                <w:spacing w:val="-1"/>
                <w:lang w:val="it-IT"/>
              </w:rPr>
              <w:t>DO E VIA DI SOMMINISTRAZIONE</w:t>
            </w:r>
          </w:p>
        </w:tc>
      </w:tr>
    </w:tbl>
    <w:p w14:paraId="388ED6F9" w14:textId="77777777" w:rsidR="00953B2E" w:rsidRPr="00C35766" w:rsidRDefault="00953B2E">
      <w:pPr>
        <w:spacing w:line="200" w:lineRule="exact"/>
        <w:rPr>
          <w:rFonts w:ascii="Times New Roman" w:hAnsi="Times New Roman" w:cs="Times New Roman"/>
          <w:sz w:val="20"/>
          <w:szCs w:val="20"/>
          <w:lang w:val="pt-BR"/>
        </w:rPr>
      </w:pPr>
    </w:p>
    <w:p w14:paraId="5AD9ED17" w14:textId="77777777" w:rsidR="00953B2E" w:rsidRPr="00C35766" w:rsidRDefault="005F0C19">
      <w:pPr>
        <w:pStyle w:val="a3"/>
        <w:rPr>
          <w:lang w:val="pt-BR"/>
        </w:rPr>
      </w:pPr>
      <w:r w:rsidRPr="00C35766">
        <w:rPr>
          <w:rFonts w:eastAsia="Times New Roman"/>
          <w:lang w:val="it-IT"/>
        </w:rPr>
        <w:t>Uso sottocutaneo</w:t>
      </w:r>
    </w:p>
    <w:p w14:paraId="75697500" w14:textId="77777777" w:rsidR="00953B2E" w:rsidRPr="00C35766" w:rsidRDefault="00953B2E">
      <w:pPr>
        <w:pStyle w:val="a3"/>
        <w:rPr>
          <w:lang w:val="pt-BR"/>
        </w:rPr>
      </w:pPr>
    </w:p>
    <w:p w14:paraId="69BA858C" w14:textId="77777777" w:rsidR="00953B2E" w:rsidRPr="00C35766" w:rsidRDefault="005F0C19">
      <w:pPr>
        <w:pStyle w:val="a3"/>
        <w:rPr>
          <w:lang w:val="pt-BR"/>
        </w:rPr>
      </w:pPr>
      <w:r w:rsidRPr="00C35766">
        <w:rPr>
          <w:rFonts w:eastAsia="Times New Roman"/>
          <w:lang w:val="it-IT"/>
        </w:rPr>
        <w:t>Leggere il foglio illustrativo prima dell’uso.</w:t>
      </w:r>
    </w:p>
    <w:p w14:paraId="33A23223" w14:textId="77777777" w:rsidR="00953B2E" w:rsidRPr="00C35766" w:rsidRDefault="00953B2E">
      <w:pPr>
        <w:pStyle w:val="a3"/>
        <w:rPr>
          <w:lang w:val="pt-BR"/>
        </w:rPr>
      </w:pPr>
    </w:p>
    <w:p w14:paraId="706A403A" w14:textId="77777777" w:rsidR="00953B2E" w:rsidRPr="00C35766" w:rsidRDefault="005F0C19">
      <w:pPr>
        <w:pStyle w:val="a3"/>
      </w:pPr>
      <w:r w:rsidRPr="00C35766">
        <w:rPr>
          <w:rFonts w:eastAsia="Times New Roman"/>
          <w:lang w:val="it-IT"/>
        </w:rPr>
        <w:t>Esclusivamente monouso.</w:t>
      </w:r>
    </w:p>
    <w:p w14:paraId="372EF745" w14:textId="77777777" w:rsidR="00953B2E" w:rsidRPr="00C35766" w:rsidRDefault="00953B2E">
      <w:pPr>
        <w:pStyle w:val="a3"/>
      </w:pPr>
    </w:p>
    <w:p w14:paraId="1FD0D1D5" w14:textId="77777777" w:rsidR="00953B2E" w:rsidRPr="00C35766" w:rsidRDefault="005F0C19">
      <w:pPr>
        <w:rPr>
          <w:rFonts w:ascii="Times New Roman" w:hAnsi="Times New Roman" w:cs="Times New Roman"/>
        </w:rPr>
      </w:pPr>
      <w:r w:rsidRPr="00C35766">
        <w:rPr>
          <w:rFonts w:ascii="Times New Roman" w:hAnsi="Times New Roman" w:cs="Times New Roman"/>
        </w:rPr>
        <w:br w:type="page"/>
      </w:r>
    </w:p>
    <w:p w14:paraId="290EA1F6"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6501B3" w14:paraId="020A1093" w14:textId="77777777">
        <w:trPr>
          <w:trHeight w:val="317"/>
        </w:trPr>
        <w:tc>
          <w:tcPr>
            <w:tcW w:w="9666" w:type="dxa"/>
            <w:vAlign w:val="center"/>
          </w:tcPr>
          <w:p w14:paraId="31681C15" w14:textId="77777777" w:rsidR="00953B2E" w:rsidRPr="00C35766" w:rsidRDefault="005F0C19" w:rsidP="00787805">
            <w:pPr>
              <w:keepNext/>
              <w:numPr>
                <w:ilvl w:val="0"/>
                <w:numId w:val="27"/>
              </w:numPr>
              <w:tabs>
                <w:tab w:val="left" w:pos="672"/>
              </w:tabs>
              <w:ind w:left="550" w:hanging="550"/>
              <w:jc w:val="both"/>
              <w:rPr>
                <w:rFonts w:ascii="Times New Roman" w:hAnsi="Times New Roman" w:cs="Times New Roman"/>
                <w:lang w:val="it-IT"/>
              </w:rPr>
            </w:pPr>
            <w:r w:rsidRPr="00C35766">
              <w:rPr>
                <w:rFonts w:ascii="Times New Roman" w:eastAsia="Times New Roman" w:hAnsi="Times New Roman" w:cs="Times New Roman"/>
                <w:b/>
                <w:bCs/>
                <w:spacing w:val="-1"/>
                <w:lang w:val="it-IT"/>
              </w:rPr>
              <w:t>AVVERTENZA PARTICOLARE CHE PRESCRIVA DI TENERE IL MEDICINALE FUORI DALLA VISTA E DALLA PORTATA DEI BAMBINI</w:t>
            </w:r>
          </w:p>
        </w:tc>
      </w:tr>
    </w:tbl>
    <w:p w14:paraId="572A7AB1" w14:textId="77777777" w:rsidR="00953B2E" w:rsidRPr="00C35766" w:rsidRDefault="00953B2E">
      <w:pPr>
        <w:spacing w:before="1" w:line="200" w:lineRule="exact"/>
        <w:rPr>
          <w:rFonts w:ascii="Times New Roman" w:hAnsi="Times New Roman" w:cs="Times New Roman"/>
          <w:sz w:val="20"/>
          <w:lang w:val="it-IT"/>
        </w:rPr>
      </w:pPr>
    </w:p>
    <w:p w14:paraId="13B1C75A" w14:textId="77777777" w:rsidR="00953B2E" w:rsidRPr="00C35766" w:rsidRDefault="005F0C19">
      <w:pPr>
        <w:pStyle w:val="a3"/>
        <w:rPr>
          <w:lang w:val="pt-BR"/>
        </w:rPr>
      </w:pPr>
      <w:r w:rsidRPr="00C35766">
        <w:rPr>
          <w:rFonts w:eastAsia="Times New Roman"/>
          <w:lang w:val="it-IT"/>
        </w:rPr>
        <w:t>Tenere fuori dalla vista e dalla portata dei bambini.</w:t>
      </w:r>
    </w:p>
    <w:p w14:paraId="26397328" w14:textId="77777777" w:rsidR="00953B2E" w:rsidRPr="00C35766" w:rsidRDefault="00953B2E">
      <w:pPr>
        <w:rPr>
          <w:rFonts w:ascii="Times New Roman" w:hAnsi="Times New Roman" w:cs="Times New Roman"/>
          <w:lang w:val="pt-BR"/>
        </w:rPr>
      </w:pPr>
    </w:p>
    <w:p w14:paraId="0503867F" w14:textId="77777777" w:rsidR="00953B2E" w:rsidRPr="00C35766" w:rsidRDefault="00953B2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31E57DC4" w14:textId="77777777">
        <w:trPr>
          <w:trHeight w:val="317"/>
        </w:trPr>
        <w:tc>
          <w:tcPr>
            <w:tcW w:w="9666" w:type="dxa"/>
            <w:vAlign w:val="center"/>
          </w:tcPr>
          <w:p w14:paraId="734B7C1E"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ALTRA(E) AVVERTENZA(E) PARTICOLARE(I), SE NECESSARIO</w:t>
            </w:r>
          </w:p>
        </w:tc>
      </w:tr>
    </w:tbl>
    <w:p w14:paraId="4C168D36" w14:textId="77777777" w:rsidR="00953B2E" w:rsidRPr="00C35766" w:rsidRDefault="00953B2E">
      <w:pPr>
        <w:rPr>
          <w:rFonts w:ascii="Times New Roman" w:hAnsi="Times New Roman" w:cs="Times New Roman"/>
          <w:lang w:val="pt-BR"/>
        </w:rPr>
      </w:pPr>
    </w:p>
    <w:p w14:paraId="183435A0" w14:textId="77777777" w:rsidR="00953B2E" w:rsidRPr="00C35766" w:rsidRDefault="00953B2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7F68E571" w14:textId="77777777">
        <w:trPr>
          <w:trHeight w:val="317"/>
        </w:trPr>
        <w:tc>
          <w:tcPr>
            <w:tcW w:w="9666" w:type="dxa"/>
            <w:vAlign w:val="center"/>
          </w:tcPr>
          <w:p w14:paraId="25F9E8E8"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76372618" w14:textId="77777777" w:rsidR="00953B2E" w:rsidRPr="00C35766" w:rsidRDefault="00953B2E">
      <w:pPr>
        <w:rPr>
          <w:rFonts w:ascii="Times New Roman" w:hAnsi="Times New Roman" w:cs="Times New Roman"/>
        </w:rPr>
      </w:pPr>
    </w:p>
    <w:p w14:paraId="3CBD6546" w14:textId="77777777" w:rsidR="00953B2E" w:rsidRPr="00C35766" w:rsidRDefault="005F0C19">
      <w:pPr>
        <w:pStyle w:val="a3"/>
      </w:pPr>
      <w:r w:rsidRPr="00C35766">
        <w:rPr>
          <w:rFonts w:eastAsia="Times New Roman"/>
          <w:lang w:val="it-IT"/>
        </w:rPr>
        <w:t>Scad.</w:t>
      </w:r>
    </w:p>
    <w:p w14:paraId="48E30053" w14:textId="77777777" w:rsidR="00953B2E" w:rsidRPr="00C35766" w:rsidRDefault="00953B2E">
      <w:pPr>
        <w:rPr>
          <w:rFonts w:ascii="Times New Roman" w:hAnsi="Times New Roman" w:cs="Times New Roman"/>
        </w:rPr>
      </w:pPr>
    </w:p>
    <w:p w14:paraId="47905E72" w14:textId="77777777" w:rsidR="00953B2E" w:rsidRPr="00C35766" w:rsidRDefault="00953B2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6501B3" w14:paraId="50581774" w14:textId="77777777">
        <w:trPr>
          <w:trHeight w:val="317"/>
        </w:trPr>
        <w:tc>
          <w:tcPr>
            <w:tcW w:w="9666" w:type="dxa"/>
            <w:vAlign w:val="center"/>
          </w:tcPr>
          <w:p w14:paraId="088423A5" w14:textId="77777777" w:rsidR="00953B2E" w:rsidRPr="00C35766" w:rsidRDefault="005F0C19" w:rsidP="00787805">
            <w:pPr>
              <w:numPr>
                <w:ilvl w:val="0"/>
                <w:numId w:val="2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LA CONSERVAZIONE</w:t>
            </w:r>
          </w:p>
        </w:tc>
      </w:tr>
    </w:tbl>
    <w:p w14:paraId="5E88A4EA" w14:textId="77777777" w:rsidR="00953B2E" w:rsidRPr="00C35766" w:rsidRDefault="00953B2E">
      <w:pPr>
        <w:rPr>
          <w:rFonts w:ascii="Times New Roman" w:hAnsi="Times New Roman" w:cs="Times New Roman"/>
          <w:lang w:val="it-IT"/>
        </w:rPr>
      </w:pPr>
    </w:p>
    <w:p w14:paraId="3B2B94CD" w14:textId="77777777" w:rsidR="00953B2E" w:rsidRPr="00C35766" w:rsidRDefault="005F0C19">
      <w:pPr>
        <w:pStyle w:val="a3"/>
        <w:rPr>
          <w:lang w:val="pt-BR"/>
        </w:rPr>
      </w:pPr>
      <w:r w:rsidRPr="00C35766">
        <w:rPr>
          <w:rFonts w:eastAsia="Times New Roman"/>
          <w:lang w:val="it-IT"/>
        </w:rPr>
        <w:t>Conservare in frigorifero. Non congelare.</w:t>
      </w:r>
    </w:p>
    <w:p w14:paraId="11F8569D" w14:textId="77777777" w:rsidR="00953B2E" w:rsidRPr="00C35766" w:rsidRDefault="005F0C19">
      <w:pPr>
        <w:pStyle w:val="a3"/>
        <w:rPr>
          <w:lang w:val="pt-BR"/>
        </w:rPr>
      </w:pPr>
      <w:r w:rsidRPr="00C35766">
        <w:rPr>
          <w:rFonts w:eastAsia="Times New Roman"/>
          <w:lang w:val="it-IT"/>
        </w:rPr>
        <w:t>Fare riferimento al foglio illustrativo per condizioni di conservazione alternative.</w:t>
      </w:r>
    </w:p>
    <w:p w14:paraId="7F1F8C37" w14:textId="3F7F1541" w:rsidR="00953B2E" w:rsidRPr="00C35766" w:rsidRDefault="005F0C19">
      <w:pPr>
        <w:pStyle w:val="a3"/>
        <w:rPr>
          <w:lang w:val="es-ES"/>
        </w:rPr>
      </w:pPr>
      <w:r w:rsidRPr="00C35766">
        <w:rPr>
          <w:rFonts w:eastAsia="Times New Roman"/>
          <w:lang w:val="it-IT"/>
        </w:rPr>
        <w:t>Conserv</w:t>
      </w:r>
      <w:r w:rsidR="00175B27" w:rsidRPr="00C35766">
        <w:rPr>
          <w:rFonts w:eastAsia="Times New Roman"/>
          <w:lang w:val="it-IT"/>
        </w:rPr>
        <w:t>are</w:t>
      </w:r>
      <w:r w:rsidRPr="00C35766">
        <w:rPr>
          <w:rFonts w:eastAsia="Times New Roman"/>
          <w:lang w:val="it-IT"/>
        </w:rPr>
        <w:t xml:space="preserve"> la penna </w:t>
      </w:r>
      <w:r w:rsidR="0092097A" w:rsidRPr="00C35766">
        <w:rPr>
          <w:rFonts w:eastAsia="Times New Roman"/>
          <w:lang w:val="it-IT"/>
        </w:rPr>
        <w:t>pre-riempita</w:t>
      </w:r>
      <w:r w:rsidRPr="00C35766">
        <w:rPr>
          <w:rFonts w:eastAsia="Times New Roman"/>
          <w:lang w:val="it-IT"/>
        </w:rPr>
        <w:t xml:space="preserve"> nell’imballaggio esterno per proteggerla dalla luce.</w:t>
      </w:r>
    </w:p>
    <w:p w14:paraId="48E29CBC" w14:textId="52FB29BC" w:rsidR="001F24B7" w:rsidRPr="00C35766" w:rsidRDefault="001F24B7" w:rsidP="001F24B7">
      <w:pPr>
        <w:pStyle w:val="a3"/>
        <w:rPr>
          <w:lang w:val="es-ES"/>
        </w:rPr>
      </w:pPr>
      <w:r w:rsidRPr="00C35766">
        <w:rPr>
          <w:rFonts w:eastAsia="Times New Roman"/>
          <w:highlight w:val="lightGray"/>
          <w:lang w:val="it-IT"/>
        </w:rPr>
        <w:t>Conservare la penne pre-riempite nell’imballaggio esterno per proteggerla dalla luce.</w:t>
      </w:r>
    </w:p>
    <w:p w14:paraId="7853093F" w14:textId="77777777" w:rsidR="00953B2E" w:rsidRPr="00C35766" w:rsidRDefault="00953B2E">
      <w:pPr>
        <w:rPr>
          <w:rFonts w:ascii="Times New Roman" w:hAnsi="Times New Roman" w:cs="Times New Roman"/>
          <w:lang w:val="es-ES"/>
        </w:rPr>
      </w:pPr>
    </w:p>
    <w:p w14:paraId="2496AC0D" w14:textId="77777777" w:rsidR="00953B2E" w:rsidRPr="00C35766" w:rsidRDefault="00953B2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69E8F274" w14:textId="77777777">
        <w:trPr>
          <w:trHeight w:val="317"/>
        </w:trPr>
        <w:tc>
          <w:tcPr>
            <w:tcW w:w="9666" w:type="dxa"/>
            <w:vAlign w:val="center"/>
          </w:tcPr>
          <w:p w14:paraId="4353336F" w14:textId="77777777" w:rsidR="00953B2E" w:rsidRPr="00C35766" w:rsidRDefault="005F0C19" w:rsidP="00787805">
            <w:pPr>
              <w:numPr>
                <w:ilvl w:val="0"/>
                <w:numId w:val="2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LO SMALTIMENTO DEL MEDICINALE NON UTILIZZATO O DEI RIFIUTI DERIVATI DA TALE MEDICINALE, SE NECESSARIO</w:t>
            </w:r>
          </w:p>
        </w:tc>
      </w:tr>
    </w:tbl>
    <w:p w14:paraId="28AA30C5" w14:textId="77777777" w:rsidR="00953B2E" w:rsidRPr="00C35766" w:rsidRDefault="00953B2E">
      <w:pPr>
        <w:rPr>
          <w:rFonts w:ascii="Times New Roman" w:hAnsi="Times New Roman" w:cs="Times New Roman"/>
          <w:lang w:val="it-IT"/>
        </w:rPr>
      </w:pPr>
    </w:p>
    <w:p w14:paraId="241DCD3C" w14:textId="77777777" w:rsidR="00953B2E" w:rsidRPr="00C35766" w:rsidRDefault="00953B2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7BFA2EB3" w14:textId="77777777">
        <w:trPr>
          <w:trHeight w:val="317"/>
        </w:trPr>
        <w:tc>
          <w:tcPr>
            <w:tcW w:w="9666" w:type="dxa"/>
            <w:vAlign w:val="center"/>
          </w:tcPr>
          <w:p w14:paraId="26573E35" w14:textId="77777777" w:rsidR="00953B2E" w:rsidRPr="00C35766" w:rsidRDefault="005F0C19" w:rsidP="00787805">
            <w:pPr>
              <w:numPr>
                <w:ilvl w:val="0"/>
                <w:numId w:val="2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NOME E INDIRIZZO DEL TITOLARE DELL’AUTORIZZAZIONE ALL’IMMISSIONE IN COMMERCIO</w:t>
            </w:r>
          </w:p>
        </w:tc>
      </w:tr>
    </w:tbl>
    <w:p w14:paraId="47DE72C0" w14:textId="77777777" w:rsidR="00953B2E" w:rsidRPr="00C35766" w:rsidRDefault="00953B2E">
      <w:pPr>
        <w:spacing w:before="5" w:line="200" w:lineRule="exact"/>
        <w:rPr>
          <w:rFonts w:ascii="Times New Roman" w:hAnsi="Times New Roman" w:cs="Times New Roman"/>
          <w:sz w:val="20"/>
          <w:lang w:val="it-IT"/>
        </w:rPr>
      </w:pPr>
    </w:p>
    <w:p w14:paraId="3BE514FB" w14:textId="77777777" w:rsidR="00A02C1D" w:rsidRPr="00C35766" w:rsidRDefault="00A02C1D" w:rsidP="00A02C1D">
      <w:pPr>
        <w:spacing w:before="5" w:line="200" w:lineRule="exact"/>
        <w:rPr>
          <w:rFonts w:ascii="Times New Roman" w:hAnsi="Times New Roman" w:cs="Times New Roman"/>
        </w:rPr>
      </w:pPr>
      <w:r w:rsidRPr="00C35766">
        <w:rPr>
          <w:rFonts w:ascii="Times New Roman" w:hAnsi="Times New Roman" w:cs="Times New Roman"/>
        </w:rPr>
        <w:t xml:space="preserve">Celltrion Healthcare Hungary Kft. </w:t>
      </w:r>
    </w:p>
    <w:p w14:paraId="5E62A3DE" w14:textId="77777777" w:rsidR="00A02C1D" w:rsidRPr="00C35766" w:rsidRDefault="00A02C1D" w:rsidP="00A02C1D">
      <w:pPr>
        <w:spacing w:before="5" w:line="200" w:lineRule="exact"/>
        <w:rPr>
          <w:rFonts w:ascii="Times New Roman" w:hAnsi="Times New Roman" w:cs="Times New Roman"/>
        </w:rPr>
      </w:pPr>
      <w:r w:rsidRPr="00C35766">
        <w:rPr>
          <w:rFonts w:ascii="Times New Roman" w:hAnsi="Times New Roman" w:cs="Times New Roman"/>
        </w:rPr>
        <w:t>1062 Budapest</w:t>
      </w:r>
    </w:p>
    <w:p w14:paraId="5BCA7393" w14:textId="1457431A" w:rsidR="00953B2E" w:rsidRPr="00C35766" w:rsidRDefault="00A02C1D" w:rsidP="00EF2682">
      <w:pPr>
        <w:pStyle w:val="a3"/>
        <w:rPr>
          <w:vanish/>
        </w:rPr>
      </w:pPr>
      <w:r w:rsidRPr="00D95C47">
        <w:t>Váci út 1-3. WestEnd Office Building B torony</w:t>
      </w:r>
    </w:p>
    <w:p w14:paraId="00C0BF79" w14:textId="77777777" w:rsidR="00953B2E" w:rsidRPr="00C35766" w:rsidRDefault="005F0C19">
      <w:pPr>
        <w:pStyle w:val="a3"/>
      </w:pPr>
      <w:r w:rsidRPr="00C35766">
        <w:rPr>
          <w:rFonts w:eastAsia="Times New Roman"/>
          <w:lang w:val="it-IT"/>
        </w:rPr>
        <w:t>Ungheria</w:t>
      </w:r>
    </w:p>
    <w:p w14:paraId="7D7E3C1A" w14:textId="77777777" w:rsidR="00953B2E" w:rsidRPr="00C35766" w:rsidRDefault="00953B2E">
      <w:pPr>
        <w:rPr>
          <w:rFonts w:ascii="Times New Roman" w:hAnsi="Times New Roman" w:cs="Times New Roman"/>
        </w:rPr>
      </w:pPr>
    </w:p>
    <w:p w14:paraId="6ED4A5A8" w14:textId="77777777" w:rsidR="00953B2E" w:rsidRPr="00C35766" w:rsidRDefault="00953B2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494E69" w14:paraId="4090F3BC" w14:textId="77777777">
        <w:trPr>
          <w:trHeight w:val="317"/>
        </w:trPr>
        <w:tc>
          <w:tcPr>
            <w:tcW w:w="9666" w:type="dxa"/>
            <w:vAlign w:val="center"/>
          </w:tcPr>
          <w:p w14:paraId="6EE41F48" w14:textId="77777777" w:rsidR="00953B2E" w:rsidRPr="00C35766" w:rsidRDefault="005F0C19" w:rsidP="00787805">
            <w:pPr>
              <w:numPr>
                <w:ilvl w:val="0"/>
                <w:numId w:val="2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NUMERO DELL’AUTORIZZAZIONE ALL’IMMISSIONE IN COMMERCIO</w:t>
            </w:r>
          </w:p>
        </w:tc>
      </w:tr>
    </w:tbl>
    <w:p w14:paraId="13E34067" w14:textId="77777777" w:rsidR="00953B2E" w:rsidRPr="00C35766" w:rsidRDefault="00953B2E">
      <w:pPr>
        <w:rPr>
          <w:rFonts w:ascii="Times New Roman" w:hAnsi="Times New Roman" w:cs="Times New Roman"/>
          <w:lang w:val="it-IT"/>
        </w:rPr>
      </w:pPr>
    </w:p>
    <w:p w14:paraId="102A5F60" w14:textId="19CB505F" w:rsidR="00953B2E" w:rsidRPr="00C35766" w:rsidRDefault="00A02C1D">
      <w:pPr>
        <w:pStyle w:val="a3"/>
        <w:rPr>
          <w:highlight w:val="lightGray"/>
          <w:lang w:val="fr-FR"/>
        </w:rPr>
      </w:pPr>
      <w:r w:rsidRPr="00D95C47">
        <w:rPr>
          <w:lang w:val="it-IT"/>
        </w:rPr>
        <w:t>EU/</w:t>
      </w:r>
      <w:r w:rsidRPr="00D95C47">
        <w:rPr>
          <w:color w:val="000000"/>
          <w:lang w:val="it-IT"/>
        </w:rPr>
        <w:t xml:space="preserve">1/20/1513/009 </w:t>
      </w:r>
      <w:r w:rsidR="005F0C19" w:rsidRPr="00C35766">
        <w:rPr>
          <w:rFonts w:eastAsia="Times New Roman"/>
          <w:color w:val="000000"/>
          <w:highlight w:val="lightGray"/>
          <w:lang w:val="it-IT"/>
        </w:rPr>
        <w:t xml:space="preserve">1 penna </w:t>
      </w:r>
      <w:r w:rsidR="0092097A" w:rsidRPr="00C35766">
        <w:rPr>
          <w:rFonts w:eastAsia="Times New Roman"/>
          <w:color w:val="000000"/>
          <w:highlight w:val="lightGray"/>
          <w:lang w:val="it-IT"/>
        </w:rPr>
        <w:t>pre-riempita</w:t>
      </w:r>
    </w:p>
    <w:p w14:paraId="4499A2F1" w14:textId="00F8DE20" w:rsidR="00953B2E" w:rsidRPr="00C35766" w:rsidRDefault="00A02C1D">
      <w:pPr>
        <w:pStyle w:val="a3"/>
        <w:rPr>
          <w:highlight w:val="lightGray"/>
          <w:lang w:val="fr-FR" w:eastAsia="ko-KR"/>
        </w:rPr>
      </w:pPr>
      <w:r w:rsidRPr="00D95C47">
        <w:rPr>
          <w:highlight w:val="lightGray"/>
          <w:lang w:val="it-IT"/>
        </w:rPr>
        <w:t>EU/</w:t>
      </w:r>
      <w:r w:rsidRPr="00D95C47">
        <w:rPr>
          <w:color w:val="000000"/>
          <w:highlight w:val="lightGray"/>
          <w:lang w:val="it-IT"/>
        </w:rPr>
        <w:t xml:space="preserve">1/20/1513/010 </w:t>
      </w:r>
      <w:r w:rsidR="005F0C19" w:rsidRPr="00C35766">
        <w:rPr>
          <w:rFonts w:eastAsia="Times New Roman"/>
          <w:color w:val="000000"/>
          <w:highlight w:val="lightGray"/>
          <w:lang w:val="it-IT"/>
        </w:rPr>
        <w:t>2</w:t>
      </w:r>
      <w:r w:rsidRPr="00C35766">
        <w:rPr>
          <w:rFonts w:eastAsia="Times New Roman"/>
          <w:color w:val="000000"/>
          <w:highlight w:val="lightGray"/>
          <w:lang w:val="it-IT"/>
        </w:rPr>
        <w:t xml:space="preserve"> </w:t>
      </w:r>
      <w:r w:rsidR="005F0C19" w:rsidRPr="00C35766">
        <w:rPr>
          <w:rFonts w:eastAsia="Times New Roman"/>
          <w:color w:val="000000"/>
          <w:highlight w:val="lightGray"/>
          <w:lang w:val="it-IT"/>
        </w:rPr>
        <w:t xml:space="preserve">penne </w:t>
      </w:r>
      <w:r w:rsidR="00B82D29" w:rsidRPr="00C35766">
        <w:rPr>
          <w:rFonts w:eastAsia="Times New Roman"/>
          <w:color w:val="000000"/>
          <w:highlight w:val="lightGray"/>
          <w:lang w:val="it-IT"/>
        </w:rPr>
        <w:t>pre-riempite</w:t>
      </w:r>
    </w:p>
    <w:p w14:paraId="550CD2D0" w14:textId="2AB78670" w:rsidR="00953B2E" w:rsidRPr="00C35766" w:rsidRDefault="00A02C1D">
      <w:pPr>
        <w:pStyle w:val="a3"/>
        <w:rPr>
          <w:highlight w:val="lightGray"/>
          <w:lang w:val="fr-FR"/>
        </w:rPr>
      </w:pPr>
      <w:r w:rsidRPr="00D95C47">
        <w:rPr>
          <w:highlight w:val="lightGray"/>
          <w:lang w:val="it-IT"/>
        </w:rPr>
        <w:t>EU/</w:t>
      </w:r>
      <w:r w:rsidRPr="00D95C47">
        <w:rPr>
          <w:color w:val="000000"/>
          <w:highlight w:val="lightGray"/>
          <w:lang w:val="it-IT"/>
        </w:rPr>
        <w:t xml:space="preserve">1/20/1513/011 </w:t>
      </w:r>
      <w:r w:rsidR="005F0C19" w:rsidRPr="00C35766">
        <w:rPr>
          <w:rFonts w:eastAsia="Times New Roman"/>
          <w:color w:val="000000"/>
          <w:highlight w:val="lightGray"/>
          <w:lang w:val="it-IT"/>
        </w:rPr>
        <w:t xml:space="preserve">4 penne </w:t>
      </w:r>
      <w:r w:rsidR="00B82D29" w:rsidRPr="00C35766">
        <w:rPr>
          <w:rFonts w:eastAsia="Times New Roman"/>
          <w:color w:val="000000"/>
          <w:highlight w:val="lightGray"/>
          <w:lang w:val="it-IT"/>
        </w:rPr>
        <w:t>pre-riempite</w:t>
      </w:r>
    </w:p>
    <w:p w14:paraId="6800588A" w14:textId="5C5623F5" w:rsidR="00953B2E" w:rsidRPr="00C35766" w:rsidRDefault="00A02C1D">
      <w:pPr>
        <w:pStyle w:val="a3"/>
        <w:rPr>
          <w:lang w:val="fr-FR"/>
        </w:rPr>
      </w:pPr>
      <w:r w:rsidRPr="00D95C47">
        <w:rPr>
          <w:highlight w:val="lightGray"/>
          <w:lang w:val="it-IT"/>
        </w:rPr>
        <w:t>EU/</w:t>
      </w:r>
      <w:r w:rsidRPr="00D95C47">
        <w:rPr>
          <w:color w:val="000000"/>
          <w:highlight w:val="lightGray"/>
          <w:lang w:val="it-IT"/>
        </w:rPr>
        <w:t xml:space="preserve">1/20/1513/012 </w:t>
      </w:r>
      <w:r w:rsidR="005F0C19" w:rsidRPr="00C35766">
        <w:rPr>
          <w:rFonts w:eastAsia="Times New Roman"/>
          <w:color w:val="000000"/>
          <w:highlight w:val="lightGray"/>
          <w:lang w:val="it-IT"/>
        </w:rPr>
        <w:t xml:space="preserve">6 penne </w:t>
      </w:r>
      <w:r w:rsidR="00B82D29" w:rsidRPr="00C35766">
        <w:rPr>
          <w:rFonts w:eastAsia="Times New Roman"/>
          <w:color w:val="000000"/>
          <w:highlight w:val="lightGray"/>
          <w:lang w:val="it-IT"/>
        </w:rPr>
        <w:t>pre-riempite</w:t>
      </w:r>
    </w:p>
    <w:p w14:paraId="7051A44F" w14:textId="77777777" w:rsidR="00953B2E" w:rsidRPr="00C35766" w:rsidRDefault="00953B2E">
      <w:pPr>
        <w:rPr>
          <w:rFonts w:ascii="Times New Roman" w:hAnsi="Times New Roman" w:cs="Times New Roman"/>
          <w:lang w:val="fr-FR"/>
        </w:rPr>
      </w:pPr>
    </w:p>
    <w:p w14:paraId="07196669" w14:textId="77777777" w:rsidR="00953B2E" w:rsidRPr="00C35766" w:rsidRDefault="00953B2E">
      <w:pPr>
        <w:rPr>
          <w:rFonts w:ascii="Times New Roman" w:hAnsi="Times New Roman" w:cs="Times New Roman"/>
          <w:lang w:val="fr-F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199115AE" w14:textId="77777777">
        <w:trPr>
          <w:trHeight w:val="317"/>
        </w:trPr>
        <w:tc>
          <w:tcPr>
            <w:tcW w:w="9666" w:type="dxa"/>
            <w:vAlign w:val="center"/>
          </w:tcPr>
          <w:p w14:paraId="747A796C"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6DF967FC" w14:textId="77777777" w:rsidR="00953B2E" w:rsidRPr="00C35766" w:rsidRDefault="00953B2E">
      <w:pPr>
        <w:rPr>
          <w:rFonts w:ascii="Times New Roman" w:hAnsi="Times New Roman" w:cs="Times New Roman"/>
        </w:rPr>
      </w:pPr>
    </w:p>
    <w:p w14:paraId="14171C18" w14:textId="77777777" w:rsidR="00953B2E" w:rsidRPr="00C35766" w:rsidRDefault="005F0C19">
      <w:pPr>
        <w:pStyle w:val="a3"/>
      </w:pPr>
      <w:r w:rsidRPr="00C35766">
        <w:rPr>
          <w:rFonts w:eastAsia="Times New Roman"/>
          <w:lang w:val="it-IT"/>
        </w:rPr>
        <w:t>Lotto</w:t>
      </w:r>
    </w:p>
    <w:p w14:paraId="559D8DC6" w14:textId="77777777" w:rsidR="00953B2E" w:rsidRPr="00C35766" w:rsidRDefault="00953B2E">
      <w:pPr>
        <w:pStyle w:val="a3"/>
      </w:pPr>
    </w:p>
    <w:p w14:paraId="1854C298"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2737DEFA" w14:textId="77777777">
        <w:trPr>
          <w:trHeight w:val="317"/>
        </w:trPr>
        <w:tc>
          <w:tcPr>
            <w:tcW w:w="9666" w:type="dxa"/>
            <w:vAlign w:val="center"/>
          </w:tcPr>
          <w:p w14:paraId="06B9F6A5"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CONDIZIONE GENERALE DI FORNITURA</w:t>
            </w:r>
          </w:p>
        </w:tc>
      </w:tr>
    </w:tbl>
    <w:p w14:paraId="2571D7CA" w14:textId="77777777" w:rsidR="00953B2E" w:rsidRPr="00C35766" w:rsidRDefault="00953B2E">
      <w:pPr>
        <w:jc w:val="both"/>
        <w:rPr>
          <w:rFonts w:ascii="Times New Roman" w:hAnsi="Times New Roman" w:cs="Times New Roman"/>
        </w:rPr>
      </w:pPr>
    </w:p>
    <w:p w14:paraId="1B70385A" w14:textId="77777777" w:rsidR="00953B2E" w:rsidRPr="00C35766" w:rsidRDefault="00953B2E">
      <w:pPr>
        <w:jc w:val="both"/>
        <w:rPr>
          <w:rFonts w:ascii="Times New Roman" w:hAnsi="Times New Roman" w:cs="Times New Roman"/>
        </w:rPr>
      </w:pPr>
    </w:p>
    <w:p w14:paraId="3B2E919D"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636211A4" w14:textId="77777777">
        <w:trPr>
          <w:trHeight w:val="317"/>
        </w:trPr>
        <w:tc>
          <w:tcPr>
            <w:tcW w:w="9666" w:type="dxa"/>
            <w:vAlign w:val="center"/>
          </w:tcPr>
          <w:p w14:paraId="0495015D"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ISTRUZIONI PER L’USO</w:t>
            </w:r>
          </w:p>
        </w:tc>
      </w:tr>
    </w:tbl>
    <w:p w14:paraId="444BBE02" w14:textId="77777777" w:rsidR="00953B2E" w:rsidRPr="00C35766" w:rsidRDefault="00953B2E">
      <w:pPr>
        <w:jc w:val="both"/>
        <w:rPr>
          <w:rFonts w:ascii="Times New Roman" w:hAnsi="Times New Roman" w:cs="Times New Roman"/>
        </w:rPr>
      </w:pPr>
    </w:p>
    <w:p w14:paraId="28C52F1D"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2514A802" w14:textId="77777777">
        <w:trPr>
          <w:trHeight w:val="317"/>
        </w:trPr>
        <w:tc>
          <w:tcPr>
            <w:tcW w:w="9666" w:type="dxa"/>
            <w:vAlign w:val="center"/>
          </w:tcPr>
          <w:p w14:paraId="2FAD43F4"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INFORMAZIONI IN BRAILLE</w:t>
            </w:r>
          </w:p>
        </w:tc>
      </w:tr>
    </w:tbl>
    <w:p w14:paraId="247E0954" w14:textId="77777777" w:rsidR="00953B2E" w:rsidRPr="00C35766" w:rsidRDefault="00953B2E">
      <w:pPr>
        <w:jc w:val="both"/>
        <w:rPr>
          <w:rFonts w:ascii="Times New Roman" w:hAnsi="Times New Roman" w:cs="Times New Roman"/>
        </w:rPr>
      </w:pPr>
    </w:p>
    <w:p w14:paraId="1238A2A0" w14:textId="77777777" w:rsidR="00953B2E" w:rsidRPr="00C35766" w:rsidRDefault="005F0C19">
      <w:pPr>
        <w:pStyle w:val="a3"/>
      </w:pPr>
      <w:r w:rsidRPr="00C35766">
        <w:rPr>
          <w:rFonts w:eastAsia="Times New Roman"/>
          <w:lang w:val="it-IT"/>
        </w:rPr>
        <w:t>Yuflyma 40 mg</w:t>
      </w:r>
    </w:p>
    <w:p w14:paraId="21C39610" w14:textId="77777777" w:rsidR="00953B2E" w:rsidRPr="00C35766" w:rsidRDefault="00953B2E">
      <w:pPr>
        <w:jc w:val="both"/>
        <w:rPr>
          <w:rFonts w:ascii="Times New Roman" w:hAnsi="Times New Roman" w:cs="Times New Roman"/>
        </w:rPr>
      </w:pPr>
    </w:p>
    <w:p w14:paraId="6760B7A8" w14:textId="77777777" w:rsidR="00953B2E" w:rsidRPr="00C35766" w:rsidRDefault="00953B2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6501B3" w14:paraId="3965A8BE" w14:textId="77777777">
        <w:trPr>
          <w:trHeight w:val="317"/>
        </w:trPr>
        <w:tc>
          <w:tcPr>
            <w:tcW w:w="9666" w:type="dxa"/>
            <w:vAlign w:val="center"/>
          </w:tcPr>
          <w:p w14:paraId="04728BB1" w14:textId="77777777" w:rsidR="00953B2E" w:rsidRPr="00C35766" w:rsidRDefault="005F0C19" w:rsidP="00787805">
            <w:pPr>
              <w:numPr>
                <w:ilvl w:val="0"/>
                <w:numId w:val="2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IDENTIFICATIVO UNICO – CODICE A BARRE BIDIMENSIONALE</w:t>
            </w:r>
          </w:p>
        </w:tc>
      </w:tr>
    </w:tbl>
    <w:p w14:paraId="0C0757A5" w14:textId="77777777" w:rsidR="00953B2E" w:rsidRPr="00C35766" w:rsidRDefault="00953B2E">
      <w:pPr>
        <w:jc w:val="both"/>
        <w:rPr>
          <w:rFonts w:ascii="Times New Roman" w:hAnsi="Times New Roman" w:cs="Times New Roman"/>
          <w:lang w:val="it-IT"/>
        </w:rPr>
      </w:pPr>
    </w:p>
    <w:p w14:paraId="10BA0785" w14:textId="77777777" w:rsidR="00953B2E" w:rsidRPr="00C35766" w:rsidRDefault="005F0C19">
      <w:pPr>
        <w:pStyle w:val="a3"/>
        <w:rPr>
          <w:lang w:val="it-IT"/>
        </w:rPr>
      </w:pPr>
      <w:r w:rsidRPr="00C35766">
        <w:rPr>
          <w:rFonts w:eastAsia="Times New Roman"/>
          <w:highlight w:val="lightGray"/>
          <w:lang w:val="it-IT"/>
        </w:rPr>
        <w:t>Codice a barre bidimensionale con identificativo unico incluso.</w:t>
      </w:r>
    </w:p>
    <w:p w14:paraId="4BBF4418" w14:textId="77777777" w:rsidR="00953B2E" w:rsidRPr="00C35766" w:rsidRDefault="00953B2E">
      <w:pPr>
        <w:jc w:val="both"/>
        <w:rPr>
          <w:rFonts w:ascii="Times New Roman" w:hAnsi="Times New Roman" w:cs="Times New Roman"/>
          <w:lang w:val="it-IT"/>
        </w:rPr>
      </w:pPr>
    </w:p>
    <w:p w14:paraId="03A43134" w14:textId="77777777" w:rsidR="00953B2E" w:rsidRPr="00C35766" w:rsidRDefault="00953B2E">
      <w:pPr>
        <w:jc w:val="both"/>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1CEE22A1" w14:textId="77777777">
        <w:trPr>
          <w:trHeight w:val="317"/>
        </w:trPr>
        <w:tc>
          <w:tcPr>
            <w:tcW w:w="9666" w:type="dxa"/>
            <w:vAlign w:val="center"/>
          </w:tcPr>
          <w:p w14:paraId="4D003B42" w14:textId="77777777" w:rsidR="00953B2E" w:rsidRPr="00C35766" w:rsidRDefault="005F0C19" w:rsidP="00787805">
            <w:pPr>
              <w:numPr>
                <w:ilvl w:val="0"/>
                <w:numId w:val="2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IDENTIFICATIVO UNICO – DATI LEGGIBILI</w:t>
            </w:r>
          </w:p>
        </w:tc>
      </w:tr>
    </w:tbl>
    <w:p w14:paraId="76B3312F" w14:textId="77777777" w:rsidR="00953B2E" w:rsidRPr="00C35766" w:rsidRDefault="00953B2E">
      <w:pPr>
        <w:jc w:val="both"/>
        <w:rPr>
          <w:rFonts w:ascii="Times New Roman" w:hAnsi="Times New Roman" w:cs="Times New Roman"/>
        </w:rPr>
      </w:pPr>
    </w:p>
    <w:p w14:paraId="5372C8D7" w14:textId="77777777" w:rsidR="00953B2E" w:rsidRPr="00C35766" w:rsidRDefault="005F0C19">
      <w:pPr>
        <w:pStyle w:val="a3"/>
      </w:pPr>
      <w:r w:rsidRPr="00C35766">
        <w:rPr>
          <w:rFonts w:eastAsia="Times New Roman"/>
          <w:lang w:val="it-IT"/>
        </w:rPr>
        <w:t xml:space="preserve">PC </w:t>
      </w:r>
    </w:p>
    <w:p w14:paraId="758FC82E" w14:textId="77777777" w:rsidR="00953B2E" w:rsidRPr="00C35766" w:rsidRDefault="005F0C19">
      <w:pPr>
        <w:pStyle w:val="a3"/>
      </w:pPr>
      <w:r w:rsidRPr="00C35766">
        <w:rPr>
          <w:rFonts w:eastAsia="Times New Roman"/>
          <w:lang w:val="it-IT"/>
        </w:rPr>
        <w:t>SN</w:t>
      </w:r>
    </w:p>
    <w:p w14:paraId="27FF7204" w14:textId="77777777" w:rsidR="00953B2E" w:rsidRPr="00C35766" w:rsidRDefault="005F0C19">
      <w:pPr>
        <w:pStyle w:val="a3"/>
        <w:rPr>
          <w:spacing w:val="-2"/>
        </w:rPr>
      </w:pPr>
      <w:r w:rsidRPr="00C35766">
        <w:rPr>
          <w:rFonts w:eastAsia="Times New Roman"/>
          <w:spacing w:val="-2"/>
          <w:lang w:val="it-IT"/>
        </w:rPr>
        <w:t>NN</w:t>
      </w:r>
    </w:p>
    <w:p w14:paraId="0DC5CD1C" w14:textId="77777777" w:rsidR="00953B2E" w:rsidRPr="00C35766" w:rsidRDefault="00953B2E">
      <w:pPr>
        <w:pStyle w:val="a3"/>
        <w:rPr>
          <w:spacing w:val="-2"/>
        </w:rPr>
      </w:pPr>
    </w:p>
    <w:p w14:paraId="785A73D9" w14:textId="77777777" w:rsidR="00953B2E" w:rsidRPr="00C35766" w:rsidRDefault="005F0C19">
      <w:pPr>
        <w:rPr>
          <w:rFonts w:ascii="Times New Roman" w:eastAsia="Times New Roman" w:hAnsi="Times New Roman" w:cs="Times New Roman"/>
          <w:spacing w:val="-2"/>
        </w:rPr>
      </w:pPr>
      <w:r w:rsidRPr="00C35766">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953B2E" w:rsidRPr="006501B3" w14:paraId="3804DD8A" w14:textId="77777777">
        <w:trPr>
          <w:trHeight w:val="822"/>
        </w:trPr>
        <w:tc>
          <w:tcPr>
            <w:tcW w:w="9666" w:type="dxa"/>
            <w:vAlign w:val="center"/>
          </w:tcPr>
          <w:p w14:paraId="411B5361" w14:textId="77777777" w:rsidR="00953B2E" w:rsidRPr="00C35766" w:rsidRDefault="005F0C19">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Cs/>
                <w:spacing w:val="-1"/>
                <w:lang w:val="it-IT"/>
              </w:rPr>
              <w:lastRenderedPageBreak/>
              <w:br w:type="page"/>
            </w:r>
            <w:r w:rsidRPr="00C35766">
              <w:rPr>
                <w:rFonts w:ascii="Times New Roman" w:eastAsia="Times New Roman" w:hAnsi="Times New Roman" w:cs="Times New Roman"/>
                <w:b/>
                <w:bCs/>
                <w:spacing w:val="-1"/>
                <w:lang w:val="it-IT"/>
              </w:rPr>
              <w:t xml:space="preserve">INFORMAZIONI MINIME DA APPORRE SUI CONFEZIONAMENTI PRIMARI DI PICCOLE DIMENSIONI </w:t>
            </w:r>
          </w:p>
          <w:p w14:paraId="505A7A57" w14:textId="77777777" w:rsidR="00953B2E" w:rsidRPr="00C35766" w:rsidRDefault="00953B2E">
            <w:pPr>
              <w:tabs>
                <w:tab w:val="left" w:pos="672"/>
              </w:tabs>
              <w:jc w:val="both"/>
              <w:rPr>
                <w:rFonts w:ascii="Times New Roman" w:hAnsi="Times New Roman" w:cs="Times New Roman"/>
                <w:b/>
                <w:spacing w:val="-1"/>
                <w:lang w:val="it-IT"/>
              </w:rPr>
            </w:pPr>
          </w:p>
          <w:p w14:paraId="3A144E19" w14:textId="7D74A2F0" w:rsidR="00953B2E" w:rsidRPr="00C35766" w:rsidRDefault="005F0C19">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ETICHETTA DA APPORRE SULLA PENNA PRE</w:t>
            </w:r>
            <w:r w:rsidR="00B82D29" w:rsidRPr="00C35766">
              <w:rPr>
                <w:rFonts w:ascii="Times New Roman" w:eastAsia="Times New Roman" w:hAnsi="Times New Roman" w:cs="Times New Roman"/>
                <w:b/>
                <w:bCs/>
                <w:spacing w:val="-1"/>
                <w:lang w:val="it-IT"/>
              </w:rPr>
              <w:t>-</w:t>
            </w:r>
            <w:r w:rsidRPr="00C35766">
              <w:rPr>
                <w:rFonts w:ascii="Times New Roman" w:eastAsia="Times New Roman" w:hAnsi="Times New Roman" w:cs="Times New Roman"/>
                <w:b/>
                <w:bCs/>
                <w:spacing w:val="-1"/>
                <w:lang w:val="it-IT"/>
              </w:rPr>
              <w:t>RIEMPITA</w:t>
            </w:r>
          </w:p>
        </w:tc>
      </w:tr>
    </w:tbl>
    <w:p w14:paraId="2DB3C369" w14:textId="77777777" w:rsidR="00953B2E" w:rsidRPr="00C35766" w:rsidRDefault="00953B2E">
      <w:pPr>
        <w:spacing w:line="200" w:lineRule="exact"/>
        <w:rPr>
          <w:rFonts w:ascii="Times New Roman" w:hAnsi="Times New Roman" w:cs="Times New Roman"/>
          <w:sz w:val="20"/>
          <w:lang w:val="it-IT"/>
        </w:rPr>
      </w:pPr>
    </w:p>
    <w:p w14:paraId="645C6989" w14:textId="77777777" w:rsidR="00953B2E" w:rsidRPr="00C35766" w:rsidRDefault="00953B2E">
      <w:pPr>
        <w:spacing w:line="200" w:lineRule="exact"/>
        <w:rPr>
          <w:rFonts w:ascii="Times New Roman" w:hAnsi="Times New Roman" w:cs="Times New Roman"/>
          <w:sz w:val="20"/>
          <w:lang w:val="it-IT"/>
        </w:rPr>
      </w:pPr>
    </w:p>
    <w:tbl>
      <w:tblPr>
        <w:tblStyle w:val="ac"/>
        <w:tblpPr w:leftFromText="142" w:rightFromText="142" w:vertAnchor="text" w:tblpY="55"/>
        <w:tblW w:w="9666" w:type="dxa"/>
        <w:tblLook w:val="04A0" w:firstRow="1" w:lastRow="0" w:firstColumn="1" w:lastColumn="0" w:noHBand="0" w:noVBand="1"/>
      </w:tblPr>
      <w:tblGrid>
        <w:gridCol w:w="9666"/>
      </w:tblGrid>
      <w:tr w:rsidR="00953B2E" w:rsidRPr="003557F0" w14:paraId="4A3923C3" w14:textId="77777777">
        <w:trPr>
          <w:trHeight w:val="317"/>
        </w:trPr>
        <w:tc>
          <w:tcPr>
            <w:tcW w:w="9666" w:type="dxa"/>
            <w:vAlign w:val="center"/>
          </w:tcPr>
          <w:p w14:paraId="4849972B" w14:textId="77777777" w:rsidR="00953B2E" w:rsidRPr="00C35766" w:rsidRDefault="005F0C19" w:rsidP="00787805">
            <w:pPr>
              <w:numPr>
                <w:ilvl w:val="0"/>
                <w:numId w:val="28"/>
              </w:numPr>
              <w:tabs>
                <w:tab w:val="left" w:pos="672"/>
              </w:tabs>
              <w:ind w:left="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DENOMINAZIONE DEL MEDICINALE E VIA(E) DI SOMMINISTRAZIONE</w:t>
            </w:r>
          </w:p>
        </w:tc>
      </w:tr>
    </w:tbl>
    <w:p w14:paraId="0D1DD333" w14:textId="77777777" w:rsidR="00953B2E" w:rsidRPr="00C35766" w:rsidRDefault="00953B2E">
      <w:pPr>
        <w:spacing w:line="200" w:lineRule="exact"/>
        <w:rPr>
          <w:rFonts w:ascii="Times New Roman" w:hAnsi="Times New Roman" w:cs="Times New Roman"/>
          <w:sz w:val="20"/>
          <w:szCs w:val="20"/>
          <w:lang w:val="pt-BR"/>
        </w:rPr>
      </w:pPr>
    </w:p>
    <w:p w14:paraId="4C3BF975" w14:textId="634C46FC" w:rsidR="00953B2E" w:rsidRPr="00C35766" w:rsidRDefault="005F0C19">
      <w:pPr>
        <w:pStyle w:val="a3"/>
        <w:rPr>
          <w:lang w:val="pt-BR"/>
        </w:rPr>
      </w:pPr>
      <w:r w:rsidRPr="00C35766">
        <w:rPr>
          <w:rFonts w:eastAsia="Times New Roman"/>
          <w:lang w:val="it-IT"/>
        </w:rPr>
        <w:t xml:space="preserve">Yuflyma 40 mg </w:t>
      </w:r>
      <w:r w:rsidR="00323C66" w:rsidRPr="00C35766">
        <w:rPr>
          <w:rFonts w:eastAsia="Times New Roman"/>
          <w:lang w:val="it-IT"/>
        </w:rPr>
        <w:t>per iniezioni</w:t>
      </w:r>
    </w:p>
    <w:p w14:paraId="33DDE49B" w14:textId="6FBDF8F8" w:rsidR="00953B2E" w:rsidRPr="00C35766" w:rsidRDefault="00175B27">
      <w:pPr>
        <w:pStyle w:val="a3"/>
        <w:rPr>
          <w:lang w:val="pt-BR"/>
        </w:rPr>
      </w:pPr>
      <w:r w:rsidRPr="00C35766">
        <w:rPr>
          <w:rFonts w:eastAsia="Times New Roman"/>
          <w:lang w:val="it-IT"/>
        </w:rPr>
        <w:t>a</w:t>
      </w:r>
      <w:r w:rsidR="005F0C19" w:rsidRPr="00C35766">
        <w:rPr>
          <w:rFonts w:eastAsia="Times New Roman"/>
          <w:lang w:val="it-IT"/>
        </w:rPr>
        <w:t>dalimumab</w:t>
      </w:r>
    </w:p>
    <w:p w14:paraId="6297E5C0" w14:textId="77777777" w:rsidR="00953B2E" w:rsidRPr="00C35766" w:rsidRDefault="005F0C19">
      <w:pPr>
        <w:pStyle w:val="a3"/>
        <w:rPr>
          <w:lang w:val="pt-BR"/>
        </w:rPr>
      </w:pPr>
      <w:r w:rsidRPr="00C35766">
        <w:rPr>
          <w:rFonts w:eastAsia="Times New Roman"/>
          <w:lang w:val="it-IT"/>
        </w:rPr>
        <w:t>Uso sottocutaneo</w:t>
      </w:r>
    </w:p>
    <w:p w14:paraId="7855CF9D" w14:textId="77777777" w:rsidR="00953B2E" w:rsidRPr="00C35766" w:rsidRDefault="00953B2E">
      <w:pPr>
        <w:pStyle w:val="a3"/>
        <w:rPr>
          <w:lang w:val="pt-BR"/>
        </w:rPr>
      </w:pPr>
    </w:p>
    <w:p w14:paraId="0F0AA436" w14:textId="77777777" w:rsidR="00953B2E" w:rsidRPr="00C35766" w:rsidRDefault="00953B2E">
      <w:pPr>
        <w:pStyle w:val="a3"/>
        <w:rPr>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106813CA" w14:textId="77777777">
        <w:trPr>
          <w:trHeight w:val="317"/>
        </w:trPr>
        <w:tc>
          <w:tcPr>
            <w:tcW w:w="9666" w:type="dxa"/>
            <w:vAlign w:val="center"/>
          </w:tcPr>
          <w:p w14:paraId="264A6DEE" w14:textId="77777777" w:rsidR="00953B2E" w:rsidRPr="00C35766" w:rsidRDefault="005F0C19" w:rsidP="00787805">
            <w:pPr>
              <w:numPr>
                <w:ilvl w:val="0"/>
                <w:numId w:val="2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MODO DI SOMMINISTRAZIONE</w:t>
            </w:r>
          </w:p>
        </w:tc>
      </w:tr>
    </w:tbl>
    <w:p w14:paraId="03CBD513" w14:textId="77777777" w:rsidR="00953B2E" w:rsidRPr="00C35766" w:rsidRDefault="00953B2E">
      <w:pPr>
        <w:spacing w:before="13" w:line="280" w:lineRule="exact"/>
        <w:rPr>
          <w:rFonts w:ascii="Times New Roman" w:hAnsi="Times New Roman" w:cs="Times New Roman"/>
          <w:sz w:val="28"/>
          <w:szCs w:val="28"/>
        </w:rPr>
      </w:pPr>
    </w:p>
    <w:p w14:paraId="3DB9DF38" w14:textId="77777777" w:rsidR="00953B2E" w:rsidRPr="00C35766" w:rsidRDefault="00953B2E">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27735DB3" w14:textId="77777777">
        <w:trPr>
          <w:trHeight w:val="317"/>
        </w:trPr>
        <w:tc>
          <w:tcPr>
            <w:tcW w:w="9666" w:type="dxa"/>
            <w:vAlign w:val="center"/>
          </w:tcPr>
          <w:p w14:paraId="1EB52C5B" w14:textId="77777777" w:rsidR="00953B2E" w:rsidRPr="00C35766" w:rsidRDefault="005F0C19" w:rsidP="00787805">
            <w:pPr>
              <w:numPr>
                <w:ilvl w:val="0"/>
                <w:numId w:val="2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0FDE702D" w14:textId="77777777" w:rsidR="00953B2E" w:rsidRPr="00C35766" w:rsidRDefault="00953B2E">
      <w:pPr>
        <w:pStyle w:val="a3"/>
      </w:pPr>
    </w:p>
    <w:p w14:paraId="63822126" w14:textId="08E4AABB" w:rsidR="00953B2E" w:rsidRPr="00C35766" w:rsidRDefault="00947378">
      <w:pPr>
        <w:pStyle w:val="a3"/>
      </w:pPr>
      <w:r w:rsidRPr="00C35766">
        <w:rPr>
          <w:rFonts w:eastAsia="Times New Roman"/>
          <w:lang w:val="it-IT"/>
        </w:rPr>
        <w:t>EXP</w:t>
      </w:r>
    </w:p>
    <w:p w14:paraId="123E8E7E" w14:textId="77777777" w:rsidR="00953B2E" w:rsidRPr="00C35766" w:rsidRDefault="00953B2E">
      <w:pPr>
        <w:pStyle w:val="a3"/>
      </w:pPr>
    </w:p>
    <w:p w14:paraId="04ED2988"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69663EA3" w14:textId="77777777">
        <w:trPr>
          <w:trHeight w:val="317"/>
        </w:trPr>
        <w:tc>
          <w:tcPr>
            <w:tcW w:w="9666" w:type="dxa"/>
            <w:vAlign w:val="center"/>
          </w:tcPr>
          <w:p w14:paraId="195EEAE6" w14:textId="77777777" w:rsidR="00953B2E" w:rsidRPr="00C35766" w:rsidRDefault="005F0C19" w:rsidP="00787805">
            <w:pPr>
              <w:numPr>
                <w:ilvl w:val="0"/>
                <w:numId w:val="2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127DDF31" w14:textId="77777777" w:rsidR="00953B2E" w:rsidRPr="00C35766" w:rsidRDefault="00953B2E">
      <w:pPr>
        <w:pStyle w:val="a3"/>
      </w:pPr>
    </w:p>
    <w:p w14:paraId="01E80477" w14:textId="29148841" w:rsidR="00953B2E" w:rsidRPr="00C35766" w:rsidRDefault="00947378">
      <w:pPr>
        <w:pStyle w:val="a3"/>
      </w:pPr>
      <w:r w:rsidRPr="00C35766">
        <w:rPr>
          <w:rFonts w:eastAsia="Times New Roman"/>
          <w:lang w:val="it-IT"/>
        </w:rPr>
        <w:t>Lot</w:t>
      </w:r>
    </w:p>
    <w:p w14:paraId="3CFFFC68" w14:textId="77777777" w:rsidR="00953B2E" w:rsidRPr="00C35766" w:rsidRDefault="00953B2E">
      <w:pPr>
        <w:pStyle w:val="a3"/>
      </w:pPr>
    </w:p>
    <w:p w14:paraId="4382FDF2" w14:textId="77777777" w:rsidR="00953B2E" w:rsidRPr="00C35766" w:rsidRDefault="00953B2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3557F0" w14:paraId="400ACA9F" w14:textId="77777777">
        <w:trPr>
          <w:trHeight w:val="317"/>
        </w:trPr>
        <w:tc>
          <w:tcPr>
            <w:tcW w:w="9666" w:type="dxa"/>
            <w:vAlign w:val="center"/>
          </w:tcPr>
          <w:p w14:paraId="1355076E" w14:textId="77777777" w:rsidR="00953B2E" w:rsidRPr="00C35766" w:rsidRDefault="005F0C19" w:rsidP="00787805">
            <w:pPr>
              <w:numPr>
                <w:ilvl w:val="0"/>
                <w:numId w:val="28"/>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CONTENUTO IN PESO, VOLUME O UNITÀ</w:t>
            </w:r>
          </w:p>
        </w:tc>
      </w:tr>
    </w:tbl>
    <w:p w14:paraId="790C106C" w14:textId="77777777" w:rsidR="00953B2E" w:rsidRPr="00C35766" w:rsidRDefault="00953B2E">
      <w:pPr>
        <w:spacing w:before="13" w:line="280" w:lineRule="exact"/>
        <w:rPr>
          <w:rFonts w:ascii="Times New Roman" w:hAnsi="Times New Roman" w:cs="Times New Roman"/>
          <w:sz w:val="28"/>
          <w:szCs w:val="28"/>
          <w:lang w:val="pt-BR"/>
        </w:rPr>
      </w:pPr>
    </w:p>
    <w:p w14:paraId="5EDEF731" w14:textId="45E071A0" w:rsidR="00953B2E" w:rsidRPr="00C35766" w:rsidRDefault="005F0C19">
      <w:pPr>
        <w:pStyle w:val="a3"/>
      </w:pPr>
      <w:r w:rsidRPr="00C35766">
        <w:rPr>
          <w:rFonts w:eastAsia="Times New Roman"/>
          <w:lang w:val="it-IT"/>
        </w:rPr>
        <w:t>40 mg/0</w:t>
      </w:r>
      <w:r w:rsidR="00107082">
        <w:rPr>
          <w:rFonts w:eastAsia="Times New Roman"/>
          <w:lang w:val="it-IT"/>
        </w:rPr>
        <w:t>,</w:t>
      </w:r>
      <w:r w:rsidRPr="00C35766">
        <w:rPr>
          <w:rFonts w:eastAsia="Times New Roman"/>
          <w:lang w:val="it-IT"/>
        </w:rPr>
        <w:t xml:space="preserve">4 </w:t>
      </w:r>
      <w:r w:rsidR="00331973" w:rsidRPr="00C35766">
        <w:rPr>
          <w:rFonts w:eastAsia="Times New Roman"/>
          <w:lang w:val="it-IT"/>
        </w:rPr>
        <w:t>mL</w:t>
      </w:r>
    </w:p>
    <w:p w14:paraId="2ABE0BA9" w14:textId="77777777" w:rsidR="00953B2E" w:rsidRPr="00C35766" w:rsidRDefault="00953B2E">
      <w:pPr>
        <w:spacing w:before="13" w:line="280" w:lineRule="exact"/>
        <w:rPr>
          <w:rFonts w:ascii="Times New Roman" w:hAnsi="Times New Roman" w:cs="Times New Roman"/>
          <w:sz w:val="28"/>
          <w:szCs w:val="28"/>
        </w:rPr>
      </w:pPr>
    </w:p>
    <w:p w14:paraId="57D22BB5" w14:textId="77777777" w:rsidR="00953B2E" w:rsidRPr="00C35766" w:rsidRDefault="00953B2E">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953B2E" w:rsidRPr="00C35766" w14:paraId="1D58AEC0" w14:textId="77777777">
        <w:trPr>
          <w:trHeight w:val="317"/>
        </w:trPr>
        <w:tc>
          <w:tcPr>
            <w:tcW w:w="9666" w:type="dxa"/>
            <w:vAlign w:val="center"/>
          </w:tcPr>
          <w:p w14:paraId="34E3AC60" w14:textId="77777777" w:rsidR="00953B2E" w:rsidRPr="00C35766" w:rsidRDefault="005F0C19" w:rsidP="00787805">
            <w:pPr>
              <w:numPr>
                <w:ilvl w:val="0"/>
                <w:numId w:val="2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rPr>
              <w:t>ALTRO</w:t>
            </w:r>
          </w:p>
        </w:tc>
      </w:tr>
    </w:tbl>
    <w:p w14:paraId="6E34C75A" w14:textId="77777777" w:rsidR="00953B2E" w:rsidRPr="00C35766" w:rsidRDefault="00953B2E">
      <w:pPr>
        <w:pStyle w:val="a3"/>
      </w:pPr>
    </w:p>
    <w:p w14:paraId="79D0AC19" w14:textId="77777777" w:rsidR="00953B2E" w:rsidRPr="00C35766" w:rsidRDefault="00953B2E">
      <w:pPr>
        <w:rPr>
          <w:rFonts w:ascii="Times New Roman" w:hAnsi="Times New Roman" w:cs="Times New Roman"/>
        </w:rPr>
      </w:pPr>
    </w:p>
    <w:p w14:paraId="55672435" w14:textId="4605A040" w:rsidR="00AF74BE" w:rsidRPr="00C35766" w:rsidRDefault="005F0C19">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AF74BE" w:rsidRPr="003557F0" w14:paraId="01E42225" w14:textId="77777777" w:rsidTr="00933A6C">
        <w:trPr>
          <w:trHeight w:val="822"/>
        </w:trPr>
        <w:tc>
          <w:tcPr>
            <w:tcW w:w="9666" w:type="dxa"/>
            <w:vAlign w:val="center"/>
          </w:tcPr>
          <w:p w14:paraId="7E40B26F" w14:textId="77777777" w:rsidR="00AF74BE" w:rsidRPr="00C35766" w:rsidRDefault="00AF74BE" w:rsidP="00933A6C">
            <w:pPr>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INFORMAZIONI DA APPORRE SUL CONFEZIONAMENTO SECONDARIO</w:t>
            </w:r>
          </w:p>
          <w:p w14:paraId="130A414A" w14:textId="77777777" w:rsidR="00AF74BE" w:rsidRPr="00C35766" w:rsidRDefault="00AF74BE" w:rsidP="00933A6C">
            <w:pPr>
              <w:spacing w:line="180" w:lineRule="exact"/>
              <w:jc w:val="both"/>
              <w:rPr>
                <w:rFonts w:ascii="Times New Roman" w:hAnsi="Times New Roman" w:cs="Times New Roman"/>
                <w:lang w:val="pt-BR"/>
              </w:rPr>
            </w:pPr>
          </w:p>
          <w:p w14:paraId="0B777C31" w14:textId="77777777" w:rsidR="00AF74BE" w:rsidRPr="00C35766" w:rsidRDefault="00AF74BE" w:rsidP="00933A6C">
            <w:pPr>
              <w:jc w:val="both"/>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IMBALLAGGIO ESTERNO DELLA SIRINGA PRE-RIEMPITA</w:t>
            </w:r>
          </w:p>
        </w:tc>
      </w:tr>
    </w:tbl>
    <w:p w14:paraId="27FE9DB7" w14:textId="77777777" w:rsidR="00AF74BE" w:rsidRPr="00C35766" w:rsidRDefault="00AF74BE" w:rsidP="00AF74BE">
      <w:pPr>
        <w:spacing w:line="200" w:lineRule="exact"/>
        <w:rPr>
          <w:rFonts w:ascii="Times New Roman" w:hAnsi="Times New Roman" w:cs="Times New Roman"/>
          <w:lang w:val="es-ES"/>
        </w:rPr>
      </w:pPr>
    </w:p>
    <w:p w14:paraId="6DF538C4" w14:textId="77777777" w:rsidR="00AF74BE" w:rsidRPr="00C35766" w:rsidRDefault="00AF74BE" w:rsidP="00AF74BE">
      <w:pPr>
        <w:spacing w:line="200" w:lineRule="exact"/>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AF74BE" w:rsidRPr="00C35766" w14:paraId="69D55576" w14:textId="77777777" w:rsidTr="00933A6C">
        <w:trPr>
          <w:trHeight w:val="317"/>
        </w:trPr>
        <w:tc>
          <w:tcPr>
            <w:tcW w:w="9666" w:type="dxa"/>
            <w:vAlign w:val="center"/>
          </w:tcPr>
          <w:p w14:paraId="738FAC63" w14:textId="77777777" w:rsidR="00AF74BE" w:rsidRPr="00C35766" w:rsidRDefault="00AF74BE" w:rsidP="00933A6C">
            <w:pPr>
              <w:numPr>
                <w:ilvl w:val="0"/>
                <w:numId w:val="57"/>
              </w:numPr>
              <w:tabs>
                <w:tab w:val="left" w:pos="672"/>
              </w:tabs>
              <w:ind w:left="550"/>
              <w:jc w:val="both"/>
              <w:rPr>
                <w:rFonts w:ascii="Times New Roman" w:eastAsia="Times New Roman" w:hAnsi="Times New Roman" w:cs="Times New Roman"/>
              </w:rPr>
            </w:pPr>
            <w:r w:rsidRPr="00C35766">
              <w:rPr>
                <w:rFonts w:ascii="Times New Roman" w:eastAsia="Times New Roman" w:hAnsi="Times New Roman" w:cs="Times New Roman"/>
                <w:b/>
                <w:bCs/>
                <w:spacing w:val="-1"/>
                <w:lang w:val="it-IT"/>
              </w:rPr>
              <w:t>DENOMINAZIONE DEL MEDICINALE</w:t>
            </w:r>
          </w:p>
        </w:tc>
      </w:tr>
    </w:tbl>
    <w:p w14:paraId="383C87AE" w14:textId="77777777" w:rsidR="00AF74BE" w:rsidRPr="00C35766" w:rsidRDefault="00AF74BE" w:rsidP="00AF74BE">
      <w:pPr>
        <w:spacing w:line="200" w:lineRule="exact"/>
        <w:rPr>
          <w:rFonts w:ascii="Times New Roman" w:hAnsi="Times New Roman" w:cs="Times New Roman"/>
        </w:rPr>
      </w:pPr>
    </w:p>
    <w:p w14:paraId="052DE2B3" w14:textId="7BD95A0D" w:rsidR="00AF74BE" w:rsidRPr="00C35766" w:rsidRDefault="00AF74BE" w:rsidP="00AF74BE">
      <w:pPr>
        <w:pStyle w:val="a3"/>
        <w:rPr>
          <w:lang w:val="it-IT"/>
        </w:rPr>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 soluzione iniettabile in siringa pre-riempita</w:t>
      </w:r>
    </w:p>
    <w:p w14:paraId="4C5EA140" w14:textId="77777777" w:rsidR="00AF74BE" w:rsidRPr="00C35766" w:rsidRDefault="00AF74BE" w:rsidP="00AF74BE">
      <w:pPr>
        <w:pStyle w:val="a3"/>
      </w:pPr>
      <w:r w:rsidRPr="00C35766">
        <w:rPr>
          <w:rFonts w:eastAsia="Times New Roman"/>
          <w:lang w:val="it-IT"/>
        </w:rPr>
        <w:t>adalimumab</w:t>
      </w:r>
    </w:p>
    <w:p w14:paraId="655D053D" w14:textId="77777777" w:rsidR="00AF74BE" w:rsidRPr="00C35766" w:rsidRDefault="00AF74BE" w:rsidP="00AF74BE">
      <w:pPr>
        <w:pStyle w:val="a3"/>
      </w:pPr>
    </w:p>
    <w:p w14:paraId="3C9EF211"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3711A8B4" w14:textId="77777777" w:rsidTr="00933A6C">
        <w:trPr>
          <w:trHeight w:val="317"/>
        </w:trPr>
        <w:tc>
          <w:tcPr>
            <w:tcW w:w="9666" w:type="dxa"/>
            <w:vAlign w:val="center"/>
          </w:tcPr>
          <w:p w14:paraId="38B94826"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COMPOSIZIONE QUALITATIVA E QUANTITATIVA IN TERMINI DI PRINCIPIO(I) ATTIVO(I)</w:t>
            </w:r>
          </w:p>
        </w:tc>
      </w:tr>
    </w:tbl>
    <w:p w14:paraId="3B81E57F" w14:textId="77777777" w:rsidR="00AF74BE" w:rsidRPr="00C35766" w:rsidRDefault="00AF74BE" w:rsidP="00AF74BE">
      <w:pPr>
        <w:spacing w:before="13" w:line="280" w:lineRule="exact"/>
        <w:rPr>
          <w:rFonts w:ascii="Times New Roman" w:hAnsi="Times New Roman" w:cs="Times New Roman"/>
          <w:lang w:val="pt-BR"/>
        </w:rPr>
      </w:pPr>
    </w:p>
    <w:p w14:paraId="014E0664" w14:textId="047F60B3" w:rsidR="00AF74BE" w:rsidRPr="00C35766" w:rsidRDefault="00AF74BE" w:rsidP="00AF74BE">
      <w:pPr>
        <w:pStyle w:val="a3"/>
        <w:rPr>
          <w:lang w:val="es-ES"/>
        </w:rPr>
      </w:pPr>
      <w:r w:rsidRPr="00C35766">
        <w:rPr>
          <w:rFonts w:eastAsia="Times New Roman"/>
          <w:lang w:val="it-IT"/>
        </w:rPr>
        <w:t>Una siringa pre-riempita da 0,</w:t>
      </w:r>
      <w:r w:rsidR="00E81705" w:rsidRPr="00C35766">
        <w:rPr>
          <w:rFonts w:eastAsia="Times New Roman"/>
          <w:lang w:val="it-IT"/>
        </w:rPr>
        <w:t>8</w:t>
      </w:r>
      <w:r w:rsidRPr="00C35766">
        <w:rPr>
          <w:rFonts w:eastAsia="Times New Roman"/>
          <w:lang w:val="it-IT"/>
        </w:rPr>
        <w:t xml:space="preserve"> mL contiene </w:t>
      </w:r>
      <w:r w:rsidR="00E81705" w:rsidRPr="00C35766">
        <w:rPr>
          <w:rFonts w:eastAsia="Times New Roman"/>
          <w:lang w:val="it-IT"/>
        </w:rPr>
        <w:t>8</w:t>
      </w:r>
      <w:r w:rsidRPr="00C35766">
        <w:rPr>
          <w:rFonts w:eastAsia="Times New Roman"/>
          <w:lang w:val="it-IT"/>
        </w:rPr>
        <w:t>0 mg di adalimumab.</w:t>
      </w:r>
    </w:p>
    <w:p w14:paraId="2957E838" w14:textId="77777777" w:rsidR="00AF74BE" w:rsidRPr="00C35766" w:rsidRDefault="00AF74BE" w:rsidP="00AF74BE">
      <w:pPr>
        <w:spacing w:line="280" w:lineRule="exact"/>
        <w:rPr>
          <w:rFonts w:ascii="Times New Roman" w:hAnsi="Times New Roman" w:cs="Times New Roman"/>
          <w:lang w:val="es-ES"/>
        </w:rPr>
      </w:pPr>
    </w:p>
    <w:p w14:paraId="2C748789" w14:textId="77777777" w:rsidR="00AF74BE" w:rsidRPr="00C35766" w:rsidRDefault="00AF74BE" w:rsidP="00AF74BE">
      <w:pPr>
        <w:spacing w:line="280" w:lineRule="exact"/>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0F2048F6" w14:textId="77777777" w:rsidTr="00933A6C">
        <w:trPr>
          <w:trHeight w:val="317"/>
        </w:trPr>
        <w:tc>
          <w:tcPr>
            <w:tcW w:w="9666" w:type="dxa"/>
            <w:vAlign w:val="center"/>
          </w:tcPr>
          <w:p w14:paraId="0D8053EC"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ELENCO DEGLI ECCIPIENTI</w:t>
            </w:r>
          </w:p>
        </w:tc>
      </w:tr>
    </w:tbl>
    <w:p w14:paraId="649BB462" w14:textId="77777777" w:rsidR="00AF74BE" w:rsidRPr="00C35766" w:rsidRDefault="00AF74BE" w:rsidP="00AF74BE">
      <w:pPr>
        <w:pStyle w:val="a3"/>
      </w:pPr>
    </w:p>
    <w:p w14:paraId="4463FFD6" w14:textId="77777777" w:rsidR="00AF74BE" w:rsidRPr="00C35766" w:rsidRDefault="00AF74BE" w:rsidP="00AF74BE">
      <w:pPr>
        <w:pStyle w:val="a3"/>
        <w:rPr>
          <w:lang w:val="it-IT"/>
        </w:rPr>
      </w:pPr>
      <w:r w:rsidRPr="00C35766">
        <w:rPr>
          <w:rFonts w:eastAsia="Times New Roman"/>
          <w:lang w:val="it-IT"/>
        </w:rPr>
        <w:t>Eccipienti: acido acetico, acetato di sodio triidrato, glicina, polisorbato 80, acqua per preparazioni iniettabili.</w:t>
      </w:r>
    </w:p>
    <w:p w14:paraId="4B5A8A03" w14:textId="77777777" w:rsidR="00AF74BE" w:rsidRPr="00C35766" w:rsidRDefault="00AF74BE" w:rsidP="00AF74BE">
      <w:pPr>
        <w:pStyle w:val="a3"/>
        <w:rPr>
          <w:lang w:val="it-IT"/>
        </w:rPr>
      </w:pPr>
      <w:r w:rsidRPr="00C35766">
        <w:rPr>
          <w:rFonts w:eastAsia="Times New Roman"/>
          <w:highlight w:val="lightGray"/>
          <w:lang w:val="it-IT"/>
        </w:rPr>
        <w:t>Per ulteriori informazioni, vedere il foglio illustrativo.</w:t>
      </w:r>
    </w:p>
    <w:p w14:paraId="6B6D63B0" w14:textId="77777777" w:rsidR="00AF74BE" w:rsidRPr="00C35766" w:rsidRDefault="00AF74BE" w:rsidP="00AF74BE">
      <w:pPr>
        <w:pStyle w:val="a3"/>
        <w:tabs>
          <w:tab w:val="left" w:pos="1386"/>
        </w:tabs>
        <w:rPr>
          <w:lang w:val="it-IT"/>
        </w:rPr>
      </w:pPr>
    </w:p>
    <w:p w14:paraId="5E964588" w14:textId="77777777" w:rsidR="00AF74BE" w:rsidRPr="00C35766" w:rsidRDefault="00AF74BE" w:rsidP="00AF74BE">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156D57D6" w14:textId="77777777" w:rsidTr="00933A6C">
        <w:trPr>
          <w:trHeight w:val="317"/>
        </w:trPr>
        <w:tc>
          <w:tcPr>
            <w:tcW w:w="9666" w:type="dxa"/>
            <w:vAlign w:val="center"/>
          </w:tcPr>
          <w:p w14:paraId="45F65024"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FORMA FARMACEUTICA E CONTENUTO</w:t>
            </w:r>
          </w:p>
        </w:tc>
      </w:tr>
    </w:tbl>
    <w:p w14:paraId="1ECF6FA8" w14:textId="77777777" w:rsidR="00AF74BE" w:rsidRPr="00C35766" w:rsidRDefault="00AF74BE" w:rsidP="00AF74BE">
      <w:pPr>
        <w:pStyle w:val="a3"/>
      </w:pPr>
    </w:p>
    <w:p w14:paraId="16FB3B61" w14:textId="77777777" w:rsidR="00AF74BE" w:rsidRPr="00C35766" w:rsidRDefault="00AF74BE" w:rsidP="00AF74BE">
      <w:pPr>
        <w:pStyle w:val="a3"/>
      </w:pPr>
      <w:r w:rsidRPr="00C35766">
        <w:rPr>
          <w:rFonts w:eastAsia="Times New Roman"/>
          <w:highlight w:val="lightGray"/>
          <w:lang w:val="it-IT"/>
        </w:rPr>
        <w:t>Soluzione iniettabile</w:t>
      </w:r>
    </w:p>
    <w:p w14:paraId="3F21A652" w14:textId="77777777" w:rsidR="00AF74BE" w:rsidRPr="00C35766" w:rsidRDefault="00AF74BE" w:rsidP="00AF74BE">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1 siringa pre-riempita</w:t>
      </w:r>
    </w:p>
    <w:p w14:paraId="76AB4552" w14:textId="3F65A634" w:rsidR="00AF74BE" w:rsidRPr="00C35766" w:rsidRDefault="00AF74BE" w:rsidP="00AF74BE">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2 tamponi imbevuti di alcool</w:t>
      </w:r>
    </w:p>
    <w:p w14:paraId="238F54D9" w14:textId="77777777" w:rsidR="00AF74BE" w:rsidRPr="00C35766" w:rsidRDefault="00AF74BE" w:rsidP="00AF74BE">
      <w:pPr>
        <w:autoSpaceDE w:val="0"/>
        <w:autoSpaceDN w:val="0"/>
        <w:adjustRightInd w:val="0"/>
        <w:rPr>
          <w:rFonts w:ascii="Times New Roman" w:hAnsi="Times New Roman" w:cs="Times New Roman"/>
          <w:highlight w:val="lightGray"/>
        </w:rPr>
      </w:pPr>
    </w:p>
    <w:p w14:paraId="4CB6DEA0" w14:textId="77777777" w:rsidR="00AF74BE" w:rsidRPr="00C35766" w:rsidRDefault="00AF74BE" w:rsidP="00AF74BE">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1 siringa pre-riempita con dispositivo di sicurezza per l’ago</w:t>
      </w:r>
    </w:p>
    <w:p w14:paraId="321AC10E" w14:textId="270710DC" w:rsidR="00AF74BE" w:rsidRPr="00C35766" w:rsidRDefault="00AF74BE" w:rsidP="00933A6C">
      <w:pPr>
        <w:autoSpaceDE w:val="0"/>
        <w:autoSpaceDN w:val="0"/>
        <w:adjustRightInd w:val="0"/>
        <w:rPr>
          <w:rFonts w:ascii="Times New Roman" w:hAnsi="Times New Roman" w:cs="Times New Roman"/>
          <w:highlight w:val="lightGray"/>
          <w:lang w:val="es-ES"/>
        </w:rPr>
      </w:pPr>
      <w:r w:rsidRPr="00C35766">
        <w:rPr>
          <w:rFonts w:ascii="Times New Roman" w:eastAsia="Times New Roman" w:hAnsi="Times New Roman" w:cs="Times New Roman"/>
          <w:highlight w:val="lightGray"/>
          <w:lang w:val="it-IT"/>
        </w:rPr>
        <w:t>2 tamponi imbevuti di alcool</w:t>
      </w:r>
    </w:p>
    <w:p w14:paraId="476CF314" w14:textId="77777777" w:rsidR="00AF74BE" w:rsidRPr="00C35766" w:rsidRDefault="00AF74BE" w:rsidP="00AF74BE">
      <w:pPr>
        <w:spacing w:line="200" w:lineRule="exact"/>
        <w:rPr>
          <w:rFonts w:ascii="Times New Roman" w:hAnsi="Times New Roman" w:cs="Times New Roman"/>
        </w:rPr>
      </w:pPr>
    </w:p>
    <w:p w14:paraId="39B61A90" w14:textId="77777777" w:rsidR="00AF74BE" w:rsidRPr="00C35766" w:rsidRDefault="00AF74BE" w:rsidP="00AF74BE">
      <w:pPr>
        <w:spacing w:line="20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3652152A" w14:textId="77777777" w:rsidTr="00933A6C">
        <w:trPr>
          <w:trHeight w:val="317"/>
        </w:trPr>
        <w:tc>
          <w:tcPr>
            <w:tcW w:w="9666" w:type="dxa"/>
            <w:vAlign w:val="center"/>
          </w:tcPr>
          <w:p w14:paraId="1A25C70E"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MODO E VIA DI SOMMINISTRAZIONE</w:t>
            </w:r>
          </w:p>
        </w:tc>
      </w:tr>
    </w:tbl>
    <w:p w14:paraId="0602C520" w14:textId="77777777" w:rsidR="00AF74BE" w:rsidRPr="00C35766" w:rsidRDefault="00AF74BE" w:rsidP="00AF74BE">
      <w:pPr>
        <w:spacing w:line="200" w:lineRule="exact"/>
        <w:rPr>
          <w:rFonts w:ascii="Times New Roman" w:hAnsi="Times New Roman" w:cs="Times New Roman"/>
          <w:lang w:val="pt-BR"/>
        </w:rPr>
      </w:pPr>
    </w:p>
    <w:p w14:paraId="33512070" w14:textId="77777777" w:rsidR="00AF74BE" w:rsidRPr="00C35766" w:rsidRDefault="00AF74BE" w:rsidP="00AF74BE">
      <w:pPr>
        <w:pStyle w:val="a3"/>
        <w:rPr>
          <w:lang w:val="pt-BR"/>
        </w:rPr>
      </w:pPr>
      <w:r w:rsidRPr="00C35766">
        <w:rPr>
          <w:rFonts w:eastAsia="Times New Roman"/>
          <w:lang w:val="it-IT"/>
        </w:rPr>
        <w:t>Uso sottocutaneo</w:t>
      </w:r>
    </w:p>
    <w:p w14:paraId="4A562AEC" w14:textId="77777777" w:rsidR="00AF74BE" w:rsidRPr="00C35766" w:rsidRDefault="00AF74BE" w:rsidP="00AF74BE">
      <w:pPr>
        <w:pStyle w:val="a3"/>
        <w:rPr>
          <w:lang w:val="pt-BR"/>
        </w:rPr>
      </w:pPr>
    </w:p>
    <w:p w14:paraId="66B98F73" w14:textId="77777777" w:rsidR="00AF74BE" w:rsidRPr="00C35766" w:rsidRDefault="00AF74BE" w:rsidP="00AF74BE">
      <w:pPr>
        <w:pStyle w:val="a3"/>
        <w:rPr>
          <w:lang w:val="pt-BR"/>
        </w:rPr>
      </w:pPr>
      <w:r w:rsidRPr="00C35766">
        <w:rPr>
          <w:rFonts w:eastAsia="Times New Roman"/>
          <w:lang w:val="it-IT"/>
        </w:rPr>
        <w:t>Leggere il foglio illustrativo prima dell’uso.</w:t>
      </w:r>
    </w:p>
    <w:p w14:paraId="77C1284F" w14:textId="77777777" w:rsidR="00AF74BE" w:rsidRPr="00C35766" w:rsidRDefault="00AF74BE" w:rsidP="00AF74BE">
      <w:pPr>
        <w:pStyle w:val="a3"/>
        <w:rPr>
          <w:lang w:val="pt-BR"/>
        </w:rPr>
      </w:pPr>
    </w:p>
    <w:p w14:paraId="4834505E" w14:textId="77777777" w:rsidR="00AF74BE" w:rsidRPr="00C35766" w:rsidRDefault="00AF74BE" w:rsidP="00AF74BE">
      <w:pPr>
        <w:pStyle w:val="a3"/>
      </w:pPr>
      <w:r w:rsidRPr="00C35766">
        <w:rPr>
          <w:rFonts w:eastAsia="Times New Roman"/>
          <w:lang w:val="it-IT"/>
        </w:rPr>
        <w:t>Esclusivamente monouso.</w:t>
      </w:r>
    </w:p>
    <w:p w14:paraId="19FBEEC2" w14:textId="77777777" w:rsidR="00AF74BE" w:rsidRPr="00C35766" w:rsidRDefault="00AF74BE" w:rsidP="00AF74BE">
      <w:pPr>
        <w:pStyle w:val="a3"/>
      </w:pPr>
    </w:p>
    <w:p w14:paraId="71033C53"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1B0DD4FC" w14:textId="77777777" w:rsidTr="00933A6C">
        <w:trPr>
          <w:trHeight w:val="317"/>
        </w:trPr>
        <w:tc>
          <w:tcPr>
            <w:tcW w:w="9666" w:type="dxa"/>
            <w:vAlign w:val="center"/>
          </w:tcPr>
          <w:p w14:paraId="242E30AB"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lang w:val="it-IT"/>
              </w:rPr>
            </w:pPr>
            <w:r w:rsidRPr="00C35766">
              <w:rPr>
                <w:rFonts w:ascii="Times New Roman" w:eastAsia="Times New Roman" w:hAnsi="Times New Roman" w:cs="Times New Roman"/>
                <w:b/>
                <w:bCs/>
                <w:spacing w:val="-1"/>
                <w:lang w:val="it-IT"/>
              </w:rPr>
              <w:t>AVVERTENZA PARTICOLARE CHE PRESCRIVA DI TENERE IL MEDICINALE FUORI DALLA VISTA E DALLA PORTATA DEI BAMBINI</w:t>
            </w:r>
          </w:p>
        </w:tc>
      </w:tr>
    </w:tbl>
    <w:p w14:paraId="7CB0783F" w14:textId="77777777" w:rsidR="00AF74BE" w:rsidRPr="00C35766" w:rsidRDefault="00AF74BE" w:rsidP="00AF74BE">
      <w:pPr>
        <w:spacing w:before="1" w:line="200" w:lineRule="exact"/>
        <w:rPr>
          <w:rFonts w:ascii="Times New Roman" w:hAnsi="Times New Roman" w:cs="Times New Roman"/>
          <w:lang w:val="it-IT"/>
        </w:rPr>
      </w:pPr>
    </w:p>
    <w:p w14:paraId="19020BA4" w14:textId="77777777" w:rsidR="00AF74BE" w:rsidRPr="00C35766" w:rsidRDefault="00AF74BE" w:rsidP="00AF74BE">
      <w:pPr>
        <w:pStyle w:val="a3"/>
        <w:rPr>
          <w:lang w:val="pt-BR"/>
        </w:rPr>
      </w:pPr>
      <w:r w:rsidRPr="00C35766">
        <w:rPr>
          <w:rFonts w:eastAsia="Times New Roman"/>
          <w:lang w:val="it-IT"/>
        </w:rPr>
        <w:t>Tenere fuori dalla vista e dalla portata dei bambini.</w:t>
      </w:r>
    </w:p>
    <w:p w14:paraId="7E8544B4" w14:textId="77777777" w:rsidR="00AF74BE" w:rsidRPr="00C35766" w:rsidRDefault="00AF74BE" w:rsidP="00AF74BE">
      <w:pPr>
        <w:pStyle w:val="a3"/>
        <w:rPr>
          <w:lang w:val="pt-BR"/>
        </w:rPr>
      </w:pPr>
    </w:p>
    <w:p w14:paraId="59A99B16" w14:textId="77777777" w:rsidR="00AF74BE" w:rsidRPr="00C35766" w:rsidRDefault="00AF74BE" w:rsidP="00AF74BE">
      <w:pPr>
        <w:pStyle w:val="a3"/>
        <w:rPr>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17AEE63A" w14:textId="77777777" w:rsidTr="00933A6C">
        <w:trPr>
          <w:trHeight w:val="317"/>
        </w:trPr>
        <w:tc>
          <w:tcPr>
            <w:tcW w:w="9666" w:type="dxa"/>
            <w:vAlign w:val="center"/>
          </w:tcPr>
          <w:p w14:paraId="5AAF71D5"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ALTRA(E) AVVERTENZA(E) PARTICOLARE(I), SE NECESSARIO</w:t>
            </w:r>
          </w:p>
        </w:tc>
      </w:tr>
    </w:tbl>
    <w:p w14:paraId="2BC2FD7D" w14:textId="77777777" w:rsidR="00AF74BE" w:rsidRPr="00C35766" w:rsidRDefault="00AF74BE" w:rsidP="00AF74BE">
      <w:pPr>
        <w:rPr>
          <w:rFonts w:ascii="Times New Roman" w:hAnsi="Times New Roman" w:cs="Times New Roman"/>
          <w:lang w:val="pt-BR"/>
        </w:rPr>
      </w:pPr>
    </w:p>
    <w:p w14:paraId="728363A6" w14:textId="77777777" w:rsidR="00AF74BE" w:rsidRPr="00C35766" w:rsidRDefault="00AF74BE" w:rsidP="00AF74B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9631603" w14:textId="77777777" w:rsidTr="00933A6C">
        <w:trPr>
          <w:trHeight w:val="317"/>
        </w:trPr>
        <w:tc>
          <w:tcPr>
            <w:tcW w:w="9666" w:type="dxa"/>
            <w:vAlign w:val="center"/>
          </w:tcPr>
          <w:p w14:paraId="3592BCD5"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49505ABD" w14:textId="77777777" w:rsidR="00AF74BE" w:rsidRPr="00C35766" w:rsidRDefault="00AF74BE" w:rsidP="00AF74BE">
      <w:pPr>
        <w:rPr>
          <w:rFonts w:ascii="Times New Roman" w:hAnsi="Times New Roman" w:cs="Times New Roman"/>
        </w:rPr>
      </w:pPr>
    </w:p>
    <w:p w14:paraId="2AB5E2D9" w14:textId="77777777" w:rsidR="00AF74BE" w:rsidRPr="00C35766" w:rsidRDefault="00AF74BE" w:rsidP="00AF74BE">
      <w:pPr>
        <w:pStyle w:val="a3"/>
      </w:pPr>
      <w:r w:rsidRPr="00C35766">
        <w:rPr>
          <w:rFonts w:eastAsia="Times New Roman"/>
          <w:lang w:val="it-IT"/>
        </w:rPr>
        <w:t>Scad.</w:t>
      </w:r>
    </w:p>
    <w:p w14:paraId="1ECC5EAC" w14:textId="77777777" w:rsidR="00AF74BE" w:rsidRPr="00C35766" w:rsidRDefault="00AF74BE" w:rsidP="00AF74BE">
      <w:pPr>
        <w:rPr>
          <w:rFonts w:ascii="Times New Roman" w:hAnsi="Times New Roman" w:cs="Times New Roman"/>
        </w:rPr>
      </w:pPr>
    </w:p>
    <w:p w14:paraId="2158BD09" w14:textId="77777777" w:rsidR="00AF74BE" w:rsidRPr="00C35766" w:rsidRDefault="00AF74BE" w:rsidP="00AF74B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3BC5409A" w14:textId="77777777" w:rsidTr="00933A6C">
        <w:trPr>
          <w:trHeight w:val="317"/>
        </w:trPr>
        <w:tc>
          <w:tcPr>
            <w:tcW w:w="9666" w:type="dxa"/>
            <w:vAlign w:val="center"/>
          </w:tcPr>
          <w:p w14:paraId="6458BFDC"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LA CONSERVAZIONE</w:t>
            </w:r>
          </w:p>
        </w:tc>
      </w:tr>
    </w:tbl>
    <w:p w14:paraId="194C1A15" w14:textId="77777777" w:rsidR="00AF74BE" w:rsidRPr="00C35766" w:rsidRDefault="00AF74BE" w:rsidP="00AF74BE">
      <w:pPr>
        <w:rPr>
          <w:rFonts w:ascii="Times New Roman" w:hAnsi="Times New Roman" w:cs="Times New Roman"/>
          <w:lang w:val="it-IT"/>
        </w:rPr>
      </w:pPr>
    </w:p>
    <w:p w14:paraId="17914BB5" w14:textId="77777777" w:rsidR="00AF74BE" w:rsidRPr="00C35766" w:rsidRDefault="00AF74BE" w:rsidP="00AF74BE">
      <w:pPr>
        <w:pStyle w:val="a3"/>
        <w:rPr>
          <w:lang w:val="pt-BR"/>
        </w:rPr>
      </w:pPr>
      <w:r w:rsidRPr="00C35766">
        <w:rPr>
          <w:rFonts w:eastAsia="Times New Roman"/>
          <w:lang w:val="it-IT"/>
        </w:rPr>
        <w:t>Conservare in frigorifero. Non congelare.</w:t>
      </w:r>
    </w:p>
    <w:p w14:paraId="1DB3C333" w14:textId="151A94F2" w:rsidR="00AF74BE" w:rsidRPr="00C35766" w:rsidRDefault="00AF74BE" w:rsidP="00E81705">
      <w:pPr>
        <w:pStyle w:val="a3"/>
        <w:rPr>
          <w:lang w:val="es-ES"/>
        </w:rPr>
      </w:pPr>
      <w:r w:rsidRPr="00C35766">
        <w:rPr>
          <w:rFonts w:eastAsia="Times New Roman"/>
          <w:lang w:val="it-IT"/>
        </w:rPr>
        <w:t>Conservare la siringa pre-riempita nell’imballaggio esterno per proteggerla dalla luce.</w:t>
      </w:r>
    </w:p>
    <w:p w14:paraId="14544CC1" w14:textId="77777777" w:rsidR="00AF74BE" w:rsidRPr="00C35766" w:rsidRDefault="00AF74BE" w:rsidP="00AF74BE">
      <w:pPr>
        <w:pStyle w:val="a3"/>
        <w:rPr>
          <w:lang w:val="it-IT"/>
        </w:rPr>
      </w:pPr>
      <w:r w:rsidRPr="00C35766">
        <w:rPr>
          <w:rFonts w:eastAsia="Times New Roman"/>
          <w:lang w:val="it-IT"/>
        </w:rPr>
        <w:t>Fare riferimento al foglio illustrativo per condizioni di conservazione alternative.</w:t>
      </w:r>
    </w:p>
    <w:p w14:paraId="011137B2" w14:textId="77777777" w:rsidR="00AF74BE" w:rsidRPr="00C35766" w:rsidRDefault="00AF74BE" w:rsidP="00AF74BE">
      <w:pPr>
        <w:rPr>
          <w:rFonts w:ascii="Times New Roman" w:hAnsi="Times New Roman" w:cs="Times New Roman"/>
          <w:lang w:val="it-IT"/>
        </w:rPr>
      </w:pPr>
    </w:p>
    <w:p w14:paraId="0C926841" w14:textId="77777777" w:rsidR="00AF74BE" w:rsidRPr="00C35766" w:rsidRDefault="00AF74BE" w:rsidP="00AF74B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58061E81" w14:textId="77777777" w:rsidTr="00933A6C">
        <w:trPr>
          <w:trHeight w:val="317"/>
        </w:trPr>
        <w:tc>
          <w:tcPr>
            <w:tcW w:w="9666" w:type="dxa"/>
            <w:vAlign w:val="center"/>
          </w:tcPr>
          <w:p w14:paraId="67B64F1E"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LO SMALTIMENTO DEL MEDICINALE NON UTILIZZATO O DEI RIFIUTI DERIVATI DA TALE MEDICINALE, SE NECESSARIO</w:t>
            </w:r>
          </w:p>
        </w:tc>
      </w:tr>
    </w:tbl>
    <w:p w14:paraId="7DCD32E5" w14:textId="77777777" w:rsidR="00AF74BE" w:rsidRPr="00C35766" w:rsidRDefault="00AF74BE" w:rsidP="00AF74BE">
      <w:pPr>
        <w:rPr>
          <w:rFonts w:ascii="Times New Roman" w:hAnsi="Times New Roman" w:cs="Times New Roman"/>
          <w:lang w:val="it-IT"/>
        </w:rPr>
      </w:pPr>
    </w:p>
    <w:p w14:paraId="44267AF2" w14:textId="77777777" w:rsidR="00AF74BE" w:rsidRPr="00C35766" w:rsidRDefault="00AF74BE" w:rsidP="00AF74B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34DC64B4" w14:textId="77777777" w:rsidTr="00933A6C">
        <w:trPr>
          <w:trHeight w:val="317"/>
        </w:trPr>
        <w:tc>
          <w:tcPr>
            <w:tcW w:w="9666" w:type="dxa"/>
            <w:vAlign w:val="center"/>
          </w:tcPr>
          <w:p w14:paraId="13476438"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NOME E INDIRIZZO DEL TITOLARE DELL’AUTORIZZAZIONE ALL’IMMISSIONE IN COMMERCIO</w:t>
            </w:r>
          </w:p>
        </w:tc>
      </w:tr>
    </w:tbl>
    <w:p w14:paraId="06101540" w14:textId="77777777" w:rsidR="00AF74BE" w:rsidRPr="00C35766" w:rsidRDefault="00AF74BE" w:rsidP="00AF74BE">
      <w:pPr>
        <w:spacing w:before="5" w:line="200" w:lineRule="exact"/>
        <w:rPr>
          <w:rFonts w:ascii="Times New Roman" w:hAnsi="Times New Roman" w:cs="Times New Roman"/>
          <w:lang w:val="it-IT"/>
        </w:rPr>
      </w:pPr>
    </w:p>
    <w:p w14:paraId="320BF325" w14:textId="77777777" w:rsidR="00AF74BE" w:rsidRPr="00C35766" w:rsidRDefault="00AF74BE" w:rsidP="00AF74BE">
      <w:pPr>
        <w:spacing w:before="5" w:line="200" w:lineRule="exact"/>
        <w:rPr>
          <w:rFonts w:ascii="Times New Roman" w:hAnsi="Times New Roman" w:cs="Times New Roman"/>
        </w:rPr>
      </w:pPr>
      <w:r w:rsidRPr="00C35766">
        <w:rPr>
          <w:rFonts w:ascii="Times New Roman" w:hAnsi="Times New Roman" w:cs="Times New Roman"/>
        </w:rPr>
        <w:t xml:space="preserve">Celltrion Healthcare Hungary Kft. </w:t>
      </w:r>
    </w:p>
    <w:p w14:paraId="0F7BA371" w14:textId="77777777" w:rsidR="00AF74BE" w:rsidRPr="00C35766" w:rsidRDefault="00AF74BE" w:rsidP="00AF74BE">
      <w:pPr>
        <w:spacing w:before="5" w:line="200" w:lineRule="exact"/>
        <w:rPr>
          <w:rFonts w:ascii="Times New Roman" w:hAnsi="Times New Roman" w:cs="Times New Roman"/>
        </w:rPr>
      </w:pPr>
      <w:r w:rsidRPr="00C35766">
        <w:rPr>
          <w:rFonts w:ascii="Times New Roman" w:hAnsi="Times New Roman" w:cs="Times New Roman"/>
        </w:rPr>
        <w:t>1062 Budapest</w:t>
      </w:r>
    </w:p>
    <w:p w14:paraId="6579A7F0" w14:textId="25B156C8" w:rsidR="00AF74BE" w:rsidRPr="00C35766" w:rsidRDefault="00AF74BE" w:rsidP="004E575C">
      <w:pPr>
        <w:pStyle w:val="a3"/>
        <w:rPr>
          <w:vanish/>
        </w:rPr>
      </w:pPr>
      <w:r w:rsidRPr="00D95C47">
        <w:t>Váci út 1-3. WestEnd Office Building B torony</w:t>
      </w:r>
    </w:p>
    <w:p w14:paraId="072C7CB4" w14:textId="77777777" w:rsidR="00AF74BE" w:rsidRPr="00C35766" w:rsidRDefault="00AF74BE" w:rsidP="00AF74BE">
      <w:pPr>
        <w:pStyle w:val="a3"/>
      </w:pPr>
      <w:r w:rsidRPr="00C35766">
        <w:rPr>
          <w:rFonts w:eastAsia="Times New Roman"/>
          <w:lang w:val="it-IT"/>
        </w:rPr>
        <w:t>Ungheria</w:t>
      </w:r>
    </w:p>
    <w:p w14:paraId="50B8C90D" w14:textId="77777777" w:rsidR="00AF74BE" w:rsidRPr="00C35766" w:rsidRDefault="00AF74BE" w:rsidP="00AF74BE">
      <w:pPr>
        <w:rPr>
          <w:rFonts w:ascii="Times New Roman" w:hAnsi="Times New Roman" w:cs="Times New Roman"/>
        </w:rPr>
      </w:pPr>
    </w:p>
    <w:p w14:paraId="5C05D262" w14:textId="77777777" w:rsidR="00AF74BE" w:rsidRPr="00C35766" w:rsidRDefault="00AF74BE" w:rsidP="00AF74B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4993F3BC" w14:textId="77777777" w:rsidTr="00933A6C">
        <w:trPr>
          <w:trHeight w:val="317"/>
        </w:trPr>
        <w:tc>
          <w:tcPr>
            <w:tcW w:w="9666" w:type="dxa"/>
            <w:vAlign w:val="center"/>
          </w:tcPr>
          <w:p w14:paraId="6664F18F"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NUMERO DELL’AUTORIZZAZIONE ALL’IMMISSIONE IN COMMERCIO</w:t>
            </w:r>
          </w:p>
        </w:tc>
      </w:tr>
    </w:tbl>
    <w:p w14:paraId="4BFA45A5" w14:textId="77777777" w:rsidR="00AF74BE" w:rsidRPr="00C35766" w:rsidRDefault="00AF74BE" w:rsidP="00AF74BE">
      <w:pPr>
        <w:rPr>
          <w:rFonts w:ascii="Times New Roman" w:hAnsi="Times New Roman" w:cs="Times New Roman"/>
          <w:lang w:val="it-IT"/>
        </w:rPr>
      </w:pPr>
    </w:p>
    <w:p w14:paraId="43C23C5F" w14:textId="7C139DC8" w:rsidR="00AF74BE" w:rsidRPr="00C35766" w:rsidRDefault="00AF74BE" w:rsidP="00AF74BE">
      <w:pPr>
        <w:pStyle w:val="a3"/>
        <w:rPr>
          <w:highlight w:val="lightGray"/>
          <w:lang w:val="it-IT"/>
        </w:rPr>
      </w:pPr>
      <w:r w:rsidRPr="00C35766">
        <w:rPr>
          <w:rFonts w:eastAsia="Times New Roman"/>
          <w:lang w:val="it-IT"/>
        </w:rPr>
        <w:t>EU/1/20/1513/0</w:t>
      </w:r>
      <w:r w:rsidR="00E81705" w:rsidRPr="00C35766">
        <w:rPr>
          <w:rFonts w:eastAsia="Times New Roman"/>
          <w:lang w:val="it-IT"/>
        </w:rPr>
        <w:t>13</w:t>
      </w:r>
      <w:r w:rsidRPr="00C35766">
        <w:rPr>
          <w:rFonts w:eastAsia="Times New Roman"/>
          <w:lang w:val="it-IT"/>
        </w:rPr>
        <w:t xml:space="preserve"> </w:t>
      </w:r>
      <w:r w:rsidRPr="00C35766">
        <w:rPr>
          <w:rFonts w:eastAsia="Times New Roman"/>
          <w:highlight w:val="lightGray"/>
          <w:lang w:val="it-IT"/>
        </w:rPr>
        <w:t>1 siringa pre-riempita</w:t>
      </w:r>
    </w:p>
    <w:p w14:paraId="5907E739" w14:textId="0A18DEBD" w:rsidR="00AF74BE" w:rsidRPr="00C35766" w:rsidRDefault="00AF74BE" w:rsidP="00933A6C">
      <w:pPr>
        <w:pStyle w:val="a3"/>
        <w:rPr>
          <w:highlight w:val="lightGray"/>
          <w:lang w:val="it-IT"/>
        </w:rPr>
      </w:pPr>
      <w:r w:rsidRPr="00C35766">
        <w:rPr>
          <w:highlight w:val="lightGray"/>
          <w:lang w:val="it-IT"/>
        </w:rPr>
        <w:t>EU/</w:t>
      </w:r>
      <w:r w:rsidRPr="00C35766">
        <w:rPr>
          <w:color w:val="000000"/>
          <w:highlight w:val="lightGray"/>
          <w:lang w:val="it-IT"/>
        </w:rPr>
        <w:t>1/20/1513/0</w:t>
      </w:r>
      <w:r w:rsidR="00E81705" w:rsidRPr="00C35766">
        <w:rPr>
          <w:color w:val="000000"/>
          <w:highlight w:val="lightGray"/>
          <w:lang w:val="it-IT"/>
        </w:rPr>
        <w:t>14</w:t>
      </w:r>
      <w:r w:rsidRPr="00C35766">
        <w:rPr>
          <w:highlight w:val="lightGray"/>
          <w:lang w:val="it-IT"/>
        </w:rPr>
        <w:t xml:space="preserve"> </w:t>
      </w:r>
      <w:r w:rsidRPr="00C35766">
        <w:rPr>
          <w:rFonts w:eastAsia="Times New Roman"/>
          <w:highlight w:val="lightGray"/>
          <w:lang w:val="it-IT"/>
        </w:rPr>
        <w:t>1 siringa pre-riempita con dispositivo di sicurezza per l’ago</w:t>
      </w:r>
    </w:p>
    <w:p w14:paraId="1F3E62BB" w14:textId="77777777" w:rsidR="00AF74BE" w:rsidRPr="00C35766" w:rsidRDefault="00AF74BE" w:rsidP="00AF74B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3A5941CE" w14:textId="77777777" w:rsidTr="00933A6C">
        <w:trPr>
          <w:trHeight w:val="317"/>
        </w:trPr>
        <w:tc>
          <w:tcPr>
            <w:tcW w:w="9666" w:type="dxa"/>
            <w:vAlign w:val="center"/>
          </w:tcPr>
          <w:p w14:paraId="375E5E6D"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0D3E5D3F" w14:textId="77777777" w:rsidR="00AF74BE" w:rsidRPr="00C35766" w:rsidRDefault="00AF74BE" w:rsidP="00AF74BE">
      <w:pPr>
        <w:rPr>
          <w:rFonts w:ascii="Times New Roman" w:hAnsi="Times New Roman" w:cs="Times New Roman"/>
        </w:rPr>
      </w:pPr>
    </w:p>
    <w:p w14:paraId="2C8BF276" w14:textId="77777777" w:rsidR="00AF74BE" w:rsidRPr="00C35766" w:rsidRDefault="00AF74BE" w:rsidP="00AF74BE">
      <w:pPr>
        <w:pStyle w:val="a3"/>
      </w:pPr>
      <w:r w:rsidRPr="00C35766">
        <w:rPr>
          <w:rFonts w:eastAsia="Times New Roman"/>
          <w:lang w:val="it-IT"/>
        </w:rPr>
        <w:t xml:space="preserve">Lotto </w:t>
      </w:r>
    </w:p>
    <w:p w14:paraId="0FE151AB" w14:textId="77777777" w:rsidR="00AF74BE" w:rsidRPr="00C35766" w:rsidRDefault="00AF74BE" w:rsidP="00AF74BE">
      <w:pPr>
        <w:pStyle w:val="a3"/>
      </w:pPr>
    </w:p>
    <w:p w14:paraId="5206B475"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1FEAB7B8" w14:textId="77777777" w:rsidTr="00933A6C">
        <w:trPr>
          <w:trHeight w:val="317"/>
        </w:trPr>
        <w:tc>
          <w:tcPr>
            <w:tcW w:w="9666" w:type="dxa"/>
            <w:vAlign w:val="center"/>
          </w:tcPr>
          <w:p w14:paraId="6645D434"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CONDIZIONE GENERALE DI FORNITURA</w:t>
            </w:r>
          </w:p>
        </w:tc>
      </w:tr>
    </w:tbl>
    <w:p w14:paraId="0A96C5BE" w14:textId="77777777" w:rsidR="00AF74BE" w:rsidRPr="00C35766" w:rsidRDefault="00AF74BE" w:rsidP="00AF74BE">
      <w:pPr>
        <w:jc w:val="both"/>
        <w:rPr>
          <w:rFonts w:ascii="Times New Roman" w:hAnsi="Times New Roman" w:cs="Times New Roman"/>
        </w:rPr>
      </w:pPr>
    </w:p>
    <w:p w14:paraId="552CD0D4"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43538E2A" w14:textId="77777777" w:rsidTr="00933A6C">
        <w:trPr>
          <w:trHeight w:val="317"/>
        </w:trPr>
        <w:tc>
          <w:tcPr>
            <w:tcW w:w="9666" w:type="dxa"/>
            <w:vAlign w:val="center"/>
          </w:tcPr>
          <w:p w14:paraId="335447CF"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ISTRUZIONI PER L’USO</w:t>
            </w:r>
          </w:p>
        </w:tc>
      </w:tr>
    </w:tbl>
    <w:p w14:paraId="7781C369" w14:textId="77777777" w:rsidR="00AF74BE" w:rsidRPr="00C35766" w:rsidRDefault="00AF74BE" w:rsidP="00AF74BE">
      <w:pPr>
        <w:jc w:val="both"/>
        <w:rPr>
          <w:rFonts w:ascii="Times New Roman" w:hAnsi="Times New Roman" w:cs="Times New Roman"/>
        </w:rPr>
      </w:pPr>
    </w:p>
    <w:p w14:paraId="48329166"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5961177" w14:textId="77777777" w:rsidTr="00933A6C">
        <w:trPr>
          <w:trHeight w:val="317"/>
        </w:trPr>
        <w:tc>
          <w:tcPr>
            <w:tcW w:w="9666" w:type="dxa"/>
            <w:vAlign w:val="center"/>
          </w:tcPr>
          <w:p w14:paraId="5700D271"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INFORMAZIONI IN BRAILLE</w:t>
            </w:r>
          </w:p>
        </w:tc>
      </w:tr>
    </w:tbl>
    <w:p w14:paraId="7928E8F4" w14:textId="77777777" w:rsidR="00AF74BE" w:rsidRPr="00C35766" w:rsidRDefault="00AF74BE" w:rsidP="00AF74BE">
      <w:pPr>
        <w:jc w:val="both"/>
        <w:rPr>
          <w:rFonts w:ascii="Times New Roman" w:hAnsi="Times New Roman" w:cs="Times New Roman"/>
        </w:rPr>
      </w:pPr>
    </w:p>
    <w:p w14:paraId="317DD9F8" w14:textId="2BE4AF70" w:rsidR="00AF74BE" w:rsidRPr="00C35766" w:rsidRDefault="00AF74BE" w:rsidP="00AF74BE">
      <w:pPr>
        <w:pStyle w:val="a3"/>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w:t>
      </w:r>
    </w:p>
    <w:p w14:paraId="441FC65A" w14:textId="77777777" w:rsidR="00AF74BE" w:rsidRPr="00C35766" w:rsidRDefault="00AF74BE" w:rsidP="00AF74BE">
      <w:pPr>
        <w:jc w:val="both"/>
        <w:rPr>
          <w:rFonts w:ascii="Times New Roman" w:hAnsi="Times New Roman" w:cs="Times New Roman"/>
        </w:rPr>
      </w:pPr>
    </w:p>
    <w:p w14:paraId="12093A92"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5B567DFB" w14:textId="77777777" w:rsidTr="00933A6C">
        <w:trPr>
          <w:trHeight w:val="317"/>
        </w:trPr>
        <w:tc>
          <w:tcPr>
            <w:tcW w:w="9666" w:type="dxa"/>
            <w:vAlign w:val="center"/>
          </w:tcPr>
          <w:p w14:paraId="0718BEA5" w14:textId="77777777" w:rsidR="00AF74BE" w:rsidRPr="00C35766" w:rsidRDefault="00AF74BE" w:rsidP="00933A6C">
            <w:pPr>
              <w:numPr>
                <w:ilvl w:val="0"/>
                <w:numId w:val="57"/>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IDENTIFICATIVO UNICO – CODICE A BARRE BIDIMENSIONALE</w:t>
            </w:r>
          </w:p>
        </w:tc>
      </w:tr>
    </w:tbl>
    <w:p w14:paraId="202BEF4F" w14:textId="77777777" w:rsidR="00AF74BE" w:rsidRPr="00C35766" w:rsidRDefault="00AF74BE" w:rsidP="00AF74BE">
      <w:pPr>
        <w:jc w:val="both"/>
        <w:rPr>
          <w:rFonts w:ascii="Times New Roman" w:hAnsi="Times New Roman" w:cs="Times New Roman"/>
          <w:lang w:val="it-IT"/>
        </w:rPr>
      </w:pPr>
    </w:p>
    <w:p w14:paraId="50887D78" w14:textId="77777777" w:rsidR="00AF74BE" w:rsidRPr="00C35766" w:rsidRDefault="00AF74BE" w:rsidP="00AF74BE">
      <w:pPr>
        <w:pStyle w:val="a3"/>
        <w:rPr>
          <w:lang w:val="it-IT"/>
        </w:rPr>
      </w:pPr>
      <w:r w:rsidRPr="00C35766">
        <w:rPr>
          <w:rFonts w:eastAsia="Times New Roman"/>
          <w:highlight w:val="lightGray"/>
          <w:lang w:val="it-IT"/>
        </w:rPr>
        <w:t>Codice a barre bidimensionale con identificativo unico incluso.</w:t>
      </w:r>
    </w:p>
    <w:p w14:paraId="1F424148" w14:textId="77777777" w:rsidR="00AF74BE" w:rsidRPr="00C35766" w:rsidRDefault="00AF74BE" w:rsidP="00AF74BE">
      <w:pPr>
        <w:jc w:val="both"/>
        <w:rPr>
          <w:rFonts w:ascii="Times New Roman" w:hAnsi="Times New Roman" w:cs="Times New Roman"/>
          <w:lang w:val="it-IT"/>
        </w:rPr>
      </w:pPr>
    </w:p>
    <w:p w14:paraId="4BCF3515" w14:textId="77777777" w:rsidR="00AF74BE" w:rsidRPr="00C35766" w:rsidRDefault="00AF74BE" w:rsidP="00AF74BE">
      <w:pPr>
        <w:jc w:val="both"/>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A101379" w14:textId="77777777" w:rsidTr="00933A6C">
        <w:trPr>
          <w:trHeight w:val="317"/>
        </w:trPr>
        <w:tc>
          <w:tcPr>
            <w:tcW w:w="9666" w:type="dxa"/>
            <w:vAlign w:val="center"/>
          </w:tcPr>
          <w:p w14:paraId="67343CDF" w14:textId="77777777" w:rsidR="00AF74BE" w:rsidRPr="00C35766" w:rsidRDefault="00AF74BE" w:rsidP="00933A6C">
            <w:pPr>
              <w:numPr>
                <w:ilvl w:val="0"/>
                <w:numId w:val="57"/>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IDENTIFICATIVO UNICO – DATI LEGGIBILI</w:t>
            </w:r>
          </w:p>
        </w:tc>
      </w:tr>
    </w:tbl>
    <w:p w14:paraId="35C7E857" w14:textId="77777777" w:rsidR="00AF74BE" w:rsidRPr="00C35766" w:rsidRDefault="00AF74BE" w:rsidP="00AF74BE">
      <w:pPr>
        <w:jc w:val="both"/>
        <w:rPr>
          <w:rFonts w:ascii="Times New Roman" w:hAnsi="Times New Roman" w:cs="Times New Roman"/>
        </w:rPr>
      </w:pPr>
    </w:p>
    <w:p w14:paraId="51293436" w14:textId="77777777" w:rsidR="00AF74BE" w:rsidRPr="00C35766" w:rsidRDefault="00AF74BE" w:rsidP="00AF74BE">
      <w:pPr>
        <w:pStyle w:val="a3"/>
      </w:pPr>
      <w:r w:rsidRPr="00C35766">
        <w:rPr>
          <w:rFonts w:eastAsia="Times New Roman"/>
          <w:lang w:val="it-IT"/>
        </w:rPr>
        <w:t>PC</w:t>
      </w:r>
    </w:p>
    <w:p w14:paraId="34C4D6F5" w14:textId="77777777" w:rsidR="00AF74BE" w:rsidRPr="00C35766" w:rsidRDefault="00AF74BE" w:rsidP="00AF74BE">
      <w:pPr>
        <w:pStyle w:val="a3"/>
      </w:pPr>
      <w:r w:rsidRPr="00C35766">
        <w:rPr>
          <w:rFonts w:eastAsia="Times New Roman"/>
          <w:lang w:val="it-IT"/>
        </w:rPr>
        <w:t>SN</w:t>
      </w:r>
    </w:p>
    <w:p w14:paraId="7E773896" w14:textId="77777777" w:rsidR="00AF74BE" w:rsidRPr="00C35766" w:rsidRDefault="00AF74BE" w:rsidP="00AF74BE">
      <w:pPr>
        <w:pStyle w:val="a3"/>
      </w:pPr>
      <w:r w:rsidRPr="00C35766">
        <w:rPr>
          <w:rFonts w:eastAsia="Times New Roman"/>
          <w:spacing w:val="-2"/>
          <w:lang w:val="it-IT"/>
        </w:rPr>
        <w:t>NN</w:t>
      </w:r>
    </w:p>
    <w:p w14:paraId="3EC2CC8D" w14:textId="77777777" w:rsidR="00AF74BE" w:rsidRPr="00C35766" w:rsidRDefault="00AF74BE" w:rsidP="00AF74BE">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AF74BE" w:rsidRPr="006501B3" w14:paraId="032F43F8" w14:textId="77777777" w:rsidTr="00933A6C">
        <w:trPr>
          <w:trHeight w:val="822"/>
        </w:trPr>
        <w:tc>
          <w:tcPr>
            <w:tcW w:w="9666" w:type="dxa"/>
            <w:vAlign w:val="center"/>
          </w:tcPr>
          <w:p w14:paraId="522E1304" w14:textId="77777777" w:rsidR="00AF74BE" w:rsidRPr="00C35766" w:rsidRDefault="00AF74BE" w:rsidP="00933A6C">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lastRenderedPageBreak/>
              <w:t xml:space="preserve">INFORMAZIONI MINIME DA APPORRE SUI CONFEZIONAMENTI PRIMARI DI PICCOLE DIMENSIONI </w:t>
            </w:r>
          </w:p>
          <w:p w14:paraId="4C9C5978" w14:textId="77777777" w:rsidR="00AF74BE" w:rsidRPr="00C35766" w:rsidRDefault="00AF74BE" w:rsidP="00933A6C">
            <w:pPr>
              <w:tabs>
                <w:tab w:val="left" w:pos="672"/>
              </w:tabs>
              <w:jc w:val="both"/>
              <w:rPr>
                <w:rFonts w:ascii="Times New Roman" w:hAnsi="Times New Roman" w:cs="Times New Roman"/>
                <w:b/>
                <w:spacing w:val="-1"/>
                <w:lang w:val="it-IT"/>
              </w:rPr>
            </w:pPr>
          </w:p>
          <w:p w14:paraId="25212258" w14:textId="77777777" w:rsidR="00AF74BE" w:rsidRPr="00C35766" w:rsidRDefault="00AF74BE" w:rsidP="00933A6C">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ETICHETTA DA APPORRE SULLA SIRINGA PRE-RIEMPITA</w:t>
            </w:r>
          </w:p>
        </w:tc>
      </w:tr>
    </w:tbl>
    <w:p w14:paraId="474F24D6" w14:textId="77777777" w:rsidR="00AF74BE" w:rsidRPr="00C35766" w:rsidRDefault="00AF74BE" w:rsidP="00AF74BE">
      <w:pPr>
        <w:spacing w:line="200" w:lineRule="exact"/>
        <w:rPr>
          <w:rFonts w:ascii="Times New Roman" w:hAnsi="Times New Roman" w:cs="Times New Roman"/>
          <w:lang w:val="it-IT"/>
        </w:rPr>
      </w:pPr>
    </w:p>
    <w:p w14:paraId="4244F1DF" w14:textId="77777777" w:rsidR="00AF74BE" w:rsidRPr="00C35766" w:rsidRDefault="00AF74BE" w:rsidP="00AF74BE">
      <w:pPr>
        <w:spacing w:line="200" w:lineRule="exact"/>
        <w:rPr>
          <w:rFonts w:ascii="Times New Roman" w:hAnsi="Times New Roman" w:cs="Times New Roman"/>
          <w:lang w:val="it-IT"/>
        </w:rPr>
      </w:pPr>
    </w:p>
    <w:tbl>
      <w:tblPr>
        <w:tblStyle w:val="ac"/>
        <w:tblpPr w:leftFromText="142" w:rightFromText="142" w:vertAnchor="text" w:tblpY="55"/>
        <w:tblW w:w="9666" w:type="dxa"/>
        <w:tblLook w:val="04A0" w:firstRow="1" w:lastRow="0" w:firstColumn="1" w:lastColumn="0" w:noHBand="0" w:noVBand="1"/>
      </w:tblPr>
      <w:tblGrid>
        <w:gridCol w:w="9666"/>
      </w:tblGrid>
      <w:tr w:rsidR="00AF74BE" w:rsidRPr="003557F0" w14:paraId="16FA002C" w14:textId="77777777" w:rsidTr="00933A6C">
        <w:trPr>
          <w:trHeight w:val="317"/>
        </w:trPr>
        <w:tc>
          <w:tcPr>
            <w:tcW w:w="9666" w:type="dxa"/>
            <w:vAlign w:val="center"/>
          </w:tcPr>
          <w:p w14:paraId="69FFD778" w14:textId="77777777" w:rsidR="00AF74BE" w:rsidRPr="00C35766" w:rsidRDefault="00AF74BE" w:rsidP="00933A6C">
            <w:pPr>
              <w:numPr>
                <w:ilvl w:val="0"/>
                <w:numId w:val="58"/>
              </w:numPr>
              <w:tabs>
                <w:tab w:val="left" w:pos="672"/>
              </w:tabs>
              <w:ind w:left="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DENOMINAZIONE DEL MEDICINALE E VIA(E) DI SOMMINISTRAZIONE</w:t>
            </w:r>
          </w:p>
        </w:tc>
      </w:tr>
    </w:tbl>
    <w:p w14:paraId="0FE548D7" w14:textId="77777777" w:rsidR="00AF74BE" w:rsidRPr="00C35766" w:rsidRDefault="00AF74BE" w:rsidP="00AF74BE">
      <w:pPr>
        <w:spacing w:line="200" w:lineRule="exact"/>
        <w:rPr>
          <w:rFonts w:ascii="Times New Roman" w:hAnsi="Times New Roman" w:cs="Times New Roman"/>
          <w:lang w:val="pt-BR"/>
        </w:rPr>
      </w:pPr>
    </w:p>
    <w:p w14:paraId="6A282410" w14:textId="1C712544" w:rsidR="00AF74BE" w:rsidRPr="00824699" w:rsidRDefault="00AF74BE" w:rsidP="00AF74BE">
      <w:pPr>
        <w:pStyle w:val="a3"/>
        <w:rPr>
          <w:lang w:val="it-IT"/>
        </w:rPr>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 per iniezioni</w:t>
      </w:r>
    </w:p>
    <w:p w14:paraId="20FC705A" w14:textId="77777777" w:rsidR="00AF74BE" w:rsidRPr="00824699" w:rsidRDefault="00AF74BE" w:rsidP="00AF74BE">
      <w:pPr>
        <w:pStyle w:val="a3"/>
        <w:rPr>
          <w:lang w:val="it-IT"/>
        </w:rPr>
      </w:pPr>
      <w:r w:rsidRPr="00C35766">
        <w:rPr>
          <w:rFonts w:eastAsia="Times New Roman"/>
          <w:lang w:val="it-IT"/>
        </w:rPr>
        <w:t>adalimumab</w:t>
      </w:r>
    </w:p>
    <w:p w14:paraId="0F6EEDD0" w14:textId="77777777" w:rsidR="00AF74BE" w:rsidRPr="00C35766" w:rsidRDefault="00AF74BE" w:rsidP="00AF74BE">
      <w:pPr>
        <w:pStyle w:val="a3"/>
        <w:rPr>
          <w:rFonts w:eastAsia="Times New Roman"/>
          <w:lang w:val="it-IT"/>
        </w:rPr>
      </w:pPr>
      <w:r w:rsidRPr="00C35766">
        <w:rPr>
          <w:rFonts w:eastAsia="Times New Roman"/>
          <w:lang w:val="it-IT"/>
        </w:rPr>
        <w:t xml:space="preserve">s.c. </w:t>
      </w:r>
    </w:p>
    <w:p w14:paraId="2DA5F21F" w14:textId="77777777" w:rsidR="00AF74BE" w:rsidRPr="00824699" w:rsidRDefault="00AF74BE" w:rsidP="00AF74BE">
      <w:pPr>
        <w:pStyle w:val="a3"/>
        <w:rPr>
          <w:lang w:val="it-IT"/>
        </w:rPr>
      </w:pPr>
    </w:p>
    <w:p w14:paraId="52465385" w14:textId="77777777" w:rsidR="00AF74BE" w:rsidRPr="00824699" w:rsidRDefault="00AF74BE" w:rsidP="00AF74BE">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47E423C7" w14:textId="77777777" w:rsidTr="00933A6C">
        <w:trPr>
          <w:trHeight w:val="317"/>
        </w:trPr>
        <w:tc>
          <w:tcPr>
            <w:tcW w:w="9666" w:type="dxa"/>
            <w:vAlign w:val="center"/>
          </w:tcPr>
          <w:p w14:paraId="6EFF015C" w14:textId="77777777" w:rsidR="00AF74BE" w:rsidRPr="00C35766" w:rsidRDefault="00AF74BE" w:rsidP="00933A6C">
            <w:pPr>
              <w:numPr>
                <w:ilvl w:val="0"/>
                <w:numId w:val="5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MODO DI SOMMINISTRAZIONE</w:t>
            </w:r>
          </w:p>
        </w:tc>
      </w:tr>
    </w:tbl>
    <w:p w14:paraId="163D5ECA" w14:textId="77777777" w:rsidR="00AF74BE" w:rsidRPr="00C35766" w:rsidRDefault="00AF74BE" w:rsidP="00AF74BE">
      <w:pPr>
        <w:spacing w:before="13" w:line="280" w:lineRule="exact"/>
        <w:rPr>
          <w:rFonts w:ascii="Times New Roman" w:hAnsi="Times New Roman" w:cs="Times New Roman"/>
        </w:rPr>
      </w:pPr>
    </w:p>
    <w:p w14:paraId="4B6A2886" w14:textId="77777777" w:rsidR="00AF74BE" w:rsidRPr="00C35766" w:rsidRDefault="00AF74BE" w:rsidP="00AF74BE">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488E8F81" w14:textId="77777777" w:rsidTr="00933A6C">
        <w:trPr>
          <w:trHeight w:val="317"/>
        </w:trPr>
        <w:tc>
          <w:tcPr>
            <w:tcW w:w="9666" w:type="dxa"/>
            <w:vAlign w:val="center"/>
          </w:tcPr>
          <w:p w14:paraId="42A17EE9" w14:textId="77777777" w:rsidR="00AF74BE" w:rsidRPr="00C35766" w:rsidRDefault="00AF74BE" w:rsidP="00933A6C">
            <w:pPr>
              <w:numPr>
                <w:ilvl w:val="0"/>
                <w:numId w:val="5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2024200E" w14:textId="77777777" w:rsidR="00AF74BE" w:rsidRPr="00C35766" w:rsidRDefault="00AF74BE" w:rsidP="00AF74BE">
      <w:pPr>
        <w:pStyle w:val="a3"/>
      </w:pPr>
    </w:p>
    <w:p w14:paraId="24EE8AE9" w14:textId="77777777" w:rsidR="00AF74BE" w:rsidRPr="00C35766" w:rsidRDefault="00AF74BE" w:rsidP="00AF74BE">
      <w:pPr>
        <w:pStyle w:val="a3"/>
      </w:pPr>
      <w:r w:rsidRPr="00C35766">
        <w:rPr>
          <w:rFonts w:eastAsia="Times New Roman"/>
          <w:lang w:val="it-IT"/>
        </w:rPr>
        <w:t>EXP</w:t>
      </w:r>
    </w:p>
    <w:p w14:paraId="6E53CD9B" w14:textId="77777777" w:rsidR="00AF74BE" w:rsidRPr="00C35766" w:rsidRDefault="00AF74BE" w:rsidP="00AF74BE">
      <w:pPr>
        <w:pStyle w:val="a3"/>
      </w:pPr>
    </w:p>
    <w:p w14:paraId="20039FA8"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0B235873" w14:textId="77777777" w:rsidTr="00933A6C">
        <w:trPr>
          <w:trHeight w:val="317"/>
        </w:trPr>
        <w:tc>
          <w:tcPr>
            <w:tcW w:w="9666" w:type="dxa"/>
            <w:vAlign w:val="center"/>
          </w:tcPr>
          <w:p w14:paraId="4610BCAF" w14:textId="77777777" w:rsidR="00AF74BE" w:rsidRPr="00C35766" w:rsidRDefault="00AF74BE" w:rsidP="00933A6C">
            <w:pPr>
              <w:numPr>
                <w:ilvl w:val="0"/>
                <w:numId w:val="5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6604E334" w14:textId="77777777" w:rsidR="00AF74BE" w:rsidRPr="00C35766" w:rsidRDefault="00AF74BE" w:rsidP="00AF74BE">
      <w:pPr>
        <w:pStyle w:val="a3"/>
      </w:pPr>
    </w:p>
    <w:p w14:paraId="648D4144" w14:textId="77777777" w:rsidR="00AF74BE" w:rsidRPr="00C35766" w:rsidRDefault="00AF74BE" w:rsidP="00AF74BE">
      <w:pPr>
        <w:pStyle w:val="a3"/>
      </w:pPr>
      <w:r w:rsidRPr="00C35766">
        <w:rPr>
          <w:rFonts w:eastAsia="Times New Roman"/>
          <w:lang w:val="it-IT"/>
        </w:rPr>
        <w:t>Lot</w:t>
      </w:r>
    </w:p>
    <w:p w14:paraId="1A0DC5D1" w14:textId="77777777" w:rsidR="00AF74BE" w:rsidRPr="00C35766" w:rsidRDefault="00AF74BE" w:rsidP="00AF74BE">
      <w:pPr>
        <w:pStyle w:val="a3"/>
      </w:pPr>
    </w:p>
    <w:p w14:paraId="1D6A9CEC"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5355AB3B" w14:textId="77777777" w:rsidTr="00933A6C">
        <w:trPr>
          <w:trHeight w:val="317"/>
        </w:trPr>
        <w:tc>
          <w:tcPr>
            <w:tcW w:w="9666" w:type="dxa"/>
            <w:vAlign w:val="center"/>
          </w:tcPr>
          <w:p w14:paraId="1E12D3D7" w14:textId="77777777" w:rsidR="00AF74BE" w:rsidRPr="00C35766" w:rsidRDefault="00AF74BE" w:rsidP="00933A6C">
            <w:pPr>
              <w:numPr>
                <w:ilvl w:val="0"/>
                <w:numId w:val="58"/>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CONTENUTO IN PESO, VOLUME O UNITÀ</w:t>
            </w:r>
          </w:p>
        </w:tc>
      </w:tr>
    </w:tbl>
    <w:p w14:paraId="1896E541" w14:textId="77777777" w:rsidR="00AF74BE" w:rsidRPr="00C35766" w:rsidRDefault="00AF74BE" w:rsidP="00AF74BE">
      <w:pPr>
        <w:spacing w:before="13" w:line="280" w:lineRule="exact"/>
        <w:rPr>
          <w:rFonts w:ascii="Times New Roman" w:hAnsi="Times New Roman" w:cs="Times New Roman"/>
          <w:lang w:val="pt-BR"/>
        </w:rPr>
      </w:pPr>
    </w:p>
    <w:p w14:paraId="6FE5BAE3" w14:textId="6A7C7D51" w:rsidR="00AF74BE" w:rsidRPr="00C35766" w:rsidRDefault="00E81705" w:rsidP="00AF74BE">
      <w:pPr>
        <w:pStyle w:val="a3"/>
      </w:pPr>
      <w:r w:rsidRPr="00C35766">
        <w:rPr>
          <w:rFonts w:eastAsia="Times New Roman"/>
          <w:spacing w:val="-4"/>
          <w:lang w:val="it-IT"/>
        </w:rPr>
        <w:t>8</w:t>
      </w:r>
      <w:r w:rsidR="00AF74BE" w:rsidRPr="00C35766">
        <w:rPr>
          <w:rFonts w:eastAsia="Times New Roman"/>
          <w:spacing w:val="-4"/>
          <w:lang w:val="it-IT"/>
        </w:rPr>
        <w:t>0 mg/0</w:t>
      </w:r>
      <w:r w:rsidR="00107082">
        <w:rPr>
          <w:rFonts w:eastAsia="Times New Roman"/>
          <w:spacing w:val="-4"/>
          <w:lang w:val="it-IT"/>
        </w:rPr>
        <w:t>,</w:t>
      </w:r>
      <w:r w:rsidRPr="00C35766">
        <w:rPr>
          <w:rFonts w:eastAsia="Times New Roman"/>
          <w:spacing w:val="-4"/>
          <w:lang w:val="it-IT"/>
        </w:rPr>
        <w:t>8</w:t>
      </w:r>
      <w:r w:rsidR="00AF74BE" w:rsidRPr="00C35766">
        <w:rPr>
          <w:rFonts w:eastAsia="Times New Roman"/>
          <w:spacing w:val="-4"/>
          <w:lang w:val="it-IT"/>
        </w:rPr>
        <w:t> mL</w:t>
      </w:r>
    </w:p>
    <w:p w14:paraId="5B3F9338" w14:textId="77777777" w:rsidR="00AF74BE" w:rsidRPr="00C35766" w:rsidRDefault="00AF74BE" w:rsidP="00AF74BE">
      <w:pPr>
        <w:spacing w:before="13" w:line="280" w:lineRule="exact"/>
        <w:rPr>
          <w:rFonts w:ascii="Times New Roman" w:hAnsi="Times New Roman" w:cs="Times New Roman"/>
        </w:rPr>
      </w:pPr>
    </w:p>
    <w:p w14:paraId="30FFB5D1" w14:textId="77777777" w:rsidR="00AF74BE" w:rsidRPr="00C35766" w:rsidRDefault="00AF74BE" w:rsidP="00AF74BE">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5A1C581" w14:textId="77777777" w:rsidTr="00933A6C">
        <w:trPr>
          <w:trHeight w:val="317"/>
        </w:trPr>
        <w:tc>
          <w:tcPr>
            <w:tcW w:w="9666" w:type="dxa"/>
            <w:vAlign w:val="center"/>
          </w:tcPr>
          <w:p w14:paraId="5CEEF109" w14:textId="77777777" w:rsidR="00AF74BE" w:rsidRPr="00C35766" w:rsidRDefault="00AF74BE" w:rsidP="00933A6C">
            <w:pPr>
              <w:numPr>
                <w:ilvl w:val="0"/>
                <w:numId w:val="58"/>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ALTRO</w:t>
            </w:r>
          </w:p>
        </w:tc>
      </w:tr>
    </w:tbl>
    <w:p w14:paraId="3A22BA88" w14:textId="77777777" w:rsidR="00AF74BE" w:rsidRPr="00C35766" w:rsidRDefault="00AF74BE" w:rsidP="00AF74BE">
      <w:pPr>
        <w:pStyle w:val="a3"/>
      </w:pPr>
    </w:p>
    <w:p w14:paraId="615AD6FC" w14:textId="77777777" w:rsidR="00AF74BE" w:rsidRPr="00C35766" w:rsidRDefault="00AF74BE" w:rsidP="00AF74BE">
      <w:pPr>
        <w:rPr>
          <w:rFonts w:ascii="Times New Roman" w:hAnsi="Times New Roman" w:cs="Times New Roman"/>
        </w:rPr>
      </w:pPr>
    </w:p>
    <w:p w14:paraId="74F66ABE" w14:textId="77777777" w:rsidR="00AF74BE" w:rsidRPr="00C35766" w:rsidRDefault="00AF74BE" w:rsidP="00AF74BE">
      <w:pPr>
        <w:rPr>
          <w:rFonts w:ascii="Times New Roman" w:hAnsi="Times New Roman" w:cs="Times New Roman"/>
        </w:rPr>
      </w:pPr>
      <w:r w:rsidRPr="00C35766">
        <w:rPr>
          <w:rFonts w:ascii="Times New Roman" w:hAnsi="Times New Roman" w:cs="Times New Roman"/>
        </w:rPr>
        <w:br w:type="page"/>
      </w:r>
    </w:p>
    <w:p w14:paraId="2C69FC20" w14:textId="77777777" w:rsidR="00AF74BE" w:rsidRPr="00C35766" w:rsidRDefault="00AF74BE" w:rsidP="00AF74BE">
      <w:pPr>
        <w:rPr>
          <w:rFonts w:ascii="Times New Roman" w:eastAsia="Times New Roman" w:hAnsi="Times New Roman" w:cs="Times New Roman"/>
          <w:b/>
          <w:bCs/>
          <w:spacing w:val="-1"/>
        </w:rPr>
      </w:pPr>
    </w:p>
    <w:tbl>
      <w:tblPr>
        <w:tblStyle w:val="ac"/>
        <w:tblW w:w="9666" w:type="dxa"/>
        <w:tblLook w:val="04A0" w:firstRow="1" w:lastRow="0" w:firstColumn="1" w:lastColumn="0" w:noHBand="0" w:noVBand="1"/>
      </w:tblPr>
      <w:tblGrid>
        <w:gridCol w:w="9666"/>
      </w:tblGrid>
      <w:tr w:rsidR="00AF74BE" w:rsidRPr="003557F0" w14:paraId="4E0AE76C" w14:textId="77777777" w:rsidTr="00933A6C">
        <w:trPr>
          <w:trHeight w:val="822"/>
        </w:trPr>
        <w:tc>
          <w:tcPr>
            <w:tcW w:w="9666" w:type="dxa"/>
            <w:vAlign w:val="center"/>
          </w:tcPr>
          <w:p w14:paraId="78FA3043" w14:textId="77777777" w:rsidR="00AF74BE" w:rsidRPr="00C35766" w:rsidRDefault="00AF74BE" w:rsidP="00933A6C">
            <w:pPr>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INFORMAZIONI DA APPORRE SUL CONFEZIONAMENTO SECONDARIO</w:t>
            </w:r>
          </w:p>
          <w:p w14:paraId="311A75F9" w14:textId="77777777" w:rsidR="00AF74BE" w:rsidRPr="00C35766" w:rsidRDefault="00AF74BE" w:rsidP="00933A6C">
            <w:pPr>
              <w:spacing w:line="180" w:lineRule="exact"/>
              <w:jc w:val="both"/>
              <w:rPr>
                <w:rFonts w:ascii="Times New Roman" w:hAnsi="Times New Roman" w:cs="Times New Roman"/>
                <w:sz w:val="18"/>
                <w:szCs w:val="18"/>
                <w:lang w:val="pt-BR"/>
              </w:rPr>
            </w:pPr>
          </w:p>
          <w:p w14:paraId="5F2CA035" w14:textId="77777777" w:rsidR="00AF74BE" w:rsidRPr="00C35766" w:rsidRDefault="00AF74BE" w:rsidP="00933A6C">
            <w:pPr>
              <w:jc w:val="both"/>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IMBALLAGGIO ESTERNO DELLA PENNA PRE-RIEMPITA</w:t>
            </w:r>
          </w:p>
        </w:tc>
      </w:tr>
    </w:tbl>
    <w:p w14:paraId="135CEFBB" w14:textId="77777777" w:rsidR="00AF74BE" w:rsidRPr="00C35766" w:rsidRDefault="00AF74BE" w:rsidP="00AF74BE">
      <w:pPr>
        <w:spacing w:line="200" w:lineRule="exact"/>
        <w:rPr>
          <w:rFonts w:ascii="Times New Roman" w:hAnsi="Times New Roman" w:cs="Times New Roman"/>
          <w:sz w:val="20"/>
          <w:szCs w:val="20"/>
          <w:lang w:val="es-ES"/>
        </w:rPr>
      </w:pPr>
    </w:p>
    <w:p w14:paraId="6F659613" w14:textId="77777777" w:rsidR="00AF74BE" w:rsidRPr="00C35766" w:rsidRDefault="00AF74BE" w:rsidP="00AF74BE">
      <w:pPr>
        <w:spacing w:line="200" w:lineRule="exact"/>
        <w:rPr>
          <w:rFonts w:ascii="Times New Roman" w:hAnsi="Times New Roman" w:cs="Times New Roman"/>
          <w:sz w:val="20"/>
          <w:szCs w:val="20"/>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AF74BE" w:rsidRPr="00C35766" w14:paraId="260BAC4A" w14:textId="77777777" w:rsidTr="00933A6C">
        <w:trPr>
          <w:trHeight w:val="317"/>
        </w:trPr>
        <w:tc>
          <w:tcPr>
            <w:tcW w:w="9666" w:type="dxa"/>
            <w:vAlign w:val="center"/>
          </w:tcPr>
          <w:p w14:paraId="273B3923" w14:textId="77777777" w:rsidR="00AF74BE" w:rsidRPr="00C35766" w:rsidRDefault="00AF74BE" w:rsidP="00933A6C">
            <w:pPr>
              <w:numPr>
                <w:ilvl w:val="0"/>
                <w:numId w:val="59"/>
              </w:numPr>
              <w:tabs>
                <w:tab w:val="left" w:pos="672"/>
              </w:tabs>
              <w:ind w:left="550"/>
              <w:jc w:val="both"/>
              <w:rPr>
                <w:rFonts w:ascii="Times New Roman" w:eastAsia="Times New Roman" w:hAnsi="Times New Roman" w:cs="Times New Roman"/>
              </w:rPr>
            </w:pPr>
            <w:r w:rsidRPr="00C35766">
              <w:rPr>
                <w:rFonts w:ascii="Times New Roman" w:eastAsia="Times New Roman" w:hAnsi="Times New Roman" w:cs="Times New Roman"/>
                <w:b/>
                <w:bCs/>
                <w:spacing w:val="-1"/>
                <w:lang w:val="it-IT"/>
              </w:rPr>
              <w:t>DENOMINAZIONE DEL MEDICINALE</w:t>
            </w:r>
          </w:p>
        </w:tc>
      </w:tr>
    </w:tbl>
    <w:p w14:paraId="28DD4BAE" w14:textId="77777777" w:rsidR="00AF74BE" w:rsidRPr="00C35766" w:rsidRDefault="00AF74BE" w:rsidP="00AF74BE">
      <w:pPr>
        <w:spacing w:line="200" w:lineRule="exact"/>
        <w:rPr>
          <w:rFonts w:ascii="Times New Roman" w:hAnsi="Times New Roman" w:cs="Times New Roman"/>
          <w:sz w:val="20"/>
          <w:szCs w:val="20"/>
        </w:rPr>
      </w:pPr>
    </w:p>
    <w:p w14:paraId="4CAD1FE9" w14:textId="0B86FC44" w:rsidR="00AF74BE" w:rsidRPr="00C35766" w:rsidRDefault="00AF74BE" w:rsidP="00AF74BE">
      <w:pPr>
        <w:pStyle w:val="a3"/>
        <w:rPr>
          <w:lang w:val="it-IT"/>
        </w:rPr>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  soluzione iniettabile in penna pre-riempita</w:t>
      </w:r>
    </w:p>
    <w:p w14:paraId="28AE1559" w14:textId="77777777" w:rsidR="00AF74BE" w:rsidRPr="00C35766" w:rsidRDefault="00AF74BE" w:rsidP="00AF74BE">
      <w:pPr>
        <w:pStyle w:val="a3"/>
      </w:pPr>
      <w:r w:rsidRPr="00C35766">
        <w:rPr>
          <w:rFonts w:eastAsia="Times New Roman"/>
          <w:lang w:val="it-IT"/>
        </w:rPr>
        <w:t>adalimumab</w:t>
      </w:r>
    </w:p>
    <w:p w14:paraId="3975B9CB" w14:textId="77777777" w:rsidR="00AF74BE" w:rsidRPr="00C35766" w:rsidRDefault="00AF74BE" w:rsidP="00AF74BE">
      <w:pPr>
        <w:pStyle w:val="a3"/>
      </w:pPr>
    </w:p>
    <w:p w14:paraId="74657F01"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7326F245" w14:textId="77777777" w:rsidTr="00933A6C">
        <w:trPr>
          <w:trHeight w:val="317"/>
        </w:trPr>
        <w:tc>
          <w:tcPr>
            <w:tcW w:w="9666" w:type="dxa"/>
            <w:vAlign w:val="center"/>
          </w:tcPr>
          <w:p w14:paraId="74C63688"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COMPOSIZIONE QUALITATIVA E QUANTITATIVA IN TERMINI DI PRINCIPIO(I) ATTIVO(I)</w:t>
            </w:r>
          </w:p>
        </w:tc>
      </w:tr>
    </w:tbl>
    <w:p w14:paraId="38292C71" w14:textId="77777777" w:rsidR="00AF74BE" w:rsidRPr="00C35766" w:rsidRDefault="00AF74BE" w:rsidP="00AF74BE">
      <w:pPr>
        <w:spacing w:before="13" w:line="280" w:lineRule="exact"/>
        <w:rPr>
          <w:rFonts w:ascii="Times New Roman" w:hAnsi="Times New Roman" w:cs="Times New Roman"/>
          <w:sz w:val="28"/>
          <w:szCs w:val="28"/>
          <w:lang w:val="pt-BR"/>
        </w:rPr>
      </w:pPr>
    </w:p>
    <w:p w14:paraId="1E9AA9C5" w14:textId="13761ADC" w:rsidR="00AF74BE" w:rsidRPr="00C35766" w:rsidRDefault="00AF74BE" w:rsidP="00AF74BE">
      <w:pPr>
        <w:pStyle w:val="a3"/>
        <w:rPr>
          <w:lang w:val="es-ES"/>
        </w:rPr>
      </w:pPr>
      <w:r w:rsidRPr="00C35766">
        <w:rPr>
          <w:rFonts w:eastAsia="Times New Roman"/>
          <w:lang w:val="it-IT"/>
        </w:rPr>
        <w:t>Una penna pre-riempita da 0,</w:t>
      </w:r>
      <w:r w:rsidR="00E81705" w:rsidRPr="00C35766">
        <w:rPr>
          <w:rFonts w:eastAsia="Times New Roman"/>
          <w:lang w:val="it-IT"/>
        </w:rPr>
        <w:t>8</w:t>
      </w:r>
      <w:r w:rsidRPr="00C35766">
        <w:rPr>
          <w:rFonts w:eastAsia="Times New Roman"/>
          <w:lang w:val="it-IT"/>
        </w:rPr>
        <w:t xml:space="preserve"> mL contiene </w:t>
      </w:r>
      <w:r w:rsidR="00E81705" w:rsidRPr="00C35766">
        <w:rPr>
          <w:rFonts w:eastAsia="Times New Roman"/>
          <w:lang w:val="it-IT"/>
        </w:rPr>
        <w:t>8</w:t>
      </w:r>
      <w:r w:rsidRPr="00C35766">
        <w:rPr>
          <w:rFonts w:eastAsia="Times New Roman"/>
          <w:lang w:val="it-IT"/>
        </w:rPr>
        <w:t>0 mg di adalimumab.</w:t>
      </w:r>
    </w:p>
    <w:p w14:paraId="2E6F9F51" w14:textId="77777777" w:rsidR="00AF74BE" w:rsidRPr="00C35766" w:rsidRDefault="00AF74BE" w:rsidP="00AF74BE">
      <w:pPr>
        <w:spacing w:before="13" w:line="280" w:lineRule="exact"/>
        <w:rPr>
          <w:rFonts w:ascii="Times New Roman" w:hAnsi="Times New Roman" w:cs="Times New Roman"/>
          <w:sz w:val="28"/>
          <w:szCs w:val="28"/>
          <w:lang w:val="es-ES"/>
        </w:rPr>
      </w:pPr>
    </w:p>
    <w:p w14:paraId="0B3FBB79" w14:textId="77777777" w:rsidR="00AF74BE" w:rsidRPr="00C35766" w:rsidRDefault="00AF74BE" w:rsidP="00AF74BE">
      <w:pPr>
        <w:spacing w:before="13" w:line="280" w:lineRule="exact"/>
        <w:rPr>
          <w:rFonts w:ascii="Times New Roman" w:hAnsi="Times New Roman" w:cs="Times New Roman"/>
          <w:sz w:val="28"/>
          <w:szCs w:val="28"/>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70F63D42" w14:textId="77777777" w:rsidTr="00933A6C">
        <w:trPr>
          <w:trHeight w:val="317"/>
        </w:trPr>
        <w:tc>
          <w:tcPr>
            <w:tcW w:w="9666" w:type="dxa"/>
            <w:vAlign w:val="center"/>
          </w:tcPr>
          <w:p w14:paraId="2707CAA7"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ELENCO DEGLI ECCIPIENTI</w:t>
            </w:r>
          </w:p>
        </w:tc>
      </w:tr>
    </w:tbl>
    <w:p w14:paraId="31990FF4" w14:textId="77777777" w:rsidR="00AF74BE" w:rsidRPr="00C35766" w:rsidRDefault="00AF74BE" w:rsidP="00AF74BE">
      <w:pPr>
        <w:pStyle w:val="a3"/>
      </w:pPr>
    </w:p>
    <w:p w14:paraId="5805CA99" w14:textId="77777777" w:rsidR="00AF74BE" w:rsidRPr="00C35766" w:rsidRDefault="00AF74BE" w:rsidP="00AF74BE">
      <w:pPr>
        <w:pStyle w:val="a3"/>
        <w:rPr>
          <w:noProof/>
          <w:lang w:eastAsia="ko-KR"/>
        </w:rPr>
      </w:pPr>
      <w:r w:rsidRPr="00C35766">
        <w:rPr>
          <w:rFonts w:eastAsia="Times New Roman"/>
          <w:lang w:val="it-IT"/>
        </w:rPr>
        <w:t xml:space="preserve">Eccipienti: acido acetico, acetato di sodio triidrato, glicina, polisorbato 80, acqua per preparazioni iniettabili. </w:t>
      </w:r>
      <w:r w:rsidRPr="00C35766">
        <w:rPr>
          <w:rFonts w:eastAsia="Times New Roman"/>
          <w:highlight w:val="lightGray"/>
          <w:lang w:val="it-IT"/>
        </w:rPr>
        <w:t>Per ulteriori informazioni, vedere il foglio illustrativo.</w:t>
      </w:r>
    </w:p>
    <w:p w14:paraId="713A29F1" w14:textId="77777777" w:rsidR="00AF74BE" w:rsidRPr="00C35766" w:rsidRDefault="00AF74BE" w:rsidP="00AF74BE">
      <w:pPr>
        <w:pStyle w:val="a3"/>
      </w:pPr>
    </w:p>
    <w:p w14:paraId="5F680500"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47C97C00" w14:textId="77777777" w:rsidTr="00933A6C">
        <w:trPr>
          <w:trHeight w:val="317"/>
        </w:trPr>
        <w:tc>
          <w:tcPr>
            <w:tcW w:w="9666" w:type="dxa"/>
            <w:vAlign w:val="center"/>
          </w:tcPr>
          <w:p w14:paraId="3494B3FB"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FORMA FARMACEUTICA E CONTENUTO</w:t>
            </w:r>
          </w:p>
        </w:tc>
      </w:tr>
    </w:tbl>
    <w:p w14:paraId="17A6E159" w14:textId="77777777" w:rsidR="00AF74BE" w:rsidRPr="00C35766" w:rsidRDefault="00AF74BE" w:rsidP="00AF74BE">
      <w:pPr>
        <w:pStyle w:val="a3"/>
      </w:pPr>
    </w:p>
    <w:p w14:paraId="781FC289" w14:textId="77777777" w:rsidR="00AF74BE" w:rsidRPr="00C35766" w:rsidRDefault="00AF74BE" w:rsidP="00AF74BE">
      <w:pPr>
        <w:pStyle w:val="a3"/>
      </w:pPr>
      <w:r w:rsidRPr="00C35766">
        <w:rPr>
          <w:rFonts w:eastAsia="Times New Roman"/>
          <w:highlight w:val="lightGray"/>
          <w:lang w:val="it-IT"/>
        </w:rPr>
        <w:t>Soluzione iniettabile</w:t>
      </w:r>
    </w:p>
    <w:p w14:paraId="7576EC3D" w14:textId="77777777" w:rsidR="00AF74BE" w:rsidRPr="00C35766" w:rsidRDefault="00AF74BE" w:rsidP="00AF74BE">
      <w:pPr>
        <w:pStyle w:val="a3"/>
      </w:pPr>
      <w:r w:rsidRPr="00C35766">
        <w:rPr>
          <w:rFonts w:eastAsia="Times New Roman"/>
          <w:lang w:val="it-IT"/>
        </w:rPr>
        <w:t>1 penna pre-riempita</w:t>
      </w:r>
    </w:p>
    <w:p w14:paraId="6E51E4B5" w14:textId="77777777" w:rsidR="00AF74BE" w:rsidRPr="00C35766" w:rsidRDefault="00AF74BE" w:rsidP="00AF74BE">
      <w:pPr>
        <w:pStyle w:val="a3"/>
      </w:pPr>
      <w:r w:rsidRPr="00C35766">
        <w:rPr>
          <w:rFonts w:eastAsia="Times New Roman"/>
          <w:lang w:val="it-IT"/>
        </w:rPr>
        <w:t>2 tamponi imbevuti di alcool</w:t>
      </w:r>
    </w:p>
    <w:p w14:paraId="56BFDA08" w14:textId="77777777" w:rsidR="00AF74BE" w:rsidRPr="00C35766" w:rsidRDefault="00AF74BE" w:rsidP="00AF74BE">
      <w:pPr>
        <w:spacing w:line="180" w:lineRule="exact"/>
        <w:rPr>
          <w:rFonts w:ascii="Times New Roman" w:hAnsi="Times New Roman" w:cs="Times New Roman"/>
          <w:sz w:val="18"/>
          <w:szCs w:val="18"/>
        </w:rPr>
      </w:pPr>
    </w:p>
    <w:p w14:paraId="191C3C80" w14:textId="2B9A5547" w:rsidR="00AF74BE" w:rsidRPr="00C35766" w:rsidRDefault="00E81705" w:rsidP="00AF74BE">
      <w:pPr>
        <w:pStyle w:val="a3"/>
        <w:rPr>
          <w:highlight w:val="lightGray"/>
        </w:rPr>
      </w:pPr>
      <w:r w:rsidRPr="00C35766">
        <w:rPr>
          <w:rFonts w:eastAsia="Times New Roman"/>
          <w:highlight w:val="lightGray"/>
          <w:lang w:val="it-IT"/>
        </w:rPr>
        <w:t>3</w:t>
      </w:r>
      <w:r w:rsidR="00AF74BE" w:rsidRPr="00C35766">
        <w:rPr>
          <w:rFonts w:eastAsia="Times New Roman"/>
          <w:highlight w:val="lightGray"/>
          <w:lang w:val="it-IT"/>
        </w:rPr>
        <w:t xml:space="preserve"> penne pre-riempite</w:t>
      </w:r>
    </w:p>
    <w:p w14:paraId="6B49BAF0" w14:textId="06154AF1" w:rsidR="00AF74BE" w:rsidRPr="00C35766" w:rsidRDefault="00E81705" w:rsidP="00AF74BE">
      <w:pPr>
        <w:pStyle w:val="a3"/>
        <w:rPr>
          <w:highlight w:val="lightGray"/>
        </w:rPr>
      </w:pPr>
      <w:r w:rsidRPr="00C35766">
        <w:rPr>
          <w:rFonts w:eastAsia="Times New Roman"/>
          <w:highlight w:val="lightGray"/>
          <w:lang w:val="it-IT"/>
        </w:rPr>
        <w:t>4</w:t>
      </w:r>
      <w:r w:rsidR="00AF74BE" w:rsidRPr="00C35766">
        <w:rPr>
          <w:rFonts w:eastAsia="Times New Roman"/>
          <w:highlight w:val="lightGray"/>
          <w:lang w:val="it-IT"/>
        </w:rPr>
        <w:t xml:space="preserve"> tamponi imbevuti di alcool</w:t>
      </w:r>
    </w:p>
    <w:p w14:paraId="6CA9B797" w14:textId="77777777" w:rsidR="00AF74BE" w:rsidRPr="00C35766" w:rsidRDefault="00AF74BE" w:rsidP="00AF74BE">
      <w:pPr>
        <w:spacing w:line="200" w:lineRule="exact"/>
        <w:rPr>
          <w:rFonts w:ascii="Times New Roman" w:hAnsi="Times New Roman" w:cs="Times New Roman"/>
          <w:sz w:val="20"/>
          <w:szCs w:val="20"/>
        </w:rPr>
      </w:pPr>
    </w:p>
    <w:p w14:paraId="45F509B3" w14:textId="77777777" w:rsidR="00AF74BE" w:rsidRPr="00C35766" w:rsidRDefault="00AF74BE" w:rsidP="00AF74BE">
      <w:pPr>
        <w:spacing w:line="200" w:lineRule="exact"/>
        <w:rPr>
          <w:rFonts w:ascii="Times New Roman" w:hAnsi="Times New Roman" w:cs="Times New Roman"/>
          <w:sz w:val="20"/>
          <w:szCs w:val="20"/>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69D2102E" w14:textId="77777777" w:rsidTr="00933A6C">
        <w:trPr>
          <w:trHeight w:val="317"/>
        </w:trPr>
        <w:tc>
          <w:tcPr>
            <w:tcW w:w="9666" w:type="dxa"/>
            <w:vAlign w:val="center"/>
          </w:tcPr>
          <w:p w14:paraId="6481FCF4" w14:textId="7CE381DE"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M</w:t>
            </w:r>
            <w:r w:rsidR="00D63BDE">
              <w:rPr>
                <w:rFonts w:ascii="Times New Roman" w:eastAsia="Times New Roman" w:hAnsi="Times New Roman" w:cs="Times New Roman"/>
                <w:b/>
                <w:bCs/>
                <w:spacing w:val="-1"/>
                <w:lang w:val="it-IT"/>
              </w:rPr>
              <w:t>O</w:t>
            </w:r>
            <w:r w:rsidRPr="00C35766">
              <w:rPr>
                <w:rFonts w:ascii="Times New Roman" w:eastAsia="Times New Roman" w:hAnsi="Times New Roman" w:cs="Times New Roman"/>
                <w:b/>
                <w:bCs/>
                <w:spacing w:val="-1"/>
                <w:lang w:val="it-IT"/>
              </w:rPr>
              <w:t>DO E VIA DI SOMMINISTRAZIONE</w:t>
            </w:r>
          </w:p>
        </w:tc>
      </w:tr>
    </w:tbl>
    <w:p w14:paraId="3AC391FF" w14:textId="77777777" w:rsidR="00AF74BE" w:rsidRPr="00C35766" w:rsidRDefault="00AF74BE" w:rsidP="00AF74BE">
      <w:pPr>
        <w:spacing w:line="200" w:lineRule="exact"/>
        <w:rPr>
          <w:rFonts w:ascii="Times New Roman" w:hAnsi="Times New Roman" w:cs="Times New Roman"/>
          <w:sz w:val="20"/>
          <w:szCs w:val="20"/>
          <w:lang w:val="pt-BR"/>
        </w:rPr>
      </w:pPr>
    </w:p>
    <w:p w14:paraId="7BC4C2F1" w14:textId="77777777" w:rsidR="00AF74BE" w:rsidRPr="00C35766" w:rsidRDefault="00AF74BE" w:rsidP="00AF74BE">
      <w:pPr>
        <w:pStyle w:val="a3"/>
        <w:rPr>
          <w:lang w:val="pt-BR"/>
        </w:rPr>
      </w:pPr>
      <w:r w:rsidRPr="00C35766">
        <w:rPr>
          <w:rFonts w:eastAsia="Times New Roman"/>
          <w:lang w:val="it-IT"/>
        </w:rPr>
        <w:t>Uso sottocutaneo</w:t>
      </w:r>
    </w:p>
    <w:p w14:paraId="4677998D" w14:textId="77777777" w:rsidR="00AF74BE" w:rsidRPr="00C35766" w:rsidRDefault="00AF74BE" w:rsidP="00AF74BE">
      <w:pPr>
        <w:pStyle w:val="a3"/>
        <w:rPr>
          <w:lang w:val="pt-BR"/>
        </w:rPr>
      </w:pPr>
    </w:p>
    <w:p w14:paraId="754A95C1" w14:textId="77777777" w:rsidR="00AF74BE" w:rsidRPr="00C35766" w:rsidRDefault="00AF74BE" w:rsidP="00AF74BE">
      <w:pPr>
        <w:pStyle w:val="a3"/>
        <w:rPr>
          <w:lang w:val="pt-BR"/>
        </w:rPr>
      </w:pPr>
      <w:r w:rsidRPr="00C35766">
        <w:rPr>
          <w:rFonts w:eastAsia="Times New Roman"/>
          <w:lang w:val="it-IT"/>
        </w:rPr>
        <w:t>Leggere il foglio illustrativo prima dell’uso.</w:t>
      </w:r>
    </w:p>
    <w:p w14:paraId="495FFDA8" w14:textId="77777777" w:rsidR="00AF74BE" w:rsidRPr="00C35766" w:rsidRDefault="00AF74BE" w:rsidP="00AF74BE">
      <w:pPr>
        <w:pStyle w:val="a3"/>
        <w:rPr>
          <w:lang w:val="pt-BR"/>
        </w:rPr>
      </w:pPr>
    </w:p>
    <w:p w14:paraId="0292E948" w14:textId="77777777" w:rsidR="00AF74BE" w:rsidRPr="00C35766" w:rsidRDefault="00AF74BE" w:rsidP="00AF74BE">
      <w:pPr>
        <w:pStyle w:val="a3"/>
      </w:pPr>
      <w:r w:rsidRPr="00C35766">
        <w:rPr>
          <w:rFonts w:eastAsia="Times New Roman"/>
          <w:lang w:val="it-IT"/>
        </w:rPr>
        <w:t>Esclusivamente monouso.</w:t>
      </w:r>
    </w:p>
    <w:p w14:paraId="590C1B10" w14:textId="77777777" w:rsidR="00AF74BE" w:rsidRPr="00C35766" w:rsidRDefault="00AF74BE" w:rsidP="00AF74BE">
      <w:pPr>
        <w:pStyle w:val="a3"/>
      </w:pPr>
    </w:p>
    <w:p w14:paraId="40771F97" w14:textId="77777777" w:rsidR="00AF74BE" w:rsidRPr="00C35766" w:rsidRDefault="00AF74BE" w:rsidP="00AF74BE">
      <w:pPr>
        <w:rPr>
          <w:rFonts w:ascii="Times New Roman" w:hAnsi="Times New Roman" w:cs="Times New Roman"/>
        </w:rPr>
      </w:pPr>
      <w:r w:rsidRPr="00C35766">
        <w:rPr>
          <w:rFonts w:ascii="Times New Roman" w:hAnsi="Times New Roman" w:cs="Times New Roman"/>
        </w:rPr>
        <w:br w:type="page"/>
      </w:r>
    </w:p>
    <w:p w14:paraId="3503A81E"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2B67C71F" w14:textId="77777777" w:rsidTr="00933A6C">
        <w:trPr>
          <w:trHeight w:val="317"/>
        </w:trPr>
        <w:tc>
          <w:tcPr>
            <w:tcW w:w="9666" w:type="dxa"/>
            <w:vAlign w:val="center"/>
          </w:tcPr>
          <w:p w14:paraId="68554C94" w14:textId="77777777" w:rsidR="00AF74BE" w:rsidRPr="00C35766" w:rsidRDefault="00AF74BE" w:rsidP="00933A6C">
            <w:pPr>
              <w:keepNext/>
              <w:numPr>
                <w:ilvl w:val="0"/>
                <w:numId w:val="59"/>
              </w:numPr>
              <w:tabs>
                <w:tab w:val="left" w:pos="672"/>
              </w:tabs>
              <w:ind w:left="550" w:hanging="550"/>
              <w:jc w:val="both"/>
              <w:rPr>
                <w:rFonts w:ascii="Times New Roman" w:hAnsi="Times New Roman" w:cs="Times New Roman"/>
                <w:lang w:val="it-IT"/>
              </w:rPr>
            </w:pPr>
            <w:r w:rsidRPr="00C35766">
              <w:rPr>
                <w:rFonts w:ascii="Times New Roman" w:eastAsia="Times New Roman" w:hAnsi="Times New Roman" w:cs="Times New Roman"/>
                <w:b/>
                <w:bCs/>
                <w:spacing w:val="-1"/>
                <w:lang w:val="it-IT"/>
              </w:rPr>
              <w:t>AVVERTENZA PARTICOLARE CHE PRESCRIVA DI TENERE IL MEDICINALE FUORI DALLA VISTA E DALLA PORTATA DEI BAMBINI</w:t>
            </w:r>
          </w:p>
        </w:tc>
      </w:tr>
    </w:tbl>
    <w:p w14:paraId="474EC5AE" w14:textId="77777777" w:rsidR="00AF74BE" w:rsidRPr="00C35766" w:rsidRDefault="00AF74BE" w:rsidP="00AF74BE">
      <w:pPr>
        <w:spacing w:before="1" w:line="200" w:lineRule="exact"/>
        <w:rPr>
          <w:rFonts w:ascii="Times New Roman" w:hAnsi="Times New Roman" w:cs="Times New Roman"/>
          <w:sz w:val="20"/>
          <w:lang w:val="it-IT"/>
        </w:rPr>
      </w:pPr>
    </w:p>
    <w:p w14:paraId="340280C0" w14:textId="77777777" w:rsidR="00AF74BE" w:rsidRPr="00C35766" w:rsidRDefault="00AF74BE" w:rsidP="00AF74BE">
      <w:pPr>
        <w:pStyle w:val="a3"/>
        <w:rPr>
          <w:lang w:val="pt-BR"/>
        </w:rPr>
      </w:pPr>
      <w:r w:rsidRPr="00C35766">
        <w:rPr>
          <w:rFonts w:eastAsia="Times New Roman"/>
          <w:lang w:val="it-IT"/>
        </w:rPr>
        <w:t>Tenere fuori dalla vista e dalla portata dei bambini.</w:t>
      </w:r>
    </w:p>
    <w:p w14:paraId="5F1205BD" w14:textId="77777777" w:rsidR="00AF74BE" w:rsidRPr="00C35766" w:rsidRDefault="00AF74BE" w:rsidP="00AF74BE">
      <w:pPr>
        <w:rPr>
          <w:rFonts w:ascii="Times New Roman" w:hAnsi="Times New Roman" w:cs="Times New Roman"/>
          <w:lang w:val="pt-BR"/>
        </w:rPr>
      </w:pPr>
    </w:p>
    <w:p w14:paraId="51730225" w14:textId="77777777" w:rsidR="00AF74BE" w:rsidRPr="00C35766" w:rsidRDefault="00AF74BE" w:rsidP="00AF74B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05D2BB99" w14:textId="77777777" w:rsidTr="00933A6C">
        <w:trPr>
          <w:trHeight w:val="317"/>
        </w:trPr>
        <w:tc>
          <w:tcPr>
            <w:tcW w:w="9666" w:type="dxa"/>
            <w:vAlign w:val="center"/>
          </w:tcPr>
          <w:p w14:paraId="44262127"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t>ALTRA(E) AVVERTENZA(E) PARTICOLARE(I), SE NECESSARIO</w:t>
            </w:r>
          </w:p>
        </w:tc>
      </w:tr>
    </w:tbl>
    <w:p w14:paraId="00739BAD" w14:textId="77777777" w:rsidR="00AF74BE" w:rsidRPr="00C35766" w:rsidRDefault="00AF74BE" w:rsidP="00AF74BE">
      <w:pPr>
        <w:rPr>
          <w:rFonts w:ascii="Times New Roman" w:hAnsi="Times New Roman" w:cs="Times New Roman"/>
          <w:lang w:val="pt-BR"/>
        </w:rPr>
      </w:pPr>
    </w:p>
    <w:p w14:paraId="6E27ED13" w14:textId="77777777" w:rsidR="00AF74BE" w:rsidRPr="00C35766" w:rsidRDefault="00AF74BE" w:rsidP="00AF74BE">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108C5EDD" w14:textId="77777777" w:rsidTr="00933A6C">
        <w:trPr>
          <w:trHeight w:val="317"/>
        </w:trPr>
        <w:tc>
          <w:tcPr>
            <w:tcW w:w="9666" w:type="dxa"/>
            <w:vAlign w:val="center"/>
          </w:tcPr>
          <w:p w14:paraId="0CBED8B5"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74200638" w14:textId="77777777" w:rsidR="00AF74BE" w:rsidRPr="00C35766" w:rsidRDefault="00AF74BE" w:rsidP="00AF74BE">
      <w:pPr>
        <w:rPr>
          <w:rFonts w:ascii="Times New Roman" w:hAnsi="Times New Roman" w:cs="Times New Roman"/>
        </w:rPr>
      </w:pPr>
    </w:p>
    <w:p w14:paraId="0B9B8C8E" w14:textId="77777777" w:rsidR="00AF74BE" w:rsidRPr="00C35766" w:rsidRDefault="00AF74BE" w:rsidP="00AF74BE">
      <w:pPr>
        <w:pStyle w:val="a3"/>
      </w:pPr>
      <w:r w:rsidRPr="00C35766">
        <w:rPr>
          <w:rFonts w:eastAsia="Times New Roman"/>
          <w:lang w:val="it-IT"/>
        </w:rPr>
        <w:t>Scad.</w:t>
      </w:r>
    </w:p>
    <w:p w14:paraId="696BE0F3" w14:textId="77777777" w:rsidR="00AF74BE" w:rsidRPr="00C35766" w:rsidRDefault="00AF74BE" w:rsidP="00AF74BE">
      <w:pPr>
        <w:rPr>
          <w:rFonts w:ascii="Times New Roman" w:hAnsi="Times New Roman" w:cs="Times New Roman"/>
        </w:rPr>
      </w:pPr>
    </w:p>
    <w:p w14:paraId="6AA1C169" w14:textId="77777777" w:rsidR="00AF74BE" w:rsidRPr="00C35766" w:rsidRDefault="00AF74BE" w:rsidP="00AF74B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5AD649AD" w14:textId="77777777" w:rsidTr="00933A6C">
        <w:trPr>
          <w:trHeight w:val="317"/>
        </w:trPr>
        <w:tc>
          <w:tcPr>
            <w:tcW w:w="9666" w:type="dxa"/>
            <w:vAlign w:val="center"/>
          </w:tcPr>
          <w:p w14:paraId="5A85D201" w14:textId="77777777" w:rsidR="00AF74BE" w:rsidRPr="00C35766" w:rsidRDefault="00AF74BE" w:rsidP="00933A6C">
            <w:pPr>
              <w:numPr>
                <w:ilvl w:val="0"/>
                <w:numId w:val="59"/>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LA CONSERVAZIONE</w:t>
            </w:r>
          </w:p>
        </w:tc>
      </w:tr>
    </w:tbl>
    <w:p w14:paraId="69D55F77" w14:textId="77777777" w:rsidR="00AF74BE" w:rsidRPr="00C35766" w:rsidRDefault="00AF74BE" w:rsidP="00AF74BE">
      <w:pPr>
        <w:rPr>
          <w:rFonts w:ascii="Times New Roman" w:hAnsi="Times New Roman" w:cs="Times New Roman"/>
          <w:lang w:val="it-IT"/>
        </w:rPr>
      </w:pPr>
    </w:p>
    <w:p w14:paraId="39BC4E78" w14:textId="77777777" w:rsidR="00AF74BE" w:rsidRPr="00C35766" w:rsidRDefault="00AF74BE" w:rsidP="00AF74BE">
      <w:pPr>
        <w:pStyle w:val="a3"/>
        <w:rPr>
          <w:lang w:val="pt-BR"/>
        </w:rPr>
      </w:pPr>
      <w:r w:rsidRPr="00C35766">
        <w:rPr>
          <w:rFonts w:eastAsia="Times New Roman"/>
          <w:lang w:val="it-IT"/>
        </w:rPr>
        <w:t>Conservare in frigorifero. Non congelare.</w:t>
      </w:r>
    </w:p>
    <w:p w14:paraId="081B1D33" w14:textId="77777777" w:rsidR="00AF74BE" w:rsidRPr="00C35766" w:rsidRDefault="00AF74BE" w:rsidP="00AF74BE">
      <w:pPr>
        <w:pStyle w:val="a3"/>
        <w:rPr>
          <w:lang w:val="pt-BR"/>
        </w:rPr>
      </w:pPr>
      <w:r w:rsidRPr="00C35766">
        <w:rPr>
          <w:rFonts w:eastAsia="Times New Roman"/>
          <w:lang w:val="it-IT"/>
        </w:rPr>
        <w:t>Fare riferimento al foglio illustrativo per condizioni di conservazione alternative.</w:t>
      </w:r>
    </w:p>
    <w:p w14:paraId="133BEB92" w14:textId="77777777" w:rsidR="00AF74BE" w:rsidRPr="00C35766" w:rsidRDefault="00AF74BE" w:rsidP="00AF74BE">
      <w:pPr>
        <w:pStyle w:val="a3"/>
        <w:rPr>
          <w:lang w:val="es-ES"/>
        </w:rPr>
      </w:pPr>
      <w:r w:rsidRPr="00C35766">
        <w:rPr>
          <w:rFonts w:eastAsia="Times New Roman"/>
          <w:lang w:val="it-IT"/>
        </w:rPr>
        <w:t>Conservare la penna pre-riempita nell’imballaggio esterno per proteggerla dalla luce.</w:t>
      </w:r>
    </w:p>
    <w:p w14:paraId="7CC902CC" w14:textId="77777777" w:rsidR="00AF74BE" w:rsidRPr="00C35766" w:rsidRDefault="00AF74BE" w:rsidP="00AF74BE">
      <w:pPr>
        <w:pStyle w:val="a3"/>
        <w:rPr>
          <w:lang w:val="es-ES"/>
        </w:rPr>
      </w:pPr>
      <w:r w:rsidRPr="00C35766">
        <w:rPr>
          <w:rFonts w:eastAsia="Times New Roman"/>
          <w:highlight w:val="lightGray"/>
          <w:lang w:val="it-IT"/>
        </w:rPr>
        <w:t>Conservare la penne pre-riempite nell’imballaggio esterno per proteggerla dalla luce.</w:t>
      </w:r>
    </w:p>
    <w:p w14:paraId="467D463E" w14:textId="77777777" w:rsidR="00AF74BE" w:rsidRPr="00C35766" w:rsidRDefault="00AF74BE" w:rsidP="00AF74BE">
      <w:pPr>
        <w:rPr>
          <w:rFonts w:ascii="Times New Roman" w:hAnsi="Times New Roman" w:cs="Times New Roman"/>
          <w:lang w:val="es-ES"/>
        </w:rPr>
      </w:pPr>
    </w:p>
    <w:p w14:paraId="4EFC955C" w14:textId="77777777" w:rsidR="00AF74BE" w:rsidRPr="00C35766" w:rsidRDefault="00AF74BE" w:rsidP="00AF74B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1195AC86" w14:textId="77777777" w:rsidTr="00933A6C">
        <w:trPr>
          <w:trHeight w:val="317"/>
        </w:trPr>
        <w:tc>
          <w:tcPr>
            <w:tcW w:w="9666" w:type="dxa"/>
            <w:vAlign w:val="center"/>
          </w:tcPr>
          <w:p w14:paraId="4AFAC649" w14:textId="77777777" w:rsidR="00AF74BE" w:rsidRPr="00C35766" w:rsidRDefault="00AF74BE" w:rsidP="00933A6C">
            <w:pPr>
              <w:numPr>
                <w:ilvl w:val="0"/>
                <w:numId w:val="59"/>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LO SMALTIMENTO DEL MEDICINALE NON UTILIZZATO O DEI RIFIUTI DERIVATI DA TALE MEDICINALE, SE NECESSARIO</w:t>
            </w:r>
          </w:p>
        </w:tc>
      </w:tr>
    </w:tbl>
    <w:p w14:paraId="36084787" w14:textId="77777777" w:rsidR="00AF74BE" w:rsidRPr="00C35766" w:rsidRDefault="00AF74BE" w:rsidP="00AF74BE">
      <w:pPr>
        <w:rPr>
          <w:rFonts w:ascii="Times New Roman" w:hAnsi="Times New Roman" w:cs="Times New Roman"/>
          <w:lang w:val="it-IT"/>
        </w:rPr>
      </w:pPr>
    </w:p>
    <w:p w14:paraId="76ACDE61" w14:textId="77777777" w:rsidR="00AF74BE" w:rsidRPr="00C35766" w:rsidRDefault="00AF74BE" w:rsidP="00AF74BE">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7AF7E9A7" w14:textId="77777777" w:rsidTr="00933A6C">
        <w:trPr>
          <w:trHeight w:val="317"/>
        </w:trPr>
        <w:tc>
          <w:tcPr>
            <w:tcW w:w="9666" w:type="dxa"/>
            <w:vAlign w:val="center"/>
          </w:tcPr>
          <w:p w14:paraId="60DC355C" w14:textId="77777777" w:rsidR="00AF74BE" w:rsidRPr="00C35766" w:rsidRDefault="00AF74BE" w:rsidP="00933A6C">
            <w:pPr>
              <w:numPr>
                <w:ilvl w:val="0"/>
                <w:numId w:val="59"/>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NOME E INDIRIZZO DEL TITOLARE DELL’AUTORIZZAZIONE ALL’IMMISSIONE IN COMMERCIO</w:t>
            </w:r>
          </w:p>
        </w:tc>
      </w:tr>
    </w:tbl>
    <w:p w14:paraId="13CBA6B4" w14:textId="77777777" w:rsidR="00AF74BE" w:rsidRPr="00C35766" w:rsidRDefault="00AF74BE" w:rsidP="00AF74BE">
      <w:pPr>
        <w:spacing w:before="5" w:line="200" w:lineRule="exact"/>
        <w:rPr>
          <w:rFonts w:ascii="Times New Roman" w:hAnsi="Times New Roman" w:cs="Times New Roman"/>
          <w:sz w:val="20"/>
          <w:lang w:val="it-IT"/>
        </w:rPr>
      </w:pPr>
    </w:p>
    <w:p w14:paraId="06C704C3" w14:textId="77777777" w:rsidR="00AF74BE" w:rsidRPr="00C35766" w:rsidRDefault="00AF74BE" w:rsidP="00AF74BE">
      <w:pPr>
        <w:spacing w:before="5" w:line="200" w:lineRule="exact"/>
        <w:rPr>
          <w:rFonts w:ascii="Times New Roman" w:hAnsi="Times New Roman" w:cs="Times New Roman"/>
        </w:rPr>
      </w:pPr>
      <w:r w:rsidRPr="00C35766">
        <w:rPr>
          <w:rFonts w:ascii="Times New Roman" w:hAnsi="Times New Roman" w:cs="Times New Roman"/>
        </w:rPr>
        <w:t xml:space="preserve">Celltrion Healthcare Hungary Kft. </w:t>
      </w:r>
    </w:p>
    <w:p w14:paraId="1C0E5740" w14:textId="77777777" w:rsidR="00AF74BE" w:rsidRPr="00C35766" w:rsidRDefault="00AF74BE" w:rsidP="00AF74BE">
      <w:pPr>
        <w:spacing w:before="5" w:line="200" w:lineRule="exact"/>
        <w:rPr>
          <w:rFonts w:ascii="Times New Roman" w:hAnsi="Times New Roman" w:cs="Times New Roman"/>
        </w:rPr>
      </w:pPr>
      <w:r w:rsidRPr="00C35766">
        <w:rPr>
          <w:rFonts w:ascii="Times New Roman" w:hAnsi="Times New Roman" w:cs="Times New Roman"/>
        </w:rPr>
        <w:t>1062 Budapest</w:t>
      </w:r>
    </w:p>
    <w:p w14:paraId="796BBC2D" w14:textId="62D7E098" w:rsidR="00AF74BE" w:rsidRPr="00C35766" w:rsidRDefault="00AF74BE" w:rsidP="00206FB7">
      <w:pPr>
        <w:pStyle w:val="a3"/>
        <w:rPr>
          <w:vanish/>
        </w:rPr>
      </w:pPr>
      <w:r w:rsidRPr="00D95C47">
        <w:t>Váci út 1-3. WestEnd Office Building B torony</w:t>
      </w:r>
    </w:p>
    <w:p w14:paraId="351EFC51" w14:textId="77777777" w:rsidR="00AF74BE" w:rsidRPr="00C35766" w:rsidRDefault="00AF74BE" w:rsidP="00AF74BE">
      <w:pPr>
        <w:pStyle w:val="a3"/>
      </w:pPr>
      <w:r w:rsidRPr="00C35766">
        <w:rPr>
          <w:rFonts w:eastAsia="Times New Roman"/>
          <w:lang w:val="it-IT"/>
        </w:rPr>
        <w:t>Ungheria</w:t>
      </w:r>
    </w:p>
    <w:p w14:paraId="00C26D8C" w14:textId="77777777" w:rsidR="00AF74BE" w:rsidRPr="00C35766" w:rsidRDefault="00AF74BE" w:rsidP="00AF74BE">
      <w:pPr>
        <w:rPr>
          <w:rFonts w:ascii="Times New Roman" w:hAnsi="Times New Roman" w:cs="Times New Roman"/>
        </w:rPr>
      </w:pPr>
    </w:p>
    <w:p w14:paraId="3DF1373A" w14:textId="77777777" w:rsidR="00AF74BE" w:rsidRPr="00C35766" w:rsidRDefault="00AF74BE" w:rsidP="00AF74B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494E69" w14:paraId="63F72A5E" w14:textId="77777777" w:rsidTr="00933A6C">
        <w:trPr>
          <w:trHeight w:val="317"/>
        </w:trPr>
        <w:tc>
          <w:tcPr>
            <w:tcW w:w="9666" w:type="dxa"/>
            <w:vAlign w:val="center"/>
          </w:tcPr>
          <w:p w14:paraId="69E07BB8" w14:textId="77777777" w:rsidR="00AF74BE" w:rsidRPr="00C35766" w:rsidRDefault="00AF74BE" w:rsidP="00933A6C">
            <w:pPr>
              <w:numPr>
                <w:ilvl w:val="0"/>
                <w:numId w:val="59"/>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NUMERO DELL’AUTORIZZAZIONE ALL’IMMISSIONE IN COMMERCIO</w:t>
            </w:r>
          </w:p>
        </w:tc>
      </w:tr>
    </w:tbl>
    <w:p w14:paraId="1C2140E7" w14:textId="77777777" w:rsidR="00AF74BE" w:rsidRPr="00C35766" w:rsidRDefault="00AF74BE" w:rsidP="00AF74BE">
      <w:pPr>
        <w:rPr>
          <w:rFonts w:ascii="Times New Roman" w:hAnsi="Times New Roman" w:cs="Times New Roman"/>
          <w:lang w:val="it-IT"/>
        </w:rPr>
      </w:pPr>
    </w:p>
    <w:p w14:paraId="42C38ED9" w14:textId="5EF91D7A" w:rsidR="00AF74BE" w:rsidRPr="00C35766" w:rsidRDefault="00AF74BE" w:rsidP="00AF74BE">
      <w:pPr>
        <w:pStyle w:val="a3"/>
        <w:rPr>
          <w:highlight w:val="lightGray"/>
          <w:lang w:val="fr-FR"/>
        </w:rPr>
      </w:pPr>
      <w:r w:rsidRPr="00C35766">
        <w:rPr>
          <w:lang w:val="it-IT"/>
        </w:rPr>
        <w:t>EU/</w:t>
      </w:r>
      <w:r w:rsidRPr="00C35766">
        <w:rPr>
          <w:color w:val="000000"/>
          <w:lang w:val="it-IT"/>
        </w:rPr>
        <w:t>1/20/1513/0</w:t>
      </w:r>
      <w:r w:rsidR="00E81705" w:rsidRPr="00C35766">
        <w:rPr>
          <w:color w:val="000000"/>
          <w:lang w:val="it-IT"/>
        </w:rPr>
        <w:t>15</w:t>
      </w:r>
      <w:r w:rsidRPr="00C35766">
        <w:rPr>
          <w:color w:val="000000"/>
          <w:lang w:val="it-IT"/>
        </w:rPr>
        <w:t xml:space="preserve"> </w:t>
      </w:r>
      <w:r w:rsidRPr="00C35766">
        <w:rPr>
          <w:rFonts w:eastAsia="Times New Roman"/>
          <w:color w:val="000000"/>
          <w:highlight w:val="lightGray"/>
          <w:lang w:val="it-IT"/>
        </w:rPr>
        <w:t>1 penna pre-riempita</w:t>
      </w:r>
    </w:p>
    <w:p w14:paraId="0FB253AF" w14:textId="6073E700" w:rsidR="00AF74BE" w:rsidRPr="00C35766" w:rsidRDefault="00AF74BE" w:rsidP="00E81705">
      <w:pPr>
        <w:pStyle w:val="a3"/>
        <w:rPr>
          <w:lang w:val="fr-FR"/>
        </w:rPr>
      </w:pPr>
      <w:r w:rsidRPr="00C35766">
        <w:rPr>
          <w:highlight w:val="lightGray"/>
          <w:lang w:val="it-IT"/>
        </w:rPr>
        <w:t>EU/</w:t>
      </w:r>
      <w:r w:rsidRPr="00C35766">
        <w:rPr>
          <w:color w:val="000000"/>
          <w:highlight w:val="lightGray"/>
          <w:lang w:val="it-IT"/>
        </w:rPr>
        <w:t>1/20/1513/0</w:t>
      </w:r>
      <w:r w:rsidR="00E81705" w:rsidRPr="00C35766">
        <w:rPr>
          <w:color w:val="000000"/>
          <w:highlight w:val="lightGray"/>
          <w:lang w:val="it-IT"/>
        </w:rPr>
        <w:t>16</w:t>
      </w:r>
      <w:r w:rsidRPr="00C35766">
        <w:rPr>
          <w:color w:val="000000"/>
          <w:highlight w:val="lightGray"/>
          <w:lang w:val="it-IT"/>
        </w:rPr>
        <w:t xml:space="preserve"> </w:t>
      </w:r>
      <w:r w:rsidR="00E81705" w:rsidRPr="00C35766">
        <w:rPr>
          <w:rFonts w:eastAsia="Times New Roman"/>
          <w:vanish/>
          <w:highlight w:val="lightGray"/>
          <w:lang w:val="it-IT"/>
        </w:rPr>
        <w:t>3</w:t>
      </w:r>
      <w:r w:rsidRPr="00C35766">
        <w:rPr>
          <w:rFonts w:eastAsia="Times New Roman"/>
          <w:color w:val="000000"/>
          <w:highlight w:val="lightGray"/>
          <w:lang w:val="it-IT"/>
        </w:rPr>
        <w:t xml:space="preserve"> penne pre-riempite</w:t>
      </w:r>
    </w:p>
    <w:p w14:paraId="47410AC2" w14:textId="77777777" w:rsidR="00AF74BE" w:rsidRPr="00923C2C" w:rsidRDefault="00AF74BE" w:rsidP="00AF74BE">
      <w:pPr>
        <w:rPr>
          <w:rFonts w:ascii="Times New Roman" w:hAnsi="Times New Roman" w:cs="Times New Roman"/>
          <w:lang w:val="fr-FR"/>
        </w:rPr>
      </w:pPr>
    </w:p>
    <w:p w14:paraId="2546986F" w14:textId="77777777" w:rsidR="00AF74BE" w:rsidRPr="00C35766" w:rsidRDefault="00AF74BE" w:rsidP="00AF74BE">
      <w:pPr>
        <w:rPr>
          <w:rFonts w:ascii="Times New Roman" w:hAnsi="Times New Roman" w:cs="Times New Roman"/>
          <w:lang w:val="fr-F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1BDCEEB7" w14:textId="77777777" w:rsidTr="00933A6C">
        <w:trPr>
          <w:trHeight w:val="317"/>
        </w:trPr>
        <w:tc>
          <w:tcPr>
            <w:tcW w:w="9666" w:type="dxa"/>
            <w:vAlign w:val="center"/>
          </w:tcPr>
          <w:p w14:paraId="205299A4"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05BE968F" w14:textId="77777777" w:rsidR="00AF74BE" w:rsidRPr="00C35766" w:rsidRDefault="00AF74BE" w:rsidP="00AF74BE">
      <w:pPr>
        <w:rPr>
          <w:rFonts w:ascii="Times New Roman" w:hAnsi="Times New Roman" w:cs="Times New Roman"/>
        </w:rPr>
      </w:pPr>
    </w:p>
    <w:p w14:paraId="7BA2A8A3" w14:textId="77777777" w:rsidR="00AF74BE" w:rsidRPr="00C35766" w:rsidRDefault="00AF74BE" w:rsidP="00AF74BE">
      <w:pPr>
        <w:pStyle w:val="a3"/>
      </w:pPr>
      <w:r w:rsidRPr="00C35766">
        <w:rPr>
          <w:rFonts w:eastAsia="Times New Roman"/>
          <w:lang w:val="it-IT"/>
        </w:rPr>
        <w:t>Lotto</w:t>
      </w:r>
    </w:p>
    <w:p w14:paraId="2A2C7A5D" w14:textId="77777777" w:rsidR="00AF74BE" w:rsidRPr="00C35766" w:rsidRDefault="00AF74BE" w:rsidP="00AF74BE">
      <w:pPr>
        <w:pStyle w:val="a3"/>
      </w:pPr>
    </w:p>
    <w:p w14:paraId="075F1316"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77EB35F6" w14:textId="77777777" w:rsidTr="00933A6C">
        <w:trPr>
          <w:trHeight w:val="317"/>
        </w:trPr>
        <w:tc>
          <w:tcPr>
            <w:tcW w:w="9666" w:type="dxa"/>
            <w:vAlign w:val="center"/>
          </w:tcPr>
          <w:p w14:paraId="656BE98A"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lastRenderedPageBreak/>
              <w:t>CONDIZIONE GENERALE DI FORNITURA</w:t>
            </w:r>
          </w:p>
        </w:tc>
      </w:tr>
    </w:tbl>
    <w:p w14:paraId="15820E9D" w14:textId="77777777" w:rsidR="00AF74BE" w:rsidRPr="00C35766" w:rsidRDefault="00AF74BE" w:rsidP="00AF74BE">
      <w:pPr>
        <w:jc w:val="both"/>
        <w:rPr>
          <w:rFonts w:ascii="Times New Roman" w:hAnsi="Times New Roman" w:cs="Times New Roman"/>
        </w:rPr>
      </w:pPr>
    </w:p>
    <w:p w14:paraId="39775468" w14:textId="77777777" w:rsidR="00AF74BE" w:rsidRPr="00C35766" w:rsidRDefault="00AF74BE" w:rsidP="00AF74BE">
      <w:pPr>
        <w:jc w:val="both"/>
        <w:rPr>
          <w:rFonts w:ascii="Times New Roman" w:hAnsi="Times New Roman" w:cs="Times New Roman"/>
        </w:rPr>
      </w:pPr>
    </w:p>
    <w:p w14:paraId="31EDFC8A"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7E170B4" w14:textId="77777777" w:rsidTr="00933A6C">
        <w:trPr>
          <w:trHeight w:val="317"/>
        </w:trPr>
        <w:tc>
          <w:tcPr>
            <w:tcW w:w="9666" w:type="dxa"/>
            <w:vAlign w:val="center"/>
          </w:tcPr>
          <w:p w14:paraId="11FDFD0C"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ISTRUZIONI PER L’USO</w:t>
            </w:r>
          </w:p>
        </w:tc>
      </w:tr>
    </w:tbl>
    <w:p w14:paraId="7EAD7DD5" w14:textId="77777777" w:rsidR="00AF74BE" w:rsidRPr="00C35766" w:rsidRDefault="00AF74BE" w:rsidP="00AF74BE">
      <w:pPr>
        <w:jc w:val="both"/>
        <w:rPr>
          <w:rFonts w:ascii="Times New Roman" w:hAnsi="Times New Roman" w:cs="Times New Roman"/>
        </w:rPr>
      </w:pPr>
    </w:p>
    <w:p w14:paraId="60C1496A"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5E4714E5" w14:textId="77777777" w:rsidTr="00933A6C">
        <w:trPr>
          <w:trHeight w:val="317"/>
        </w:trPr>
        <w:tc>
          <w:tcPr>
            <w:tcW w:w="9666" w:type="dxa"/>
            <w:vAlign w:val="center"/>
          </w:tcPr>
          <w:p w14:paraId="722A5D38"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INFORMAZIONI IN BRAILLE</w:t>
            </w:r>
          </w:p>
        </w:tc>
      </w:tr>
    </w:tbl>
    <w:p w14:paraId="67F9703A" w14:textId="77777777" w:rsidR="00AF74BE" w:rsidRPr="00C35766" w:rsidRDefault="00AF74BE" w:rsidP="00AF74BE">
      <w:pPr>
        <w:jc w:val="both"/>
        <w:rPr>
          <w:rFonts w:ascii="Times New Roman" w:hAnsi="Times New Roman" w:cs="Times New Roman"/>
        </w:rPr>
      </w:pPr>
    </w:p>
    <w:p w14:paraId="67535582" w14:textId="0D20A2DE" w:rsidR="00AF74BE" w:rsidRPr="00C35766" w:rsidRDefault="00AF74BE" w:rsidP="00AF74BE">
      <w:pPr>
        <w:pStyle w:val="a3"/>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w:t>
      </w:r>
    </w:p>
    <w:p w14:paraId="03044069" w14:textId="77777777" w:rsidR="00AF74BE" w:rsidRPr="00C35766" w:rsidRDefault="00AF74BE" w:rsidP="00AF74BE">
      <w:pPr>
        <w:jc w:val="both"/>
        <w:rPr>
          <w:rFonts w:ascii="Times New Roman" w:hAnsi="Times New Roman" w:cs="Times New Roman"/>
        </w:rPr>
      </w:pPr>
    </w:p>
    <w:p w14:paraId="5527AA00" w14:textId="77777777" w:rsidR="00AF74BE" w:rsidRPr="00C35766" w:rsidRDefault="00AF74BE" w:rsidP="00AF74B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6501B3" w14:paraId="52A5E4EB" w14:textId="77777777" w:rsidTr="00933A6C">
        <w:trPr>
          <w:trHeight w:val="317"/>
        </w:trPr>
        <w:tc>
          <w:tcPr>
            <w:tcW w:w="9666" w:type="dxa"/>
            <w:vAlign w:val="center"/>
          </w:tcPr>
          <w:p w14:paraId="6DB1A222" w14:textId="77777777" w:rsidR="00AF74BE" w:rsidRPr="00C35766" w:rsidRDefault="00AF74BE" w:rsidP="00933A6C">
            <w:pPr>
              <w:numPr>
                <w:ilvl w:val="0"/>
                <w:numId w:val="59"/>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IDENTIFICATIVO UNICO – CODICE A BARRE BIDIMENSIONALE</w:t>
            </w:r>
          </w:p>
        </w:tc>
      </w:tr>
    </w:tbl>
    <w:p w14:paraId="414BDADF" w14:textId="77777777" w:rsidR="00AF74BE" w:rsidRPr="00C35766" w:rsidRDefault="00AF74BE" w:rsidP="00AF74BE">
      <w:pPr>
        <w:jc w:val="both"/>
        <w:rPr>
          <w:rFonts w:ascii="Times New Roman" w:hAnsi="Times New Roman" w:cs="Times New Roman"/>
          <w:lang w:val="it-IT"/>
        </w:rPr>
      </w:pPr>
    </w:p>
    <w:p w14:paraId="16186C24" w14:textId="77777777" w:rsidR="00AF74BE" w:rsidRPr="00C35766" w:rsidRDefault="00AF74BE" w:rsidP="00AF74BE">
      <w:pPr>
        <w:pStyle w:val="a3"/>
        <w:rPr>
          <w:lang w:val="it-IT"/>
        </w:rPr>
      </w:pPr>
      <w:r w:rsidRPr="00C35766">
        <w:rPr>
          <w:rFonts w:eastAsia="Times New Roman"/>
          <w:highlight w:val="lightGray"/>
          <w:lang w:val="it-IT"/>
        </w:rPr>
        <w:t>Codice a barre bidimensionale con identificativo unico incluso.</w:t>
      </w:r>
    </w:p>
    <w:p w14:paraId="41F94D5C" w14:textId="77777777" w:rsidR="00AF74BE" w:rsidRPr="00C35766" w:rsidRDefault="00AF74BE" w:rsidP="00AF74BE">
      <w:pPr>
        <w:jc w:val="both"/>
        <w:rPr>
          <w:rFonts w:ascii="Times New Roman" w:hAnsi="Times New Roman" w:cs="Times New Roman"/>
          <w:lang w:val="it-IT"/>
        </w:rPr>
      </w:pPr>
    </w:p>
    <w:p w14:paraId="1419A9AD" w14:textId="77777777" w:rsidR="00AF74BE" w:rsidRPr="00C35766" w:rsidRDefault="00AF74BE" w:rsidP="00AF74BE">
      <w:pPr>
        <w:jc w:val="both"/>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0686BEE9" w14:textId="77777777" w:rsidTr="00933A6C">
        <w:trPr>
          <w:trHeight w:val="317"/>
        </w:trPr>
        <w:tc>
          <w:tcPr>
            <w:tcW w:w="9666" w:type="dxa"/>
            <w:vAlign w:val="center"/>
          </w:tcPr>
          <w:p w14:paraId="378F10DD" w14:textId="77777777" w:rsidR="00AF74BE" w:rsidRPr="00C35766" w:rsidRDefault="00AF74BE" w:rsidP="00933A6C">
            <w:pPr>
              <w:numPr>
                <w:ilvl w:val="0"/>
                <w:numId w:val="59"/>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IDENTIFICATIVO UNICO – DATI LEGGIBILI</w:t>
            </w:r>
          </w:p>
        </w:tc>
      </w:tr>
    </w:tbl>
    <w:p w14:paraId="7A56B533" w14:textId="77777777" w:rsidR="00AF74BE" w:rsidRPr="00C35766" w:rsidRDefault="00AF74BE" w:rsidP="00AF74BE">
      <w:pPr>
        <w:jc w:val="both"/>
        <w:rPr>
          <w:rFonts w:ascii="Times New Roman" w:hAnsi="Times New Roman" w:cs="Times New Roman"/>
        </w:rPr>
      </w:pPr>
    </w:p>
    <w:p w14:paraId="6B726D72" w14:textId="77777777" w:rsidR="00AF74BE" w:rsidRPr="00C35766" w:rsidRDefault="00AF74BE" w:rsidP="00AF74BE">
      <w:pPr>
        <w:pStyle w:val="a3"/>
      </w:pPr>
      <w:r w:rsidRPr="00C35766">
        <w:rPr>
          <w:rFonts w:eastAsia="Times New Roman"/>
          <w:lang w:val="it-IT"/>
        </w:rPr>
        <w:t xml:space="preserve">PC </w:t>
      </w:r>
    </w:p>
    <w:p w14:paraId="1FDD9B70" w14:textId="77777777" w:rsidR="00AF74BE" w:rsidRPr="00C35766" w:rsidRDefault="00AF74BE" w:rsidP="00AF74BE">
      <w:pPr>
        <w:pStyle w:val="a3"/>
      </w:pPr>
      <w:r w:rsidRPr="00C35766">
        <w:rPr>
          <w:rFonts w:eastAsia="Times New Roman"/>
          <w:lang w:val="it-IT"/>
        </w:rPr>
        <w:t>SN</w:t>
      </w:r>
    </w:p>
    <w:p w14:paraId="13A0D641" w14:textId="77777777" w:rsidR="00AF74BE" w:rsidRPr="00C35766" w:rsidRDefault="00AF74BE" w:rsidP="00AF74BE">
      <w:pPr>
        <w:pStyle w:val="a3"/>
        <w:rPr>
          <w:spacing w:val="-2"/>
        </w:rPr>
      </w:pPr>
      <w:r w:rsidRPr="00C35766">
        <w:rPr>
          <w:rFonts w:eastAsia="Times New Roman"/>
          <w:spacing w:val="-2"/>
          <w:lang w:val="it-IT"/>
        </w:rPr>
        <w:t>NN</w:t>
      </w:r>
    </w:p>
    <w:p w14:paraId="1C4848CB" w14:textId="77777777" w:rsidR="00AF74BE" w:rsidRPr="00C35766" w:rsidRDefault="00AF74BE" w:rsidP="00AF74BE">
      <w:pPr>
        <w:pStyle w:val="a3"/>
        <w:rPr>
          <w:spacing w:val="-2"/>
        </w:rPr>
      </w:pPr>
    </w:p>
    <w:p w14:paraId="1C1D4AAC" w14:textId="77777777" w:rsidR="00AF74BE" w:rsidRPr="00C35766" w:rsidRDefault="00AF74BE" w:rsidP="00AF74BE">
      <w:pPr>
        <w:rPr>
          <w:rFonts w:ascii="Times New Roman" w:eastAsia="Times New Roman" w:hAnsi="Times New Roman" w:cs="Times New Roman"/>
          <w:spacing w:val="-2"/>
        </w:rPr>
      </w:pPr>
      <w:r w:rsidRPr="00C35766">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AF74BE" w:rsidRPr="006501B3" w14:paraId="686A1634" w14:textId="77777777" w:rsidTr="00933A6C">
        <w:trPr>
          <w:trHeight w:val="822"/>
        </w:trPr>
        <w:tc>
          <w:tcPr>
            <w:tcW w:w="9666" w:type="dxa"/>
            <w:vAlign w:val="center"/>
          </w:tcPr>
          <w:p w14:paraId="2AC6616E" w14:textId="77777777" w:rsidR="00AF74BE" w:rsidRPr="00C35766" w:rsidRDefault="00AF74BE" w:rsidP="00933A6C">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Cs/>
                <w:spacing w:val="-1"/>
                <w:lang w:val="it-IT"/>
              </w:rPr>
              <w:lastRenderedPageBreak/>
              <w:br w:type="page"/>
            </w:r>
            <w:r w:rsidRPr="00C35766">
              <w:rPr>
                <w:rFonts w:ascii="Times New Roman" w:eastAsia="Times New Roman" w:hAnsi="Times New Roman" w:cs="Times New Roman"/>
                <w:b/>
                <w:bCs/>
                <w:spacing w:val="-1"/>
                <w:lang w:val="it-IT"/>
              </w:rPr>
              <w:t xml:space="preserve">INFORMAZIONI MINIME DA APPORRE SUI CONFEZIONAMENTI PRIMARI DI PICCOLE DIMENSIONI </w:t>
            </w:r>
          </w:p>
          <w:p w14:paraId="1794949A" w14:textId="77777777" w:rsidR="00AF74BE" w:rsidRPr="00C35766" w:rsidRDefault="00AF74BE" w:rsidP="00933A6C">
            <w:pPr>
              <w:tabs>
                <w:tab w:val="left" w:pos="672"/>
              </w:tabs>
              <w:jc w:val="both"/>
              <w:rPr>
                <w:rFonts w:ascii="Times New Roman" w:hAnsi="Times New Roman" w:cs="Times New Roman"/>
                <w:b/>
                <w:spacing w:val="-1"/>
                <w:lang w:val="it-IT"/>
              </w:rPr>
            </w:pPr>
          </w:p>
          <w:p w14:paraId="3A15910B" w14:textId="77777777" w:rsidR="00AF74BE" w:rsidRPr="00C35766" w:rsidRDefault="00AF74BE" w:rsidP="00933A6C">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ETICHETTA DA APPORRE SULLA PENNA PRE-RIEMPITA</w:t>
            </w:r>
          </w:p>
        </w:tc>
      </w:tr>
    </w:tbl>
    <w:p w14:paraId="48E2C678" w14:textId="77777777" w:rsidR="00AF74BE" w:rsidRPr="00C35766" w:rsidRDefault="00AF74BE" w:rsidP="00AF74BE">
      <w:pPr>
        <w:spacing w:line="200" w:lineRule="exact"/>
        <w:rPr>
          <w:rFonts w:ascii="Times New Roman" w:hAnsi="Times New Roman" w:cs="Times New Roman"/>
          <w:sz w:val="20"/>
          <w:lang w:val="it-IT"/>
        </w:rPr>
      </w:pPr>
    </w:p>
    <w:p w14:paraId="3EE4D3EB" w14:textId="77777777" w:rsidR="00AF74BE" w:rsidRPr="00C35766" w:rsidRDefault="00AF74BE" w:rsidP="00AF74BE">
      <w:pPr>
        <w:spacing w:line="200" w:lineRule="exact"/>
        <w:rPr>
          <w:rFonts w:ascii="Times New Roman" w:hAnsi="Times New Roman" w:cs="Times New Roman"/>
          <w:sz w:val="20"/>
          <w:lang w:val="it-IT"/>
        </w:rPr>
      </w:pPr>
    </w:p>
    <w:tbl>
      <w:tblPr>
        <w:tblStyle w:val="ac"/>
        <w:tblpPr w:leftFromText="142" w:rightFromText="142" w:vertAnchor="text" w:tblpY="55"/>
        <w:tblW w:w="9666" w:type="dxa"/>
        <w:tblLook w:val="04A0" w:firstRow="1" w:lastRow="0" w:firstColumn="1" w:lastColumn="0" w:noHBand="0" w:noVBand="1"/>
      </w:tblPr>
      <w:tblGrid>
        <w:gridCol w:w="9666"/>
      </w:tblGrid>
      <w:tr w:rsidR="00AF74BE" w:rsidRPr="003557F0" w14:paraId="5B0EF1F9" w14:textId="77777777" w:rsidTr="00933A6C">
        <w:trPr>
          <w:trHeight w:val="317"/>
        </w:trPr>
        <w:tc>
          <w:tcPr>
            <w:tcW w:w="9666" w:type="dxa"/>
            <w:vAlign w:val="center"/>
          </w:tcPr>
          <w:p w14:paraId="6BA2AE8B" w14:textId="77777777" w:rsidR="00AF74BE" w:rsidRPr="00C35766" w:rsidRDefault="00AF74BE" w:rsidP="00933A6C">
            <w:pPr>
              <w:numPr>
                <w:ilvl w:val="0"/>
                <w:numId w:val="60"/>
              </w:numPr>
              <w:tabs>
                <w:tab w:val="left" w:pos="672"/>
              </w:tabs>
              <w:ind w:left="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DENOMINAZIONE DEL MEDICINALE E VIA(E) DI SOMMINISTRAZIONE</w:t>
            </w:r>
          </w:p>
        </w:tc>
      </w:tr>
    </w:tbl>
    <w:p w14:paraId="6765B173" w14:textId="77777777" w:rsidR="00AF74BE" w:rsidRPr="00C35766" w:rsidRDefault="00AF74BE" w:rsidP="00AF74BE">
      <w:pPr>
        <w:spacing w:line="200" w:lineRule="exact"/>
        <w:rPr>
          <w:rFonts w:ascii="Times New Roman" w:hAnsi="Times New Roman" w:cs="Times New Roman"/>
          <w:sz w:val="20"/>
          <w:szCs w:val="20"/>
          <w:lang w:val="pt-BR"/>
        </w:rPr>
      </w:pPr>
    </w:p>
    <w:p w14:paraId="43557A5E" w14:textId="2B820206" w:rsidR="00AF74BE" w:rsidRPr="00C35766" w:rsidRDefault="00AF74BE" w:rsidP="00AF74BE">
      <w:pPr>
        <w:pStyle w:val="a3"/>
        <w:rPr>
          <w:lang w:val="pt-BR"/>
        </w:rPr>
      </w:pPr>
      <w:r w:rsidRPr="00C35766">
        <w:rPr>
          <w:rFonts w:eastAsia="Times New Roman"/>
          <w:lang w:val="it-IT"/>
        </w:rPr>
        <w:t xml:space="preserve">Yuflyma </w:t>
      </w:r>
      <w:r w:rsidR="00E81705" w:rsidRPr="00C35766">
        <w:rPr>
          <w:rFonts w:eastAsia="Times New Roman"/>
          <w:lang w:val="it-IT"/>
        </w:rPr>
        <w:t>8</w:t>
      </w:r>
      <w:r w:rsidRPr="00C35766">
        <w:rPr>
          <w:rFonts w:eastAsia="Times New Roman"/>
          <w:lang w:val="it-IT"/>
        </w:rPr>
        <w:t>0 mg per iniezioni</w:t>
      </w:r>
    </w:p>
    <w:p w14:paraId="41445013" w14:textId="77777777" w:rsidR="00AF74BE" w:rsidRPr="00C35766" w:rsidRDefault="00AF74BE" w:rsidP="00AF74BE">
      <w:pPr>
        <w:pStyle w:val="a3"/>
        <w:rPr>
          <w:lang w:val="pt-BR"/>
        </w:rPr>
      </w:pPr>
      <w:r w:rsidRPr="00C35766">
        <w:rPr>
          <w:rFonts w:eastAsia="Times New Roman"/>
          <w:lang w:val="it-IT"/>
        </w:rPr>
        <w:t>adalimumab</w:t>
      </w:r>
    </w:p>
    <w:p w14:paraId="74C0C044" w14:textId="77777777" w:rsidR="00AF74BE" w:rsidRPr="00C35766" w:rsidRDefault="00AF74BE" w:rsidP="00AF74BE">
      <w:pPr>
        <w:pStyle w:val="a3"/>
        <w:rPr>
          <w:lang w:val="pt-BR"/>
        </w:rPr>
      </w:pPr>
      <w:r w:rsidRPr="00C35766">
        <w:rPr>
          <w:rFonts w:eastAsia="Times New Roman"/>
          <w:lang w:val="it-IT"/>
        </w:rPr>
        <w:t>Uso sottocutaneo</w:t>
      </w:r>
    </w:p>
    <w:p w14:paraId="219CE8F7" w14:textId="77777777" w:rsidR="00AF74BE" w:rsidRPr="00C35766" w:rsidRDefault="00AF74BE" w:rsidP="00AF74BE">
      <w:pPr>
        <w:pStyle w:val="a3"/>
        <w:rPr>
          <w:lang w:val="pt-BR"/>
        </w:rPr>
      </w:pPr>
    </w:p>
    <w:p w14:paraId="1BA213BD" w14:textId="77777777" w:rsidR="00AF74BE" w:rsidRPr="00C35766" w:rsidRDefault="00AF74BE" w:rsidP="00AF74BE">
      <w:pPr>
        <w:pStyle w:val="a3"/>
        <w:rPr>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1A586488" w14:textId="77777777" w:rsidTr="00933A6C">
        <w:trPr>
          <w:trHeight w:val="317"/>
        </w:trPr>
        <w:tc>
          <w:tcPr>
            <w:tcW w:w="9666" w:type="dxa"/>
            <w:vAlign w:val="center"/>
          </w:tcPr>
          <w:p w14:paraId="33DC027E" w14:textId="77777777" w:rsidR="00AF74BE" w:rsidRPr="00C35766" w:rsidRDefault="00AF74BE" w:rsidP="00933A6C">
            <w:pPr>
              <w:numPr>
                <w:ilvl w:val="0"/>
                <w:numId w:val="60"/>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MODO DI SOMMINISTRAZIONE</w:t>
            </w:r>
          </w:p>
        </w:tc>
      </w:tr>
    </w:tbl>
    <w:p w14:paraId="4C157731" w14:textId="77777777" w:rsidR="00AF74BE" w:rsidRPr="00C35766" w:rsidRDefault="00AF74BE" w:rsidP="00AF74BE">
      <w:pPr>
        <w:spacing w:before="13" w:line="280" w:lineRule="exact"/>
        <w:rPr>
          <w:rFonts w:ascii="Times New Roman" w:hAnsi="Times New Roman" w:cs="Times New Roman"/>
          <w:sz w:val="28"/>
          <w:szCs w:val="28"/>
        </w:rPr>
      </w:pPr>
    </w:p>
    <w:p w14:paraId="6E8A7F12" w14:textId="77777777" w:rsidR="00AF74BE" w:rsidRPr="00C35766" w:rsidRDefault="00AF74BE" w:rsidP="00AF74BE">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0CBEAEBF" w14:textId="77777777" w:rsidTr="00933A6C">
        <w:trPr>
          <w:trHeight w:val="317"/>
        </w:trPr>
        <w:tc>
          <w:tcPr>
            <w:tcW w:w="9666" w:type="dxa"/>
            <w:vAlign w:val="center"/>
          </w:tcPr>
          <w:p w14:paraId="5239C16F" w14:textId="77777777" w:rsidR="00AF74BE" w:rsidRPr="00C35766" w:rsidRDefault="00AF74BE" w:rsidP="00933A6C">
            <w:pPr>
              <w:numPr>
                <w:ilvl w:val="0"/>
                <w:numId w:val="60"/>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0A428CB0" w14:textId="77777777" w:rsidR="00AF74BE" w:rsidRPr="00C35766" w:rsidRDefault="00AF74BE" w:rsidP="00AF74BE">
      <w:pPr>
        <w:pStyle w:val="a3"/>
      </w:pPr>
    </w:p>
    <w:p w14:paraId="361BF15D" w14:textId="77777777" w:rsidR="00AF74BE" w:rsidRPr="00C35766" w:rsidRDefault="00AF74BE" w:rsidP="00AF74BE">
      <w:pPr>
        <w:pStyle w:val="a3"/>
      </w:pPr>
      <w:r w:rsidRPr="00C35766">
        <w:rPr>
          <w:rFonts w:eastAsia="Times New Roman"/>
          <w:lang w:val="it-IT"/>
        </w:rPr>
        <w:t>EXP</w:t>
      </w:r>
    </w:p>
    <w:p w14:paraId="690743D1" w14:textId="77777777" w:rsidR="00AF74BE" w:rsidRPr="00C35766" w:rsidRDefault="00AF74BE" w:rsidP="00AF74BE">
      <w:pPr>
        <w:pStyle w:val="a3"/>
      </w:pPr>
    </w:p>
    <w:p w14:paraId="56C18A42"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490C49D5" w14:textId="77777777" w:rsidTr="00933A6C">
        <w:trPr>
          <w:trHeight w:val="317"/>
        </w:trPr>
        <w:tc>
          <w:tcPr>
            <w:tcW w:w="9666" w:type="dxa"/>
            <w:vAlign w:val="center"/>
          </w:tcPr>
          <w:p w14:paraId="59E1DDF1" w14:textId="77777777" w:rsidR="00AF74BE" w:rsidRPr="00C35766" w:rsidRDefault="00AF74BE" w:rsidP="00933A6C">
            <w:pPr>
              <w:numPr>
                <w:ilvl w:val="0"/>
                <w:numId w:val="60"/>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77793DB4" w14:textId="77777777" w:rsidR="00AF74BE" w:rsidRPr="00C35766" w:rsidRDefault="00AF74BE" w:rsidP="00AF74BE">
      <w:pPr>
        <w:pStyle w:val="a3"/>
      </w:pPr>
    </w:p>
    <w:p w14:paraId="01410D9E" w14:textId="77777777" w:rsidR="00AF74BE" w:rsidRPr="00C35766" w:rsidRDefault="00AF74BE" w:rsidP="00AF74BE">
      <w:pPr>
        <w:pStyle w:val="a3"/>
      </w:pPr>
      <w:r w:rsidRPr="00C35766">
        <w:rPr>
          <w:rFonts w:eastAsia="Times New Roman"/>
          <w:lang w:val="it-IT"/>
        </w:rPr>
        <w:t>Lot</w:t>
      </w:r>
    </w:p>
    <w:p w14:paraId="37B4172D" w14:textId="77777777" w:rsidR="00AF74BE" w:rsidRPr="00C35766" w:rsidRDefault="00AF74BE" w:rsidP="00AF74BE">
      <w:pPr>
        <w:pStyle w:val="a3"/>
      </w:pPr>
    </w:p>
    <w:p w14:paraId="12E9FCB5" w14:textId="77777777" w:rsidR="00AF74BE" w:rsidRPr="00C35766" w:rsidRDefault="00AF74BE" w:rsidP="00AF74B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3557F0" w14:paraId="7F8541E3" w14:textId="77777777" w:rsidTr="00933A6C">
        <w:trPr>
          <w:trHeight w:val="317"/>
        </w:trPr>
        <w:tc>
          <w:tcPr>
            <w:tcW w:w="9666" w:type="dxa"/>
            <w:vAlign w:val="center"/>
          </w:tcPr>
          <w:p w14:paraId="35906526" w14:textId="77777777" w:rsidR="00AF74BE" w:rsidRPr="00C35766" w:rsidRDefault="00AF74BE" w:rsidP="00933A6C">
            <w:pPr>
              <w:numPr>
                <w:ilvl w:val="0"/>
                <w:numId w:val="60"/>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CONTENUTO IN PESO, VOLUME O UNITÀ</w:t>
            </w:r>
          </w:p>
        </w:tc>
      </w:tr>
    </w:tbl>
    <w:p w14:paraId="363D8E90" w14:textId="77777777" w:rsidR="00AF74BE" w:rsidRPr="00C35766" w:rsidRDefault="00AF74BE" w:rsidP="00AF74BE">
      <w:pPr>
        <w:spacing w:before="13" w:line="280" w:lineRule="exact"/>
        <w:rPr>
          <w:rFonts w:ascii="Times New Roman" w:hAnsi="Times New Roman" w:cs="Times New Roman"/>
          <w:sz w:val="28"/>
          <w:szCs w:val="28"/>
          <w:lang w:val="pt-BR"/>
        </w:rPr>
      </w:pPr>
    </w:p>
    <w:p w14:paraId="7292EFC5" w14:textId="726C3198" w:rsidR="00AF74BE" w:rsidRPr="00C35766" w:rsidRDefault="00E81705" w:rsidP="00AF74BE">
      <w:pPr>
        <w:pStyle w:val="a3"/>
      </w:pPr>
      <w:r w:rsidRPr="00C35766">
        <w:rPr>
          <w:rFonts w:eastAsia="Times New Roman"/>
          <w:lang w:val="it-IT"/>
        </w:rPr>
        <w:t>8</w:t>
      </w:r>
      <w:r w:rsidR="00AF74BE" w:rsidRPr="00C35766">
        <w:rPr>
          <w:rFonts w:eastAsia="Times New Roman"/>
          <w:lang w:val="it-IT"/>
        </w:rPr>
        <w:t>0 mg/0</w:t>
      </w:r>
      <w:r w:rsidR="00107082">
        <w:rPr>
          <w:rFonts w:eastAsia="Times New Roman"/>
          <w:lang w:val="it-IT"/>
        </w:rPr>
        <w:t>,</w:t>
      </w:r>
      <w:r w:rsidRPr="00C35766">
        <w:rPr>
          <w:rFonts w:eastAsia="Times New Roman"/>
          <w:lang w:val="it-IT"/>
        </w:rPr>
        <w:t>8</w:t>
      </w:r>
      <w:r w:rsidR="00AF74BE" w:rsidRPr="00C35766">
        <w:rPr>
          <w:rFonts w:eastAsia="Times New Roman"/>
          <w:lang w:val="it-IT"/>
        </w:rPr>
        <w:t xml:space="preserve"> mL</w:t>
      </w:r>
    </w:p>
    <w:p w14:paraId="0A054105" w14:textId="77777777" w:rsidR="00AF74BE" w:rsidRPr="00C35766" w:rsidRDefault="00AF74BE" w:rsidP="00AF74BE">
      <w:pPr>
        <w:spacing w:before="13" w:line="280" w:lineRule="exact"/>
        <w:rPr>
          <w:rFonts w:ascii="Times New Roman" w:hAnsi="Times New Roman" w:cs="Times New Roman"/>
          <w:sz w:val="28"/>
          <w:szCs w:val="28"/>
        </w:rPr>
      </w:pPr>
    </w:p>
    <w:p w14:paraId="069C1863" w14:textId="77777777" w:rsidR="00AF74BE" w:rsidRPr="00C35766" w:rsidRDefault="00AF74BE" w:rsidP="00AF74BE">
      <w:pPr>
        <w:spacing w:before="13" w:line="280" w:lineRule="exact"/>
        <w:rPr>
          <w:rFonts w:ascii="Times New Roman" w:hAnsi="Times New Roman" w:cs="Times New Roman"/>
          <w:sz w:val="28"/>
          <w:szCs w:val="28"/>
        </w:rPr>
      </w:pPr>
    </w:p>
    <w:tbl>
      <w:tblPr>
        <w:tblStyle w:val="ac"/>
        <w:tblpPr w:leftFromText="142" w:rightFromText="142" w:vertAnchor="text" w:tblpY="194"/>
        <w:tblW w:w="9666" w:type="dxa"/>
        <w:tblLook w:val="04A0" w:firstRow="1" w:lastRow="0" w:firstColumn="1" w:lastColumn="0" w:noHBand="0" w:noVBand="1"/>
      </w:tblPr>
      <w:tblGrid>
        <w:gridCol w:w="9666"/>
      </w:tblGrid>
      <w:tr w:rsidR="00AF74BE" w:rsidRPr="00C35766" w14:paraId="630E62F3" w14:textId="77777777" w:rsidTr="00933A6C">
        <w:trPr>
          <w:trHeight w:val="317"/>
        </w:trPr>
        <w:tc>
          <w:tcPr>
            <w:tcW w:w="9666" w:type="dxa"/>
            <w:vAlign w:val="center"/>
          </w:tcPr>
          <w:p w14:paraId="2D6050F4" w14:textId="77777777" w:rsidR="00AF74BE" w:rsidRPr="00C35766" w:rsidRDefault="00AF74BE" w:rsidP="00933A6C">
            <w:pPr>
              <w:numPr>
                <w:ilvl w:val="0"/>
                <w:numId w:val="60"/>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rPr>
              <w:t>ALTRO</w:t>
            </w:r>
          </w:p>
        </w:tc>
      </w:tr>
    </w:tbl>
    <w:p w14:paraId="39F6FAF7" w14:textId="77777777" w:rsidR="00AF74BE" w:rsidRPr="00C35766" w:rsidRDefault="00AF74BE" w:rsidP="00AF74BE">
      <w:pPr>
        <w:pStyle w:val="a3"/>
      </w:pPr>
    </w:p>
    <w:p w14:paraId="5306A4C7" w14:textId="77777777" w:rsidR="00AF74BE" w:rsidRPr="00C35766" w:rsidRDefault="00AF74BE" w:rsidP="00AF74BE">
      <w:pPr>
        <w:rPr>
          <w:rFonts w:ascii="Times New Roman" w:hAnsi="Times New Roman" w:cs="Times New Roman"/>
        </w:rPr>
      </w:pPr>
    </w:p>
    <w:p w14:paraId="40EC5856" w14:textId="77777777" w:rsidR="00AF74BE" w:rsidRPr="00C35766" w:rsidRDefault="00AF74BE" w:rsidP="00AF74BE">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BE1C70" w:rsidRPr="003557F0" w14:paraId="16233E76" w14:textId="77777777" w:rsidTr="00603A86">
        <w:trPr>
          <w:trHeight w:val="822"/>
        </w:trPr>
        <w:tc>
          <w:tcPr>
            <w:tcW w:w="9666" w:type="dxa"/>
            <w:vAlign w:val="center"/>
          </w:tcPr>
          <w:p w14:paraId="496BE221" w14:textId="77777777" w:rsidR="00BE1C70" w:rsidRPr="00C35766" w:rsidRDefault="00BE1C70" w:rsidP="00603A86">
            <w:pPr>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INFORMAZIONI DA APPORRE SUL CONFEZIONAMENTO SECONDARIO</w:t>
            </w:r>
          </w:p>
          <w:p w14:paraId="4ACEF4D0" w14:textId="77777777" w:rsidR="00BE1C70" w:rsidRPr="00C35766" w:rsidRDefault="00BE1C70" w:rsidP="00603A86">
            <w:pPr>
              <w:spacing w:line="180" w:lineRule="exact"/>
              <w:jc w:val="both"/>
              <w:rPr>
                <w:rFonts w:ascii="Times New Roman" w:hAnsi="Times New Roman" w:cs="Times New Roman"/>
                <w:lang w:val="pt-BR"/>
              </w:rPr>
            </w:pPr>
          </w:p>
          <w:p w14:paraId="0092ADD4" w14:textId="77777777" w:rsidR="00BE1C70" w:rsidRPr="00C35766" w:rsidRDefault="00BE1C70" w:rsidP="00603A86">
            <w:pPr>
              <w:jc w:val="both"/>
              <w:rPr>
                <w:rFonts w:ascii="Times New Roman" w:eastAsia="Times New Roman" w:hAnsi="Times New Roman" w:cs="Times New Roman"/>
                <w:lang w:val="es-ES"/>
              </w:rPr>
            </w:pPr>
            <w:r w:rsidRPr="00C35766">
              <w:rPr>
                <w:rFonts w:ascii="Times New Roman" w:eastAsia="Times New Roman" w:hAnsi="Times New Roman" w:cs="Times New Roman"/>
                <w:b/>
                <w:bCs/>
                <w:spacing w:val="-1"/>
                <w:lang w:val="it-IT"/>
              </w:rPr>
              <w:t>IMBALLAGGIO ESTERNO DELLA SIRINGA PRE-RIEMPITA</w:t>
            </w:r>
          </w:p>
        </w:tc>
      </w:tr>
    </w:tbl>
    <w:p w14:paraId="6120014B" w14:textId="77777777" w:rsidR="00BE1C70" w:rsidRPr="00C35766" w:rsidRDefault="00BE1C70" w:rsidP="00BE1C70">
      <w:pPr>
        <w:spacing w:line="200" w:lineRule="exact"/>
        <w:rPr>
          <w:rFonts w:ascii="Times New Roman" w:hAnsi="Times New Roman" w:cs="Times New Roman"/>
          <w:lang w:val="es-ES"/>
        </w:rPr>
      </w:pPr>
    </w:p>
    <w:p w14:paraId="23DE8A14" w14:textId="77777777" w:rsidR="00BE1C70" w:rsidRPr="00C35766" w:rsidRDefault="00BE1C70" w:rsidP="00BE1C70">
      <w:pPr>
        <w:spacing w:line="200" w:lineRule="exact"/>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BE1C70" w:rsidRPr="00C35766" w14:paraId="3357C6FE" w14:textId="77777777" w:rsidTr="00603A86">
        <w:trPr>
          <w:trHeight w:val="317"/>
        </w:trPr>
        <w:tc>
          <w:tcPr>
            <w:tcW w:w="9666" w:type="dxa"/>
            <w:vAlign w:val="center"/>
          </w:tcPr>
          <w:p w14:paraId="2B63EBBF" w14:textId="77777777" w:rsidR="00BE1C70" w:rsidRPr="00C35766" w:rsidRDefault="00BE1C70" w:rsidP="005C2D5B">
            <w:pPr>
              <w:numPr>
                <w:ilvl w:val="0"/>
                <w:numId w:val="68"/>
              </w:numPr>
              <w:tabs>
                <w:tab w:val="left" w:pos="672"/>
              </w:tabs>
              <w:ind w:left="550"/>
              <w:jc w:val="both"/>
              <w:rPr>
                <w:rFonts w:ascii="Times New Roman" w:eastAsia="Times New Roman" w:hAnsi="Times New Roman" w:cs="Times New Roman"/>
              </w:rPr>
            </w:pPr>
            <w:r w:rsidRPr="00C35766">
              <w:rPr>
                <w:rFonts w:ascii="Times New Roman" w:eastAsia="Times New Roman" w:hAnsi="Times New Roman" w:cs="Times New Roman"/>
                <w:b/>
                <w:bCs/>
                <w:spacing w:val="-1"/>
                <w:lang w:val="it-IT"/>
              </w:rPr>
              <w:t>DENOMINAZIONE DEL MEDICINALE</w:t>
            </w:r>
          </w:p>
        </w:tc>
      </w:tr>
    </w:tbl>
    <w:p w14:paraId="4979D87D" w14:textId="77777777" w:rsidR="00BE1C70" w:rsidRPr="00C35766" w:rsidRDefault="00BE1C70" w:rsidP="00BE1C70">
      <w:pPr>
        <w:spacing w:line="200" w:lineRule="exact"/>
        <w:rPr>
          <w:rFonts w:ascii="Times New Roman" w:hAnsi="Times New Roman" w:cs="Times New Roman"/>
        </w:rPr>
      </w:pPr>
    </w:p>
    <w:p w14:paraId="6273018F" w14:textId="306170E5" w:rsidR="00BE1C70" w:rsidRPr="00C35766" w:rsidRDefault="00BE1C70" w:rsidP="00BE1C70">
      <w:pPr>
        <w:pStyle w:val="a3"/>
        <w:rPr>
          <w:lang w:val="it-IT"/>
        </w:rPr>
      </w:pPr>
      <w:r w:rsidRPr="00C35766">
        <w:rPr>
          <w:rFonts w:eastAsia="Times New Roman"/>
          <w:lang w:val="it-IT"/>
        </w:rPr>
        <w:t xml:space="preserve">Yuflyma </w:t>
      </w:r>
      <w:r w:rsidR="00D8255F">
        <w:rPr>
          <w:rFonts w:eastAsia="Times New Roman"/>
          <w:lang w:val="it-IT"/>
        </w:rPr>
        <w:t>20</w:t>
      </w:r>
      <w:r w:rsidRPr="00C35766">
        <w:rPr>
          <w:rFonts w:eastAsia="Times New Roman"/>
          <w:lang w:val="it-IT"/>
        </w:rPr>
        <w:t xml:space="preserve"> mg soluzione iniettabile in siringa pre-riempita</w:t>
      </w:r>
    </w:p>
    <w:p w14:paraId="710FB618" w14:textId="77777777" w:rsidR="00BE1C70" w:rsidRPr="00C35766" w:rsidRDefault="00BE1C70" w:rsidP="00BE1C70">
      <w:pPr>
        <w:pStyle w:val="a3"/>
      </w:pPr>
      <w:r w:rsidRPr="00C35766">
        <w:rPr>
          <w:rFonts w:eastAsia="Times New Roman"/>
          <w:lang w:val="it-IT"/>
        </w:rPr>
        <w:t>adalimumab</w:t>
      </w:r>
    </w:p>
    <w:p w14:paraId="02C9AD2F" w14:textId="77777777" w:rsidR="00BE1C70" w:rsidRPr="00C35766" w:rsidRDefault="00BE1C70" w:rsidP="00BE1C70">
      <w:pPr>
        <w:pStyle w:val="a3"/>
      </w:pPr>
    </w:p>
    <w:p w14:paraId="0E059E4C" w14:textId="77777777" w:rsidR="00BE1C70" w:rsidRPr="00C35766" w:rsidRDefault="00BE1C70" w:rsidP="00BE1C7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494E69" w14:paraId="110FF4BF" w14:textId="77777777" w:rsidTr="00603A86">
        <w:trPr>
          <w:trHeight w:val="317"/>
        </w:trPr>
        <w:tc>
          <w:tcPr>
            <w:tcW w:w="9666" w:type="dxa"/>
            <w:vAlign w:val="center"/>
          </w:tcPr>
          <w:p w14:paraId="08968243"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COMPOSIZIONE QUALITATIVA E QUANTITATIVA IN TERMINI DI PRINCIPIO(I) ATTIVO(I)</w:t>
            </w:r>
          </w:p>
        </w:tc>
      </w:tr>
    </w:tbl>
    <w:p w14:paraId="2C2D03E7" w14:textId="77777777" w:rsidR="00BE1C70" w:rsidRPr="00C35766" w:rsidRDefault="00BE1C70" w:rsidP="00BE1C70">
      <w:pPr>
        <w:spacing w:before="13" w:line="280" w:lineRule="exact"/>
        <w:rPr>
          <w:rFonts w:ascii="Times New Roman" w:hAnsi="Times New Roman" w:cs="Times New Roman"/>
          <w:lang w:val="pt-BR"/>
        </w:rPr>
      </w:pPr>
    </w:p>
    <w:p w14:paraId="55FB7774" w14:textId="3362FBF8" w:rsidR="00BE1C70" w:rsidRPr="00C35766" w:rsidRDefault="00BE1C70" w:rsidP="00BE1C70">
      <w:pPr>
        <w:pStyle w:val="a3"/>
        <w:rPr>
          <w:lang w:val="es-ES"/>
        </w:rPr>
      </w:pPr>
      <w:r w:rsidRPr="00C35766">
        <w:rPr>
          <w:rFonts w:eastAsia="Times New Roman"/>
          <w:lang w:val="it-IT"/>
        </w:rPr>
        <w:t xml:space="preserve">Una siringa pre-riempita da </w:t>
      </w:r>
      <w:r w:rsidR="00D8255F">
        <w:rPr>
          <w:rFonts w:eastAsia="Times New Roman"/>
          <w:lang w:val="it-IT"/>
        </w:rPr>
        <w:t>0,2</w:t>
      </w:r>
      <w:r w:rsidRPr="00C35766">
        <w:rPr>
          <w:rFonts w:eastAsia="Times New Roman"/>
          <w:lang w:val="it-IT"/>
        </w:rPr>
        <w:t xml:space="preserve"> mL contiene </w:t>
      </w:r>
      <w:r w:rsidR="00D8255F">
        <w:rPr>
          <w:rFonts w:eastAsia="Times New Roman"/>
          <w:lang w:val="it-IT"/>
        </w:rPr>
        <w:t>20</w:t>
      </w:r>
      <w:r w:rsidRPr="00C35766">
        <w:rPr>
          <w:rFonts w:eastAsia="Times New Roman"/>
          <w:lang w:val="it-IT"/>
        </w:rPr>
        <w:t xml:space="preserve"> mg di adalimumab.</w:t>
      </w:r>
    </w:p>
    <w:p w14:paraId="2B22825F" w14:textId="77777777" w:rsidR="00BE1C70" w:rsidRPr="00C35766" w:rsidRDefault="00BE1C70" w:rsidP="00BE1C70">
      <w:pPr>
        <w:spacing w:line="280" w:lineRule="exact"/>
        <w:rPr>
          <w:rFonts w:ascii="Times New Roman" w:hAnsi="Times New Roman" w:cs="Times New Roman"/>
          <w:lang w:val="es-ES"/>
        </w:rPr>
      </w:pPr>
    </w:p>
    <w:p w14:paraId="65F03932" w14:textId="77777777" w:rsidR="00BE1C70" w:rsidRPr="00C35766" w:rsidRDefault="00BE1C70" w:rsidP="00BE1C70">
      <w:pPr>
        <w:spacing w:line="280" w:lineRule="exact"/>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64FE4552" w14:textId="77777777" w:rsidTr="00603A86">
        <w:trPr>
          <w:trHeight w:val="317"/>
        </w:trPr>
        <w:tc>
          <w:tcPr>
            <w:tcW w:w="9666" w:type="dxa"/>
            <w:vAlign w:val="center"/>
          </w:tcPr>
          <w:p w14:paraId="4BCF2654"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ELENCO DEGLI ECCIPIENTI</w:t>
            </w:r>
          </w:p>
        </w:tc>
      </w:tr>
    </w:tbl>
    <w:p w14:paraId="09B64EB5" w14:textId="77777777" w:rsidR="00BE1C70" w:rsidRPr="00C35766" w:rsidRDefault="00BE1C70" w:rsidP="00BE1C70">
      <w:pPr>
        <w:pStyle w:val="a3"/>
      </w:pPr>
    </w:p>
    <w:p w14:paraId="31F62928" w14:textId="77777777" w:rsidR="00BE1C70" w:rsidRPr="00C35766" w:rsidRDefault="00BE1C70" w:rsidP="00BE1C70">
      <w:pPr>
        <w:pStyle w:val="a3"/>
        <w:rPr>
          <w:lang w:val="it-IT"/>
        </w:rPr>
      </w:pPr>
      <w:r w:rsidRPr="00C35766">
        <w:rPr>
          <w:rFonts w:eastAsia="Times New Roman"/>
          <w:lang w:val="it-IT"/>
        </w:rPr>
        <w:t>Eccipienti: acido acetico, acetato di sodio triidrato, glicina, polisorbato 80, acqua per preparazioni iniettabili.</w:t>
      </w:r>
    </w:p>
    <w:p w14:paraId="4B95AE3C" w14:textId="77777777" w:rsidR="00BE1C70" w:rsidRPr="00C35766" w:rsidRDefault="00BE1C70" w:rsidP="00BE1C70">
      <w:pPr>
        <w:pStyle w:val="a3"/>
        <w:rPr>
          <w:lang w:val="it-IT"/>
        </w:rPr>
      </w:pPr>
      <w:r w:rsidRPr="00C35766">
        <w:rPr>
          <w:rFonts w:eastAsia="Times New Roman"/>
          <w:highlight w:val="lightGray"/>
          <w:lang w:val="it-IT"/>
        </w:rPr>
        <w:t>Per ulteriori informazioni, vedere il foglio illustrativo.</w:t>
      </w:r>
    </w:p>
    <w:p w14:paraId="484A114F" w14:textId="77777777" w:rsidR="00BE1C70" w:rsidRPr="00C35766" w:rsidRDefault="00BE1C70" w:rsidP="00BE1C70">
      <w:pPr>
        <w:pStyle w:val="a3"/>
        <w:tabs>
          <w:tab w:val="left" w:pos="1386"/>
        </w:tabs>
        <w:rPr>
          <w:lang w:val="it-IT"/>
        </w:rPr>
      </w:pPr>
    </w:p>
    <w:p w14:paraId="5C86D18C" w14:textId="77777777" w:rsidR="00BE1C70" w:rsidRPr="00C35766" w:rsidRDefault="00BE1C70" w:rsidP="00BE1C70">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1D3B31B9" w14:textId="77777777" w:rsidTr="00603A86">
        <w:trPr>
          <w:trHeight w:val="317"/>
        </w:trPr>
        <w:tc>
          <w:tcPr>
            <w:tcW w:w="9666" w:type="dxa"/>
            <w:vAlign w:val="center"/>
          </w:tcPr>
          <w:p w14:paraId="3B21DD7F"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FORMA FARMACEUTICA E CONTENUTO</w:t>
            </w:r>
          </w:p>
        </w:tc>
      </w:tr>
    </w:tbl>
    <w:p w14:paraId="02EF3EDB" w14:textId="77777777" w:rsidR="00BE1C70" w:rsidRPr="00C35766" w:rsidRDefault="00BE1C70" w:rsidP="00BE1C70">
      <w:pPr>
        <w:pStyle w:val="a3"/>
      </w:pPr>
    </w:p>
    <w:p w14:paraId="2F4B1753" w14:textId="77777777" w:rsidR="00BE1C70" w:rsidRPr="00C35766" w:rsidRDefault="00BE1C70" w:rsidP="00BE1C70">
      <w:pPr>
        <w:pStyle w:val="a3"/>
      </w:pPr>
      <w:r w:rsidRPr="00C35766">
        <w:rPr>
          <w:rFonts w:eastAsia="Times New Roman"/>
          <w:highlight w:val="lightGray"/>
          <w:lang w:val="it-IT"/>
        </w:rPr>
        <w:t>Soluzione iniettabile</w:t>
      </w:r>
    </w:p>
    <w:p w14:paraId="081C7943" w14:textId="77777777" w:rsidR="0097697D" w:rsidRPr="00C35766" w:rsidRDefault="0097697D" w:rsidP="0097697D">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1 siringa pre-riempita</w:t>
      </w:r>
    </w:p>
    <w:p w14:paraId="4764AAB9" w14:textId="77777777" w:rsidR="0097697D" w:rsidRPr="00C35766" w:rsidRDefault="0097697D" w:rsidP="0097697D">
      <w:pPr>
        <w:autoSpaceDE w:val="0"/>
        <w:autoSpaceDN w:val="0"/>
        <w:adjustRightInd w:val="0"/>
        <w:rPr>
          <w:rFonts w:ascii="Times New Roman" w:hAnsi="Times New Roman" w:cs="Times New Roman"/>
        </w:rPr>
      </w:pPr>
      <w:r w:rsidRPr="00C35766">
        <w:rPr>
          <w:rFonts w:ascii="Times New Roman" w:eastAsia="Times New Roman" w:hAnsi="Times New Roman" w:cs="Times New Roman"/>
          <w:lang w:val="it-IT"/>
        </w:rPr>
        <w:t>2 tamponi imbevuti di alcool</w:t>
      </w:r>
    </w:p>
    <w:p w14:paraId="1C17F95A" w14:textId="77777777" w:rsidR="0097697D" w:rsidRDefault="0097697D" w:rsidP="00D8255F">
      <w:pPr>
        <w:autoSpaceDE w:val="0"/>
        <w:autoSpaceDN w:val="0"/>
        <w:adjustRightInd w:val="0"/>
        <w:rPr>
          <w:rFonts w:ascii="Times New Roman" w:hAnsi="Times New Roman" w:cs="Times New Roman"/>
          <w:lang w:val="it-IT" w:eastAsia="ko-KR"/>
        </w:rPr>
      </w:pPr>
    </w:p>
    <w:p w14:paraId="5DFC4F2B" w14:textId="6119211B" w:rsidR="00D8255F" w:rsidRPr="00D95C47" w:rsidRDefault="00D8255F" w:rsidP="00D8255F">
      <w:pPr>
        <w:autoSpaceDE w:val="0"/>
        <w:autoSpaceDN w:val="0"/>
        <w:adjustRightInd w:val="0"/>
        <w:rPr>
          <w:rFonts w:ascii="Times New Roman" w:hAnsi="Times New Roman"/>
          <w:lang w:val="it-IT"/>
        </w:rPr>
      </w:pPr>
      <w:r w:rsidRPr="00D95C47">
        <w:rPr>
          <w:rFonts w:ascii="Times New Roman" w:hAnsi="Times New Roman"/>
          <w:lang w:val="it-IT"/>
        </w:rPr>
        <w:t>2 siringhe pre-riempite</w:t>
      </w:r>
    </w:p>
    <w:p w14:paraId="6CB8C902" w14:textId="77777777" w:rsidR="00BE1C70" w:rsidRPr="00C35766" w:rsidRDefault="00BE1C70" w:rsidP="00BE1C70">
      <w:pPr>
        <w:autoSpaceDE w:val="0"/>
        <w:autoSpaceDN w:val="0"/>
        <w:adjustRightInd w:val="0"/>
        <w:rPr>
          <w:rFonts w:ascii="Times New Roman" w:hAnsi="Times New Roman" w:cs="Times New Roman"/>
        </w:rPr>
      </w:pPr>
      <w:r w:rsidRPr="00D95C47">
        <w:rPr>
          <w:rFonts w:ascii="Times New Roman" w:hAnsi="Times New Roman"/>
          <w:lang w:val="it-IT"/>
        </w:rPr>
        <w:t>2 tamponi imbevuti di alcool</w:t>
      </w:r>
    </w:p>
    <w:p w14:paraId="3FA4B07C" w14:textId="77777777" w:rsidR="00BE1C70" w:rsidRPr="00C35766" w:rsidRDefault="00BE1C70" w:rsidP="00BE1C70">
      <w:pPr>
        <w:spacing w:line="200" w:lineRule="exact"/>
        <w:rPr>
          <w:rFonts w:ascii="Times New Roman" w:hAnsi="Times New Roman" w:cs="Times New Roman"/>
        </w:rPr>
      </w:pPr>
    </w:p>
    <w:p w14:paraId="2C1349AF" w14:textId="77777777" w:rsidR="00BE1C70" w:rsidRPr="00C35766" w:rsidRDefault="00BE1C70" w:rsidP="00BE1C70">
      <w:pPr>
        <w:spacing w:line="20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3557F0" w14:paraId="109D950D" w14:textId="77777777" w:rsidTr="00603A86">
        <w:trPr>
          <w:trHeight w:val="317"/>
        </w:trPr>
        <w:tc>
          <w:tcPr>
            <w:tcW w:w="9666" w:type="dxa"/>
            <w:vAlign w:val="center"/>
          </w:tcPr>
          <w:p w14:paraId="7AFE80BC"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MODO E VIA DI SOMMINISTRAZIONE</w:t>
            </w:r>
          </w:p>
        </w:tc>
      </w:tr>
    </w:tbl>
    <w:p w14:paraId="086BC4CE" w14:textId="77777777" w:rsidR="00BE1C70" w:rsidRPr="00C35766" w:rsidRDefault="00BE1C70" w:rsidP="00BE1C70">
      <w:pPr>
        <w:spacing w:line="200" w:lineRule="exact"/>
        <w:rPr>
          <w:rFonts w:ascii="Times New Roman" w:hAnsi="Times New Roman" w:cs="Times New Roman"/>
          <w:lang w:val="pt-BR"/>
        </w:rPr>
      </w:pPr>
    </w:p>
    <w:p w14:paraId="2969C557" w14:textId="77777777" w:rsidR="00BE1C70" w:rsidRPr="00C35766" w:rsidRDefault="00BE1C70" w:rsidP="00BE1C70">
      <w:pPr>
        <w:pStyle w:val="a3"/>
        <w:rPr>
          <w:lang w:val="pt-BR"/>
        </w:rPr>
      </w:pPr>
      <w:r w:rsidRPr="00C35766">
        <w:rPr>
          <w:rFonts w:eastAsia="Times New Roman"/>
          <w:lang w:val="it-IT"/>
        </w:rPr>
        <w:t>Uso sottocutaneo</w:t>
      </w:r>
    </w:p>
    <w:p w14:paraId="59C45E6A" w14:textId="77777777" w:rsidR="00BE1C70" w:rsidRPr="00C35766" w:rsidRDefault="00BE1C70" w:rsidP="00BE1C70">
      <w:pPr>
        <w:pStyle w:val="a3"/>
        <w:rPr>
          <w:lang w:val="pt-BR"/>
        </w:rPr>
      </w:pPr>
    </w:p>
    <w:p w14:paraId="5D66F11B" w14:textId="77777777" w:rsidR="00BE1C70" w:rsidRPr="00C35766" w:rsidRDefault="00BE1C70" w:rsidP="00BE1C70">
      <w:pPr>
        <w:pStyle w:val="a3"/>
        <w:rPr>
          <w:lang w:val="pt-BR"/>
        </w:rPr>
      </w:pPr>
      <w:r w:rsidRPr="00C35766">
        <w:rPr>
          <w:rFonts w:eastAsia="Times New Roman"/>
          <w:lang w:val="it-IT"/>
        </w:rPr>
        <w:t>Leggere il foglio illustrativo prima dell’uso.</w:t>
      </w:r>
    </w:p>
    <w:p w14:paraId="513C8887" w14:textId="77777777" w:rsidR="00BE1C70" w:rsidRPr="00C35766" w:rsidRDefault="00BE1C70" w:rsidP="00BE1C70">
      <w:pPr>
        <w:pStyle w:val="a3"/>
        <w:rPr>
          <w:lang w:val="pt-BR"/>
        </w:rPr>
      </w:pPr>
    </w:p>
    <w:p w14:paraId="1A4E7637" w14:textId="77777777" w:rsidR="00BE1C70" w:rsidRPr="00C35766" w:rsidRDefault="00BE1C70" w:rsidP="00BE1C70">
      <w:pPr>
        <w:pStyle w:val="a3"/>
      </w:pPr>
      <w:r w:rsidRPr="00C35766">
        <w:rPr>
          <w:rFonts w:eastAsia="Times New Roman"/>
          <w:lang w:val="it-IT"/>
        </w:rPr>
        <w:t>Esclusivamente monouso.</w:t>
      </w:r>
    </w:p>
    <w:p w14:paraId="4F19E748" w14:textId="25115144" w:rsidR="00BE1C70" w:rsidRDefault="00BE1C70" w:rsidP="00BE1C70">
      <w:pPr>
        <w:pStyle w:val="a3"/>
      </w:pPr>
    </w:p>
    <w:p w14:paraId="246770A7" w14:textId="7C6E3912" w:rsidR="00D8255F" w:rsidRPr="00C35766" w:rsidRDefault="00D8255F" w:rsidP="00BE1C70">
      <w:pPr>
        <w:pStyle w:val="a3"/>
      </w:pPr>
      <w:r>
        <w:t>Per uso pediatrico</w:t>
      </w:r>
    </w:p>
    <w:p w14:paraId="2FCAA40D" w14:textId="77777777" w:rsidR="00BE1C70" w:rsidRPr="00C35766" w:rsidRDefault="00BE1C70" w:rsidP="00BE1C7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6501B3" w14:paraId="1DFC515E" w14:textId="77777777" w:rsidTr="00603A86">
        <w:trPr>
          <w:trHeight w:val="317"/>
        </w:trPr>
        <w:tc>
          <w:tcPr>
            <w:tcW w:w="9666" w:type="dxa"/>
            <w:vAlign w:val="center"/>
          </w:tcPr>
          <w:p w14:paraId="0C0459F9"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lang w:val="it-IT"/>
              </w:rPr>
            </w:pPr>
            <w:r w:rsidRPr="00C35766">
              <w:rPr>
                <w:rFonts w:ascii="Times New Roman" w:eastAsia="Times New Roman" w:hAnsi="Times New Roman" w:cs="Times New Roman"/>
                <w:b/>
                <w:bCs/>
                <w:spacing w:val="-1"/>
                <w:lang w:val="it-IT"/>
              </w:rPr>
              <w:t>AVVERTENZA PARTICOLARE CHE PRESCRIVA DI TENERE IL MEDICINALE FUORI DALLA VISTA E DALLA PORTATA DEI BAMBINI</w:t>
            </w:r>
          </w:p>
        </w:tc>
      </w:tr>
    </w:tbl>
    <w:p w14:paraId="73CA478E" w14:textId="77777777" w:rsidR="00BE1C70" w:rsidRPr="00C35766" w:rsidRDefault="00BE1C70" w:rsidP="00BE1C70">
      <w:pPr>
        <w:spacing w:before="1" w:line="200" w:lineRule="exact"/>
        <w:rPr>
          <w:rFonts w:ascii="Times New Roman" w:hAnsi="Times New Roman" w:cs="Times New Roman"/>
          <w:lang w:val="it-IT"/>
        </w:rPr>
      </w:pPr>
    </w:p>
    <w:p w14:paraId="32280C92" w14:textId="77777777" w:rsidR="00BE1C70" w:rsidRPr="00C35766" w:rsidRDefault="00BE1C70" w:rsidP="00BE1C70">
      <w:pPr>
        <w:pStyle w:val="a3"/>
        <w:rPr>
          <w:lang w:val="pt-BR"/>
        </w:rPr>
      </w:pPr>
      <w:r w:rsidRPr="00C35766">
        <w:rPr>
          <w:rFonts w:eastAsia="Times New Roman"/>
          <w:lang w:val="it-IT"/>
        </w:rPr>
        <w:t>Tenere fuori dalla vista e dalla portata dei bambini.</w:t>
      </w:r>
    </w:p>
    <w:p w14:paraId="45770BCA" w14:textId="77777777" w:rsidR="00BE1C70" w:rsidRPr="00C35766" w:rsidRDefault="00BE1C70" w:rsidP="00BE1C70">
      <w:pPr>
        <w:pStyle w:val="a3"/>
        <w:rPr>
          <w:lang w:val="pt-BR"/>
        </w:rPr>
      </w:pPr>
    </w:p>
    <w:p w14:paraId="030C1A8E" w14:textId="77777777" w:rsidR="00BE1C70" w:rsidRPr="00C35766" w:rsidRDefault="00BE1C70" w:rsidP="00BE1C70">
      <w:pPr>
        <w:pStyle w:val="a3"/>
        <w:rPr>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3557F0" w14:paraId="3AB517FD" w14:textId="77777777" w:rsidTr="00603A86">
        <w:trPr>
          <w:trHeight w:val="317"/>
        </w:trPr>
        <w:tc>
          <w:tcPr>
            <w:tcW w:w="9666" w:type="dxa"/>
            <w:vAlign w:val="center"/>
          </w:tcPr>
          <w:p w14:paraId="026368B8"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lang w:val="pt-BR"/>
              </w:rPr>
            </w:pPr>
            <w:r w:rsidRPr="00C35766">
              <w:rPr>
                <w:rFonts w:ascii="Times New Roman" w:eastAsia="Times New Roman" w:hAnsi="Times New Roman" w:cs="Times New Roman"/>
                <w:b/>
                <w:bCs/>
                <w:spacing w:val="-1"/>
                <w:lang w:val="it-IT"/>
              </w:rPr>
              <w:lastRenderedPageBreak/>
              <w:t>ALTRA(E) AVVERTENZA(E) PARTICOLARE(I), SE NECESSARIO</w:t>
            </w:r>
          </w:p>
        </w:tc>
      </w:tr>
    </w:tbl>
    <w:p w14:paraId="506617C7" w14:textId="77777777" w:rsidR="00BE1C70" w:rsidRPr="00C35766" w:rsidRDefault="00BE1C70" w:rsidP="00BE1C70">
      <w:pPr>
        <w:rPr>
          <w:rFonts w:ascii="Times New Roman" w:hAnsi="Times New Roman" w:cs="Times New Roman"/>
          <w:lang w:val="pt-BR"/>
        </w:rPr>
      </w:pPr>
    </w:p>
    <w:p w14:paraId="77AAFB71" w14:textId="77777777" w:rsidR="00BE1C70" w:rsidRPr="00C35766" w:rsidRDefault="00BE1C70" w:rsidP="00BE1C70">
      <w:pPr>
        <w:rPr>
          <w:rFonts w:ascii="Times New Roman" w:hAnsi="Times New Roman" w:cs="Times New Roman"/>
          <w:lang w:val="pt-BR"/>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58D6B9C6" w14:textId="77777777" w:rsidTr="00603A86">
        <w:trPr>
          <w:trHeight w:val="317"/>
        </w:trPr>
        <w:tc>
          <w:tcPr>
            <w:tcW w:w="9666" w:type="dxa"/>
            <w:vAlign w:val="center"/>
          </w:tcPr>
          <w:p w14:paraId="757D0932"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40A1CF73" w14:textId="77777777" w:rsidR="00BE1C70" w:rsidRPr="00C35766" w:rsidRDefault="00BE1C70" w:rsidP="00BE1C70">
      <w:pPr>
        <w:rPr>
          <w:rFonts w:ascii="Times New Roman" w:hAnsi="Times New Roman" w:cs="Times New Roman"/>
        </w:rPr>
      </w:pPr>
    </w:p>
    <w:p w14:paraId="1AA0458C" w14:textId="77777777" w:rsidR="00BE1C70" w:rsidRPr="00C35766" w:rsidRDefault="00BE1C70" w:rsidP="00BE1C70">
      <w:pPr>
        <w:pStyle w:val="a3"/>
      </w:pPr>
      <w:r w:rsidRPr="00C35766">
        <w:rPr>
          <w:rFonts w:eastAsia="Times New Roman"/>
          <w:lang w:val="it-IT"/>
        </w:rPr>
        <w:t>Scad.</w:t>
      </w:r>
    </w:p>
    <w:p w14:paraId="1198CC60" w14:textId="77777777" w:rsidR="00BE1C70" w:rsidRPr="00C35766" w:rsidRDefault="00BE1C70" w:rsidP="00BE1C70">
      <w:pPr>
        <w:rPr>
          <w:rFonts w:ascii="Times New Roman" w:hAnsi="Times New Roman" w:cs="Times New Roman"/>
        </w:rPr>
      </w:pPr>
    </w:p>
    <w:p w14:paraId="2DE5416A" w14:textId="77777777" w:rsidR="00BE1C70" w:rsidRPr="00C35766" w:rsidRDefault="00BE1C70" w:rsidP="00BE1C7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6501B3" w14:paraId="7D64AB8F" w14:textId="77777777" w:rsidTr="00603A86">
        <w:trPr>
          <w:trHeight w:val="317"/>
        </w:trPr>
        <w:tc>
          <w:tcPr>
            <w:tcW w:w="9666" w:type="dxa"/>
            <w:vAlign w:val="center"/>
          </w:tcPr>
          <w:p w14:paraId="4F0B3E5F"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LA CONSERVAZIONE</w:t>
            </w:r>
          </w:p>
        </w:tc>
      </w:tr>
    </w:tbl>
    <w:p w14:paraId="1A16801E" w14:textId="77777777" w:rsidR="00BE1C70" w:rsidRPr="00C35766" w:rsidRDefault="00BE1C70" w:rsidP="00BE1C70">
      <w:pPr>
        <w:rPr>
          <w:rFonts w:ascii="Times New Roman" w:hAnsi="Times New Roman" w:cs="Times New Roman"/>
          <w:lang w:val="it-IT"/>
        </w:rPr>
      </w:pPr>
    </w:p>
    <w:p w14:paraId="6C3DB96A" w14:textId="77777777" w:rsidR="00BE1C70" w:rsidRPr="00C35766" w:rsidRDefault="00BE1C70" w:rsidP="00BE1C70">
      <w:pPr>
        <w:pStyle w:val="a3"/>
        <w:rPr>
          <w:lang w:val="pt-BR"/>
        </w:rPr>
      </w:pPr>
      <w:r w:rsidRPr="00C35766">
        <w:rPr>
          <w:rFonts w:eastAsia="Times New Roman"/>
          <w:lang w:val="it-IT"/>
        </w:rPr>
        <w:t>Conservare in frigorifero. Non congelare.</w:t>
      </w:r>
    </w:p>
    <w:p w14:paraId="16FF1265" w14:textId="77777777" w:rsidR="00BE1C70" w:rsidRPr="00C35766" w:rsidRDefault="00BE1C70" w:rsidP="00BE1C70">
      <w:pPr>
        <w:pStyle w:val="a3"/>
        <w:rPr>
          <w:lang w:val="es-ES"/>
        </w:rPr>
      </w:pPr>
      <w:r w:rsidRPr="00C35766">
        <w:rPr>
          <w:rFonts w:eastAsia="Times New Roman"/>
          <w:lang w:val="it-IT"/>
        </w:rPr>
        <w:t>Conservare la siringa pre-riempita nell’imballaggio esterno per proteggerla dalla luce.</w:t>
      </w:r>
    </w:p>
    <w:p w14:paraId="61E22A89" w14:textId="77777777" w:rsidR="00BE1C70" w:rsidRPr="00C35766" w:rsidRDefault="00BE1C70" w:rsidP="00BE1C70">
      <w:pPr>
        <w:pStyle w:val="a3"/>
        <w:rPr>
          <w:lang w:val="it-IT"/>
        </w:rPr>
      </w:pPr>
      <w:r w:rsidRPr="00C35766">
        <w:rPr>
          <w:rFonts w:eastAsia="Times New Roman"/>
          <w:lang w:val="it-IT"/>
        </w:rPr>
        <w:t>Fare riferimento al foglio illustrativo per condizioni di conservazione alternative.</w:t>
      </w:r>
    </w:p>
    <w:p w14:paraId="3C86A3C2" w14:textId="77777777" w:rsidR="00BE1C70" w:rsidRPr="00C35766" w:rsidRDefault="00BE1C70" w:rsidP="00BE1C70">
      <w:pPr>
        <w:rPr>
          <w:rFonts w:ascii="Times New Roman" w:hAnsi="Times New Roman" w:cs="Times New Roman"/>
          <w:lang w:val="it-IT"/>
        </w:rPr>
      </w:pPr>
    </w:p>
    <w:p w14:paraId="14452917" w14:textId="77777777" w:rsidR="00BE1C70" w:rsidRPr="00C35766" w:rsidRDefault="00BE1C70" w:rsidP="00BE1C70">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3557F0" w14:paraId="64CCEE0D" w14:textId="77777777" w:rsidTr="00603A86">
        <w:trPr>
          <w:trHeight w:val="317"/>
        </w:trPr>
        <w:tc>
          <w:tcPr>
            <w:tcW w:w="9666" w:type="dxa"/>
            <w:vAlign w:val="center"/>
          </w:tcPr>
          <w:p w14:paraId="3C460224"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PRECAUZIONI PARTICOLARI PER LO SMALTIMENTO DEL MEDICINALE NON UTILIZZATO O DEI RIFIUTI DERIVATI DA TALE MEDICINALE, SE NECESSARIO</w:t>
            </w:r>
          </w:p>
        </w:tc>
      </w:tr>
    </w:tbl>
    <w:p w14:paraId="24D553CC" w14:textId="77777777" w:rsidR="00BE1C70" w:rsidRPr="00C35766" w:rsidRDefault="00BE1C70" w:rsidP="00BE1C70">
      <w:pPr>
        <w:rPr>
          <w:rFonts w:ascii="Times New Roman" w:hAnsi="Times New Roman" w:cs="Times New Roman"/>
          <w:lang w:val="it-IT"/>
        </w:rPr>
      </w:pPr>
    </w:p>
    <w:p w14:paraId="26FC823E" w14:textId="77777777" w:rsidR="00BE1C70" w:rsidRPr="00C35766" w:rsidRDefault="00BE1C70" w:rsidP="00BE1C70">
      <w:pPr>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494E69" w14:paraId="3D98170D" w14:textId="77777777" w:rsidTr="00603A86">
        <w:trPr>
          <w:trHeight w:val="317"/>
        </w:trPr>
        <w:tc>
          <w:tcPr>
            <w:tcW w:w="9666" w:type="dxa"/>
            <w:vAlign w:val="center"/>
          </w:tcPr>
          <w:p w14:paraId="401D42CA"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NOME E INDIRIZZO DEL TITOLARE DELL’AUTORIZZAZIONE ALL’IMMISSIONE IN COMMERCIO</w:t>
            </w:r>
          </w:p>
        </w:tc>
      </w:tr>
    </w:tbl>
    <w:p w14:paraId="0EB91522" w14:textId="77777777" w:rsidR="00BE1C70" w:rsidRPr="00C35766" w:rsidRDefault="00BE1C70" w:rsidP="00BE1C70">
      <w:pPr>
        <w:spacing w:before="5" w:line="200" w:lineRule="exact"/>
        <w:rPr>
          <w:rFonts w:ascii="Times New Roman" w:hAnsi="Times New Roman" w:cs="Times New Roman"/>
          <w:lang w:val="it-IT"/>
        </w:rPr>
      </w:pPr>
    </w:p>
    <w:p w14:paraId="6D6C70CC" w14:textId="77777777" w:rsidR="00BE1C70" w:rsidRPr="00C35766" w:rsidRDefault="00BE1C70" w:rsidP="00BE1C70">
      <w:pPr>
        <w:spacing w:before="5" w:line="200" w:lineRule="exact"/>
        <w:rPr>
          <w:rFonts w:ascii="Times New Roman" w:hAnsi="Times New Roman" w:cs="Times New Roman"/>
        </w:rPr>
      </w:pPr>
      <w:r w:rsidRPr="00C35766">
        <w:rPr>
          <w:rFonts w:ascii="Times New Roman" w:hAnsi="Times New Roman" w:cs="Times New Roman"/>
        </w:rPr>
        <w:t xml:space="preserve">Celltrion Healthcare Hungary Kft. </w:t>
      </w:r>
    </w:p>
    <w:p w14:paraId="74302BD5" w14:textId="77777777" w:rsidR="00BE1C70" w:rsidRPr="00C35766" w:rsidRDefault="00BE1C70" w:rsidP="00BE1C70">
      <w:pPr>
        <w:spacing w:before="5" w:line="200" w:lineRule="exact"/>
        <w:rPr>
          <w:rFonts w:ascii="Times New Roman" w:hAnsi="Times New Roman" w:cs="Times New Roman"/>
        </w:rPr>
      </w:pPr>
      <w:r w:rsidRPr="00C35766">
        <w:rPr>
          <w:rFonts w:ascii="Times New Roman" w:hAnsi="Times New Roman" w:cs="Times New Roman"/>
        </w:rPr>
        <w:t>1062 Budapest</w:t>
      </w:r>
    </w:p>
    <w:p w14:paraId="0581D95B" w14:textId="22888EFF" w:rsidR="00BE1C70" w:rsidRPr="00C35766" w:rsidRDefault="00BE1C70" w:rsidP="00AD09F7">
      <w:pPr>
        <w:pStyle w:val="a3"/>
        <w:rPr>
          <w:vanish/>
        </w:rPr>
      </w:pPr>
      <w:r w:rsidRPr="00D95C47">
        <w:t>Váci út 1-3. WestEnd Office Building B torony</w:t>
      </w:r>
    </w:p>
    <w:p w14:paraId="617C2277" w14:textId="77777777" w:rsidR="00BE1C70" w:rsidRPr="00C35766" w:rsidRDefault="00BE1C70" w:rsidP="00BE1C70">
      <w:pPr>
        <w:pStyle w:val="a3"/>
      </w:pPr>
      <w:r w:rsidRPr="00C35766">
        <w:rPr>
          <w:rFonts w:eastAsia="Times New Roman"/>
          <w:lang w:val="it-IT"/>
        </w:rPr>
        <w:t>Ungheria</w:t>
      </w:r>
    </w:p>
    <w:p w14:paraId="72432816" w14:textId="77777777" w:rsidR="00BE1C70" w:rsidRPr="00C35766" w:rsidRDefault="00BE1C70" w:rsidP="00BE1C70">
      <w:pPr>
        <w:rPr>
          <w:rFonts w:ascii="Times New Roman" w:hAnsi="Times New Roman" w:cs="Times New Roman"/>
        </w:rPr>
      </w:pPr>
    </w:p>
    <w:p w14:paraId="1565D3AC" w14:textId="77777777" w:rsidR="00BE1C70" w:rsidRPr="00C35766" w:rsidRDefault="00BE1C70" w:rsidP="00BE1C70">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494E69" w14:paraId="17D22CE6" w14:textId="77777777" w:rsidTr="00603A86">
        <w:trPr>
          <w:trHeight w:val="317"/>
        </w:trPr>
        <w:tc>
          <w:tcPr>
            <w:tcW w:w="9666" w:type="dxa"/>
            <w:vAlign w:val="center"/>
          </w:tcPr>
          <w:p w14:paraId="7E7634BD"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NUMERO DELL’AUTORIZZAZIONE ALL’IMMISSIONE IN COMMERCIO</w:t>
            </w:r>
          </w:p>
        </w:tc>
      </w:tr>
    </w:tbl>
    <w:p w14:paraId="75113F4E" w14:textId="77777777" w:rsidR="00BE1C70" w:rsidRPr="00C35766" w:rsidRDefault="00BE1C70" w:rsidP="00BE1C70">
      <w:pPr>
        <w:rPr>
          <w:rFonts w:ascii="Times New Roman" w:hAnsi="Times New Roman" w:cs="Times New Roman"/>
          <w:lang w:val="it-IT"/>
        </w:rPr>
      </w:pPr>
    </w:p>
    <w:p w14:paraId="42331EE1" w14:textId="3CF3A8FB" w:rsidR="00BE1C70" w:rsidRPr="00DE2E03" w:rsidRDefault="00BE1C70" w:rsidP="00DE2E03">
      <w:pPr>
        <w:autoSpaceDE w:val="0"/>
        <w:autoSpaceDN w:val="0"/>
        <w:adjustRightInd w:val="0"/>
        <w:rPr>
          <w:rFonts w:ascii="Times New Roman" w:hAnsi="Times New Roman" w:cs="Times New Roman"/>
          <w:lang w:val="it-IT"/>
        </w:rPr>
      </w:pPr>
      <w:r w:rsidRPr="00DE2E03">
        <w:rPr>
          <w:rFonts w:ascii="Times New Roman" w:hAnsi="Times New Roman" w:cs="Times New Roman"/>
          <w:lang w:val="it-IT"/>
        </w:rPr>
        <w:t>EU/</w:t>
      </w:r>
      <w:r w:rsidRPr="00DE2E03">
        <w:rPr>
          <w:rFonts w:ascii="Times New Roman" w:hAnsi="Times New Roman" w:cs="Times New Roman"/>
          <w:color w:val="000000"/>
          <w:lang w:val="it-IT"/>
        </w:rPr>
        <w:t>1/20/1513/</w:t>
      </w:r>
      <w:r w:rsidR="00D8255F" w:rsidRPr="00DE2E03">
        <w:rPr>
          <w:rFonts w:ascii="Times New Roman" w:hAnsi="Times New Roman" w:cs="Times New Roman"/>
          <w:color w:val="000000"/>
          <w:lang w:val="it-IT"/>
        </w:rPr>
        <w:t>017</w:t>
      </w:r>
      <w:r w:rsidR="00DE2E03" w:rsidRPr="00DE2E03">
        <w:rPr>
          <w:rFonts w:ascii="Times New Roman" w:hAnsi="Times New Roman" w:cs="Times New Roman"/>
          <w:color w:val="000000"/>
          <w:lang w:val="it-IT" w:eastAsia="ko-KR"/>
        </w:rPr>
        <w:t xml:space="preserve"> </w:t>
      </w:r>
      <w:r w:rsidR="00DE2E03" w:rsidRPr="00DE2E03">
        <w:rPr>
          <w:rFonts w:ascii="Times New Roman" w:eastAsia="Times New Roman" w:hAnsi="Times New Roman" w:cs="Times New Roman"/>
          <w:highlight w:val="lightGray"/>
          <w:lang w:val="it-IT"/>
        </w:rPr>
        <w:t>2 siringhe pre-riempite</w:t>
      </w:r>
    </w:p>
    <w:p w14:paraId="3A514776" w14:textId="1294CA8C" w:rsidR="00BE1C70" w:rsidRPr="00DE2E03" w:rsidRDefault="00DE2E03" w:rsidP="00BE1C70">
      <w:pPr>
        <w:rPr>
          <w:rFonts w:ascii="Times New Roman" w:hAnsi="Times New Roman" w:cs="Times New Roman"/>
          <w:lang w:val="es-ES" w:eastAsia="ko-KR"/>
        </w:rPr>
      </w:pPr>
      <w:r w:rsidRPr="00DE2E03">
        <w:rPr>
          <w:rFonts w:ascii="Times New Roman" w:hAnsi="Times New Roman" w:cs="Times New Roman"/>
          <w:highlight w:val="lightGray"/>
          <w:lang w:val="es-ES" w:eastAsia="ko-KR"/>
        </w:rPr>
        <w:t xml:space="preserve">EU/1/20/1513/018 </w:t>
      </w:r>
      <w:r w:rsidRPr="00DE2E03">
        <w:rPr>
          <w:rFonts w:ascii="Times New Roman" w:eastAsia="Times New Roman" w:hAnsi="Times New Roman" w:cs="Times New Roman"/>
          <w:highlight w:val="lightGray"/>
          <w:lang w:val="it-IT"/>
        </w:rPr>
        <w:t>1 siringa pre-riempita</w:t>
      </w:r>
    </w:p>
    <w:p w14:paraId="64D6C835" w14:textId="77777777" w:rsidR="00DE2E03" w:rsidRPr="006501B3" w:rsidRDefault="00DE2E03" w:rsidP="00BE1C70">
      <w:pPr>
        <w:rPr>
          <w:rFonts w:ascii="Times New Roman" w:hAnsi="Times New Roman" w:cs="Times New Roman"/>
          <w:lang w:val="fr-CA" w:eastAsia="ko-KR"/>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16D5729E" w14:textId="77777777" w:rsidTr="00603A86">
        <w:trPr>
          <w:trHeight w:val="317"/>
        </w:trPr>
        <w:tc>
          <w:tcPr>
            <w:tcW w:w="9666" w:type="dxa"/>
            <w:vAlign w:val="center"/>
          </w:tcPr>
          <w:p w14:paraId="421E1341"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159ACE40" w14:textId="77777777" w:rsidR="00BE1C70" w:rsidRPr="00C35766" w:rsidRDefault="00BE1C70" w:rsidP="00BE1C70">
      <w:pPr>
        <w:rPr>
          <w:rFonts w:ascii="Times New Roman" w:hAnsi="Times New Roman" w:cs="Times New Roman"/>
        </w:rPr>
      </w:pPr>
    </w:p>
    <w:p w14:paraId="6EE71F3A" w14:textId="77777777" w:rsidR="00BE1C70" w:rsidRPr="00C35766" w:rsidRDefault="00BE1C70" w:rsidP="00BE1C70">
      <w:pPr>
        <w:pStyle w:val="a3"/>
      </w:pPr>
      <w:r w:rsidRPr="00C35766">
        <w:rPr>
          <w:rFonts w:eastAsia="Times New Roman"/>
          <w:lang w:val="it-IT"/>
        </w:rPr>
        <w:t xml:space="preserve">Lotto </w:t>
      </w:r>
    </w:p>
    <w:p w14:paraId="33A5D3D4" w14:textId="77777777" w:rsidR="00BE1C70" w:rsidRPr="00C35766" w:rsidRDefault="00BE1C70" w:rsidP="00BE1C70">
      <w:pPr>
        <w:pStyle w:val="a3"/>
      </w:pPr>
    </w:p>
    <w:p w14:paraId="7BBC4B3F" w14:textId="77777777" w:rsidR="00BE1C70" w:rsidRPr="00C35766" w:rsidRDefault="00BE1C70" w:rsidP="00BE1C7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656CDD19" w14:textId="77777777" w:rsidTr="00603A86">
        <w:trPr>
          <w:trHeight w:val="317"/>
        </w:trPr>
        <w:tc>
          <w:tcPr>
            <w:tcW w:w="9666" w:type="dxa"/>
            <w:vAlign w:val="center"/>
          </w:tcPr>
          <w:p w14:paraId="019FAAEC"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CONDIZIONE GENERALE DI FORNITURA</w:t>
            </w:r>
          </w:p>
        </w:tc>
      </w:tr>
    </w:tbl>
    <w:p w14:paraId="1C6AFF39" w14:textId="77777777" w:rsidR="00BE1C70" w:rsidRPr="00C35766" w:rsidRDefault="00BE1C70" w:rsidP="00BE1C70">
      <w:pPr>
        <w:jc w:val="both"/>
        <w:rPr>
          <w:rFonts w:ascii="Times New Roman" w:hAnsi="Times New Roman" w:cs="Times New Roman"/>
        </w:rPr>
      </w:pPr>
    </w:p>
    <w:p w14:paraId="4FCDE54E" w14:textId="77777777" w:rsidR="00BE1C70" w:rsidRPr="00C35766" w:rsidRDefault="00BE1C70" w:rsidP="00BE1C7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1BEBCDC4" w14:textId="77777777" w:rsidTr="00603A86">
        <w:trPr>
          <w:trHeight w:val="317"/>
        </w:trPr>
        <w:tc>
          <w:tcPr>
            <w:tcW w:w="9666" w:type="dxa"/>
            <w:vAlign w:val="center"/>
          </w:tcPr>
          <w:p w14:paraId="28E2B2A3"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ISTRUZIONI PER L’USO</w:t>
            </w:r>
          </w:p>
        </w:tc>
      </w:tr>
    </w:tbl>
    <w:p w14:paraId="404194AC" w14:textId="77777777" w:rsidR="00BE1C70" w:rsidRPr="00C35766" w:rsidRDefault="00BE1C70" w:rsidP="00BE1C70">
      <w:pPr>
        <w:jc w:val="both"/>
        <w:rPr>
          <w:rFonts w:ascii="Times New Roman" w:hAnsi="Times New Roman" w:cs="Times New Roman"/>
        </w:rPr>
      </w:pPr>
    </w:p>
    <w:p w14:paraId="2EF1545D" w14:textId="77777777" w:rsidR="00BE1C70" w:rsidRPr="00C35766" w:rsidRDefault="00BE1C70" w:rsidP="00BE1C7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20C47E55" w14:textId="77777777" w:rsidTr="00603A86">
        <w:trPr>
          <w:trHeight w:val="317"/>
        </w:trPr>
        <w:tc>
          <w:tcPr>
            <w:tcW w:w="9666" w:type="dxa"/>
            <w:vAlign w:val="center"/>
          </w:tcPr>
          <w:p w14:paraId="7B3E515E"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INFORMAZIONI IN BRAILLE</w:t>
            </w:r>
          </w:p>
        </w:tc>
      </w:tr>
    </w:tbl>
    <w:p w14:paraId="2D2F4E09" w14:textId="77777777" w:rsidR="00BE1C70" w:rsidRPr="00C35766" w:rsidRDefault="00BE1C70" w:rsidP="00BE1C70">
      <w:pPr>
        <w:jc w:val="both"/>
        <w:rPr>
          <w:rFonts w:ascii="Times New Roman" w:hAnsi="Times New Roman" w:cs="Times New Roman"/>
        </w:rPr>
      </w:pPr>
    </w:p>
    <w:p w14:paraId="0AD169DE" w14:textId="4D7F031B" w:rsidR="00BE1C70" w:rsidRPr="00C35766" w:rsidRDefault="00BE1C70" w:rsidP="00BE1C70">
      <w:pPr>
        <w:pStyle w:val="a3"/>
      </w:pPr>
      <w:r w:rsidRPr="00C35766">
        <w:rPr>
          <w:rFonts w:eastAsia="Times New Roman"/>
          <w:lang w:val="it-IT"/>
        </w:rPr>
        <w:t xml:space="preserve">Yuflyma </w:t>
      </w:r>
      <w:r w:rsidR="00D8255F">
        <w:rPr>
          <w:rFonts w:eastAsia="Times New Roman"/>
          <w:lang w:val="it-IT"/>
        </w:rPr>
        <w:t>20</w:t>
      </w:r>
      <w:r w:rsidRPr="00C35766">
        <w:rPr>
          <w:rFonts w:eastAsia="Times New Roman"/>
          <w:lang w:val="it-IT"/>
        </w:rPr>
        <w:t xml:space="preserve"> mg</w:t>
      </w:r>
    </w:p>
    <w:p w14:paraId="1ED71EC6" w14:textId="77777777" w:rsidR="00BE1C70" w:rsidRPr="00C35766" w:rsidRDefault="00BE1C70" w:rsidP="00BE1C70">
      <w:pPr>
        <w:jc w:val="both"/>
        <w:rPr>
          <w:rFonts w:ascii="Times New Roman" w:hAnsi="Times New Roman" w:cs="Times New Roman"/>
        </w:rPr>
      </w:pPr>
    </w:p>
    <w:p w14:paraId="3DC46374" w14:textId="77777777" w:rsidR="00BE1C70" w:rsidRPr="00C35766" w:rsidRDefault="00BE1C70" w:rsidP="00BE1C70">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6501B3" w14:paraId="4910B1B0" w14:textId="77777777" w:rsidTr="00603A86">
        <w:trPr>
          <w:trHeight w:val="317"/>
        </w:trPr>
        <w:tc>
          <w:tcPr>
            <w:tcW w:w="9666" w:type="dxa"/>
            <w:vAlign w:val="center"/>
          </w:tcPr>
          <w:p w14:paraId="32282498" w14:textId="77777777" w:rsidR="00BE1C70" w:rsidRPr="00C35766" w:rsidRDefault="00BE1C70" w:rsidP="005C2D5B">
            <w:pPr>
              <w:numPr>
                <w:ilvl w:val="0"/>
                <w:numId w:val="68"/>
              </w:numPr>
              <w:tabs>
                <w:tab w:val="left" w:pos="672"/>
              </w:tabs>
              <w:ind w:left="550" w:hanging="550"/>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IDENTIFICATIVO UNICO – CODICE A BARRE BIDIMENSIONALE</w:t>
            </w:r>
          </w:p>
        </w:tc>
      </w:tr>
    </w:tbl>
    <w:p w14:paraId="207D77F1" w14:textId="77777777" w:rsidR="00BE1C70" w:rsidRPr="00C35766" w:rsidRDefault="00BE1C70" w:rsidP="00BE1C70">
      <w:pPr>
        <w:jc w:val="both"/>
        <w:rPr>
          <w:rFonts w:ascii="Times New Roman" w:hAnsi="Times New Roman" w:cs="Times New Roman"/>
          <w:lang w:val="it-IT"/>
        </w:rPr>
      </w:pPr>
    </w:p>
    <w:p w14:paraId="086F2B93" w14:textId="77777777" w:rsidR="00BE1C70" w:rsidRPr="00C35766" w:rsidRDefault="00BE1C70" w:rsidP="00BE1C70">
      <w:pPr>
        <w:pStyle w:val="a3"/>
        <w:rPr>
          <w:lang w:val="it-IT"/>
        </w:rPr>
      </w:pPr>
      <w:r w:rsidRPr="00C35766">
        <w:rPr>
          <w:rFonts w:eastAsia="Times New Roman"/>
          <w:highlight w:val="lightGray"/>
          <w:lang w:val="it-IT"/>
        </w:rPr>
        <w:t>Codice a barre bidimensionale con identificativo unico incluso.</w:t>
      </w:r>
    </w:p>
    <w:p w14:paraId="2BE763C5" w14:textId="77777777" w:rsidR="00BE1C70" w:rsidRPr="00C35766" w:rsidRDefault="00BE1C70" w:rsidP="00BE1C70">
      <w:pPr>
        <w:jc w:val="both"/>
        <w:rPr>
          <w:rFonts w:ascii="Times New Roman" w:hAnsi="Times New Roman" w:cs="Times New Roman"/>
          <w:lang w:val="it-IT"/>
        </w:rPr>
      </w:pPr>
    </w:p>
    <w:p w14:paraId="66EB4D56" w14:textId="77777777" w:rsidR="00BE1C70" w:rsidRPr="00C35766" w:rsidRDefault="00BE1C70" w:rsidP="00BE1C70">
      <w:pPr>
        <w:jc w:val="both"/>
        <w:rPr>
          <w:rFonts w:ascii="Times New Roman" w:hAnsi="Times New Roman" w:cs="Times New Roman"/>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43B61FC3" w14:textId="77777777" w:rsidTr="00603A86">
        <w:trPr>
          <w:trHeight w:val="317"/>
        </w:trPr>
        <w:tc>
          <w:tcPr>
            <w:tcW w:w="9666" w:type="dxa"/>
            <w:vAlign w:val="center"/>
          </w:tcPr>
          <w:p w14:paraId="6C02D519" w14:textId="77777777" w:rsidR="00BE1C70" w:rsidRPr="00C35766" w:rsidRDefault="00BE1C70" w:rsidP="005C2D5B">
            <w:pPr>
              <w:numPr>
                <w:ilvl w:val="0"/>
                <w:numId w:val="68"/>
              </w:numPr>
              <w:tabs>
                <w:tab w:val="left" w:pos="672"/>
              </w:tabs>
              <w:ind w:left="550" w:hanging="550"/>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IDENTIFICATIVO UNICO – DATI LEGGIBILI</w:t>
            </w:r>
          </w:p>
        </w:tc>
      </w:tr>
    </w:tbl>
    <w:p w14:paraId="3CED4319" w14:textId="77777777" w:rsidR="00BE1C70" w:rsidRPr="00C35766" w:rsidRDefault="00BE1C70" w:rsidP="00BE1C70">
      <w:pPr>
        <w:jc w:val="both"/>
        <w:rPr>
          <w:rFonts w:ascii="Times New Roman" w:hAnsi="Times New Roman" w:cs="Times New Roman"/>
        </w:rPr>
      </w:pPr>
    </w:p>
    <w:p w14:paraId="7533E5F4" w14:textId="77777777" w:rsidR="00BE1C70" w:rsidRPr="00C35766" w:rsidRDefault="00BE1C70" w:rsidP="00BE1C70">
      <w:pPr>
        <w:pStyle w:val="a3"/>
      </w:pPr>
      <w:r w:rsidRPr="00C35766">
        <w:rPr>
          <w:rFonts w:eastAsia="Times New Roman"/>
          <w:lang w:val="it-IT"/>
        </w:rPr>
        <w:t>PC</w:t>
      </w:r>
    </w:p>
    <w:p w14:paraId="6309B39B" w14:textId="77777777" w:rsidR="00BE1C70" w:rsidRPr="00C35766" w:rsidRDefault="00BE1C70" w:rsidP="00BE1C70">
      <w:pPr>
        <w:pStyle w:val="a3"/>
      </w:pPr>
      <w:r w:rsidRPr="00C35766">
        <w:rPr>
          <w:rFonts w:eastAsia="Times New Roman"/>
          <w:lang w:val="it-IT"/>
        </w:rPr>
        <w:t>SN</w:t>
      </w:r>
    </w:p>
    <w:p w14:paraId="063C25CB" w14:textId="77777777" w:rsidR="00BE1C70" w:rsidRPr="00C35766" w:rsidRDefault="00BE1C70" w:rsidP="00BE1C70">
      <w:pPr>
        <w:pStyle w:val="a3"/>
      </w:pPr>
      <w:r w:rsidRPr="00C35766">
        <w:rPr>
          <w:rFonts w:eastAsia="Times New Roman"/>
          <w:spacing w:val="-2"/>
          <w:lang w:val="it-IT"/>
        </w:rPr>
        <w:t>NN</w:t>
      </w:r>
    </w:p>
    <w:p w14:paraId="4C82801D" w14:textId="77777777" w:rsidR="00BE1C70" w:rsidRPr="00C35766" w:rsidRDefault="00BE1C70" w:rsidP="00BE1C70">
      <w:pPr>
        <w:rPr>
          <w:rFonts w:ascii="Times New Roman" w:hAnsi="Times New Roman" w:cs="Times New Roman"/>
        </w:rPr>
      </w:pPr>
      <w:r w:rsidRPr="00C35766">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BE1C70" w:rsidRPr="006501B3" w14:paraId="097E1BE7" w14:textId="77777777" w:rsidTr="00603A86">
        <w:trPr>
          <w:trHeight w:val="822"/>
        </w:trPr>
        <w:tc>
          <w:tcPr>
            <w:tcW w:w="9666" w:type="dxa"/>
            <w:vAlign w:val="center"/>
          </w:tcPr>
          <w:p w14:paraId="4579A82F" w14:textId="77777777" w:rsidR="00BE1C70" w:rsidRPr="00C35766" w:rsidRDefault="00BE1C70" w:rsidP="00603A86">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lastRenderedPageBreak/>
              <w:t xml:space="preserve">INFORMAZIONI MINIME DA APPORRE SUI CONFEZIONAMENTI PRIMARI DI PICCOLE DIMENSIONI </w:t>
            </w:r>
          </w:p>
          <w:p w14:paraId="6735F022" w14:textId="77777777" w:rsidR="00BE1C70" w:rsidRPr="00C35766" w:rsidRDefault="00BE1C70" w:rsidP="00603A86">
            <w:pPr>
              <w:tabs>
                <w:tab w:val="left" w:pos="672"/>
              </w:tabs>
              <w:jc w:val="both"/>
              <w:rPr>
                <w:rFonts w:ascii="Times New Roman" w:hAnsi="Times New Roman" w:cs="Times New Roman"/>
                <w:b/>
                <w:spacing w:val="-1"/>
                <w:lang w:val="it-IT"/>
              </w:rPr>
            </w:pPr>
          </w:p>
          <w:p w14:paraId="1B4A391F" w14:textId="77777777" w:rsidR="00BE1C70" w:rsidRPr="00C35766" w:rsidRDefault="00BE1C70" w:rsidP="00603A86">
            <w:pPr>
              <w:tabs>
                <w:tab w:val="left" w:pos="672"/>
              </w:tabs>
              <w:jc w:val="both"/>
              <w:rPr>
                <w:rFonts w:ascii="Times New Roman" w:hAnsi="Times New Roman" w:cs="Times New Roman"/>
                <w:b/>
                <w:spacing w:val="-1"/>
                <w:lang w:val="it-IT"/>
              </w:rPr>
            </w:pPr>
            <w:r w:rsidRPr="00C35766">
              <w:rPr>
                <w:rFonts w:ascii="Times New Roman" w:eastAsia="Times New Roman" w:hAnsi="Times New Roman" w:cs="Times New Roman"/>
                <w:b/>
                <w:bCs/>
                <w:spacing w:val="-1"/>
                <w:lang w:val="it-IT"/>
              </w:rPr>
              <w:t>ETICHETTA DA APPORRE SULLA SIRINGA PRE-RIEMPITA</w:t>
            </w:r>
          </w:p>
        </w:tc>
      </w:tr>
    </w:tbl>
    <w:p w14:paraId="460124E4" w14:textId="77777777" w:rsidR="00BE1C70" w:rsidRPr="00C35766" w:rsidRDefault="00BE1C70" w:rsidP="00BE1C70">
      <w:pPr>
        <w:spacing w:line="200" w:lineRule="exact"/>
        <w:rPr>
          <w:rFonts w:ascii="Times New Roman" w:hAnsi="Times New Roman" w:cs="Times New Roman"/>
          <w:lang w:val="it-IT"/>
        </w:rPr>
      </w:pPr>
    </w:p>
    <w:p w14:paraId="34F10C9B" w14:textId="77777777" w:rsidR="00BE1C70" w:rsidRPr="00C35766" w:rsidRDefault="00BE1C70" w:rsidP="00BE1C70">
      <w:pPr>
        <w:spacing w:line="200" w:lineRule="exact"/>
        <w:rPr>
          <w:rFonts w:ascii="Times New Roman" w:hAnsi="Times New Roman" w:cs="Times New Roman"/>
          <w:lang w:val="it-IT"/>
        </w:rPr>
      </w:pPr>
    </w:p>
    <w:tbl>
      <w:tblPr>
        <w:tblStyle w:val="ac"/>
        <w:tblpPr w:leftFromText="142" w:rightFromText="142" w:vertAnchor="text" w:tblpY="55"/>
        <w:tblW w:w="9666" w:type="dxa"/>
        <w:tblLook w:val="04A0" w:firstRow="1" w:lastRow="0" w:firstColumn="1" w:lastColumn="0" w:noHBand="0" w:noVBand="1"/>
      </w:tblPr>
      <w:tblGrid>
        <w:gridCol w:w="9666"/>
      </w:tblGrid>
      <w:tr w:rsidR="00BE1C70" w:rsidRPr="003557F0" w14:paraId="4AA391BD" w14:textId="77777777" w:rsidTr="00603A86">
        <w:trPr>
          <w:trHeight w:val="317"/>
        </w:trPr>
        <w:tc>
          <w:tcPr>
            <w:tcW w:w="9666" w:type="dxa"/>
            <w:vAlign w:val="center"/>
          </w:tcPr>
          <w:p w14:paraId="1E7D5E9E" w14:textId="77777777" w:rsidR="00BE1C70" w:rsidRPr="00C35766" w:rsidRDefault="00BE1C70" w:rsidP="005C2D5B">
            <w:pPr>
              <w:numPr>
                <w:ilvl w:val="0"/>
                <w:numId w:val="69"/>
              </w:numPr>
              <w:tabs>
                <w:tab w:val="left" w:pos="672"/>
              </w:tabs>
              <w:ind w:left="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DENOMINAZIONE DEL MEDICINALE E VIA(E) DI SOMMINISTRAZIONE</w:t>
            </w:r>
          </w:p>
        </w:tc>
      </w:tr>
    </w:tbl>
    <w:p w14:paraId="001ADE4C" w14:textId="77777777" w:rsidR="00BE1C70" w:rsidRPr="00C35766" w:rsidRDefault="00BE1C70" w:rsidP="00BE1C70">
      <w:pPr>
        <w:spacing w:line="200" w:lineRule="exact"/>
        <w:rPr>
          <w:rFonts w:ascii="Times New Roman" w:hAnsi="Times New Roman" w:cs="Times New Roman"/>
          <w:lang w:val="pt-BR"/>
        </w:rPr>
      </w:pPr>
    </w:p>
    <w:p w14:paraId="21CECCE6" w14:textId="7EC80CC5" w:rsidR="00BE1C70" w:rsidRPr="00824699" w:rsidRDefault="00BE1C70" w:rsidP="00BE1C70">
      <w:pPr>
        <w:pStyle w:val="a3"/>
        <w:rPr>
          <w:lang w:val="it-IT"/>
        </w:rPr>
      </w:pPr>
      <w:r w:rsidRPr="00C35766">
        <w:rPr>
          <w:rFonts w:eastAsia="Times New Roman"/>
          <w:lang w:val="it-IT"/>
        </w:rPr>
        <w:t xml:space="preserve">Yuflyma </w:t>
      </w:r>
      <w:r w:rsidR="00D8255F">
        <w:rPr>
          <w:rFonts w:eastAsia="Times New Roman"/>
          <w:lang w:val="it-IT"/>
        </w:rPr>
        <w:t>20</w:t>
      </w:r>
      <w:r w:rsidRPr="00C35766">
        <w:rPr>
          <w:rFonts w:eastAsia="Times New Roman"/>
          <w:lang w:val="it-IT"/>
        </w:rPr>
        <w:t xml:space="preserve"> mg per iniezioni</w:t>
      </w:r>
    </w:p>
    <w:p w14:paraId="15974B61" w14:textId="77777777" w:rsidR="00BE1C70" w:rsidRPr="00824699" w:rsidRDefault="00BE1C70" w:rsidP="00BE1C70">
      <w:pPr>
        <w:pStyle w:val="a3"/>
        <w:rPr>
          <w:lang w:val="it-IT"/>
        </w:rPr>
      </w:pPr>
      <w:r w:rsidRPr="00C35766">
        <w:rPr>
          <w:rFonts w:eastAsia="Times New Roman"/>
          <w:lang w:val="it-IT"/>
        </w:rPr>
        <w:t>adalimumab</w:t>
      </w:r>
    </w:p>
    <w:p w14:paraId="68339676" w14:textId="77777777" w:rsidR="00BE1C70" w:rsidRPr="00C35766" w:rsidRDefault="00BE1C70" w:rsidP="00BE1C70">
      <w:pPr>
        <w:pStyle w:val="a3"/>
        <w:rPr>
          <w:rFonts w:eastAsia="Times New Roman"/>
          <w:lang w:val="it-IT"/>
        </w:rPr>
      </w:pPr>
      <w:r w:rsidRPr="00C35766">
        <w:rPr>
          <w:rFonts w:eastAsia="Times New Roman"/>
          <w:lang w:val="it-IT"/>
        </w:rPr>
        <w:t xml:space="preserve">s.c. </w:t>
      </w:r>
    </w:p>
    <w:p w14:paraId="1E201EFC" w14:textId="77777777" w:rsidR="00BE1C70" w:rsidRPr="00824699" w:rsidRDefault="00BE1C70" w:rsidP="00BE1C70">
      <w:pPr>
        <w:pStyle w:val="a3"/>
        <w:rPr>
          <w:lang w:val="it-IT"/>
        </w:rPr>
      </w:pPr>
    </w:p>
    <w:p w14:paraId="51517586" w14:textId="77777777" w:rsidR="00BE1C70" w:rsidRPr="00824699" w:rsidRDefault="00BE1C70" w:rsidP="00BE1C70">
      <w:pPr>
        <w:pStyle w:val="a3"/>
        <w:rPr>
          <w:lang w:val="it-IT"/>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21CF46D5" w14:textId="77777777" w:rsidTr="00603A86">
        <w:trPr>
          <w:trHeight w:val="317"/>
        </w:trPr>
        <w:tc>
          <w:tcPr>
            <w:tcW w:w="9666" w:type="dxa"/>
            <w:vAlign w:val="center"/>
          </w:tcPr>
          <w:p w14:paraId="3D167690" w14:textId="77777777" w:rsidR="00BE1C70" w:rsidRPr="00C35766" w:rsidRDefault="00BE1C70" w:rsidP="005C2D5B">
            <w:pPr>
              <w:numPr>
                <w:ilvl w:val="0"/>
                <w:numId w:val="69"/>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MODO DI SOMMINISTRAZIONE</w:t>
            </w:r>
          </w:p>
        </w:tc>
      </w:tr>
    </w:tbl>
    <w:p w14:paraId="27DD2F06" w14:textId="77777777" w:rsidR="00BE1C70" w:rsidRPr="00C35766" w:rsidRDefault="00BE1C70" w:rsidP="00BE1C70">
      <w:pPr>
        <w:spacing w:before="13" w:line="280" w:lineRule="exact"/>
        <w:rPr>
          <w:rFonts w:ascii="Times New Roman" w:hAnsi="Times New Roman" w:cs="Times New Roman"/>
        </w:rPr>
      </w:pPr>
    </w:p>
    <w:p w14:paraId="6B61C441" w14:textId="77777777" w:rsidR="00BE1C70" w:rsidRPr="00C35766" w:rsidRDefault="00BE1C70" w:rsidP="00BE1C70">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0BF9706B" w14:textId="77777777" w:rsidTr="00603A86">
        <w:trPr>
          <w:trHeight w:val="317"/>
        </w:trPr>
        <w:tc>
          <w:tcPr>
            <w:tcW w:w="9666" w:type="dxa"/>
            <w:vAlign w:val="center"/>
          </w:tcPr>
          <w:p w14:paraId="20B2F1F8" w14:textId="77777777" w:rsidR="00BE1C70" w:rsidRPr="00C35766" w:rsidRDefault="00BE1C70" w:rsidP="005C2D5B">
            <w:pPr>
              <w:numPr>
                <w:ilvl w:val="0"/>
                <w:numId w:val="69"/>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DATA DI SCADENZA</w:t>
            </w:r>
          </w:p>
        </w:tc>
      </w:tr>
    </w:tbl>
    <w:p w14:paraId="7B5A6A9F" w14:textId="77777777" w:rsidR="00BE1C70" w:rsidRPr="00C35766" w:rsidRDefault="00BE1C70" w:rsidP="00BE1C70">
      <w:pPr>
        <w:pStyle w:val="a3"/>
      </w:pPr>
    </w:p>
    <w:p w14:paraId="56B946FA" w14:textId="77777777" w:rsidR="00BE1C70" w:rsidRPr="00C35766" w:rsidRDefault="00BE1C70" w:rsidP="00BE1C70">
      <w:pPr>
        <w:pStyle w:val="a3"/>
      </w:pPr>
      <w:r w:rsidRPr="00C35766">
        <w:rPr>
          <w:rFonts w:eastAsia="Times New Roman"/>
          <w:lang w:val="it-IT"/>
        </w:rPr>
        <w:t>EXP</w:t>
      </w:r>
    </w:p>
    <w:p w14:paraId="1CE4D058" w14:textId="77777777" w:rsidR="00BE1C70" w:rsidRPr="00C35766" w:rsidRDefault="00BE1C70" w:rsidP="00BE1C70">
      <w:pPr>
        <w:pStyle w:val="a3"/>
      </w:pPr>
    </w:p>
    <w:p w14:paraId="11198C8C" w14:textId="77777777" w:rsidR="00BE1C70" w:rsidRPr="00C35766" w:rsidRDefault="00BE1C70" w:rsidP="00BE1C7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373DECC1" w14:textId="77777777" w:rsidTr="00603A86">
        <w:trPr>
          <w:trHeight w:val="317"/>
        </w:trPr>
        <w:tc>
          <w:tcPr>
            <w:tcW w:w="9666" w:type="dxa"/>
            <w:vAlign w:val="center"/>
          </w:tcPr>
          <w:p w14:paraId="1C31A2C4" w14:textId="77777777" w:rsidR="00BE1C70" w:rsidRPr="00C35766" w:rsidRDefault="00BE1C70" w:rsidP="005C2D5B">
            <w:pPr>
              <w:numPr>
                <w:ilvl w:val="0"/>
                <w:numId w:val="69"/>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NUMERO DI LOTTO</w:t>
            </w:r>
          </w:p>
        </w:tc>
      </w:tr>
    </w:tbl>
    <w:p w14:paraId="5DB080C1" w14:textId="77777777" w:rsidR="00BE1C70" w:rsidRPr="00C35766" w:rsidRDefault="00BE1C70" w:rsidP="00BE1C70">
      <w:pPr>
        <w:pStyle w:val="a3"/>
      </w:pPr>
    </w:p>
    <w:p w14:paraId="57484161" w14:textId="77777777" w:rsidR="00BE1C70" w:rsidRPr="00C35766" w:rsidRDefault="00BE1C70" w:rsidP="00BE1C70">
      <w:pPr>
        <w:pStyle w:val="a3"/>
      </w:pPr>
      <w:r w:rsidRPr="00C35766">
        <w:rPr>
          <w:rFonts w:eastAsia="Times New Roman"/>
          <w:lang w:val="it-IT"/>
        </w:rPr>
        <w:t>Lot</w:t>
      </w:r>
    </w:p>
    <w:p w14:paraId="0A011B34" w14:textId="77777777" w:rsidR="00BE1C70" w:rsidRPr="00C35766" w:rsidRDefault="00BE1C70" w:rsidP="00BE1C70">
      <w:pPr>
        <w:pStyle w:val="a3"/>
      </w:pPr>
    </w:p>
    <w:p w14:paraId="677D621F" w14:textId="77777777" w:rsidR="00BE1C70" w:rsidRPr="00C35766" w:rsidRDefault="00BE1C70" w:rsidP="00BE1C70">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3557F0" w14:paraId="7AA74564" w14:textId="77777777" w:rsidTr="00603A86">
        <w:trPr>
          <w:trHeight w:val="317"/>
        </w:trPr>
        <w:tc>
          <w:tcPr>
            <w:tcW w:w="9666" w:type="dxa"/>
            <w:vAlign w:val="center"/>
          </w:tcPr>
          <w:p w14:paraId="502A1CFF" w14:textId="77777777" w:rsidR="00BE1C70" w:rsidRPr="00C35766" w:rsidRDefault="00BE1C70" w:rsidP="005C2D5B">
            <w:pPr>
              <w:numPr>
                <w:ilvl w:val="0"/>
                <w:numId w:val="69"/>
              </w:numPr>
              <w:tabs>
                <w:tab w:val="left" w:pos="672"/>
              </w:tabs>
              <w:ind w:left="561" w:hanging="561"/>
              <w:jc w:val="both"/>
              <w:rPr>
                <w:rFonts w:ascii="Times New Roman" w:eastAsia="Times New Roman" w:hAnsi="Times New Roman" w:cs="Times New Roman"/>
                <w:b/>
                <w:bCs/>
                <w:spacing w:val="-1"/>
                <w:lang w:val="pt-BR"/>
              </w:rPr>
            </w:pPr>
            <w:r w:rsidRPr="00C35766">
              <w:rPr>
                <w:rFonts w:ascii="Times New Roman" w:eastAsia="Times New Roman" w:hAnsi="Times New Roman" w:cs="Times New Roman"/>
                <w:b/>
                <w:bCs/>
                <w:spacing w:val="-1"/>
                <w:lang w:val="it-IT"/>
              </w:rPr>
              <w:t>CONTENUTO IN PESO, VOLUME O UNITÀ</w:t>
            </w:r>
          </w:p>
        </w:tc>
      </w:tr>
    </w:tbl>
    <w:p w14:paraId="7E1DF699" w14:textId="77777777" w:rsidR="00BE1C70" w:rsidRPr="00C35766" w:rsidRDefault="00BE1C70" w:rsidP="00BE1C70">
      <w:pPr>
        <w:spacing w:before="13" w:line="280" w:lineRule="exact"/>
        <w:rPr>
          <w:rFonts w:ascii="Times New Roman" w:hAnsi="Times New Roman" w:cs="Times New Roman"/>
          <w:lang w:val="pt-BR"/>
        </w:rPr>
      </w:pPr>
    </w:p>
    <w:p w14:paraId="5E8A53BA" w14:textId="35B6A340" w:rsidR="00BE1C70" w:rsidRPr="00C35766" w:rsidRDefault="00D8255F" w:rsidP="00BE1C70">
      <w:pPr>
        <w:pStyle w:val="a3"/>
      </w:pPr>
      <w:r>
        <w:rPr>
          <w:rFonts w:eastAsia="Times New Roman"/>
          <w:spacing w:val="-4"/>
          <w:lang w:val="it-IT"/>
        </w:rPr>
        <w:t>20</w:t>
      </w:r>
      <w:r w:rsidR="00BE1C70" w:rsidRPr="00C35766">
        <w:rPr>
          <w:rFonts w:eastAsia="Times New Roman"/>
          <w:spacing w:val="-4"/>
          <w:lang w:val="it-IT"/>
        </w:rPr>
        <w:t> mg/</w:t>
      </w:r>
      <w:r>
        <w:rPr>
          <w:rFonts w:eastAsia="Times New Roman"/>
          <w:spacing w:val="-4"/>
          <w:lang w:val="it-IT"/>
        </w:rPr>
        <w:t>0,2</w:t>
      </w:r>
      <w:r w:rsidR="00BE1C70" w:rsidRPr="00C35766">
        <w:rPr>
          <w:rFonts w:eastAsia="Times New Roman"/>
          <w:spacing w:val="-4"/>
          <w:lang w:val="it-IT"/>
        </w:rPr>
        <w:t> mL</w:t>
      </w:r>
    </w:p>
    <w:p w14:paraId="7BBAE20E" w14:textId="77777777" w:rsidR="00BE1C70" w:rsidRPr="00C35766" w:rsidRDefault="00BE1C70" w:rsidP="00BE1C70">
      <w:pPr>
        <w:spacing w:before="13" w:line="280" w:lineRule="exact"/>
        <w:rPr>
          <w:rFonts w:ascii="Times New Roman" w:hAnsi="Times New Roman" w:cs="Times New Roman"/>
        </w:rPr>
      </w:pPr>
    </w:p>
    <w:p w14:paraId="4B7F2AF9" w14:textId="77777777" w:rsidR="00BE1C70" w:rsidRPr="00C35766" w:rsidRDefault="00BE1C70" w:rsidP="00BE1C70">
      <w:pPr>
        <w:spacing w:before="13" w:line="280" w:lineRule="exact"/>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BE1C70" w:rsidRPr="00C35766" w14:paraId="6B3F8A1C" w14:textId="77777777" w:rsidTr="00603A86">
        <w:trPr>
          <w:trHeight w:val="317"/>
        </w:trPr>
        <w:tc>
          <w:tcPr>
            <w:tcW w:w="9666" w:type="dxa"/>
            <w:vAlign w:val="center"/>
          </w:tcPr>
          <w:p w14:paraId="68A05DE8" w14:textId="77777777" w:rsidR="00BE1C70" w:rsidRPr="00C35766" w:rsidRDefault="00BE1C70" w:rsidP="005C2D5B">
            <w:pPr>
              <w:numPr>
                <w:ilvl w:val="0"/>
                <w:numId w:val="69"/>
              </w:numPr>
              <w:tabs>
                <w:tab w:val="left" w:pos="672"/>
              </w:tabs>
              <w:ind w:left="561" w:hanging="561"/>
              <w:jc w:val="both"/>
              <w:rPr>
                <w:rFonts w:ascii="Times New Roman" w:eastAsia="Times New Roman" w:hAnsi="Times New Roman" w:cs="Times New Roman"/>
                <w:b/>
                <w:bCs/>
                <w:spacing w:val="-1"/>
              </w:rPr>
            </w:pPr>
            <w:r w:rsidRPr="00C35766">
              <w:rPr>
                <w:rFonts w:ascii="Times New Roman" w:eastAsia="Times New Roman" w:hAnsi="Times New Roman" w:cs="Times New Roman"/>
                <w:b/>
                <w:bCs/>
                <w:spacing w:val="-1"/>
                <w:lang w:val="it-IT"/>
              </w:rPr>
              <w:t>ALTRO</w:t>
            </w:r>
          </w:p>
        </w:tc>
      </w:tr>
    </w:tbl>
    <w:p w14:paraId="7FA24589" w14:textId="77777777" w:rsidR="00BE1C70" w:rsidRPr="00C35766" w:rsidRDefault="00BE1C70" w:rsidP="00BE1C70">
      <w:pPr>
        <w:pStyle w:val="a3"/>
      </w:pPr>
    </w:p>
    <w:p w14:paraId="0F52923B" w14:textId="77777777" w:rsidR="00BE1C70" w:rsidRPr="00C35766" w:rsidRDefault="00BE1C70" w:rsidP="00BE1C70">
      <w:pPr>
        <w:rPr>
          <w:rFonts w:ascii="Times New Roman" w:hAnsi="Times New Roman" w:cs="Times New Roman"/>
        </w:rPr>
      </w:pPr>
    </w:p>
    <w:p w14:paraId="5E471370" w14:textId="0D2A2BE3" w:rsidR="00930CAF" w:rsidRDefault="00930CAF">
      <w:pPr>
        <w:rPr>
          <w:rFonts w:ascii="Times New Roman" w:hAnsi="Times New Roman" w:cs="Times New Roman"/>
        </w:rPr>
      </w:pPr>
      <w:r>
        <w:rPr>
          <w:rFonts w:ascii="Times New Roman" w:hAnsi="Times New Roman" w:cs="Times New Roman"/>
        </w:rPr>
        <w:br w:type="page"/>
      </w:r>
    </w:p>
    <w:p w14:paraId="14F6EB11" w14:textId="77777777" w:rsidR="00BE1C70" w:rsidRPr="00C35766" w:rsidRDefault="00BE1C70" w:rsidP="00BE1C70">
      <w:pPr>
        <w:rPr>
          <w:rFonts w:ascii="Times New Roman" w:hAnsi="Times New Roman" w:cs="Times New Roman"/>
        </w:rPr>
      </w:pPr>
    </w:p>
    <w:p w14:paraId="0A5BC928" w14:textId="77777777" w:rsidR="00953B2E" w:rsidRPr="00C35766" w:rsidRDefault="00953B2E">
      <w:pPr>
        <w:rPr>
          <w:rFonts w:ascii="Times New Roman" w:hAnsi="Times New Roman" w:cs="Times New Roman"/>
        </w:rPr>
      </w:pPr>
    </w:p>
    <w:p w14:paraId="70E4D919" w14:textId="77777777" w:rsidR="00953B2E" w:rsidRPr="00C35766" w:rsidRDefault="00953B2E">
      <w:pPr>
        <w:spacing w:line="200" w:lineRule="exact"/>
        <w:rPr>
          <w:rFonts w:ascii="Times New Roman" w:hAnsi="Times New Roman" w:cs="Times New Roman"/>
          <w:sz w:val="20"/>
          <w:szCs w:val="20"/>
        </w:rPr>
      </w:pPr>
    </w:p>
    <w:p w14:paraId="166977BD" w14:textId="77777777" w:rsidR="00953B2E" w:rsidRPr="00C35766" w:rsidRDefault="00953B2E">
      <w:pPr>
        <w:spacing w:line="200" w:lineRule="exact"/>
        <w:rPr>
          <w:rFonts w:ascii="Times New Roman" w:hAnsi="Times New Roman" w:cs="Times New Roman"/>
          <w:sz w:val="20"/>
          <w:szCs w:val="20"/>
        </w:rPr>
      </w:pPr>
    </w:p>
    <w:p w14:paraId="6723579D" w14:textId="77777777" w:rsidR="00953B2E" w:rsidRPr="00C35766" w:rsidRDefault="00953B2E">
      <w:pPr>
        <w:spacing w:line="200" w:lineRule="exact"/>
        <w:rPr>
          <w:rFonts w:ascii="Times New Roman" w:hAnsi="Times New Roman" w:cs="Times New Roman"/>
          <w:sz w:val="20"/>
          <w:szCs w:val="20"/>
        </w:rPr>
      </w:pPr>
    </w:p>
    <w:p w14:paraId="51E50697" w14:textId="77777777" w:rsidR="00953B2E" w:rsidRPr="00C35766" w:rsidRDefault="00953B2E">
      <w:pPr>
        <w:spacing w:line="200" w:lineRule="exact"/>
        <w:rPr>
          <w:rFonts w:ascii="Times New Roman" w:hAnsi="Times New Roman" w:cs="Times New Roman"/>
          <w:sz w:val="20"/>
          <w:szCs w:val="20"/>
        </w:rPr>
      </w:pPr>
    </w:p>
    <w:p w14:paraId="5A3A9F8D" w14:textId="77777777" w:rsidR="00953B2E" w:rsidRPr="00C35766" w:rsidRDefault="00953B2E">
      <w:pPr>
        <w:spacing w:line="200" w:lineRule="exact"/>
        <w:rPr>
          <w:rFonts w:ascii="Times New Roman" w:hAnsi="Times New Roman" w:cs="Times New Roman"/>
          <w:sz w:val="20"/>
          <w:szCs w:val="20"/>
        </w:rPr>
      </w:pPr>
    </w:p>
    <w:p w14:paraId="1607D61E" w14:textId="77777777" w:rsidR="00953B2E" w:rsidRPr="00C35766" w:rsidRDefault="00953B2E">
      <w:pPr>
        <w:spacing w:line="200" w:lineRule="exact"/>
        <w:rPr>
          <w:rFonts w:ascii="Times New Roman" w:hAnsi="Times New Roman" w:cs="Times New Roman"/>
          <w:sz w:val="20"/>
          <w:szCs w:val="20"/>
        </w:rPr>
      </w:pPr>
    </w:p>
    <w:p w14:paraId="45ADF3F9" w14:textId="77777777" w:rsidR="00953B2E" w:rsidRPr="00C35766" w:rsidRDefault="00953B2E">
      <w:pPr>
        <w:spacing w:line="200" w:lineRule="exact"/>
        <w:rPr>
          <w:rFonts w:ascii="Times New Roman" w:hAnsi="Times New Roman" w:cs="Times New Roman"/>
          <w:sz w:val="20"/>
          <w:szCs w:val="20"/>
        </w:rPr>
      </w:pPr>
    </w:p>
    <w:p w14:paraId="3D755E57" w14:textId="77777777" w:rsidR="00953B2E" w:rsidRPr="00C35766" w:rsidRDefault="00953B2E">
      <w:pPr>
        <w:spacing w:line="200" w:lineRule="exact"/>
        <w:rPr>
          <w:rFonts w:ascii="Times New Roman" w:hAnsi="Times New Roman" w:cs="Times New Roman"/>
          <w:sz w:val="20"/>
          <w:szCs w:val="20"/>
        </w:rPr>
      </w:pPr>
    </w:p>
    <w:p w14:paraId="5AB10300" w14:textId="77777777" w:rsidR="00953B2E" w:rsidRPr="00C35766" w:rsidRDefault="00953B2E">
      <w:pPr>
        <w:spacing w:line="200" w:lineRule="exact"/>
        <w:rPr>
          <w:rFonts w:ascii="Times New Roman" w:hAnsi="Times New Roman" w:cs="Times New Roman"/>
          <w:sz w:val="20"/>
          <w:szCs w:val="20"/>
        </w:rPr>
      </w:pPr>
    </w:p>
    <w:p w14:paraId="53CCF735" w14:textId="77777777" w:rsidR="00953B2E" w:rsidRPr="00C35766" w:rsidRDefault="00953B2E">
      <w:pPr>
        <w:spacing w:line="200" w:lineRule="exact"/>
        <w:rPr>
          <w:rFonts w:ascii="Times New Roman" w:hAnsi="Times New Roman" w:cs="Times New Roman"/>
          <w:sz w:val="20"/>
          <w:szCs w:val="20"/>
        </w:rPr>
      </w:pPr>
    </w:p>
    <w:p w14:paraId="79348EC8" w14:textId="77777777" w:rsidR="00953B2E" w:rsidRPr="00C35766" w:rsidRDefault="00953B2E">
      <w:pPr>
        <w:spacing w:line="200" w:lineRule="exact"/>
        <w:rPr>
          <w:rFonts w:ascii="Times New Roman" w:hAnsi="Times New Roman" w:cs="Times New Roman"/>
          <w:sz w:val="20"/>
          <w:szCs w:val="20"/>
        </w:rPr>
      </w:pPr>
    </w:p>
    <w:p w14:paraId="70568963" w14:textId="77777777" w:rsidR="00953B2E" w:rsidRPr="00C35766" w:rsidRDefault="00953B2E">
      <w:pPr>
        <w:spacing w:line="200" w:lineRule="exact"/>
        <w:rPr>
          <w:rFonts w:ascii="Times New Roman" w:hAnsi="Times New Roman" w:cs="Times New Roman"/>
          <w:sz w:val="20"/>
          <w:szCs w:val="20"/>
        </w:rPr>
      </w:pPr>
    </w:p>
    <w:p w14:paraId="42E1892F" w14:textId="77777777" w:rsidR="00953B2E" w:rsidRPr="00C35766" w:rsidRDefault="00953B2E">
      <w:pPr>
        <w:spacing w:line="200" w:lineRule="exact"/>
        <w:rPr>
          <w:rFonts w:ascii="Times New Roman" w:hAnsi="Times New Roman" w:cs="Times New Roman"/>
          <w:sz w:val="20"/>
          <w:szCs w:val="20"/>
        </w:rPr>
      </w:pPr>
    </w:p>
    <w:p w14:paraId="6158B168" w14:textId="77777777" w:rsidR="00953B2E" w:rsidRPr="00C35766" w:rsidRDefault="00953B2E">
      <w:pPr>
        <w:spacing w:line="200" w:lineRule="exact"/>
        <w:rPr>
          <w:rFonts w:ascii="Times New Roman" w:hAnsi="Times New Roman" w:cs="Times New Roman"/>
          <w:sz w:val="20"/>
          <w:szCs w:val="20"/>
        </w:rPr>
      </w:pPr>
    </w:p>
    <w:p w14:paraId="229ABAC0" w14:textId="77777777" w:rsidR="00953B2E" w:rsidRPr="00C35766" w:rsidRDefault="00953B2E">
      <w:pPr>
        <w:spacing w:line="200" w:lineRule="exact"/>
        <w:rPr>
          <w:rFonts w:ascii="Times New Roman" w:hAnsi="Times New Roman" w:cs="Times New Roman"/>
          <w:sz w:val="20"/>
          <w:szCs w:val="20"/>
        </w:rPr>
      </w:pPr>
    </w:p>
    <w:p w14:paraId="24FB14AB" w14:textId="77777777" w:rsidR="00953B2E" w:rsidRPr="00C35766" w:rsidRDefault="00953B2E">
      <w:pPr>
        <w:spacing w:line="200" w:lineRule="exact"/>
        <w:rPr>
          <w:rFonts w:ascii="Times New Roman" w:hAnsi="Times New Roman" w:cs="Times New Roman"/>
          <w:sz w:val="20"/>
          <w:szCs w:val="20"/>
        </w:rPr>
      </w:pPr>
    </w:p>
    <w:p w14:paraId="4F54B172" w14:textId="77777777" w:rsidR="00953B2E" w:rsidRPr="00C35766" w:rsidRDefault="00953B2E">
      <w:pPr>
        <w:spacing w:line="200" w:lineRule="exact"/>
        <w:rPr>
          <w:rFonts w:ascii="Times New Roman" w:hAnsi="Times New Roman" w:cs="Times New Roman"/>
          <w:sz w:val="20"/>
          <w:szCs w:val="20"/>
        </w:rPr>
      </w:pPr>
    </w:p>
    <w:p w14:paraId="7F284DA2" w14:textId="77777777" w:rsidR="00953B2E" w:rsidRPr="00C35766" w:rsidRDefault="00953B2E">
      <w:pPr>
        <w:spacing w:line="200" w:lineRule="exact"/>
        <w:rPr>
          <w:rFonts w:ascii="Times New Roman" w:hAnsi="Times New Roman" w:cs="Times New Roman"/>
          <w:sz w:val="20"/>
          <w:szCs w:val="20"/>
        </w:rPr>
      </w:pPr>
    </w:p>
    <w:p w14:paraId="48373D48" w14:textId="77777777" w:rsidR="00953B2E" w:rsidRPr="00C35766" w:rsidRDefault="00953B2E">
      <w:pPr>
        <w:spacing w:line="200" w:lineRule="exact"/>
        <w:rPr>
          <w:rFonts w:ascii="Times New Roman" w:hAnsi="Times New Roman" w:cs="Times New Roman"/>
          <w:sz w:val="20"/>
          <w:szCs w:val="20"/>
        </w:rPr>
      </w:pPr>
    </w:p>
    <w:p w14:paraId="0A36CFB2" w14:textId="77777777" w:rsidR="00953B2E" w:rsidRPr="00C35766" w:rsidRDefault="00953B2E">
      <w:pPr>
        <w:spacing w:line="200" w:lineRule="exact"/>
        <w:rPr>
          <w:rFonts w:ascii="Times New Roman" w:hAnsi="Times New Roman" w:cs="Times New Roman"/>
          <w:sz w:val="20"/>
          <w:szCs w:val="20"/>
        </w:rPr>
      </w:pPr>
    </w:p>
    <w:p w14:paraId="73CA9FA6" w14:textId="77777777" w:rsidR="00953B2E" w:rsidRPr="00C35766" w:rsidRDefault="00953B2E">
      <w:pPr>
        <w:spacing w:line="200" w:lineRule="exact"/>
        <w:rPr>
          <w:rFonts w:ascii="Times New Roman" w:hAnsi="Times New Roman" w:cs="Times New Roman"/>
          <w:sz w:val="20"/>
          <w:szCs w:val="20"/>
        </w:rPr>
      </w:pPr>
    </w:p>
    <w:p w14:paraId="3F5BA827" w14:textId="77777777" w:rsidR="00953B2E" w:rsidRPr="00C35766" w:rsidRDefault="00953B2E">
      <w:pPr>
        <w:spacing w:line="200" w:lineRule="exact"/>
        <w:rPr>
          <w:rFonts w:ascii="Times New Roman" w:hAnsi="Times New Roman" w:cs="Times New Roman"/>
          <w:sz w:val="20"/>
          <w:szCs w:val="20"/>
        </w:rPr>
      </w:pPr>
    </w:p>
    <w:p w14:paraId="3A4EBBF5" w14:textId="77777777" w:rsidR="00953B2E" w:rsidRPr="00C35766" w:rsidRDefault="00953B2E">
      <w:pPr>
        <w:spacing w:line="200" w:lineRule="exact"/>
        <w:rPr>
          <w:rFonts w:ascii="Times New Roman" w:hAnsi="Times New Roman" w:cs="Times New Roman"/>
          <w:sz w:val="20"/>
          <w:szCs w:val="20"/>
        </w:rPr>
      </w:pPr>
    </w:p>
    <w:p w14:paraId="798D6D08" w14:textId="77777777" w:rsidR="00953B2E" w:rsidRPr="00C35766" w:rsidRDefault="00953B2E">
      <w:pPr>
        <w:spacing w:line="200" w:lineRule="exact"/>
        <w:rPr>
          <w:rFonts w:ascii="Times New Roman" w:hAnsi="Times New Roman" w:cs="Times New Roman"/>
          <w:sz w:val="20"/>
          <w:szCs w:val="20"/>
        </w:rPr>
      </w:pPr>
    </w:p>
    <w:p w14:paraId="419CD39A" w14:textId="77777777" w:rsidR="00953B2E" w:rsidRPr="00C35766" w:rsidRDefault="00953B2E">
      <w:pPr>
        <w:spacing w:line="200" w:lineRule="exact"/>
        <w:rPr>
          <w:rFonts w:ascii="Times New Roman" w:hAnsi="Times New Roman" w:cs="Times New Roman"/>
          <w:sz w:val="20"/>
          <w:szCs w:val="20"/>
        </w:rPr>
      </w:pPr>
    </w:p>
    <w:p w14:paraId="386E92FD" w14:textId="77777777" w:rsidR="00953B2E" w:rsidRPr="00C35766" w:rsidRDefault="00953B2E">
      <w:pPr>
        <w:spacing w:line="200" w:lineRule="exact"/>
        <w:rPr>
          <w:rFonts w:ascii="Times New Roman" w:hAnsi="Times New Roman" w:cs="Times New Roman"/>
          <w:sz w:val="20"/>
          <w:szCs w:val="20"/>
        </w:rPr>
      </w:pPr>
    </w:p>
    <w:p w14:paraId="0509B7CD" w14:textId="77777777" w:rsidR="00953B2E" w:rsidRPr="00C35766" w:rsidRDefault="00953B2E">
      <w:pPr>
        <w:spacing w:before="4" w:line="200" w:lineRule="exact"/>
        <w:rPr>
          <w:rFonts w:ascii="Times New Roman" w:hAnsi="Times New Roman" w:cs="Times New Roman"/>
          <w:sz w:val="20"/>
          <w:szCs w:val="20"/>
        </w:rPr>
      </w:pPr>
    </w:p>
    <w:p w14:paraId="60DCD650" w14:textId="77777777" w:rsidR="00953B2E" w:rsidRPr="00C35766" w:rsidRDefault="005F0C19" w:rsidP="00787805">
      <w:pPr>
        <w:pStyle w:val="1"/>
        <w:numPr>
          <w:ilvl w:val="0"/>
          <w:numId w:val="34"/>
        </w:numPr>
        <w:jc w:val="center"/>
        <w:rPr>
          <w:rFonts w:cs="Times New Roman"/>
          <w:noProof/>
          <w:lang w:val="en-GB"/>
        </w:rPr>
      </w:pPr>
      <w:bookmarkStart w:id="49" w:name="B._PACKAGE_LEAFLET"/>
      <w:bookmarkEnd w:id="49"/>
      <w:r w:rsidRPr="00C35766">
        <w:rPr>
          <w:rFonts w:cs="Times New Roman"/>
          <w:noProof/>
          <w:lang w:val="it-IT"/>
        </w:rPr>
        <w:t>FOGLIO ILLUSTRATIVO</w:t>
      </w:r>
    </w:p>
    <w:p w14:paraId="1316A6AA" w14:textId="77777777" w:rsidR="00953B2E" w:rsidRPr="00C35766" w:rsidRDefault="005F0C19">
      <w:pPr>
        <w:rPr>
          <w:rFonts w:ascii="Times New Roman" w:hAnsi="Times New Roman" w:cs="Times New Roman"/>
        </w:rPr>
      </w:pPr>
      <w:r w:rsidRPr="00C35766">
        <w:rPr>
          <w:rFonts w:ascii="Times New Roman" w:hAnsi="Times New Roman" w:cs="Times New Roman"/>
        </w:rPr>
        <w:br w:type="page"/>
      </w:r>
    </w:p>
    <w:p w14:paraId="670474F0" w14:textId="77777777" w:rsidR="00953B2E" w:rsidRPr="00C35766" w:rsidRDefault="005F0C19">
      <w:pPr>
        <w:spacing w:before="76"/>
        <w:ind w:left="39"/>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lastRenderedPageBreak/>
        <w:t>Foglio illustrativo: informazioni per il paziente</w:t>
      </w:r>
    </w:p>
    <w:p w14:paraId="31070955" w14:textId="77777777" w:rsidR="00953B2E" w:rsidRPr="00C35766" w:rsidRDefault="00953B2E">
      <w:pPr>
        <w:spacing w:before="13" w:line="240" w:lineRule="exact"/>
        <w:rPr>
          <w:rFonts w:ascii="Times New Roman" w:hAnsi="Times New Roman" w:cs="Times New Roman"/>
          <w:sz w:val="24"/>
          <w:lang w:val="it-IT"/>
        </w:rPr>
      </w:pPr>
    </w:p>
    <w:p w14:paraId="75FDDC2A" w14:textId="2128174A" w:rsidR="00953B2E" w:rsidRPr="00C35766" w:rsidRDefault="005F0C19">
      <w:pPr>
        <w:ind w:left="818" w:right="776"/>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Yuflyma 40</w:t>
      </w:r>
      <w:r w:rsidR="00351CDF">
        <w:rPr>
          <w:rFonts w:ascii="Times New Roman" w:eastAsia="Times New Roman" w:hAnsi="Times New Roman" w:cs="Times New Roman"/>
          <w:b/>
          <w:bCs/>
          <w:spacing w:val="-1"/>
          <w:lang w:val="it-IT"/>
        </w:rPr>
        <w:t xml:space="preserve"> mg</w:t>
      </w:r>
      <w:r w:rsidRPr="00C35766">
        <w:rPr>
          <w:rFonts w:ascii="Times New Roman" w:eastAsia="Times New Roman" w:hAnsi="Times New Roman" w:cs="Times New Roman"/>
          <w:b/>
          <w:bCs/>
          <w:spacing w:val="-1"/>
          <w:lang w:val="it-IT"/>
        </w:rPr>
        <w:t xml:space="preserve"> soluzione iniettabile in siringa </w:t>
      </w:r>
      <w:r w:rsidR="0092097A" w:rsidRPr="00C35766">
        <w:rPr>
          <w:rFonts w:ascii="Times New Roman" w:eastAsia="Times New Roman" w:hAnsi="Times New Roman" w:cs="Times New Roman"/>
          <w:b/>
          <w:bCs/>
          <w:spacing w:val="-1"/>
          <w:lang w:val="it-IT"/>
        </w:rPr>
        <w:t>pre-riempita</w:t>
      </w:r>
    </w:p>
    <w:p w14:paraId="26F432BE" w14:textId="77777777" w:rsidR="00953B2E" w:rsidRPr="00C35766" w:rsidRDefault="00A02C1D">
      <w:pPr>
        <w:pStyle w:val="a3"/>
        <w:jc w:val="center"/>
        <w:rPr>
          <w:lang w:val="it-IT"/>
        </w:rPr>
      </w:pPr>
      <w:r w:rsidRPr="00C35766">
        <w:rPr>
          <w:rFonts w:eastAsia="Times New Roman"/>
          <w:lang w:val="it-IT"/>
        </w:rPr>
        <w:t>a</w:t>
      </w:r>
      <w:r w:rsidR="005F0C19" w:rsidRPr="00C35766">
        <w:rPr>
          <w:rFonts w:eastAsia="Times New Roman"/>
          <w:lang w:val="it-IT"/>
        </w:rPr>
        <w:t>dalimumab</w:t>
      </w:r>
    </w:p>
    <w:p w14:paraId="014B63B1" w14:textId="77777777" w:rsidR="00953B2E" w:rsidRPr="00C35766" w:rsidRDefault="00953B2E">
      <w:pPr>
        <w:spacing w:before="18" w:line="240" w:lineRule="exact"/>
        <w:rPr>
          <w:rFonts w:ascii="Times New Roman" w:hAnsi="Times New Roman" w:cs="Times New Roman"/>
          <w:sz w:val="24"/>
          <w:lang w:val="it-IT"/>
        </w:rPr>
      </w:pPr>
    </w:p>
    <w:p w14:paraId="443C2769" w14:textId="77777777" w:rsidR="00953B2E" w:rsidRPr="00C35766" w:rsidRDefault="005F0C19">
      <w:pPr>
        <w:spacing w:before="18" w:line="240" w:lineRule="exact"/>
        <w:rPr>
          <w:rFonts w:ascii="Times New Roman" w:hAnsi="Times New Roman" w:cs="Times New Roman"/>
          <w:sz w:val="24"/>
          <w:szCs w:val="24"/>
          <w:lang w:val="es-ES"/>
        </w:rPr>
      </w:pPr>
      <w:r w:rsidRPr="00C35766">
        <w:rPr>
          <w:rFonts w:ascii="Times New Roman" w:hAnsi="Times New Roman" w:cs="Times New Roman"/>
          <w:noProof/>
          <w:lang w:eastAsia="ko-KR"/>
        </w:rPr>
        <w:drawing>
          <wp:inline distT="0" distB="0" distL="0" distR="0" wp14:anchorId="6F2384DC" wp14:editId="781256A7">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C35766">
        <w:rPr>
          <w:rFonts w:ascii="Times New Roman" w:eastAsia="Times New Roman" w:hAnsi="Times New Roman" w:cs="Times New Roman"/>
          <w:lang w:val="it-IT"/>
        </w:rPr>
        <w:t>Medicinale sottoposto a monitoraggio addizionale. Ciò permetterà la rapida identificazione di nuove informazioni sulla sicurezza. Lei può contribuire segnalando qualsiasi effetto indesiderato riscontrato durante l’assunzione di questo medicinale. Vedere la fine del paragrafo 4 per le informazioni su come segnalare gli effetti indesiderati.</w:t>
      </w:r>
    </w:p>
    <w:p w14:paraId="52C0C422" w14:textId="77777777" w:rsidR="00953B2E" w:rsidRPr="00C35766" w:rsidRDefault="00953B2E">
      <w:pPr>
        <w:spacing w:before="18" w:line="240" w:lineRule="exact"/>
        <w:rPr>
          <w:rFonts w:ascii="Times New Roman" w:hAnsi="Times New Roman" w:cs="Times New Roman"/>
          <w:sz w:val="24"/>
          <w:szCs w:val="24"/>
          <w:lang w:val="es-ES"/>
        </w:rPr>
      </w:pPr>
    </w:p>
    <w:p w14:paraId="48311B40" w14:textId="77777777" w:rsidR="00953B2E" w:rsidRPr="00C35766" w:rsidRDefault="005F0C19">
      <w:pPr>
        <w:spacing w:before="18"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Legga attentamente questo foglio prima di usare questo medicinale perché contiene importanti informazioni per lei.</w:t>
      </w:r>
    </w:p>
    <w:p w14:paraId="1EEF4A5B" w14:textId="77777777" w:rsidR="00953B2E" w:rsidRPr="00C35766" w:rsidRDefault="005F0C19">
      <w:pPr>
        <w:pStyle w:val="a3"/>
        <w:numPr>
          <w:ilvl w:val="0"/>
          <w:numId w:val="5"/>
        </w:numPr>
        <w:ind w:left="660" w:hanging="660"/>
        <w:rPr>
          <w:lang w:val="pt-BR"/>
        </w:rPr>
      </w:pPr>
      <w:r w:rsidRPr="00C35766">
        <w:rPr>
          <w:rFonts w:eastAsia="Times New Roman"/>
          <w:lang w:val="it-IT"/>
        </w:rPr>
        <w:t>Conservi questo foglio. Potrebbe aver bisogno di leggerlo di nuovo.</w:t>
      </w:r>
    </w:p>
    <w:p w14:paraId="5D04524F" w14:textId="77777777" w:rsidR="00953B2E" w:rsidRPr="00C35766" w:rsidRDefault="005F0C19">
      <w:pPr>
        <w:pStyle w:val="a3"/>
        <w:numPr>
          <w:ilvl w:val="0"/>
          <w:numId w:val="5"/>
        </w:numPr>
        <w:ind w:left="660" w:hanging="660"/>
        <w:rPr>
          <w:lang w:val="es-ES"/>
        </w:rPr>
      </w:pPr>
      <w:r w:rsidRPr="00C35766">
        <w:rPr>
          <w:rFonts w:eastAsia="Times New Roman"/>
          <w:lang w:val="it-IT"/>
        </w:rPr>
        <w:t xml:space="preserve">Il medico Le fornirà anche una </w:t>
      </w:r>
      <w:r w:rsidRPr="00C35766">
        <w:rPr>
          <w:rFonts w:eastAsia="Times New Roman"/>
          <w:b/>
          <w:bCs/>
          <w:lang w:val="it-IT"/>
        </w:rPr>
        <w:t>Scheda promemoria per il paziente</w:t>
      </w:r>
      <w:r w:rsidRPr="00C35766">
        <w:rPr>
          <w:rFonts w:eastAsia="Times New Roman"/>
          <w:lang w:val="it-IT"/>
        </w:rPr>
        <w:t xml:space="preserve">, che contiene importanti informazioni sulla sicurezza che Lei deve conoscere prima e durante il trattamento con Yuflyma. Tenga con sé la </w:t>
      </w:r>
      <w:r w:rsidRPr="00C35766">
        <w:rPr>
          <w:rFonts w:eastAsia="Times New Roman"/>
          <w:b/>
          <w:bCs/>
          <w:lang w:val="it-IT"/>
        </w:rPr>
        <w:t xml:space="preserve">Scheda Promemoria per il Paziente </w:t>
      </w:r>
      <w:r w:rsidRPr="00C35766">
        <w:rPr>
          <w:rFonts w:eastAsia="Times New Roman"/>
          <w:lang w:val="it-IT"/>
        </w:rPr>
        <w:t>durante il Suo trattamento e per 4 mesi dopo l'ultima iniezione di Yuflyma.</w:t>
      </w:r>
    </w:p>
    <w:p w14:paraId="09D684F5" w14:textId="77777777" w:rsidR="00953B2E" w:rsidRPr="00C35766" w:rsidRDefault="005F0C19">
      <w:pPr>
        <w:pStyle w:val="a3"/>
        <w:numPr>
          <w:ilvl w:val="0"/>
          <w:numId w:val="5"/>
        </w:numPr>
        <w:ind w:left="660" w:hanging="660"/>
        <w:rPr>
          <w:lang w:val="es-ES"/>
        </w:rPr>
      </w:pPr>
      <w:r w:rsidRPr="00C35766">
        <w:rPr>
          <w:rFonts w:eastAsia="Times New Roman"/>
          <w:lang w:val="it-IT"/>
        </w:rPr>
        <w:t>Se ha qualsiasi dubbio, si rivolga al medico o al farmacista.</w:t>
      </w:r>
    </w:p>
    <w:p w14:paraId="05B75FD5" w14:textId="77777777" w:rsidR="00953B2E" w:rsidRPr="00C35766" w:rsidRDefault="005F0C19">
      <w:pPr>
        <w:pStyle w:val="a3"/>
        <w:numPr>
          <w:ilvl w:val="0"/>
          <w:numId w:val="5"/>
        </w:numPr>
        <w:ind w:left="660" w:hanging="660"/>
        <w:rPr>
          <w:lang w:val="it-IT"/>
        </w:rPr>
      </w:pPr>
      <w:r w:rsidRPr="00C35766">
        <w:rPr>
          <w:rFonts w:eastAsia="Times New Roman"/>
          <w:lang w:val="it-IT"/>
        </w:rPr>
        <w:t>Questo medicinale è stato prescritto soltanto per lei. Non lo dia ad altre persone, anche se i sintomi della malattia sono uguali ai suoi, perché potrebbe essere pericoloso.</w:t>
      </w:r>
    </w:p>
    <w:p w14:paraId="66E42407" w14:textId="0F071127" w:rsidR="00953B2E" w:rsidRPr="00C35766" w:rsidRDefault="005F0C19">
      <w:pPr>
        <w:pStyle w:val="a3"/>
        <w:numPr>
          <w:ilvl w:val="0"/>
          <w:numId w:val="5"/>
        </w:numPr>
        <w:ind w:left="660" w:hanging="660"/>
        <w:rPr>
          <w:lang w:val="es-ES"/>
        </w:rPr>
      </w:pPr>
      <w:r w:rsidRPr="00C35766">
        <w:rPr>
          <w:rFonts w:eastAsia="Times New Roman"/>
          <w:lang w:val="it-IT"/>
        </w:rPr>
        <w:t xml:space="preserve">Se </w:t>
      </w:r>
      <w:r w:rsidR="007D4102">
        <w:rPr>
          <w:rFonts w:eastAsia="Times New Roman"/>
          <w:lang w:val="it-IT"/>
        </w:rPr>
        <w:t xml:space="preserve">si </w:t>
      </w:r>
      <w:r w:rsidRPr="00C35766">
        <w:rPr>
          <w:rFonts w:eastAsia="Times New Roman"/>
          <w:lang w:val="it-IT"/>
        </w:rPr>
        <w:t>manifesta un qualsiasi effetto indesiderato, compresi quelli non elencati in questo foglio, si rivolga al medico,o al farmacista o all’infermiere. Vedere paragrafo 4.</w:t>
      </w:r>
    </w:p>
    <w:p w14:paraId="5946FC7B" w14:textId="77777777" w:rsidR="00953B2E" w:rsidRPr="00C35766" w:rsidRDefault="00953B2E">
      <w:pPr>
        <w:pStyle w:val="a3"/>
        <w:rPr>
          <w:lang w:val="es-ES"/>
        </w:rPr>
      </w:pPr>
    </w:p>
    <w:p w14:paraId="1350CFA8" w14:textId="77777777" w:rsidR="00953B2E" w:rsidRPr="00C35766" w:rsidRDefault="005F0C19">
      <w:pPr>
        <w:pStyle w:val="a3"/>
        <w:rPr>
          <w:b/>
        </w:rPr>
      </w:pPr>
      <w:r w:rsidRPr="00C35766">
        <w:rPr>
          <w:rFonts w:eastAsia="Times New Roman"/>
          <w:b/>
          <w:bCs/>
          <w:lang w:val="it-IT"/>
        </w:rPr>
        <w:t>Contenuto di questo foglio</w:t>
      </w:r>
    </w:p>
    <w:p w14:paraId="1E3B12C3" w14:textId="77777777" w:rsidR="00953B2E" w:rsidRPr="00C35766" w:rsidRDefault="005F0C19" w:rsidP="00787805">
      <w:pPr>
        <w:pStyle w:val="a3"/>
        <w:numPr>
          <w:ilvl w:val="0"/>
          <w:numId w:val="35"/>
        </w:numPr>
        <w:ind w:left="567" w:hanging="567"/>
        <w:rPr>
          <w:lang w:val="it-IT"/>
        </w:rPr>
      </w:pPr>
      <w:r w:rsidRPr="00C35766">
        <w:rPr>
          <w:rFonts w:eastAsia="Times New Roman"/>
          <w:lang w:val="it-IT"/>
        </w:rPr>
        <w:t>Cos’è Yuflyma e a cosa serve</w:t>
      </w:r>
    </w:p>
    <w:p w14:paraId="5B4B7531" w14:textId="77777777" w:rsidR="00953B2E" w:rsidRPr="00C35766" w:rsidRDefault="005F0C19" w:rsidP="00787805">
      <w:pPr>
        <w:pStyle w:val="a3"/>
        <w:numPr>
          <w:ilvl w:val="0"/>
          <w:numId w:val="35"/>
        </w:numPr>
        <w:ind w:left="567" w:hanging="567"/>
        <w:rPr>
          <w:lang w:val="it-IT"/>
        </w:rPr>
      </w:pPr>
      <w:r w:rsidRPr="00C35766">
        <w:rPr>
          <w:rFonts w:eastAsia="Times New Roman"/>
          <w:lang w:val="it-IT"/>
        </w:rPr>
        <w:t>Cosa deve sapere prima di usare Yuflyma</w:t>
      </w:r>
    </w:p>
    <w:p w14:paraId="78DBB509" w14:textId="77777777" w:rsidR="00953B2E" w:rsidRPr="00C35766" w:rsidRDefault="005F0C19" w:rsidP="00787805">
      <w:pPr>
        <w:pStyle w:val="a3"/>
        <w:numPr>
          <w:ilvl w:val="0"/>
          <w:numId w:val="35"/>
        </w:numPr>
        <w:ind w:left="567" w:hanging="567"/>
      </w:pPr>
      <w:r w:rsidRPr="00C35766">
        <w:rPr>
          <w:rFonts w:eastAsia="Times New Roman"/>
          <w:lang w:val="it-IT"/>
        </w:rPr>
        <w:t>Come usare Yuflyma</w:t>
      </w:r>
    </w:p>
    <w:p w14:paraId="1FBD0B1D" w14:textId="77777777" w:rsidR="00953B2E" w:rsidRPr="00C35766" w:rsidRDefault="005F0C19" w:rsidP="00787805">
      <w:pPr>
        <w:pStyle w:val="a3"/>
        <w:numPr>
          <w:ilvl w:val="0"/>
          <w:numId w:val="35"/>
        </w:numPr>
        <w:ind w:left="567" w:hanging="567"/>
      </w:pPr>
      <w:r w:rsidRPr="00C35766">
        <w:rPr>
          <w:rFonts w:eastAsia="Times New Roman"/>
          <w:lang w:val="it-IT"/>
        </w:rPr>
        <w:t>Possibili effetti indesiderati</w:t>
      </w:r>
    </w:p>
    <w:p w14:paraId="3260204B" w14:textId="77777777" w:rsidR="00953B2E" w:rsidRPr="00C35766" w:rsidRDefault="005F0C19" w:rsidP="00787805">
      <w:pPr>
        <w:pStyle w:val="a3"/>
        <w:numPr>
          <w:ilvl w:val="0"/>
          <w:numId w:val="35"/>
        </w:numPr>
        <w:ind w:left="567" w:hanging="567"/>
      </w:pPr>
      <w:r w:rsidRPr="00C35766">
        <w:rPr>
          <w:rFonts w:eastAsia="Times New Roman"/>
          <w:lang w:val="it-IT"/>
        </w:rPr>
        <w:t>Come conservare Yuflyma</w:t>
      </w:r>
    </w:p>
    <w:p w14:paraId="2CC39F09" w14:textId="77777777" w:rsidR="00953B2E" w:rsidRPr="00C35766" w:rsidRDefault="005F0C19" w:rsidP="00787805">
      <w:pPr>
        <w:pStyle w:val="a3"/>
        <w:numPr>
          <w:ilvl w:val="0"/>
          <w:numId w:val="35"/>
        </w:numPr>
        <w:ind w:left="567" w:hanging="567"/>
        <w:rPr>
          <w:lang w:val="it-IT"/>
        </w:rPr>
      </w:pPr>
      <w:r w:rsidRPr="00C35766">
        <w:rPr>
          <w:rFonts w:eastAsia="Times New Roman"/>
          <w:lang w:val="it-IT"/>
        </w:rPr>
        <w:t>Contenuto della confezione e altre informazioni</w:t>
      </w:r>
    </w:p>
    <w:p w14:paraId="67B8E22D" w14:textId="77777777" w:rsidR="00953B2E" w:rsidRPr="00C35766" w:rsidRDefault="005F0C19" w:rsidP="00787805">
      <w:pPr>
        <w:pStyle w:val="a3"/>
        <w:numPr>
          <w:ilvl w:val="0"/>
          <w:numId w:val="35"/>
        </w:numPr>
        <w:ind w:left="567" w:hanging="567"/>
      </w:pPr>
      <w:r w:rsidRPr="00C35766">
        <w:rPr>
          <w:rFonts w:eastAsia="Times New Roman"/>
          <w:lang w:val="it-IT"/>
        </w:rPr>
        <w:t>Istruzioni per l’uso</w:t>
      </w:r>
    </w:p>
    <w:p w14:paraId="3AC9C43F" w14:textId="77777777" w:rsidR="00953B2E" w:rsidRPr="00C35766" w:rsidRDefault="00953B2E">
      <w:pPr>
        <w:spacing w:line="200" w:lineRule="exact"/>
        <w:ind w:left="567" w:hanging="567"/>
        <w:rPr>
          <w:rFonts w:ascii="Times New Roman" w:hAnsi="Times New Roman" w:cs="Times New Roman"/>
          <w:sz w:val="20"/>
          <w:szCs w:val="20"/>
        </w:rPr>
      </w:pPr>
    </w:p>
    <w:p w14:paraId="697A6DF1" w14:textId="77777777" w:rsidR="00953B2E" w:rsidRPr="00C35766" w:rsidRDefault="00953B2E">
      <w:pPr>
        <w:spacing w:line="200" w:lineRule="exact"/>
        <w:rPr>
          <w:rFonts w:ascii="Times New Roman" w:hAnsi="Times New Roman" w:cs="Times New Roman"/>
          <w:sz w:val="20"/>
          <w:szCs w:val="20"/>
        </w:rPr>
      </w:pPr>
    </w:p>
    <w:p w14:paraId="18D89437" w14:textId="77777777" w:rsidR="00953B2E" w:rsidRPr="00C35766" w:rsidRDefault="005F0C19" w:rsidP="00787805">
      <w:pPr>
        <w:pStyle w:val="a4"/>
        <w:numPr>
          <w:ilvl w:val="0"/>
          <w:numId w:val="32"/>
        </w:numPr>
        <w:spacing w:line="240" w:lineRule="exact"/>
        <w:ind w:left="567" w:hanging="567"/>
        <w:rPr>
          <w:rFonts w:ascii="Times New Roman" w:hAnsi="Times New Roman" w:cs="Times New Roman"/>
          <w:b/>
          <w:lang w:val="it-IT"/>
        </w:rPr>
      </w:pPr>
      <w:r w:rsidRPr="00C35766">
        <w:rPr>
          <w:rFonts w:ascii="Times New Roman" w:eastAsia="Times New Roman" w:hAnsi="Times New Roman" w:cs="Times New Roman"/>
          <w:b/>
          <w:bCs/>
          <w:lang w:val="it-IT"/>
        </w:rPr>
        <w:t>Cos’è Yuflyma e a cosa serve</w:t>
      </w:r>
    </w:p>
    <w:p w14:paraId="47BAB767" w14:textId="77777777" w:rsidR="00953B2E" w:rsidRPr="00C35766" w:rsidRDefault="00953B2E">
      <w:pPr>
        <w:spacing w:line="240" w:lineRule="exact"/>
        <w:rPr>
          <w:rFonts w:ascii="Times New Roman" w:hAnsi="Times New Roman" w:cs="Times New Roman"/>
          <w:b/>
          <w:lang w:val="it-IT"/>
        </w:rPr>
      </w:pPr>
    </w:p>
    <w:p w14:paraId="611AD7D0" w14:textId="77777777" w:rsidR="00953B2E" w:rsidRPr="00C35766" w:rsidRDefault="005F0C19">
      <w:pPr>
        <w:pStyle w:val="a3"/>
        <w:rPr>
          <w:lang w:val="es-ES"/>
        </w:rPr>
      </w:pPr>
      <w:r w:rsidRPr="00C35766">
        <w:rPr>
          <w:rFonts w:eastAsia="Times New Roman"/>
          <w:lang w:val="it-IT"/>
        </w:rPr>
        <w:t>Yuflyma contiene il principio attivo adalimumab, un medicinale che agisce sul sistema immunitario (la difesa) del Suo organismo.</w:t>
      </w:r>
    </w:p>
    <w:p w14:paraId="5DD627E5" w14:textId="77777777" w:rsidR="00953B2E" w:rsidRPr="00C35766" w:rsidRDefault="00953B2E">
      <w:pPr>
        <w:pStyle w:val="a3"/>
        <w:rPr>
          <w:lang w:val="es-ES"/>
        </w:rPr>
      </w:pPr>
    </w:p>
    <w:p w14:paraId="7BC55427" w14:textId="77777777" w:rsidR="00953B2E" w:rsidRPr="00C35766" w:rsidRDefault="005F0C19">
      <w:pPr>
        <w:pStyle w:val="a3"/>
        <w:rPr>
          <w:lang w:val="it-IT"/>
        </w:rPr>
      </w:pPr>
      <w:r w:rsidRPr="00C35766">
        <w:rPr>
          <w:rFonts w:eastAsia="Times New Roman"/>
          <w:lang w:val="it-IT"/>
        </w:rPr>
        <w:t>Yuflyma è indicato per il trattamento delle seguenti malattie infiammatorie:</w:t>
      </w:r>
    </w:p>
    <w:p w14:paraId="5C3A65CF" w14:textId="77777777" w:rsidR="00953B2E" w:rsidRPr="00C35766" w:rsidRDefault="005F0C19">
      <w:pPr>
        <w:pStyle w:val="a3"/>
        <w:numPr>
          <w:ilvl w:val="0"/>
          <w:numId w:val="5"/>
        </w:numPr>
        <w:ind w:left="660" w:hanging="660"/>
      </w:pPr>
      <w:r w:rsidRPr="00C35766">
        <w:rPr>
          <w:rFonts w:eastAsia="Times New Roman"/>
          <w:lang w:val="it-IT"/>
        </w:rPr>
        <w:t>Artrite reumatoide</w:t>
      </w:r>
    </w:p>
    <w:p w14:paraId="4760A9F7" w14:textId="77777777" w:rsidR="00953B2E" w:rsidRPr="00C35766" w:rsidRDefault="005F0C19">
      <w:pPr>
        <w:pStyle w:val="a3"/>
        <w:numPr>
          <w:ilvl w:val="0"/>
          <w:numId w:val="5"/>
        </w:numPr>
        <w:ind w:left="660" w:hanging="660"/>
      </w:pPr>
      <w:r w:rsidRPr="00C35766">
        <w:rPr>
          <w:rFonts w:eastAsia="Times New Roman"/>
          <w:lang w:val="it-IT"/>
        </w:rPr>
        <w:t>Artrite idiopatica giovanile poliarticolare</w:t>
      </w:r>
    </w:p>
    <w:p w14:paraId="6265348E" w14:textId="77777777" w:rsidR="00953B2E" w:rsidRPr="00C35766" w:rsidRDefault="005F0C19">
      <w:pPr>
        <w:pStyle w:val="a3"/>
        <w:numPr>
          <w:ilvl w:val="0"/>
          <w:numId w:val="5"/>
        </w:numPr>
        <w:ind w:left="660" w:hanging="660"/>
      </w:pPr>
      <w:r w:rsidRPr="00C35766">
        <w:rPr>
          <w:rFonts w:eastAsia="Times New Roman"/>
          <w:lang w:val="it-IT"/>
        </w:rPr>
        <w:t>Artrite associata ad entesite</w:t>
      </w:r>
    </w:p>
    <w:p w14:paraId="5F9E24E5" w14:textId="77777777" w:rsidR="00953B2E" w:rsidRPr="00C35766" w:rsidRDefault="005F0C19">
      <w:pPr>
        <w:pStyle w:val="a3"/>
        <w:numPr>
          <w:ilvl w:val="0"/>
          <w:numId w:val="5"/>
        </w:numPr>
        <w:ind w:left="660" w:hanging="660"/>
      </w:pPr>
      <w:r w:rsidRPr="00C35766">
        <w:rPr>
          <w:rFonts w:eastAsia="Times New Roman"/>
          <w:lang w:val="it-IT"/>
        </w:rPr>
        <w:t>Spondilite anchilosante</w:t>
      </w:r>
    </w:p>
    <w:p w14:paraId="50FA41F4" w14:textId="77777777" w:rsidR="00953B2E" w:rsidRPr="00C35766" w:rsidRDefault="005F0C19">
      <w:pPr>
        <w:pStyle w:val="a3"/>
        <w:numPr>
          <w:ilvl w:val="0"/>
          <w:numId w:val="5"/>
        </w:numPr>
        <w:ind w:left="660" w:hanging="660"/>
        <w:rPr>
          <w:lang w:val="it-IT"/>
        </w:rPr>
      </w:pPr>
      <w:r w:rsidRPr="00C35766">
        <w:rPr>
          <w:rFonts w:eastAsia="Times New Roman"/>
          <w:lang w:val="it-IT"/>
        </w:rPr>
        <w:t>Spondiloartrite assiale senza evidenza radiografica di spondilite anchilosante</w:t>
      </w:r>
    </w:p>
    <w:p w14:paraId="2BC10289" w14:textId="77777777" w:rsidR="00953B2E" w:rsidRPr="00C35766" w:rsidRDefault="005F0C19">
      <w:pPr>
        <w:pStyle w:val="a3"/>
        <w:numPr>
          <w:ilvl w:val="0"/>
          <w:numId w:val="5"/>
        </w:numPr>
        <w:ind w:left="660" w:hanging="660"/>
      </w:pPr>
      <w:r w:rsidRPr="00C35766">
        <w:rPr>
          <w:rFonts w:eastAsia="Times New Roman"/>
          <w:lang w:val="it-IT"/>
        </w:rPr>
        <w:t>Artrite psoriasica</w:t>
      </w:r>
    </w:p>
    <w:p w14:paraId="268B13E5" w14:textId="77777777" w:rsidR="00953B2E" w:rsidRPr="00C35766" w:rsidRDefault="005F0C19">
      <w:pPr>
        <w:pStyle w:val="a3"/>
        <w:numPr>
          <w:ilvl w:val="0"/>
          <w:numId w:val="5"/>
        </w:numPr>
        <w:ind w:left="660" w:hanging="660"/>
      </w:pPr>
      <w:r w:rsidRPr="00C35766">
        <w:rPr>
          <w:rFonts w:eastAsia="Times New Roman"/>
          <w:lang w:val="it-IT"/>
        </w:rPr>
        <w:t>Psoriasi a placche</w:t>
      </w:r>
    </w:p>
    <w:p w14:paraId="4086EEAA" w14:textId="77777777" w:rsidR="00953B2E" w:rsidRPr="00C35766" w:rsidRDefault="005F0C19">
      <w:pPr>
        <w:pStyle w:val="a3"/>
        <w:numPr>
          <w:ilvl w:val="0"/>
          <w:numId w:val="5"/>
        </w:numPr>
        <w:ind w:left="660" w:hanging="660"/>
      </w:pPr>
      <w:r w:rsidRPr="00C35766">
        <w:rPr>
          <w:rFonts w:eastAsia="Times New Roman"/>
          <w:lang w:val="it-IT"/>
        </w:rPr>
        <w:t>Idrosadenite Suppurativa</w:t>
      </w:r>
    </w:p>
    <w:p w14:paraId="137ECB9F" w14:textId="77777777" w:rsidR="00953B2E" w:rsidRPr="00C35766" w:rsidRDefault="005F0C19">
      <w:pPr>
        <w:pStyle w:val="a3"/>
        <w:numPr>
          <w:ilvl w:val="0"/>
          <w:numId w:val="5"/>
        </w:numPr>
        <w:ind w:left="660" w:hanging="660"/>
      </w:pPr>
      <w:r w:rsidRPr="00C35766">
        <w:rPr>
          <w:rFonts w:eastAsia="Times New Roman"/>
          <w:lang w:val="it-IT"/>
        </w:rPr>
        <w:t>Malattia di Crohn</w:t>
      </w:r>
    </w:p>
    <w:p w14:paraId="025660C4" w14:textId="77777777" w:rsidR="00953B2E" w:rsidRPr="00C35766" w:rsidRDefault="005F0C19">
      <w:pPr>
        <w:pStyle w:val="a3"/>
        <w:numPr>
          <w:ilvl w:val="0"/>
          <w:numId w:val="5"/>
        </w:numPr>
        <w:ind w:left="660" w:hanging="660"/>
      </w:pPr>
      <w:r w:rsidRPr="00C35766">
        <w:rPr>
          <w:rFonts w:eastAsia="Times New Roman"/>
          <w:lang w:val="it-IT"/>
        </w:rPr>
        <w:t>Colite ulcerosa</w:t>
      </w:r>
    </w:p>
    <w:p w14:paraId="46CAF60D" w14:textId="77777777" w:rsidR="00953B2E" w:rsidRPr="00C35766" w:rsidRDefault="005F0C19">
      <w:pPr>
        <w:pStyle w:val="a3"/>
        <w:numPr>
          <w:ilvl w:val="0"/>
          <w:numId w:val="5"/>
        </w:numPr>
        <w:ind w:left="660" w:hanging="660"/>
      </w:pPr>
      <w:r w:rsidRPr="00C35766">
        <w:rPr>
          <w:rFonts w:eastAsia="Times New Roman"/>
          <w:lang w:val="it-IT"/>
        </w:rPr>
        <w:t>Uveite non infettiva</w:t>
      </w:r>
    </w:p>
    <w:p w14:paraId="734E2910" w14:textId="77777777" w:rsidR="00953B2E" w:rsidRPr="00C35766" w:rsidRDefault="00953B2E">
      <w:pPr>
        <w:spacing w:before="10" w:line="240" w:lineRule="exact"/>
        <w:rPr>
          <w:rFonts w:ascii="Times New Roman" w:hAnsi="Times New Roman" w:cs="Times New Roman"/>
          <w:sz w:val="24"/>
          <w:szCs w:val="24"/>
        </w:rPr>
      </w:pPr>
    </w:p>
    <w:p w14:paraId="188A4194" w14:textId="77777777" w:rsidR="00953B2E" w:rsidRPr="00C35766" w:rsidRDefault="005F0C19">
      <w:pPr>
        <w:pStyle w:val="a3"/>
        <w:rPr>
          <w:lang w:val="it-IT"/>
        </w:rPr>
      </w:pPr>
      <w:r w:rsidRPr="00C35766">
        <w:rPr>
          <w:rFonts w:eastAsia="Times New Roman"/>
          <w:lang w:val="it-IT"/>
        </w:rPr>
        <w:t>Il principio attivo di Yuflyma, adalimumab, è un anticorpo monoclonale umano. Gli anticorpi monoclonali sono proteine che si legano a un bersaglio specifico nel corpo.</w:t>
      </w:r>
    </w:p>
    <w:p w14:paraId="0B027A80" w14:textId="77777777" w:rsidR="00953B2E" w:rsidRPr="00C35766" w:rsidRDefault="00953B2E">
      <w:pPr>
        <w:spacing w:before="16" w:line="240" w:lineRule="exact"/>
        <w:rPr>
          <w:rFonts w:ascii="Times New Roman" w:hAnsi="Times New Roman" w:cs="Times New Roman"/>
          <w:sz w:val="24"/>
          <w:szCs w:val="24"/>
          <w:lang w:val="it-IT"/>
        </w:rPr>
      </w:pPr>
    </w:p>
    <w:p w14:paraId="792228A9" w14:textId="77777777" w:rsidR="00953B2E" w:rsidRPr="00C35766" w:rsidRDefault="005F0C19">
      <w:pPr>
        <w:pStyle w:val="a3"/>
        <w:rPr>
          <w:lang w:val="it-IT"/>
        </w:rPr>
      </w:pPr>
      <w:r w:rsidRPr="00C35766">
        <w:rPr>
          <w:rFonts w:eastAsia="Times New Roman"/>
          <w:lang w:val="it-IT"/>
        </w:rPr>
        <w:lastRenderedPageBreak/>
        <w:t>Il bersaglio di adalimumab è una proteina denominata fattore di necrosi tumorale (TNFα), che è coinvolto nel sistema immunitario (di difesa) ed è presente a concentrazioni maggiori nelle malattie infiammatorie elencate sopra.  Attraverso il legame al TNFα, Yuflyma diminuisce il processo infiammatorio di queste malattie.</w:t>
      </w:r>
    </w:p>
    <w:p w14:paraId="2E7EC306" w14:textId="77777777" w:rsidR="00953B2E" w:rsidRPr="00C35766" w:rsidRDefault="00953B2E">
      <w:pPr>
        <w:pStyle w:val="a3"/>
        <w:rPr>
          <w:lang w:val="it-IT"/>
        </w:rPr>
      </w:pPr>
    </w:p>
    <w:p w14:paraId="500C78BF" w14:textId="77777777" w:rsidR="00953B2E" w:rsidRPr="00C35766" w:rsidRDefault="005F0C19">
      <w:pPr>
        <w:pStyle w:val="a3"/>
        <w:rPr>
          <w:b/>
          <w:lang w:val="it-IT"/>
        </w:rPr>
      </w:pPr>
      <w:r w:rsidRPr="00C35766">
        <w:rPr>
          <w:rFonts w:eastAsia="Times New Roman"/>
          <w:b/>
          <w:bCs/>
          <w:lang w:val="it-IT"/>
        </w:rPr>
        <w:t>Artrite reumatoide</w:t>
      </w:r>
    </w:p>
    <w:p w14:paraId="098120BD" w14:textId="77777777" w:rsidR="00953B2E" w:rsidRPr="00C35766" w:rsidRDefault="00953B2E">
      <w:pPr>
        <w:pStyle w:val="a3"/>
        <w:rPr>
          <w:u w:val="single"/>
          <w:lang w:val="it-IT"/>
        </w:rPr>
      </w:pPr>
    </w:p>
    <w:p w14:paraId="39D1B4F9" w14:textId="77777777" w:rsidR="00953B2E" w:rsidRPr="00C35766" w:rsidRDefault="005F0C19">
      <w:pPr>
        <w:pStyle w:val="a3"/>
        <w:rPr>
          <w:lang w:val="it-IT"/>
        </w:rPr>
      </w:pPr>
      <w:r w:rsidRPr="00C35766">
        <w:rPr>
          <w:rFonts w:eastAsia="Times New Roman"/>
          <w:lang w:val="it-IT"/>
        </w:rPr>
        <w:t>L’artrite reumatoide è una malattia infiammatoria delle articolazioni.</w:t>
      </w:r>
    </w:p>
    <w:p w14:paraId="3D1884C8" w14:textId="77777777" w:rsidR="00953B2E" w:rsidRPr="00C35766" w:rsidRDefault="00953B2E">
      <w:pPr>
        <w:spacing w:before="11" w:line="240" w:lineRule="exact"/>
        <w:rPr>
          <w:rFonts w:ascii="Times New Roman" w:hAnsi="Times New Roman" w:cs="Times New Roman"/>
          <w:sz w:val="24"/>
          <w:szCs w:val="24"/>
          <w:lang w:val="it-IT"/>
        </w:rPr>
      </w:pPr>
    </w:p>
    <w:p w14:paraId="70AABBB4" w14:textId="77777777" w:rsidR="00953B2E" w:rsidRPr="00C35766" w:rsidRDefault="005F0C19">
      <w:pPr>
        <w:pStyle w:val="a3"/>
        <w:rPr>
          <w:lang w:val="it-IT"/>
        </w:rPr>
      </w:pPr>
      <w:r w:rsidRPr="00C35766">
        <w:rPr>
          <w:rFonts w:eastAsia="Times New Roman"/>
          <w:lang w:val="it-IT"/>
        </w:rPr>
        <w:t>Yuflyma è utilizzato per il trattamento dell’artrite reumatoide da moderata a grave negli adulti. Lei potrebbe ricevere prima altri farmaci modificanti la malattia, come il metotressato. In caso non risponda adeguatamente a questi farmaci, Le sarà somministrato Yuflyma.</w:t>
      </w:r>
    </w:p>
    <w:p w14:paraId="60EFDA6E" w14:textId="77777777" w:rsidR="00953B2E" w:rsidRPr="00C35766" w:rsidRDefault="00953B2E">
      <w:pPr>
        <w:spacing w:before="17" w:line="240" w:lineRule="exact"/>
        <w:rPr>
          <w:rFonts w:ascii="Times New Roman" w:hAnsi="Times New Roman" w:cs="Times New Roman"/>
          <w:sz w:val="24"/>
          <w:szCs w:val="24"/>
          <w:lang w:val="it-IT"/>
        </w:rPr>
      </w:pPr>
    </w:p>
    <w:p w14:paraId="6C9B997B" w14:textId="445ACF71" w:rsidR="00953B2E" w:rsidRPr="00C35766" w:rsidRDefault="005F0C19">
      <w:pPr>
        <w:pStyle w:val="a3"/>
        <w:rPr>
          <w:lang w:val="pt-BR"/>
        </w:rPr>
      </w:pPr>
      <w:r w:rsidRPr="00C35766">
        <w:rPr>
          <w:rFonts w:eastAsia="Times New Roman"/>
          <w:lang w:val="it-IT"/>
        </w:rPr>
        <w:t>Yufl</w:t>
      </w:r>
      <w:r w:rsidR="008676F0">
        <w:rPr>
          <w:rFonts w:eastAsia="Times New Roman"/>
          <w:lang w:val="it-IT"/>
        </w:rPr>
        <w:t>y</w:t>
      </w:r>
      <w:r w:rsidRPr="00C35766">
        <w:rPr>
          <w:rFonts w:eastAsia="Times New Roman"/>
          <w:lang w:val="it-IT"/>
        </w:rPr>
        <w:t>ma può essere anche usato per il trattamento dell’artrite reumatoide grave, attiva e progressiva, senza precedente trattamento con metotressato.</w:t>
      </w:r>
    </w:p>
    <w:p w14:paraId="285BF6A0" w14:textId="77777777" w:rsidR="00953B2E" w:rsidRPr="00C35766" w:rsidRDefault="00953B2E">
      <w:pPr>
        <w:spacing w:before="11" w:line="240" w:lineRule="exact"/>
        <w:rPr>
          <w:rFonts w:ascii="Times New Roman" w:hAnsi="Times New Roman" w:cs="Times New Roman"/>
          <w:sz w:val="24"/>
          <w:szCs w:val="24"/>
          <w:lang w:val="pt-BR"/>
        </w:rPr>
      </w:pPr>
    </w:p>
    <w:p w14:paraId="6B11242D" w14:textId="77777777" w:rsidR="00953B2E" w:rsidRPr="00C35766" w:rsidRDefault="005F0C19">
      <w:pPr>
        <w:pStyle w:val="a3"/>
        <w:rPr>
          <w:lang w:val="pt-BR"/>
        </w:rPr>
      </w:pPr>
      <w:r w:rsidRPr="00C35766">
        <w:rPr>
          <w:rFonts w:eastAsia="Times New Roman"/>
          <w:lang w:val="it-IT"/>
        </w:rPr>
        <w:t>Yuflyma può rallentare la progressione del danno alle articolazioni causato dalla malattia infiammatoria e può aiutarle a muoversi più liberamente.</w:t>
      </w:r>
    </w:p>
    <w:p w14:paraId="0BA5BA34" w14:textId="77777777" w:rsidR="00953B2E" w:rsidRPr="00C35766" w:rsidRDefault="00953B2E">
      <w:pPr>
        <w:spacing w:before="10" w:line="240" w:lineRule="exact"/>
        <w:rPr>
          <w:rFonts w:ascii="Times New Roman" w:hAnsi="Times New Roman" w:cs="Times New Roman"/>
          <w:sz w:val="24"/>
          <w:szCs w:val="24"/>
          <w:lang w:val="pt-BR"/>
        </w:rPr>
      </w:pPr>
    </w:p>
    <w:p w14:paraId="6FE50713" w14:textId="77777777" w:rsidR="00953B2E" w:rsidRPr="00C35766" w:rsidRDefault="005F0C19">
      <w:pPr>
        <w:pStyle w:val="a3"/>
        <w:rPr>
          <w:lang w:val="pt-BR"/>
        </w:rPr>
      </w:pPr>
      <w:r w:rsidRPr="00C35766">
        <w:rPr>
          <w:rFonts w:eastAsia="Times New Roman"/>
          <w:lang w:val="it-IT"/>
        </w:rPr>
        <w:t>Il medico deciderà se Yuflyma deve essere usato con il metotressato o da solo.</w:t>
      </w:r>
    </w:p>
    <w:p w14:paraId="404D47DB" w14:textId="77777777" w:rsidR="00953B2E" w:rsidRPr="00C35766" w:rsidRDefault="00953B2E">
      <w:pPr>
        <w:spacing w:before="18" w:line="240" w:lineRule="exact"/>
        <w:rPr>
          <w:rFonts w:ascii="Times New Roman" w:hAnsi="Times New Roman" w:cs="Times New Roman"/>
          <w:sz w:val="24"/>
          <w:szCs w:val="24"/>
          <w:lang w:val="pt-BR"/>
        </w:rPr>
      </w:pPr>
    </w:p>
    <w:p w14:paraId="6FCA8262" w14:textId="77777777" w:rsidR="00953B2E" w:rsidRPr="00C35766" w:rsidRDefault="005F0C19">
      <w:pPr>
        <w:pStyle w:val="a3"/>
        <w:rPr>
          <w:b/>
          <w:lang w:val="pt-BR"/>
        </w:rPr>
      </w:pPr>
      <w:r w:rsidRPr="00C35766">
        <w:rPr>
          <w:rFonts w:eastAsia="Times New Roman"/>
          <w:b/>
          <w:bCs/>
          <w:lang w:val="it-IT"/>
        </w:rPr>
        <w:t>Artrite idiopatica giovanile poliarticolare</w:t>
      </w:r>
    </w:p>
    <w:p w14:paraId="46F8E409" w14:textId="77777777" w:rsidR="00953B2E" w:rsidRPr="00C35766" w:rsidRDefault="00953B2E">
      <w:pPr>
        <w:spacing w:before="9" w:line="240" w:lineRule="exact"/>
        <w:rPr>
          <w:rFonts w:ascii="Times New Roman" w:hAnsi="Times New Roman" w:cs="Times New Roman"/>
          <w:sz w:val="24"/>
          <w:szCs w:val="24"/>
          <w:lang w:val="pt-BR"/>
        </w:rPr>
      </w:pPr>
    </w:p>
    <w:p w14:paraId="5550FF9D" w14:textId="77777777" w:rsidR="00953B2E" w:rsidRPr="00C35766" w:rsidRDefault="005F0C19">
      <w:pPr>
        <w:pStyle w:val="a3"/>
        <w:rPr>
          <w:lang w:val="pt-BR"/>
        </w:rPr>
      </w:pPr>
      <w:r w:rsidRPr="00C35766">
        <w:rPr>
          <w:rFonts w:eastAsia="Times New Roman"/>
          <w:lang w:val="it-IT"/>
        </w:rPr>
        <w:t>L’artrite idiopatica giovanile poliarticolare è una malattia infiammatoria delle articolazioni.</w:t>
      </w:r>
    </w:p>
    <w:p w14:paraId="1F6B1BC7" w14:textId="77777777" w:rsidR="00953B2E" w:rsidRPr="00C35766" w:rsidRDefault="00953B2E">
      <w:pPr>
        <w:spacing w:before="13" w:line="240" w:lineRule="exact"/>
        <w:rPr>
          <w:rFonts w:ascii="Times New Roman" w:hAnsi="Times New Roman" w:cs="Times New Roman"/>
          <w:sz w:val="24"/>
          <w:szCs w:val="24"/>
          <w:lang w:val="pt-BR"/>
        </w:rPr>
      </w:pPr>
    </w:p>
    <w:p w14:paraId="6B1570CA" w14:textId="77777777" w:rsidR="00953B2E" w:rsidRPr="00C35766" w:rsidRDefault="005F0C19">
      <w:pPr>
        <w:pStyle w:val="a3"/>
        <w:rPr>
          <w:lang w:val="it-IT"/>
        </w:rPr>
      </w:pPr>
      <w:r w:rsidRPr="00C35766">
        <w:rPr>
          <w:rFonts w:eastAsia="Times New Roman"/>
          <w:lang w:val="it-IT"/>
        </w:rPr>
        <w:t>Yuflyma è utilizzato per il trattamento dell’artrite idiopatica giovanile poliarticolare nei pazienti dai 2 anni di età. Lei potrebbe ricevere prima altri farmaci modificanti la malattia, come il metotressato. In caso non risponda adeguatamente a questi farmaci, Le sarà somministrato Yuflyma.</w:t>
      </w:r>
    </w:p>
    <w:p w14:paraId="3094EADF" w14:textId="77777777" w:rsidR="00953B2E" w:rsidRPr="00C35766" w:rsidRDefault="00953B2E">
      <w:pPr>
        <w:spacing w:before="13" w:line="240" w:lineRule="exact"/>
        <w:rPr>
          <w:rFonts w:ascii="Times New Roman" w:hAnsi="Times New Roman" w:cs="Times New Roman"/>
          <w:sz w:val="24"/>
          <w:szCs w:val="24"/>
          <w:lang w:val="it-IT"/>
        </w:rPr>
      </w:pPr>
    </w:p>
    <w:p w14:paraId="5C033FA8" w14:textId="77777777" w:rsidR="00953B2E" w:rsidRPr="00C35766" w:rsidRDefault="005F0C19">
      <w:pPr>
        <w:pStyle w:val="a3"/>
        <w:rPr>
          <w:lang w:val="pt-BR"/>
        </w:rPr>
      </w:pPr>
      <w:r w:rsidRPr="00C35766">
        <w:rPr>
          <w:rFonts w:eastAsia="Times New Roman"/>
          <w:lang w:val="it-IT"/>
        </w:rPr>
        <w:t>Il medico deciderà se Yuflyma deve essere usato con il metotressato o da solo.</w:t>
      </w:r>
    </w:p>
    <w:p w14:paraId="03ADF749" w14:textId="77777777" w:rsidR="00953B2E" w:rsidRPr="00C35766" w:rsidRDefault="00953B2E">
      <w:pPr>
        <w:spacing w:before="16" w:line="240" w:lineRule="exact"/>
        <w:rPr>
          <w:rFonts w:ascii="Times New Roman" w:hAnsi="Times New Roman" w:cs="Times New Roman"/>
          <w:sz w:val="24"/>
          <w:szCs w:val="24"/>
          <w:lang w:val="pt-BR"/>
        </w:rPr>
      </w:pPr>
    </w:p>
    <w:p w14:paraId="43F46A89" w14:textId="77777777" w:rsidR="00953B2E" w:rsidRPr="00C35766" w:rsidRDefault="005F0C19">
      <w:pPr>
        <w:pStyle w:val="a3"/>
        <w:rPr>
          <w:b/>
          <w:lang w:val="pt-BR"/>
        </w:rPr>
      </w:pPr>
      <w:r w:rsidRPr="00C35766">
        <w:rPr>
          <w:rFonts w:eastAsia="Times New Roman"/>
          <w:b/>
          <w:bCs/>
          <w:lang w:val="it-IT"/>
        </w:rPr>
        <w:t>Artrite associata ad entesite</w:t>
      </w:r>
    </w:p>
    <w:p w14:paraId="12A7DA65" w14:textId="77777777" w:rsidR="00953B2E" w:rsidRPr="00C35766" w:rsidRDefault="00953B2E">
      <w:pPr>
        <w:spacing w:before="9" w:line="240" w:lineRule="exact"/>
        <w:rPr>
          <w:rFonts w:ascii="Times New Roman" w:hAnsi="Times New Roman" w:cs="Times New Roman"/>
          <w:sz w:val="24"/>
          <w:szCs w:val="24"/>
          <w:lang w:val="pt-BR"/>
        </w:rPr>
      </w:pPr>
    </w:p>
    <w:p w14:paraId="4C721940" w14:textId="77777777" w:rsidR="00953B2E" w:rsidRPr="00C35766" w:rsidRDefault="005F0C19">
      <w:pPr>
        <w:pStyle w:val="a3"/>
        <w:rPr>
          <w:lang w:val="pt-BR"/>
        </w:rPr>
      </w:pPr>
      <w:r w:rsidRPr="00C35766">
        <w:rPr>
          <w:rFonts w:eastAsia="Times New Roman"/>
          <w:lang w:val="it-IT"/>
        </w:rPr>
        <w:t>L’artrite associata ad entesite è una malattia infiammatoria delle articolazioni e delle zone nelle quali i tendini si legano alle ossa.</w:t>
      </w:r>
    </w:p>
    <w:p w14:paraId="503F8DCE" w14:textId="77777777" w:rsidR="00953B2E" w:rsidRPr="00C35766" w:rsidRDefault="00953B2E">
      <w:pPr>
        <w:spacing w:before="10" w:line="240" w:lineRule="exact"/>
        <w:rPr>
          <w:rFonts w:ascii="Times New Roman" w:hAnsi="Times New Roman" w:cs="Times New Roman"/>
          <w:sz w:val="24"/>
          <w:szCs w:val="24"/>
          <w:lang w:val="pt-BR"/>
        </w:rPr>
      </w:pPr>
    </w:p>
    <w:p w14:paraId="313004B5" w14:textId="77777777" w:rsidR="00953B2E" w:rsidRPr="00C35766" w:rsidRDefault="005F0C19">
      <w:pPr>
        <w:pStyle w:val="a3"/>
        <w:rPr>
          <w:lang w:val="it-IT"/>
        </w:rPr>
      </w:pPr>
      <w:r w:rsidRPr="00C35766">
        <w:rPr>
          <w:rFonts w:eastAsia="Times New Roman"/>
          <w:lang w:val="it-IT"/>
        </w:rPr>
        <w:t>Yuflyma è usato per trattare l’artrite associata ad entesite in pazienti di età pari o superiore a 6 anni. Lei potrebbe ricevere prima altri farmaci modificanti la malattia, come il metotressato. In caso non risponda adeguatamente a questi farmaci, Le sarà somministrato Yuflyma.</w:t>
      </w:r>
    </w:p>
    <w:p w14:paraId="1A316AAC" w14:textId="77777777" w:rsidR="00953B2E" w:rsidRPr="00C35766" w:rsidRDefault="00953B2E">
      <w:pPr>
        <w:spacing w:before="2" w:line="260" w:lineRule="exact"/>
        <w:rPr>
          <w:rFonts w:ascii="Times New Roman" w:hAnsi="Times New Roman" w:cs="Times New Roman"/>
          <w:sz w:val="26"/>
          <w:szCs w:val="26"/>
          <w:lang w:val="it-IT"/>
        </w:rPr>
      </w:pPr>
    </w:p>
    <w:p w14:paraId="74D616EE" w14:textId="77777777" w:rsidR="00953B2E" w:rsidRPr="00C35766" w:rsidRDefault="005F0C19">
      <w:pPr>
        <w:pStyle w:val="a3"/>
        <w:rPr>
          <w:b/>
          <w:lang w:val="it-IT"/>
        </w:rPr>
      </w:pPr>
      <w:r w:rsidRPr="00C35766">
        <w:rPr>
          <w:rFonts w:eastAsia="Times New Roman"/>
          <w:b/>
          <w:bCs/>
          <w:lang w:val="it-IT"/>
        </w:rPr>
        <w:t>Spondilite anchilosante e spondiloartrite assiale senza evidenza radiografica di spondilite anchilosante</w:t>
      </w:r>
    </w:p>
    <w:p w14:paraId="543AAF7B" w14:textId="77777777" w:rsidR="00953B2E" w:rsidRPr="00C35766" w:rsidRDefault="00953B2E">
      <w:pPr>
        <w:spacing w:before="6" w:line="240" w:lineRule="exact"/>
        <w:rPr>
          <w:rFonts w:ascii="Times New Roman" w:hAnsi="Times New Roman" w:cs="Times New Roman"/>
          <w:sz w:val="24"/>
          <w:szCs w:val="24"/>
          <w:lang w:val="it-IT"/>
        </w:rPr>
      </w:pPr>
    </w:p>
    <w:p w14:paraId="6A6AE7CF" w14:textId="77777777" w:rsidR="00953B2E" w:rsidRPr="00C35766" w:rsidRDefault="005F0C19">
      <w:pPr>
        <w:pStyle w:val="a3"/>
        <w:rPr>
          <w:lang w:val="it-IT"/>
        </w:rPr>
      </w:pPr>
      <w:r w:rsidRPr="00C35766">
        <w:rPr>
          <w:rFonts w:eastAsia="Times New Roman"/>
          <w:lang w:val="it-IT"/>
        </w:rPr>
        <w:t>La spondilite anchilosante e la spondiloartrite assiale senza evidenza radiografica di spondilite anchilosante sono malattie infiammatorie della colonna vertebrale.</w:t>
      </w:r>
    </w:p>
    <w:p w14:paraId="224BE025" w14:textId="77777777" w:rsidR="00953B2E" w:rsidRPr="00C35766" w:rsidRDefault="00953B2E">
      <w:pPr>
        <w:spacing w:before="10" w:line="240" w:lineRule="exact"/>
        <w:rPr>
          <w:rFonts w:ascii="Times New Roman" w:hAnsi="Times New Roman" w:cs="Times New Roman"/>
          <w:sz w:val="24"/>
          <w:szCs w:val="24"/>
          <w:lang w:val="it-IT"/>
        </w:rPr>
      </w:pPr>
    </w:p>
    <w:p w14:paraId="53E2AD27" w14:textId="77777777" w:rsidR="00953B2E" w:rsidRPr="00C35766" w:rsidRDefault="005F0C19">
      <w:pPr>
        <w:pStyle w:val="a3"/>
        <w:rPr>
          <w:lang w:val="pt-BR"/>
        </w:rPr>
      </w:pPr>
      <w:r w:rsidRPr="00C35766">
        <w:rPr>
          <w:rFonts w:eastAsia="Times New Roman"/>
          <w:lang w:val="it-IT"/>
        </w:rPr>
        <w:t>Yuflyma è usato per trattare la spondilite anchilosante e la spondiloartrite assiale senza evidenza radiografica della spondilite anchilosante di grado severo negli adulti. Inizialmente possono essere assunti altri farmaci. In caso non risponda adeguatamente a questi farmaci, Le sarà somministrato Yuflyma.</w:t>
      </w:r>
    </w:p>
    <w:p w14:paraId="3A199679" w14:textId="77777777" w:rsidR="00953B2E" w:rsidRPr="00C35766" w:rsidRDefault="00953B2E">
      <w:pPr>
        <w:spacing w:before="18" w:line="240" w:lineRule="exact"/>
        <w:rPr>
          <w:rFonts w:ascii="Times New Roman" w:hAnsi="Times New Roman" w:cs="Times New Roman"/>
          <w:sz w:val="24"/>
          <w:szCs w:val="24"/>
          <w:lang w:val="pt-BR"/>
        </w:rPr>
      </w:pPr>
    </w:p>
    <w:p w14:paraId="02AE699E" w14:textId="77777777" w:rsidR="00953B2E" w:rsidRPr="00C35766" w:rsidRDefault="005F0C19">
      <w:pPr>
        <w:pStyle w:val="a3"/>
        <w:rPr>
          <w:b/>
          <w:lang w:val="pt-BR"/>
        </w:rPr>
      </w:pPr>
      <w:r w:rsidRPr="00C35766">
        <w:rPr>
          <w:rFonts w:eastAsia="Times New Roman"/>
          <w:b/>
          <w:bCs/>
          <w:lang w:val="it-IT"/>
        </w:rPr>
        <w:t>Artrite psoriasica</w:t>
      </w:r>
    </w:p>
    <w:p w14:paraId="781674B6" w14:textId="77777777" w:rsidR="00953B2E" w:rsidRPr="00C35766" w:rsidRDefault="00953B2E">
      <w:pPr>
        <w:pStyle w:val="a3"/>
        <w:rPr>
          <w:lang w:val="pt-BR"/>
        </w:rPr>
      </w:pPr>
    </w:p>
    <w:p w14:paraId="108871AB" w14:textId="77777777" w:rsidR="00953B2E" w:rsidRPr="00C35766" w:rsidRDefault="005F0C19">
      <w:pPr>
        <w:pStyle w:val="a3"/>
        <w:rPr>
          <w:lang w:val="pt-BR"/>
        </w:rPr>
      </w:pPr>
      <w:r w:rsidRPr="00C35766">
        <w:rPr>
          <w:rFonts w:eastAsia="Times New Roman"/>
          <w:lang w:val="it-IT"/>
        </w:rPr>
        <w:t>L’artrite psoriasica è una malattia infiammatoria delle articolazioni solitamente associata alla psoriasi.</w:t>
      </w:r>
    </w:p>
    <w:p w14:paraId="5D7D67CA" w14:textId="77777777" w:rsidR="00953B2E" w:rsidRPr="00C35766" w:rsidRDefault="00953B2E">
      <w:pPr>
        <w:spacing w:before="11" w:line="240" w:lineRule="exact"/>
        <w:rPr>
          <w:rFonts w:ascii="Times New Roman" w:hAnsi="Times New Roman" w:cs="Times New Roman"/>
          <w:sz w:val="24"/>
          <w:szCs w:val="24"/>
          <w:lang w:val="pt-BR"/>
        </w:rPr>
      </w:pPr>
    </w:p>
    <w:p w14:paraId="2F0392D7" w14:textId="77777777" w:rsidR="00953B2E" w:rsidRPr="00C35766" w:rsidRDefault="005F0C19">
      <w:pPr>
        <w:pStyle w:val="a3"/>
        <w:rPr>
          <w:lang w:val="pt-BR"/>
        </w:rPr>
      </w:pPr>
      <w:r w:rsidRPr="00C35766">
        <w:rPr>
          <w:rFonts w:eastAsia="Times New Roman"/>
          <w:lang w:val="it-IT"/>
        </w:rPr>
        <w:t xml:space="preserve">Yuflyma è usato per trattare l’artrite psoriasica negli adulti. Yuflyma può rallentare il danno alle </w:t>
      </w:r>
      <w:r w:rsidRPr="00C35766">
        <w:rPr>
          <w:rFonts w:eastAsia="Times New Roman"/>
          <w:lang w:val="it-IT"/>
        </w:rPr>
        <w:lastRenderedPageBreak/>
        <w:t>articolazioni causato dalla malattia e può aiutarle a muoversi più liberamente.  Inizialmente possono essere assunti altri farmaci. In caso non risponda adeguatamente a questi farmaci, Le sarà somministrato Yuflyma.</w:t>
      </w:r>
    </w:p>
    <w:p w14:paraId="37250F82" w14:textId="77777777" w:rsidR="00953B2E" w:rsidRPr="00C35766" w:rsidRDefault="00953B2E">
      <w:pPr>
        <w:pStyle w:val="a3"/>
        <w:rPr>
          <w:lang w:val="pt-BR"/>
        </w:rPr>
      </w:pPr>
    </w:p>
    <w:p w14:paraId="23D0BA0E" w14:textId="77777777" w:rsidR="00953B2E" w:rsidRPr="00C35766" w:rsidRDefault="005F0C19">
      <w:pPr>
        <w:pStyle w:val="a3"/>
        <w:rPr>
          <w:b/>
          <w:lang w:val="pt-BR"/>
        </w:rPr>
      </w:pPr>
      <w:r w:rsidRPr="00C35766">
        <w:rPr>
          <w:rFonts w:eastAsia="Times New Roman"/>
          <w:b/>
          <w:bCs/>
          <w:lang w:val="it-IT"/>
        </w:rPr>
        <w:t>Psoriasi a placche</w:t>
      </w:r>
    </w:p>
    <w:p w14:paraId="197E7E09" w14:textId="77777777" w:rsidR="00953B2E" w:rsidRPr="00C35766" w:rsidRDefault="00953B2E">
      <w:pPr>
        <w:spacing w:before="9" w:line="240" w:lineRule="exact"/>
        <w:rPr>
          <w:rFonts w:ascii="Times New Roman" w:hAnsi="Times New Roman" w:cs="Times New Roman"/>
          <w:sz w:val="24"/>
          <w:szCs w:val="24"/>
          <w:lang w:val="pt-BR"/>
        </w:rPr>
      </w:pPr>
    </w:p>
    <w:p w14:paraId="24B5D5AB" w14:textId="77777777" w:rsidR="00953B2E" w:rsidRPr="00C35766" w:rsidRDefault="005F0C19">
      <w:pPr>
        <w:pStyle w:val="a3"/>
        <w:rPr>
          <w:lang w:val="it-IT"/>
        </w:rPr>
      </w:pPr>
      <w:r w:rsidRPr="00C35766">
        <w:rPr>
          <w:rFonts w:eastAsia="Times New Roman"/>
          <w:lang w:val="it-IT"/>
        </w:rPr>
        <w:t>La psoriasi a placche è una condizione della pelle che causa chiazze rossastre, squamose e indurite di pelle ricoperta da squame argentee. La psoriasi a placche può anche colpire le unghie, provocandone la rottura, l’ispessimento e il sollevamento dal letto dell’unghia, che può essere doloroso.</w:t>
      </w:r>
    </w:p>
    <w:p w14:paraId="6ED2D603" w14:textId="77777777" w:rsidR="00953B2E" w:rsidRPr="00C35766" w:rsidRDefault="00953B2E">
      <w:pPr>
        <w:spacing w:before="13" w:line="240" w:lineRule="exact"/>
        <w:rPr>
          <w:rFonts w:ascii="Times New Roman" w:hAnsi="Times New Roman" w:cs="Times New Roman"/>
          <w:sz w:val="24"/>
          <w:szCs w:val="24"/>
          <w:lang w:val="it-IT"/>
        </w:rPr>
      </w:pPr>
    </w:p>
    <w:p w14:paraId="29692994" w14:textId="77777777" w:rsidR="00953B2E" w:rsidRPr="00C35766" w:rsidRDefault="005F0C19">
      <w:pPr>
        <w:pStyle w:val="a3"/>
      </w:pPr>
      <w:r w:rsidRPr="00C35766">
        <w:rPr>
          <w:rFonts w:eastAsia="Times New Roman"/>
          <w:lang w:val="it-IT"/>
        </w:rPr>
        <w:t>Yuflyma è usato per trattare</w:t>
      </w:r>
    </w:p>
    <w:p w14:paraId="426CC93D" w14:textId="77777777" w:rsidR="00953B2E" w:rsidRPr="00C35766" w:rsidRDefault="005F0C19">
      <w:pPr>
        <w:pStyle w:val="a3"/>
        <w:numPr>
          <w:ilvl w:val="1"/>
          <w:numId w:val="4"/>
        </w:numPr>
        <w:ind w:left="660" w:hanging="660"/>
        <w:rPr>
          <w:lang w:val="it-IT"/>
        </w:rPr>
      </w:pPr>
      <w:r w:rsidRPr="00C35766">
        <w:rPr>
          <w:rFonts w:eastAsia="Times New Roman"/>
          <w:lang w:val="it-IT"/>
        </w:rPr>
        <w:t>la psoriasi a placche cronica di grado da moderato a severo negli adulti e</w:t>
      </w:r>
    </w:p>
    <w:p w14:paraId="62710505" w14:textId="77777777" w:rsidR="00953B2E" w:rsidRPr="00C35766" w:rsidRDefault="005F0C19">
      <w:pPr>
        <w:pStyle w:val="a3"/>
        <w:numPr>
          <w:ilvl w:val="1"/>
          <w:numId w:val="4"/>
        </w:numPr>
        <w:ind w:left="660" w:hanging="660"/>
        <w:rPr>
          <w:lang w:val="it-IT"/>
        </w:rPr>
      </w:pPr>
      <w:r w:rsidRPr="00C35766">
        <w:rPr>
          <w:rFonts w:eastAsia="Times New Roman"/>
          <w:lang w:val="it-IT"/>
        </w:rPr>
        <w:t>la psoriasi a placche cronica di grado severo in bambini e adolescenti dai 4 ai 17 anni nei quali la terapia topica e le fototerapie non abbiano funzionato in modo ottimale o non siano indicate.</w:t>
      </w:r>
    </w:p>
    <w:p w14:paraId="24DA852F" w14:textId="77777777" w:rsidR="00953B2E" w:rsidRPr="00C35766" w:rsidRDefault="00953B2E">
      <w:pPr>
        <w:spacing w:before="15" w:line="240" w:lineRule="exact"/>
        <w:rPr>
          <w:rFonts w:ascii="Times New Roman" w:hAnsi="Times New Roman" w:cs="Times New Roman"/>
          <w:sz w:val="24"/>
          <w:lang w:val="it-IT"/>
        </w:rPr>
      </w:pPr>
    </w:p>
    <w:p w14:paraId="6E3412EB" w14:textId="77777777" w:rsidR="00953B2E" w:rsidRPr="00C35766" w:rsidRDefault="005F0C19">
      <w:pPr>
        <w:pStyle w:val="a3"/>
        <w:rPr>
          <w:b/>
          <w:lang w:val="it-IT"/>
        </w:rPr>
      </w:pPr>
      <w:r w:rsidRPr="00C35766">
        <w:rPr>
          <w:rFonts w:eastAsia="Times New Roman"/>
          <w:b/>
          <w:bCs/>
          <w:lang w:val="it-IT"/>
        </w:rPr>
        <w:t>Idrosadenite suppurativa</w:t>
      </w:r>
    </w:p>
    <w:p w14:paraId="5EC6C013" w14:textId="77777777" w:rsidR="00953B2E" w:rsidRPr="00C35766" w:rsidRDefault="00953B2E">
      <w:pPr>
        <w:spacing w:before="9" w:line="240" w:lineRule="exact"/>
        <w:rPr>
          <w:rFonts w:ascii="Times New Roman" w:hAnsi="Times New Roman" w:cs="Times New Roman"/>
          <w:sz w:val="24"/>
          <w:lang w:val="it-IT"/>
        </w:rPr>
      </w:pPr>
    </w:p>
    <w:p w14:paraId="09C378BD" w14:textId="1906FCDD" w:rsidR="00953B2E" w:rsidRPr="00C35766" w:rsidRDefault="005F0C19">
      <w:pPr>
        <w:pStyle w:val="a3"/>
        <w:rPr>
          <w:lang w:val="it-IT"/>
        </w:rPr>
      </w:pPr>
      <w:r w:rsidRPr="00C35766">
        <w:rPr>
          <w:rFonts w:eastAsia="Times New Roman"/>
          <w:lang w:val="it-IT"/>
        </w:rPr>
        <w:t xml:space="preserve">L’idrosadenite suppurativa (chiamata a volte acne inversa) è una malattia infiammatoria cronica della pelle e spesso è dolorosa. I sintomi possono includere noduli dolorosi e ascessi (cisti) che possono drenare pus. Più frequentemente colpisce aree specifiche della pelle, come la regione </w:t>
      </w:r>
      <w:hyperlink r:id="rId32" w:history="1">
        <w:r w:rsidRPr="00C35766">
          <w:rPr>
            <w:rFonts w:eastAsia="Times New Roman"/>
            <w:lang w:val="it-IT"/>
          </w:rPr>
          <w:t xml:space="preserve">sottomammaria, </w:t>
        </w:r>
      </w:hyperlink>
      <w:r w:rsidRPr="00C35766">
        <w:rPr>
          <w:rFonts w:eastAsia="Times New Roman"/>
          <w:lang w:val="it-IT"/>
        </w:rPr>
        <w:t>le ascelle, l’interno cosce, l’inguine e le natiche. Nelle aree colpite si possono anche formare delle cicatrici.</w:t>
      </w:r>
    </w:p>
    <w:p w14:paraId="2AFBAA5A" w14:textId="77777777" w:rsidR="00953B2E" w:rsidRPr="00C35766" w:rsidRDefault="00953B2E">
      <w:pPr>
        <w:spacing w:before="13" w:line="240" w:lineRule="exact"/>
        <w:rPr>
          <w:rFonts w:ascii="Times New Roman" w:hAnsi="Times New Roman" w:cs="Times New Roman"/>
          <w:sz w:val="24"/>
          <w:lang w:val="it-IT"/>
        </w:rPr>
      </w:pPr>
    </w:p>
    <w:p w14:paraId="13C3014F" w14:textId="77777777" w:rsidR="00953B2E" w:rsidRPr="00C35766" w:rsidRDefault="005F0C19">
      <w:pPr>
        <w:pStyle w:val="a3"/>
        <w:rPr>
          <w:lang w:val="it-IT"/>
        </w:rPr>
      </w:pPr>
      <w:r w:rsidRPr="00C35766">
        <w:rPr>
          <w:rFonts w:eastAsia="Times New Roman"/>
          <w:lang w:val="it-IT"/>
        </w:rPr>
        <w:t>Yuflyma è usato per trattare</w:t>
      </w:r>
    </w:p>
    <w:p w14:paraId="3B15F988" w14:textId="77777777" w:rsidR="00953B2E" w:rsidRPr="00C35766" w:rsidRDefault="005F0C19">
      <w:pPr>
        <w:pStyle w:val="a3"/>
        <w:numPr>
          <w:ilvl w:val="1"/>
          <w:numId w:val="4"/>
        </w:numPr>
        <w:ind w:left="660" w:hanging="660"/>
        <w:rPr>
          <w:lang w:val="it-IT"/>
        </w:rPr>
      </w:pPr>
      <w:r w:rsidRPr="00C35766">
        <w:rPr>
          <w:rFonts w:eastAsia="Times New Roman"/>
          <w:lang w:val="it-IT"/>
        </w:rPr>
        <w:t>l’idrosadenite suppurativa di grado da moderato a severo negli adulti e</w:t>
      </w:r>
    </w:p>
    <w:p w14:paraId="5512BB55" w14:textId="77777777" w:rsidR="00953B2E" w:rsidRPr="00C35766" w:rsidRDefault="005F0C19">
      <w:pPr>
        <w:pStyle w:val="a3"/>
        <w:numPr>
          <w:ilvl w:val="1"/>
          <w:numId w:val="4"/>
        </w:numPr>
        <w:ind w:left="660" w:hanging="660"/>
        <w:rPr>
          <w:lang w:val="it-IT"/>
        </w:rPr>
      </w:pPr>
      <w:r w:rsidRPr="00C35766">
        <w:rPr>
          <w:rFonts w:eastAsia="Times New Roman"/>
          <w:lang w:val="it-IT"/>
        </w:rPr>
        <w:t>l’idrosadenite suppurativa di grado da moderato a severo negli adolescenti di età compresa tra 12 e 17 anni.</w:t>
      </w:r>
    </w:p>
    <w:p w14:paraId="4AA99F6B" w14:textId="77777777" w:rsidR="00953B2E" w:rsidRPr="00C35766" w:rsidRDefault="00953B2E">
      <w:pPr>
        <w:spacing w:before="10" w:line="240" w:lineRule="exact"/>
        <w:rPr>
          <w:rFonts w:ascii="Times New Roman" w:hAnsi="Times New Roman" w:cs="Times New Roman"/>
          <w:sz w:val="24"/>
          <w:lang w:val="it-IT"/>
        </w:rPr>
      </w:pPr>
    </w:p>
    <w:p w14:paraId="6855A928" w14:textId="4A753F96" w:rsidR="00953B2E" w:rsidRPr="00C35766" w:rsidRDefault="005F0C19">
      <w:pPr>
        <w:pStyle w:val="a3"/>
        <w:rPr>
          <w:lang w:val="it-IT"/>
        </w:rPr>
      </w:pPr>
      <w:r w:rsidRPr="00C35766">
        <w:rPr>
          <w:rFonts w:eastAsia="Times New Roman"/>
          <w:lang w:val="it-IT"/>
        </w:rPr>
        <w:t>Yuflyma può ridurre il numero di noduli e di ascessi provocati dalla malattia</w:t>
      </w:r>
      <w:r w:rsidR="00465501" w:rsidRPr="00C35766">
        <w:rPr>
          <w:rFonts w:eastAsia="Times New Roman"/>
          <w:lang w:val="it-IT"/>
        </w:rPr>
        <w:t xml:space="preserve"> e il dolore che spesso è associato con la malattia</w:t>
      </w:r>
      <w:r w:rsidRPr="00C35766">
        <w:rPr>
          <w:rFonts w:eastAsia="Times New Roman"/>
          <w:lang w:val="it-IT"/>
        </w:rPr>
        <w:t>. Inizialmente possono essere assunti altri farmaci. In caso non risponda adeguatamente a questi farmaci, Le sarà somministrato Yuflyma.</w:t>
      </w:r>
    </w:p>
    <w:p w14:paraId="394742D7" w14:textId="77777777" w:rsidR="00953B2E" w:rsidRPr="00C35766" w:rsidRDefault="00953B2E">
      <w:pPr>
        <w:spacing w:before="18" w:line="240" w:lineRule="exact"/>
        <w:rPr>
          <w:rFonts w:ascii="Times New Roman" w:hAnsi="Times New Roman" w:cs="Times New Roman"/>
          <w:sz w:val="24"/>
          <w:szCs w:val="24"/>
          <w:lang w:val="it-IT"/>
        </w:rPr>
      </w:pPr>
    </w:p>
    <w:p w14:paraId="7DDC0DBD" w14:textId="77777777" w:rsidR="00953B2E" w:rsidRPr="00C35766" w:rsidRDefault="005F0C19">
      <w:pPr>
        <w:pStyle w:val="a3"/>
        <w:rPr>
          <w:b/>
          <w:lang w:val="it-IT"/>
        </w:rPr>
      </w:pPr>
      <w:r w:rsidRPr="00C35766">
        <w:rPr>
          <w:rFonts w:eastAsia="Times New Roman"/>
          <w:b/>
          <w:bCs/>
          <w:lang w:val="it-IT"/>
        </w:rPr>
        <w:t>Malattia di Crohn</w:t>
      </w:r>
    </w:p>
    <w:p w14:paraId="7E08117B" w14:textId="77777777" w:rsidR="00953B2E" w:rsidRPr="00C35766" w:rsidRDefault="00953B2E">
      <w:pPr>
        <w:pStyle w:val="a3"/>
        <w:rPr>
          <w:u w:val="single"/>
          <w:lang w:val="it-IT"/>
        </w:rPr>
      </w:pPr>
    </w:p>
    <w:p w14:paraId="16938569" w14:textId="6AD507BA" w:rsidR="00953B2E" w:rsidRPr="00C35766" w:rsidRDefault="005F0C19">
      <w:pPr>
        <w:pStyle w:val="a3"/>
      </w:pPr>
      <w:r w:rsidRPr="00C35766">
        <w:rPr>
          <w:rFonts w:eastAsia="Times New Roman"/>
          <w:lang w:val="it-IT"/>
        </w:rPr>
        <w:t>La malattia di Cro</w:t>
      </w:r>
      <w:r w:rsidR="008676F0">
        <w:rPr>
          <w:rFonts w:eastAsia="Times New Roman"/>
          <w:lang w:val="it-IT"/>
        </w:rPr>
        <w:t>h</w:t>
      </w:r>
      <w:r w:rsidRPr="00C35766">
        <w:rPr>
          <w:rFonts w:eastAsia="Times New Roman"/>
          <w:lang w:val="it-IT"/>
        </w:rPr>
        <w:t>n è una malattia infiammatoria del tratto digerente. Yuflyma è usato per trattare</w:t>
      </w:r>
    </w:p>
    <w:p w14:paraId="3471CC03" w14:textId="77777777" w:rsidR="00953B2E" w:rsidRPr="00C35766" w:rsidRDefault="005F0C19">
      <w:pPr>
        <w:pStyle w:val="a3"/>
        <w:numPr>
          <w:ilvl w:val="1"/>
          <w:numId w:val="4"/>
        </w:numPr>
        <w:ind w:left="660" w:hanging="660"/>
        <w:rPr>
          <w:lang w:val="pt-BR"/>
        </w:rPr>
      </w:pPr>
      <w:r w:rsidRPr="00C35766">
        <w:rPr>
          <w:rFonts w:eastAsia="Times New Roman"/>
          <w:lang w:val="it-IT"/>
        </w:rPr>
        <w:t>malattia di Crohn di grado da moderato a severo negli adulti e</w:t>
      </w:r>
    </w:p>
    <w:p w14:paraId="0CAC51C8" w14:textId="6AF9EC06" w:rsidR="00953B2E" w:rsidRPr="00C35766" w:rsidRDefault="005F0C19">
      <w:pPr>
        <w:pStyle w:val="a3"/>
        <w:numPr>
          <w:ilvl w:val="1"/>
          <w:numId w:val="4"/>
        </w:numPr>
        <w:ind w:left="660" w:hanging="660"/>
        <w:rPr>
          <w:lang w:val="pt-BR"/>
        </w:rPr>
      </w:pPr>
      <w:r w:rsidRPr="00C35766">
        <w:rPr>
          <w:rFonts w:eastAsia="Times New Roman"/>
          <w:lang w:val="it-IT"/>
        </w:rPr>
        <w:t xml:space="preserve">malattia di Crohn di grado da moderato a severo nei bambini e negli adolescenti di età compresa tra 6 </w:t>
      </w:r>
      <w:r w:rsidR="00465501" w:rsidRPr="00C35766">
        <w:rPr>
          <w:rFonts w:eastAsia="Times New Roman"/>
          <w:lang w:val="it-IT"/>
        </w:rPr>
        <w:t xml:space="preserve">e </w:t>
      </w:r>
      <w:r w:rsidRPr="00C35766">
        <w:rPr>
          <w:rFonts w:eastAsia="Times New Roman"/>
          <w:lang w:val="it-IT"/>
        </w:rPr>
        <w:t>17 anni</w:t>
      </w:r>
      <w:r w:rsidR="00933496" w:rsidRPr="00C35766">
        <w:rPr>
          <w:rFonts w:eastAsia="Times New Roman"/>
          <w:lang w:val="it-IT"/>
        </w:rPr>
        <w:t>.</w:t>
      </w:r>
    </w:p>
    <w:p w14:paraId="49CA0C18" w14:textId="77777777" w:rsidR="00953B2E" w:rsidRPr="00C35766" w:rsidRDefault="00953B2E">
      <w:pPr>
        <w:spacing w:before="16" w:line="240" w:lineRule="exact"/>
        <w:rPr>
          <w:rFonts w:ascii="Times New Roman" w:hAnsi="Times New Roman" w:cs="Times New Roman"/>
          <w:sz w:val="24"/>
          <w:szCs w:val="24"/>
          <w:lang w:val="pt-BR"/>
        </w:rPr>
      </w:pPr>
    </w:p>
    <w:p w14:paraId="673ED586" w14:textId="77777777" w:rsidR="00953B2E" w:rsidRPr="00C35766" w:rsidRDefault="005F0C19">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70926997" w14:textId="77777777" w:rsidR="00953B2E" w:rsidRPr="00C35766" w:rsidRDefault="00953B2E">
      <w:pPr>
        <w:spacing w:before="15" w:line="240" w:lineRule="exact"/>
        <w:rPr>
          <w:rFonts w:ascii="Times New Roman" w:hAnsi="Times New Roman" w:cs="Times New Roman"/>
          <w:sz w:val="24"/>
          <w:szCs w:val="24"/>
          <w:lang w:val="it-IT"/>
        </w:rPr>
      </w:pPr>
    </w:p>
    <w:p w14:paraId="3BE9C5FC" w14:textId="2E1A17F0" w:rsidR="00953B2E" w:rsidRPr="00C35766" w:rsidRDefault="005F0C19">
      <w:pPr>
        <w:pStyle w:val="a3"/>
        <w:rPr>
          <w:b/>
          <w:lang w:val="it-IT"/>
        </w:rPr>
      </w:pPr>
      <w:r w:rsidRPr="00C35766">
        <w:rPr>
          <w:rFonts w:eastAsia="Times New Roman"/>
          <w:b/>
          <w:bCs/>
          <w:lang w:val="it-IT"/>
        </w:rPr>
        <w:t>Colite ulcerosa</w:t>
      </w:r>
    </w:p>
    <w:p w14:paraId="125D1F67" w14:textId="77777777" w:rsidR="00953B2E" w:rsidRPr="00C35766" w:rsidRDefault="00953B2E">
      <w:pPr>
        <w:pStyle w:val="a3"/>
        <w:rPr>
          <w:b/>
          <w:lang w:val="it-IT"/>
        </w:rPr>
      </w:pPr>
    </w:p>
    <w:p w14:paraId="198A7781" w14:textId="77777777" w:rsidR="00953B2E" w:rsidRPr="00C35766" w:rsidRDefault="005F0C19">
      <w:pPr>
        <w:pStyle w:val="a3"/>
        <w:rPr>
          <w:lang w:val="it-IT"/>
        </w:rPr>
      </w:pPr>
      <w:r w:rsidRPr="00C35766">
        <w:rPr>
          <w:rFonts w:eastAsia="Times New Roman"/>
          <w:lang w:val="it-IT"/>
        </w:rPr>
        <w:t>La colite ulcerosa è una malattia infiammatoria dell'intestino crasso.</w:t>
      </w:r>
    </w:p>
    <w:p w14:paraId="70175578" w14:textId="77777777" w:rsidR="00953B2E" w:rsidRPr="00C35766" w:rsidRDefault="00953B2E">
      <w:pPr>
        <w:spacing w:before="17" w:line="240" w:lineRule="exact"/>
        <w:rPr>
          <w:rFonts w:ascii="Times New Roman" w:hAnsi="Times New Roman" w:cs="Times New Roman"/>
          <w:sz w:val="24"/>
          <w:szCs w:val="24"/>
          <w:lang w:val="it-IT"/>
        </w:rPr>
      </w:pPr>
    </w:p>
    <w:p w14:paraId="4D87A032" w14:textId="77777777" w:rsidR="001F24B7" w:rsidRPr="00C35766" w:rsidRDefault="005F0C19">
      <w:pPr>
        <w:pStyle w:val="a3"/>
        <w:rPr>
          <w:rFonts w:eastAsia="Times New Roman"/>
          <w:lang w:val="it-IT"/>
        </w:rPr>
      </w:pPr>
      <w:r w:rsidRPr="00C35766">
        <w:rPr>
          <w:rFonts w:eastAsia="Times New Roman"/>
          <w:lang w:val="it-IT"/>
        </w:rPr>
        <w:t xml:space="preserve">Yuflyma è usato per trattare </w:t>
      </w:r>
    </w:p>
    <w:p w14:paraId="74656D1A" w14:textId="004C0DB6" w:rsidR="001F24B7" w:rsidRPr="00824699" w:rsidRDefault="00465501" w:rsidP="00787805">
      <w:pPr>
        <w:pStyle w:val="a4"/>
        <w:widowControl/>
        <w:numPr>
          <w:ilvl w:val="0"/>
          <w:numId w:val="45"/>
        </w:numPr>
        <w:tabs>
          <w:tab w:val="left" w:pos="567"/>
        </w:tabs>
        <w:ind w:right="-2"/>
        <w:jc w:val="both"/>
        <w:rPr>
          <w:rFonts w:ascii="Times New Roman" w:hAnsi="Times New Roman" w:cs="Times New Roman"/>
          <w:lang w:val="it-IT"/>
        </w:rPr>
      </w:pPr>
      <w:r w:rsidRPr="00C35766">
        <w:rPr>
          <w:rFonts w:ascii="Times New Roman" w:eastAsia="Times New Roman" w:hAnsi="Times New Roman" w:cs="Times New Roman"/>
          <w:lang w:val="it-IT"/>
        </w:rPr>
        <w:t>l</w:t>
      </w:r>
      <w:r w:rsidR="005F0C19" w:rsidRPr="00C35766">
        <w:rPr>
          <w:rFonts w:ascii="Times New Roman" w:eastAsia="Times New Roman" w:hAnsi="Times New Roman" w:cs="Times New Roman"/>
          <w:lang w:val="it-IT"/>
        </w:rPr>
        <w:t>a colite ulcerosa di grado da moderato a severo negli adulti</w:t>
      </w:r>
      <w:r w:rsidR="001F24B7" w:rsidRPr="00C35766">
        <w:rPr>
          <w:rFonts w:ascii="Times New Roman" w:eastAsia="Times New Roman" w:hAnsi="Times New Roman" w:cs="Times New Roman"/>
          <w:lang w:val="it-IT"/>
        </w:rPr>
        <w:t xml:space="preserve"> </w:t>
      </w:r>
      <w:r w:rsidR="001F24B7" w:rsidRPr="00824699">
        <w:rPr>
          <w:rFonts w:ascii="Times New Roman" w:hAnsi="Times New Roman" w:cs="Times New Roman"/>
          <w:lang w:val="it-IT"/>
        </w:rPr>
        <w:t xml:space="preserve"> e</w:t>
      </w:r>
    </w:p>
    <w:p w14:paraId="0FFF6FA4" w14:textId="391A44B5" w:rsidR="001F24B7" w:rsidRPr="00C35766" w:rsidRDefault="001F24B7" w:rsidP="00787805">
      <w:pPr>
        <w:pStyle w:val="a4"/>
        <w:widowControl/>
        <w:numPr>
          <w:ilvl w:val="0"/>
          <w:numId w:val="45"/>
        </w:numPr>
        <w:tabs>
          <w:tab w:val="left" w:pos="567"/>
        </w:tabs>
        <w:ind w:right="-2"/>
        <w:jc w:val="both"/>
        <w:rPr>
          <w:rFonts w:ascii="Times New Roman" w:eastAsia="Times New Roman" w:hAnsi="Times New Roman" w:cs="Times New Roman"/>
          <w:lang w:val="it-IT"/>
        </w:rPr>
      </w:pPr>
      <w:r w:rsidRPr="00824699">
        <w:rPr>
          <w:rFonts w:ascii="Times New Roman" w:hAnsi="Times New Roman" w:cs="Times New Roman"/>
          <w:lang w:val="it-IT"/>
        </w:rPr>
        <w:t xml:space="preserve">la colite ulcerosa di grado da moderato a severo nei bambini e negli adolescenti di età compresa tra 6 e 17 anni. </w:t>
      </w:r>
      <w:r w:rsidR="005F0C19" w:rsidRPr="00C35766">
        <w:rPr>
          <w:rFonts w:ascii="Times New Roman" w:eastAsia="Times New Roman" w:hAnsi="Times New Roman" w:cs="Times New Roman"/>
          <w:lang w:val="it-IT"/>
        </w:rPr>
        <w:t xml:space="preserve"> </w:t>
      </w:r>
    </w:p>
    <w:p w14:paraId="14F5F0DD" w14:textId="77777777" w:rsidR="001F24B7" w:rsidRPr="00C35766" w:rsidRDefault="001F24B7">
      <w:pPr>
        <w:pStyle w:val="a3"/>
        <w:rPr>
          <w:rFonts w:eastAsia="Times New Roman"/>
          <w:lang w:val="it-IT"/>
        </w:rPr>
      </w:pPr>
    </w:p>
    <w:p w14:paraId="4A36D2FB" w14:textId="72F3FB20" w:rsidR="00953B2E" w:rsidRPr="00C35766" w:rsidRDefault="005F0C19">
      <w:pPr>
        <w:pStyle w:val="a3"/>
        <w:rPr>
          <w:lang w:val="pt-BR"/>
        </w:rPr>
      </w:pPr>
      <w:r w:rsidRPr="00C35766">
        <w:rPr>
          <w:rFonts w:eastAsia="Times New Roman"/>
          <w:lang w:val="it-IT"/>
        </w:rPr>
        <w:t>Inizialmente possono essere assunti altri farmaci. In caso non risponda adeguatamente a questi farmaci, Le sarà somministrato Yuflyma.</w:t>
      </w:r>
    </w:p>
    <w:p w14:paraId="3448C0B9" w14:textId="77777777" w:rsidR="00953B2E" w:rsidRPr="00C35766" w:rsidRDefault="00953B2E">
      <w:pPr>
        <w:spacing w:before="15" w:line="240" w:lineRule="exact"/>
        <w:rPr>
          <w:rFonts w:ascii="Times New Roman" w:hAnsi="Times New Roman" w:cs="Times New Roman"/>
          <w:sz w:val="24"/>
          <w:szCs w:val="24"/>
          <w:lang w:val="pt-BR"/>
        </w:rPr>
      </w:pPr>
    </w:p>
    <w:p w14:paraId="6616555E" w14:textId="77777777" w:rsidR="00953B2E" w:rsidRPr="00C35766" w:rsidRDefault="005F0C19">
      <w:pPr>
        <w:pStyle w:val="a3"/>
        <w:rPr>
          <w:b/>
          <w:lang w:val="pt-BR"/>
        </w:rPr>
      </w:pPr>
      <w:r w:rsidRPr="00C35766">
        <w:rPr>
          <w:rFonts w:eastAsia="Times New Roman"/>
          <w:b/>
          <w:bCs/>
          <w:lang w:val="it-IT"/>
        </w:rPr>
        <w:t>Uveite non infettiva</w:t>
      </w:r>
    </w:p>
    <w:p w14:paraId="01D5E107" w14:textId="77777777" w:rsidR="00953B2E" w:rsidRPr="00C35766" w:rsidRDefault="00953B2E">
      <w:pPr>
        <w:pStyle w:val="a3"/>
        <w:rPr>
          <w:lang w:val="pt-BR"/>
        </w:rPr>
      </w:pPr>
    </w:p>
    <w:p w14:paraId="05266FE9" w14:textId="77777777" w:rsidR="00953B2E" w:rsidRPr="00C35766" w:rsidRDefault="005F0C19">
      <w:pPr>
        <w:pStyle w:val="a3"/>
      </w:pPr>
      <w:r w:rsidRPr="00C35766">
        <w:rPr>
          <w:rFonts w:eastAsia="Times New Roman"/>
          <w:lang w:val="it-IT"/>
        </w:rPr>
        <w:lastRenderedPageBreak/>
        <w:t>L’uveite non infettiva è una malattia infiammatoria che colpisce alcune parti dell'occhio. Yuflyma è usato per trattare</w:t>
      </w:r>
    </w:p>
    <w:p w14:paraId="2E9FF120" w14:textId="77777777" w:rsidR="00953B2E" w:rsidRPr="00C35766" w:rsidRDefault="005F0C19">
      <w:pPr>
        <w:pStyle w:val="a3"/>
        <w:numPr>
          <w:ilvl w:val="1"/>
          <w:numId w:val="4"/>
        </w:numPr>
        <w:ind w:left="660" w:hanging="660"/>
        <w:rPr>
          <w:lang w:val="es-ES"/>
        </w:rPr>
      </w:pPr>
      <w:r w:rsidRPr="00C35766">
        <w:rPr>
          <w:rFonts w:eastAsia="Times New Roman"/>
          <w:lang w:val="it-IT"/>
        </w:rPr>
        <w:t>adulti con uveite non infettiva con infiammazione che interessa il fondo dell’occhio</w:t>
      </w:r>
    </w:p>
    <w:p w14:paraId="48F21AED" w14:textId="6C49DF14" w:rsidR="00953B2E" w:rsidRPr="00C35766" w:rsidRDefault="005F0C19">
      <w:pPr>
        <w:pStyle w:val="a3"/>
        <w:numPr>
          <w:ilvl w:val="1"/>
          <w:numId w:val="4"/>
        </w:numPr>
        <w:ind w:left="660" w:hanging="660"/>
        <w:rPr>
          <w:lang w:val="it-IT"/>
        </w:rPr>
      </w:pPr>
      <w:r w:rsidRPr="00C35766">
        <w:rPr>
          <w:rFonts w:eastAsia="Times New Roman"/>
          <w:lang w:val="it-IT"/>
        </w:rPr>
        <w:t>bambini dai 2 anni di età con uveite cronica non infettiva con infiammazione che interessa la parte anteriore dell’occhio</w:t>
      </w:r>
      <w:r w:rsidR="00933496" w:rsidRPr="00C35766">
        <w:rPr>
          <w:rFonts w:eastAsia="Times New Roman"/>
          <w:lang w:val="it-IT"/>
        </w:rPr>
        <w:t>.</w:t>
      </w:r>
    </w:p>
    <w:p w14:paraId="0AFFDD8A" w14:textId="77777777" w:rsidR="00953B2E" w:rsidRPr="00C35766" w:rsidRDefault="00953B2E">
      <w:pPr>
        <w:pStyle w:val="a3"/>
        <w:rPr>
          <w:lang w:val="it-IT"/>
        </w:rPr>
      </w:pPr>
    </w:p>
    <w:p w14:paraId="14E2B46D" w14:textId="77777777" w:rsidR="00953B2E" w:rsidRPr="00C35766" w:rsidRDefault="005F0C19">
      <w:pPr>
        <w:pStyle w:val="a3"/>
        <w:rPr>
          <w:lang w:val="pt-BR"/>
        </w:rPr>
      </w:pPr>
      <w:r w:rsidRPr="00C35766">
        <w:rPr>
          <w:rFonts w:eastAsia="Times New Roman"/>
          <w:lang w:val="it-IT"/>
        </w:rPr>
        <w:t>Questa infiammazione può portare a una diminuzione della visione e/o alla presenza di corpi mobili nell’occhio (punti neri o linee sottili che si muovono attraverso il campo visivo). Yuflyma agisce riducendo questa infiammazione.</w:t>
      </w:r>
    </w:p>
    <w:p w14:paraId="58308367" w14:textId="77777777" w:rsidR="00953B2E" w:rsidRPr="00C35766" w:rsidRDefault="00953B2E">
      <w:pPr>
        <w:spacing w:before="10" w:line="240" w:lineRule="exact"/>
        <w:rPr>
          <w:rFonts w:ascii="Times New Roman" w:hAnsi="Times New Roman" w:cs="Times New Roman"/>
          <w:sz w:val="24"/>
          <w:szCs w:val="24"/>
          <w:lang w:val="pt-BR"/>
        </w:rPr>
      </w:pPr>
    </w:p>
    <w:p w14:paraId="582DDD09" w14:textId="77777777" w:rsidR="00953B2E" w:rsidRPr="00C35766" w:rsidRDefault="005F0C19">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72857B35" w14:textId="77777777" w:rsidR="00953B2E" w:rsidRPr="00C35766" w:rsidRDefault="00953B2E">
      <w:pPr>
        <w:spacing w:before="18" w:line="240" w:lineRule="exact"/>
        <w:rPr>
          <w:rFonts w:ascii="Times New Roman" w:hAnsi="Times New Roman" w:cs="Times New Roman"/>
          <w:b/>
          <w:lang w:val="it-IT"/>
        </w:rPr>
      </w:pPr>
    </w:p>
    <w:p w14:paraId="05D49166" w14:textId="77777777" w:rsidR="00953B2E" w:rsidRPr="00C35766" w:rsidRDefault="00953B2E">
      <w:pPr>
        <w:spacing w:before="18" w:line="240" w:lineRule="exact"/>
        <w:ind w:left="108"/>
        <w:rPr>
          <w:rFonts w:ascii="Times New Roman" w:hAnsi="Times New Roman" w:cs="Times New Roman"/>
          <w:b/>
          <w:lang w:val="it-IT"/>
        </w:rPr>
      </w:pPr>
    </w:p>
    <w:p w14:paraId="46DAB452" w14:textId="77777777" w:rsidR="00953B2E" w:rsidRPr="00C35766" w:rsidRDefault="005F0C19" w:rsidP="00787805">
      <w:pPr>
        <w:pStyle w:val="a4"/>
        <w:numPr>
          <w:ilvl w:val="0"/>
          <w:numId w:val="32"/>
        </w:numPr>
        <w:spacing w:before="18" w:line="240" w:lineRule="exact"/>
        <w:ind w:left="357" w:hanging="357"/>
        <w:rPr>
          <w:rFonts w:ascii="Times New Roman" w:hAnsi="Times New Roman" w:cs="Times New Roman"/>
          <w:lang w:val="it-IT"/>
        </w:rPr>
      </w:pPr>
      <w:r w:rsidRPr="00C35766">
        <w:rPr>
          <w:rFonts w:ascii="Times New Roman" w:eastAsia="Times New Roman" w:hAnsi="Times New Roman" w:cs="Times New Roman"/>
          <w:b/>
          <w:bCs/>
          <w:lang w:val="it-IT"/>
        </w:rPr>
        <w:t>Cosa deve sapere prima di usare Yuflyma</w:t>
      </w:r>
      <w:r w:rsidRPr="00C35766">
        <w:rPr>
          <w:rFonts w:ascii="Times New Roman" w:eastAsia="Calibri" w:hAnsi="Times New Roman" w:cs="Times New Roman"/>
          <w:lang w:val="it-IT"/>
        </w:rPr>
        <w:t xml:space="preserve"> </w:t>
      </w:r>
    </w:p>
    <w:p w14:paraId="4F448574" w14:textId="77777777" w:rsidR="00953B2E" w:rsidRPr="00C35766" w:rsidRDefault="00953B2E">
      <w:pPr>
        <w:spacing w:before="18" w:line="240" w:lineRule="exact"/>
        <w:ind w:left="108"/>
        <w:rPr>
          <w:rFonts w:ascii="Times New Roman" w:hAnsi="Times New Roman" w:cs="Times New Roman"/>
          <w:b/>
          <w:lang w:val="it-IT"/>
        </w:rPr>
      </w:pPr>
    </w:p>
    <w:p w14:paraId="12C0A0EA" w14:textId="77777777" w:rsidR="00953B2E" w:rsidRPr="00C35766" w:rsidRDefault="005F0C19">
      <w:pPr>
        <w:pStyle w:val="a3"/>
        <w:rPr>
          <w:b/>
        </w:rPr>
      </w:pPr>
      <w:r w:rsidRPr="00C35766">
        <w:rPr>
          <w:rFonts w:eastAsia="Times New Roman"/>
          <w:b/>
          <w:bCs/>
          <w:lang w:val="it-IT"/>
        </w:rPr>
        <w:t>Non usi Yuflyma:</w:t>
      </w:r>
    </w:p>
    <w:p w14:paraId="02E9E875" w14:textId="77777777" w:rsidR="00953B2E" w:rsidRPr="00C35766" w:rsidRDefault="00953B2E">
      <w:pPr>
        <w:pStyle w:val="a3"/>
        <w:rPr>
          <w:b/>
        </w:rPr>
      </w:pPr>
    </w:p>
    <w:p w14:paraId="628793DD" w14:textId="77777777" w:rsidR="00953B2E" w:rsidRPr="00C35766" w:rsidRDefault="005F0C19">
      <w:pPr>
        <w:pStyle w:val="a3"/>
        <w:numPr>
          <w:ilvl w:val="1"/>
          <w:numId w:val="4"/>
        </w:numPr>
        <w:ind w:left="660" w:hanging="660"/>
        <w:rPr>
          <w:lang w:val="es-ES"/>
        </w:rPr>
      </w:pPr>
      <w:r w:rsidRPr="00C35766">
        <w:rPr>
          <w:rFonts w:eastAsia="Times New Roman"/>
          <w:lang w:val="it-IT"/>
        </w:rPr>
        <w:t>se è allergico ad adalimumab o ad uno qualsiasi degli altri componenti di questo medicinale (elencati al paragrafo 6).</w:t>
      </w:r>
    </w:p>
    <w:p w14:paraId="06406A72" w14:textId="77777777" w:rsidR="00953B2E" w:rsidRPr="00C35766" w:rsidRDefault="00953B2E">
      <w:pPr>
        <w:pStyle w:val="a3"/>
        <w:numPr>
          <w:ilvl w:val="0"/>
          <w:numId w:val="0"/>
        </w:numPr>
        <w:ind w:left="660"/>
        <w:rPr>
          <w:lang w:val="es-ES"/>
        </w:rPr>
      </w:pPr>
    </w:p>
    <w:p w14:paraId="704043C5" w14:textId="77777777" w:rsidR="00953B2E" w:rsidRPr="00C35766" w:rsidRDefault="005F0C19">
      <w:pPr>
        <w:pStyle w:val="a3"/>
        <w:numPr>
          <w:ilvl w:val="1"/>
          <w:numId w:val="4"/>
        </w:numPr>
        <w:ind w:left="660" w:hanging="660"/>
        <w:rPr>
          <w:lang w:val="it-IT"/>
        </w:rPr>
      </w:pPr>
      <w:r w:rsidRPr="00C35766">
        <w:rPr>
          <w:rFonts w:eastAsia="Times New Roman"/>
          <w:lang w:val="it-IT"/>
        </w:rPr>
        <w:t>In presenza di tubercolosi attiva o altre infezioni gravi (vedere “Avvertenze e precauzioni”). È importante comunicare al medico se ha segni o sintomi di infezione, per esempio, febbre, ferite, sensazione di stanchezza, problemi dentali.</w:t>
      </w:r>
    </w:p>
    <w:p w14:paraId="6C74CAC9" w14:textId="77777777" w:rsidR="00953B2E" w:rsidRPr="00C35766" w:rsidRDefault="00953B2E">
      <w:pPr>
        <w:pStyle w:val="a3"/>
        <w:numPr>
          <w:ilvl w:val="0"/>
          <w:numId w:val="0"/>
        </w:numPr>
        <w:ind w:left="660"/>
        <w:rPr>
          <w:lang w:val="it-IT"/>
        </w:rPr>
      </w:pPr>
    </w:p>
    <w:p w14:paraId="5794625A" w14:textId="77777777" w:rsidR="00953B2E" w:rsidRPr="00C35766" w:rsidRDefault="005F0C19">
      <w:pPr>
        <w:pStyle w:val="a3"/>
        <w:numPr>
          <w:ilvl w:val="1"/>
          <w:numId w:val="4"/>
        </w:numPr>
        <w:ind w:left="660" w:hanging="660"/>
        <w:rPr>
          <w:lang w:val="it-IT"/>
        </w:rPr>
      </w:pPr>
      <w:r w:rsidRPr="00C35766">
        <w:rPr>
          <w:rFonts w:eastAsia="Times New Roman"/>
          <w:lang w:val="it-IT"/>
        </w:rPr>
        <w:t>In presenza di insufficienza cardiaca moderata o grave. È importante riferire al medico se c’è stata o è presente una condizione cardiaca grave (vedere “Avvertenze e precauzioni”).</w:t>
      </w:r>
    </w:p>
    <w:p w14:paraId="728DEEBC" w14:textId="77777777" w:rsidR="00953B2E" w:rsidRPr="00C35766" w:rsidRDefault="00953B2E">
      <w:pPr>
        <w:spacing w:before="13" w:line="240" w:lineRule="exact"/>
        <w:rPr>
          <w:rFonts w:ascii="Times New Roman" w:hAnsi="Times New Roman" w:cs="Times New Roman"/>
          <w:sz w:val="24"/>
          <w:szCs w:val="24"/>
          <w:lang w:val="it-IT"/>
        </w:rPr>
      </w:pPr>
    </w:p>
    <w:p w14:paraId="4A0C8C8B" w14:textId="77777777" w:rsidR="00953B2E" w:rsidRPr="00C35766" w:rsidRDefault="005F0C19">
      <w:pPr>
        <w:pStyle w:val="a3"/>
        <w:rPr>
          <w:b/>
          <w:lang w:val="es-ES"/>
        </w:rPr>
      </w:pPr>
      <w:r w:rsidRPr="00C35766">
        <w:rPr>
          <w:rFonts w:eastAsia="Times New Roman"/>
          <w:b/>
          <w:bCs/>
          <w:lang w:val="it-IT"/>
        </w:rPr>
        <w:t>Avvertenze e precauzioni</w:t>
      </w:r>
    </w:p>
    <w:p w14:paraId="5E78A036" w14:textId="77777777" w:rsidR="00953B2E" w:rsidRPr="00C35766" w:rsidRDefault="00953B2E">
      <w:pPr>
        <w:spacing w:before="9" w:line="240" w:lineRule="exact"/>
        <w:rPr>
          <w:rFonts w:ascii="Times New Roman" w:hAnsi="Times New Roman" w:cs="Times New Roman"/>
          <w:sz w:val="24"/>
          <w:szCs w:val="24"/>
          <w:lang w:val="es-ES"/>
        </w:rPr>
      </w:pPr>
    </w:p>
    <w:p w14:paraId="54A73126" w14:textId="77777777" w:rsidR="00953B2E" w:rsidRPr="00C35766" w:rsidRDefault="005F0C19">
      <w:pPr>
        <w:pStyle w:val="a3"/>
        <w:rPr>
          <w:lang w:val="es-ES"/>
        </w:rPr>
      </w:pPr>
      <w:r w:rsidRPr="00C35766">
        <w:rPr>
          <w:rFonts w:eastAsia="Times New Roman"/>
          <w:lang w:val="it-IT"/>
        </w:rPr>
        <w:t>Si rivolga al medico o al farmacista prima di usare Yuflyma.</w:t>
      </w:r>
    </w:p>
    <w:p w14:paraId="2D157079" w14:textId="77777777" w:rsidR="00953B2E" w:rsidRPr="00C35766" w:rsidRDefault="00953B2E">
      <w:pPr>
        <w:pStyle w:val="a3"/>
        <w:rPr>
          <w:lang w:val="es-ES"/>
        </w:rPr>
      </w:pPr>
    </w:p>
    <w:p w14:paraId="2A889A7D" w14:textId="77777777" w:rsidR="00953B2E" w:rsidRPr="00C35766" w:rsidRDefault="005F0C19">
      <w:pPr>
        <w:pStyle w:val="a3"/>
        <w:rPr>
          <w:u w:val="single" w:color="000000"/>
        </w:rPr>
      </w:pPr>
      <w:r w:rsidRPr="00C35766">
        <w:rPr>
          <w:rFonts w:eastAsia="Times New Roman"/>
          <w:u w:val="single" w:color="000000"/>
          <w:lang w:val="it-IT"/>
        </w:rPr>
        <w:t>Reazioni allergiche</w:t>
      </w:r>
    </w:p>
    <w:p w14:paraId="559B80A8" w14:textId="77777777" w:rsidR="00953B2E" w:rsidRPr="00C35766" w:rsidRDefault="00953B2E">
      <w:pPr>
        <w:pStyle w:val="a3"/>
        <w:rPr>
          <w:u w:val="single"/>
        </w:rPr>
      </w:pPr>
    </w:p>
    <w:p w14:paraId="49A37F4D" w14:textId="77777777" w:rsidR="00953B2E" w:rsidRPr="00C35766" w:rsidRDefault="005F0C19">
      <w:pPr>
        <w:pStyle w:val="a3"/>
        <w:numPr>
          <w:ilvl w:val="1"/>
          <w:numId w:val="4"/>
        </w:numPr>
        <w:ind w:left="660" w:hanging="660"/>
        <w:rPr>
          <w:lang w:val="it-IT"/>
        </w:rPr>
      </w:pPr>
      <w:r w:rsidRPr="00C35766">
        <w:rPr>
          <w:rFonts w:eastAsia="Times New Roman"/>
          <w:lang w:val="it-IT"/>
        </w:rPr>
        <w:t>In caso di reazioni allergiche con sintomi quali senso d’oppressione toracica, respiro sibilante, capogiro, gonfiore o eruzione cutanea, non assuma più Yuflyma e contatti il medico immediatamente considerato che, in rari casi, queste reazioni possono essere pericolose per la vita.</w:t>
      </w:r>
    </w:p>
    <w:p w14:paraId="205797BF" w14:textId="77777777" w:rsidR="00953B2E" w:rsidRPr="00C35766" w:rsidRDefault="00953B2E">
      <w:pPr>
        <w:pStyle w:val="a3"/>
        <w:rPr>
          <w:b/>
          <w:lang w:val="it-IT"/>
        </w:rPr>
      </w:pPr>
    </w:p>
    <w:p w14:paraId="5B654E01" w14:textId="77777777" w:rsidR="00953B2E" w:rsidRPr="00C35766" w:rsidRDefault="005F0C19">
      <w:pPr>
        <w:pStyle w:val="a3"/>
        <w:rPr>
          <w:u w:val="single"/>
        </w:rPr>
      </w:pPr>
      <w:r w:rsidRPr="00C35766">
        <w:rPr>
          <w:rFonts w:eastAsia="Times New Roman"/>
          <w:u w:val="single"/>
          <w:lang w:val="it-IT"/>
        </w:rPr>
        <w:t>Infezioni</w:t>
      </w:r>
    </w:p>
    <w:p w14:paraId="586E717A" w14:textId="77777777" w:rsidR="00953B2E" w:rsidRPr="00C35766" w:rsidRDefault="00953B2E">
      <w:pPr>
        <w:pStyle w:val="a3"/>
        <w:rPr>
          <w:b/>
        </w:rPr>
      </w:pPr>
    </w:p>
    <w:p w14:paraId="20042B7D" w14:textId="77777777" w:rsidR="00953B2E" w:rsidRPr="00C35766" w:rsidRDefault="005F0C19">
      <w:pPr>
        <w:pStyle w:val="a3"/>
        <w:numPr>
          <w:ilvl w:val="1"/>
          <w:numId w:val="4"/>
        </w:numPr>
        <w:ind w:left="660" w:hanging="660"/>
      </w:pPr>
      <w:r w:rsidRPr="00C35766">
        <w:rPr>
          <w:rFonts w:eastAsia="Times New Roman"/>
          <w:lang w:val="it-IT"/>
        </w:rPr>
        <w:t>In caso d’infezione, comprese infezioni a lungo termine o infezioni localizzate in una parte del corpo (per esempio, ulcere alle gambe) consulti il medico prima di iniziare il trattamento con Yuflyma. Se ha dubbi, contatti il medico.</w:t>
      </w:r>
    </w:p>
    <w:p w14:paraId="5B052FE7" w14:textId="77777777" w:rsidR="00953B2E" w:rsidRPr="00C35766" w:rsidRDefault="00953B2E">
      <w:pPr>
        <w:pStyle w:val="a3"/>
      </w:pPr>
    </w:p>
    <w:p w14:paraId="710B946C" w14:textId="77777777" w:rsidR="00953B2E" w:rsidRPr="00C35766" w:rsidRDefault="005F0C19">
      <w:pPr>
        <w:pStyle w:val="a3"/>
        <w:numPr>
          <w:ilvl w:val="1"/>
          <w:numId w:val="4"/>
        </w:numPr>
        <w:ind w:left="660" w:hanging="660"/>
        <w:rPr>
          <w:lang w:val="it-IT"/>
        </w:rPr>
      </w:pPr>
      <w:r w:rsidRPr="00C35766">
        <w:rPr>
          <w:rFonts w:eastAsia="Times New Roman"/>
          <w:lang w:val="it-IT"/>
        </w:rPr>
        <w:t>È possibile contrarre più facilmente infezioni durante il trattamento con Yuflyma. Questo rischio può aumentare se ha problemi ai polmoni. Queste infezioni possono essere gravi ed includere:</w:t>
      </w:r>
    </w:p>
    <w:p w14:paraId="6449D577" w14:textId="77777777" w:rsidR="00953B2E" w:rsidRPr="00C35766" w:rsidRDefault="005F0C19">
      <w:pPr>
        <w:pStyle w:val="a3"/>
        <w:numPr>
          <w:ilvl w:val="1"/>
          <w:numId w:val="4"/>
        </w:numPr>
        <w:ind w:left="660" w:firstLine="49"/>
      </w:pPr>
      <w:r w:rsidRPr="00C35766">
        <w:rPr>
          <w:rFonts w:eastAsia="Times New Roman"/>
          <w:lang w:val="it-IT"/>
        </w:rPr>
        <w:t>tubercolosi</w:t>
      </w:r>
    </w:p>
    <w:p w14:paraId="7F8F1529" w14:textId="77777777" w:rsidR="00953B2E" w:rsidRPr="00C35766" w:rsidRDefault="005F0C19">
      <w:pPr>
        <w:pStyle w:val="a3"/>
        <w:numPr>
          <w:ilvl w:val="1"/>
          <w:numId w:val="4"/>
        </w:numPr>
        <w:ind w:left="660" w:firstLine="49"/>
        <w:rPr>
          <w:lang w:val="pt-BR"/>
        </w:rPr>
      </w:pPr>
      <w:r w:rsidRPr="00C35766">
        <w:rPr>
          <w:rFonts w:eastAsia="Times New Roman"/>
          <w:lang w:val="it-IT"/>
        </w:rPr>
        <w:t>infezioni causate da virus, funghi, parassiti o batteri</w:t>
      </w:r>
    </w:p>
    <w:p w14:paraId="2F2BCB6B" w14:textId="77777777" w:rsidR="00953B2E" w:rsidRPr="00C35766" w:rsidRDefault="005F0C19">
      <w:pPr>
        <w:pStyle w:val="a3"/>
        <w:numPr>
          <w:ilvl w:val="1"/>
          <w:numId w:val="4"/>
        </w:numPr>
        <w:ind w:left="660" w:firstLine="49"/>
        <w:rPr>
          <w:lang w:val="es-ES"/>
        </w:rPr>
      </w:pPr>
      <w:r w:rsidRPr="00C35766">
        <w:rPr>
          <w:rFonts w:eastAsia="Times New Roman"/>
          <w:lang w:val="it-IT"/>
        </w:rPr>
        <w:t>grave infezione del sangue (sepsi)</w:t>
      </w:r>
    </w:p>
    <w:p w14:paraId="3E2795B9" w14:textId="77777777" w:rsidR="00953B2E" w:rsidRPr="00C35766" w:rsidRDefault="00953B2E">
      <w:pPr>
        <w:pStyle w:val="a3"/>
        <w:rPr>
          <w:lang w:val="es-ES"/>
        </w:rPr>
      </w:pPr>
    </w:p>
    <w:p w14:paraId="0FA7A97C" w14:textId="1B8DE4DD" w:rsidR="00953B2E" w:rsidRPr="00C35766" w:rsidRDefault="005F0C19" w:rsidP="002F41A0">
      <w:pPr>
        <w:pStyle w:val="a3"/>
        <w:numPr>
          <w:ilvl w:val="0"/>
          <w:numId w:val="0"/>
        </w:numPr>
        <w:ind w:left="660"/>
        <w:rPr>
          <w:lang w:val="it-IT"/>
        </w:rPr>
      </w:pPr>
      <w:r w:rsidRPr="00C35766">
        <w:rPr>
          <w:rFonts w:eastAsia="Times New Roman"/>
          <w:lang w:val="it-IT"/>
        </w:rPr>
        <w:t>In rari casi, queste infezioni possono essere rischiose per la vita del paziente. È importante comunicare al medico la presenza di sintomi quali febbre, ferite, sensazione di stanchezza o</w:t>
      </w:r>
      <w:r w:rsidR="00465501" w:rsidRPr="00C35766">
        <w:rPr>
          <w:rFonts w:eastAsia="Times New Roman"/>
          <w:lang w:val="it-IT"/>
        </w:rPr>
        <w:t xml:space="preserve"> </w:t>
      </w:r>
      <w:r w:rsidRPr="00C35766">
        <w:rPr>
          <w:rFonts w:eastAsia="Times New Roman"/>
          <w:lang w:val="it-IT"/>
        </w:rPr>
        <w:t>problemi dentali. Il medico potrebbe dirle di interrompere Yuflyma per un periodo di tempo.</w:t>
      </w:r>
    </w:p>
    <w:p w14:paraId="2E1DB445" w14:textId="77777777" w:rsidR="00953B2E" w:rsidRPr="00C35766" w:rsidRDefault="00953B2E">
      <w:pPr>
        <w:pStyle w:val="a3"/>
        <w:rPr>
          <w:lang w:val="it-IT"/>
        </w:rPr>
      </w:pPr>
    </w:p>
    <w:p w14:paraId="449973B6" w14:textId="77777777" w:rsidR="00953B2E" w:rsidRPr="00C35766" w:rsidRDefault="005F0C19">
      <w:pPr>
        <w:pStyle w:val="a3"/>
        <w:numPr>
          <w:ilvl w:val="1"/>
          <w:numId w:val="4"/>
        </w:numPr>
        <w:ind w:left="660" w:hanging="660"/>
        <w:rPr>
          <w:lang w:val="it-IT"/>
        </w:rPr>
      </w:pPr>
      <w:r w:rsidRPr="00C35766">
        <w:rPr>
          <w:rFonts w:eastAsia="Times New Roman"/>
          <w:lang w:val="it-IT"/>
        </w:rPr>
        <w:t>Informi il medico se vive o viaggia in regioni dove le infezioni fungine sono molto comuni (ad esempio istoplasmosi, coccidioidomicosi o blastomicosi).</w:t>
      </w:r>
    </w:p>
    <w:p w14:paraId="4DF8F33E" w14:textId="77777777" w:rsidR="00953B2E" w:rsidRPr="00C35766" w:rsidRDefault="00953B2E">
      <w:pPr>
        <w:pStyle w:val="a3"/>
        <w:rPr>
          <w:lang w:val="it-IT"/>
        </w:rPr>
      </w:pPr>
    </w:p>
    <w:p w14:paraId="62988177" w14:textId="77777777" w:rsidR="00953B2E" w:rsidRPr="00C35766" w:rsidRDefault="005F0C19">
      <w:pPr>
        <w:pStyle w:val="a3"/>
        <w:numPr>
          <w:ilvl w:val="1"/>
          <w:numId w:val="4"/>
        </w:numPr>
        <w:ind w:left="660" w:hanging="660"/>
        <w:rPr>
          <w:lang w:val="it-IT"/>
        </w:rPr>
      </w:pPr>
      <w:r w:rsidRPr="00C35766">
        <w:rPr>
          <w:rFonts w:eastAsia="Times New Roman"/>
          <w:lang w:val="it-IT"/>
        </w:rPr>
        <w:t>Informi il medico se ha avuto infezioni che continuano a ripresentarsi o se ha altre patologie che aumentano il rischio di infezione.</w:t>
      </w:r>
    </w:p>
    <w:p w14:paraId="0FAB9A4F" w14:textId="77777777" w:rsidR="00953B2E" w:rsidRPr="00C35766" w:rsidRDefault="00953B2E">
      <w:pPr>
        <w:pStyle w:val="a3"/>
        <w:numPr>
          <w:ilvl w:val="0"/>
          <w:numId w:val="0"/>
        </w:numPr>
        <w:rPr>
          <w:lang w:val="it-IT"/>
        </w:rPr>
      </w:pPr>
    </w:p>
    <w:p w14:paraId="454B87A4" w14:textId="77777777" w:rsidR="00953B2E" w:rsidRPr="00C35766" w:rsidRDefault="005F0C19">
      <w:pPr>
        <w:pStyle w:val="a3"/>
        <w:numPr>
          <w:ilvl w:val="1"/>
          <w:numId w:val="4"/>
        </w:numPr>
        <w:ind w:left="660" w:hanging="660"/>
        <w:rPr>
          <w:lang w:val="it-IT"/>
        </w:rPr>
      </w:pPr>
      <w:r w:rsidRPr="00C35766">
        <w:rPr>
          <w:rFonts w:eastAsia="Times New Roman"/>
          <w:lang w:val="it-IT"/>
        </w:rPr>
        <w:t>Se ha più di 65 anni, potrebbe contrarre infezioni più facilmente mentre assume Yuflyma. Lei e il medico dovete prestare particolare attenzione ai segni di infezione durante il trattamento con Yuflyma.  È importante comunicare al medico se manifesta sintomi di infezioni quali febbre, ferite, sensazione di stanchezza o problemi dentali.</w:t>
      </w:r>
    </w:p>
    <w:p w14:paraId="7D9F683B" w14:textId="77777777" w:rsidR="00953B2E" w:rsidRPr="00C35766" w:rsidRDefault="00953B2E">
      <w:pPr>
        <w:spacing w:before="11" w:line="240" w:lineRule="exact"/>
        <w:rPr>
          <w:rFonts w:ascii="Times New Roman" w:hAnsi="Times New Roman" w:cs="Times New Roman"/>
          <w:sz w:val="24"/>
          <w:lang w:val="it-IT"/>
        </w:rPr>
      </w:pPr>
    </w:p>
    <w:p w14:paraId="676E8E7A" w14:textId="77777777" w:rsidR="00953B2E" w:rsidRPr="00C35766" w:rsidRDefault="005F0C19">
      <w:pPr>
        <w:pStyle w:val="a3"/>
        <w:rPr>
          <w:u w:val="single"/>
        </w:rPr>
      </w:pPr>
      <w:r w:rsidRPr="00C35766">
        <w:rPr>
          <w:rFonts w:eastAsia="Times New Roman"/>
          <w:u w:val="single" w:color="000000"/>
          <w:lang w:val="it-IT"/>
        </w:rPr>
        <w:t>Tubercolosi</w:t>
      </w:r>
    </w:p>
    <w:p w14:paraId="175CBFA8" w14:textId="77777777" w:rsidR="00953B2E" w:rsidRPr="00C35766" w:rsidRDefault="00953B2E">
      <w:pPr>
        <w:spacing w:before="4" w:line="190" w:lineRule="exact"/>
        <w:rPr>
          <w:rFonts w:ascii="Times New Roman" w:hAnsi="Times New Roman" w:cs="Times New Roman"/>
          <w:sz w:val="19"/>
          <w:szCs w:val="19"/>
        </w:rPr>
      </w:pPr>
    </w:p>
    <w:p w14:paraId="45322437" w14:textId="233C51A1" w:rsidR="00C7325A" w:rsidRPr="00C35766" w:rsidRDefault="00C7325A" w:rsidP="00C7325A">
      <w:pPr>
        <w:pStyle w:val="a3"/>
        <w:numPr>
          <w:ilvl w:val="1"/>
          <w:numId w:val="4"/>
        </w:numPr>
        <w:ind w:left="660" w:hanging="660"/>
        <w:rPr>
          <w:rFonts w:eastAsia="Times New Roman"/>
          <w:lang w:val="it-IT"/>
        </w:rPr>
      </w:pPr>
      <w:r w:rsidRPr="00C35766">
        <w:rPr>
          <w:rFonts w:eastAsia="Times New Roman"/>
          <w:lang w:val="it-IT"/>
        </w:rPr>
        <w:t>È molto importante comunicare al medico se ha mai avuto la tubercolosi, o se è stato a contatto con qualcuno che ha avuto la tubercolosi. Non deve assumere Yuflyma se è affetto da tubercolosi attiva.</w:t>
      </w:r>
    </w:p>
    <w:p w14:paraId="165B4D59" w14:textId="77777777" w:rsidR="00C7325A" w:rsidRPr="00C35766" w:rsidRDefault="00C7325A" w:rsidP="00C7325A">
      <w:pPr>
        <w:pStyle w:val="a3"/>
        <w:numPr>
          <w:ilvl w:val="1"/>
          <w:numId w:val="4"/>
        </w:numPr>
        <w:ind w:left="998" w:hanging="340"/>
        <w:rPr>
          <w:rFonts w:eastAsia="Times New Roman"/>
          <w:lang w:val="it-IT"/>
        </w:rPr>
      </w:pPr>
      <w:r w:rsidRPr="00C35766">
        <w:rPr>
          <w:rFonts w:eastAsia="Times New Roman"/>
          <w:lang w:val="it-IT"/>
        </w:rPr>
        <w:t xml:space="preserve">Poiché si sono verificati dei casi di tubercolosi in pazienti sottoposti a trattamento con Yuflyma, il medico dovrà controllare se presenta segni o sintomi tipici della tubercolosi prima di iniziare la terapia con Yuflyma. Questo comporterà la raccolta di una valutazione medica dettagliata che includa la sua anamnesi e appropriati esami clinici (per es. una radiografia del torace e il test alla tubercolina). L’esecuzione e i risultati di tali esami devono essere registrati nella </w:t>
      </w:r>
      <w:r w:rsidRPr="00C35766">
        <w:rPr>
          <w:rFonts w:eastAsia="Times New Roman"/>
          <w:b/>
          <w:lang w:val="it-IT"/>
        </w:rPr>
        <w:t>Scheda Promemoria per il Paziente</w:t>
      </w:r>
      <w:r w:rsidRPr="00C35766">
        <w:rPr>
          <w:rFonts w:eastAsia="Times New Roman"/>
          <w:lang w:val="it-IT"/>
        </w:rPr>
        <w:t>.</w:t>
      </w:r>
    </w:p>
    <w:p w14:paraId="7240B19A" w14:textId="77777777" w:rsidR="00953B2E" w:rsidRPr="00C35766" w:rsidRDefault="005F0C19">
      <w:pPr>
        <w:pStyle w:val="a3"/>
        <w:numPr>
          <w:ilvl w:val="1"/>
          <w:numId w:val="4"/>
        </w:numPr>
        <w:ind w:left="998" w:hanging="340"/>
        <w:rPr>
          <w:lang w:val="es-ES"/>
        </w:rPr>
      </w:pPr>
      <w:r w:rsidRPr="00C35766">
        <w:rPr>
          <w:rFonts w:eastAsia="Times New Roman"/>
          <w:lang w:val="it-IT"/>
        </w:rPr>
        <w:t>La tubercolosi si può manifestare durante la terapia nonostante lei abbia ricevuto un trattamento per la prevenzione della tubercolosi.</w:t>
      </w:r>
    </w:p>
    <w:p w14:paraId="36EA63B2" w14:textId="77777777" w:rsidR="00953B2E" w:rsidRPr="00C35766" w:rsidRDefault="005F0C19">
      <w:pPr>
        <w:pStyle w:val="a3"/>
        <w:numPr>
          <w:ilvl w:val="1"/>
          <w:numId w:val="4"/>
        </w:numPr>
        <w:ind w:left="998" w:hanging="340"/>
        <w:rPr>
          <w:lang w:val="es-ES"/>
        </w:rPr>
      </w:pPr>
      <w:r w:rsidRPr="00C35766">
        <w:rPr>
          <w:rFonts w:eastAsia="Times New Roman"/>
          <w:lang w:val="it-IT"/>
        </w:rPr>
        <w:t>Contatti immediatamente il medico se durante o dopo la terapia compaiono sintomi di tubercolosi (ad esempio tosse che non scompare, perdita di peso, mancanza di energia, febbre leggera) o di altre infezioni.</w:t>
      </w:r>
    </w:p>
    <w:p w14:paraId="58FF7C27" w14:textId="77777777" w:rsidR="00953B2E" w:rsidRPr="00C35766" w:rsidRDefault="00953B2E">
      <w:pPr>
        <w:spacing w:before="11" w:line="240" w:lineRule="exact"/>
        <w:rPr>
          <w:rFonts w:ascii="Times New Roman" w:hAnsi="Times New Roman" w:cs="Times New Roman"/>
          <w:sz w:val="24"/>
          <w:szCs w:val="24"/>
          <w:lang w:val="es-ES"/>
        </w:rPr>
      </w:pPr>
    </w:p>
    <w:p w14:paraId="5C4AD1DD" w14:textId="77777777" w:rsidR="00953B2E" w:rsidRPr="00C35766" w:rsidRDefault="005F0C19">
      <w:pPr>
        <w:pStyle w:val="a3"/>
        <w:rPr>
          <w:u w:val="single"/>
        </w:rPr>
      </w:pPr>
      <w:r w:rsidRPr="00C35766">
        <w:rPr>
          <w:rFonts w:eastAsia="Times New Roman"/>
          <w:u w:val="single" w:color="000000"/>
          <w:lang w:val="it-IT"/>
        </w:rPr>
        <w:t>Epatite B</w:t>
      </w:r>
    </w:p>
    <w:p w14:paraId="3D61E221" w14:textId="77777777" w:rsidR="00953B2E" w:rsidRPr="00C35766" w:rsidRDefault="00953B2E">
      <w:pPr>
        <w:spacing w:before="4" w:line="190" w:lineRule="exact"/>
        <w:rPr>
          <w:rFonts w:ascii="Times New Roman" w:hAnsi="Times New Roman" w:cs="Times New Roman"/>
          <w:sz w:val="19"/>
          <w:szCs w:val="19"/>
        </w:rPr>
      </w:pPr>
    </w:p>
    <w:p w14:paraId="6F2CD378" w14:textId="77777777" w:rsidR="00953B2E" w:rsidRPr="00C35766" w:rsidRDefault="005F0C19">
      <w:pPr>
        <w:pStyle w:val="a3"/>
        <w:numPr>
          <w:ilvl w:val="1"/>
          <w:numId w:val="4"/>
        </w:numPr>
        <w:ind w:left="660" w:hanging="660"/>
        <w:rPr>
          <w:lang w:val="it-IT"/>
        </w:rPr>
      </w:pPr>
      <w:r w:rsidRPr="00C35766">
        <w:rPr>
          <w:rFonts w:eastAsia="Times New Roman"/>
          <w:lang w:val="it-IT"/>
        </w:rPr>
        <w:t>Comunichi al medico se lei è portatore del virus dell’epatite B (HBV), se ha un’infezione in fase attiva da virus dell’epatite B o se pensa di poter essere a rischio di contrarre il virus dell’epatite B.</w:t>
      </w:r>
    </w:p>
    <w:p w14:paraId="25B98760" w14:textId="77777777" w:rsidR="00953B2E" w:rsidRPr="00C35766" w:rsidRDefault="005F0C19">
      <w:pPr>
        <w:pStyle w:val="a3"/>
        <w:numPr>
          <w:ilvl w:val="1"/>
          <w:numId w:val="4"/>
        </w:numPr>
        <w:ind w:left="998" w:hanging="340"/>
        <w:rPr>
          <w:lang w:val="it-IT"/>
        </w:rPr>
      </w:pPr>
      <w:r w:rsidRPr="00C35766">
        <w:rPr>
          <w:rFonts w:eastAsia="Times New Roman"/>
          <w:lang w:val="it-IT"/>
        </w:rPr>
        <w:t>Il medico La deve testare per l’infezione da virus dell’epatite B. Nei portatori di HBV, l’assunzione di Yuflyma può indurre il virus ad attivarsi nuovamente.</w:t>
      </w:r>
    </w:p>
    <w:p w14:paraId="598B2D30" w14:textId="77777777" w:rsidR="00953B2E" w:rsidRPr="00C35766" w:rsidRDefault="005F0C19">
      <w:pPr>
        <w:pStyle w:val="a3"/>
        <w:numPr>
          <w:ilvl w:val="1"/>
          <w:numId w:val="4"/>
        </w:numPr>
        <w:ind w:left="998" w:hanging="340"/>
        <w:rPr>
          <w:lang w:val="it-IT"/>
        </w:rPr>
      </w:pPr>
      <w:r w:rsidRPr="00C35766">
        <w:rPr>
          <w:rFonts w:eastAsia="Times New Roman"/>
          <w:lang w:val="it-IT"/>
        </w:rPr>
        <w:t>In alcuni rari casi, soprattutto se il paziente è sottoposto a terapia con altri farmaci che sopprimono il sistema immunitario, la riattivazione del virus dell’epatite B può mettere a repentaglio la vita del paziente.</w:t>
      </w:r>
    </w:p>
    <w:p w14:paraId="4B5176EF" w14:textId="77777777" w:rsidR="00953B2E" w:rsidRPr="00C35766" w:rsidRDefault="00953B2E">
      <w:pPr>
        <w:spacing w:before="11" w:line="240" w:lineRule="exact"/>
        <w:rPr>
          <w:rFonts w:ascii="Times New Roman" w:hAnsi="Times New Roman" w:cs="Times New Roman"/>
          <w:sz w:val="24"/>
          <w:lang w:val="it-IT"/>
        </w:rPr>
      </w:pPr>
    </w:p>
    <w:p w14:paraId="0F4C8944" w14:textId="77777777" w:rsidR="00953B2E" w:rsidRPr="00C35766" w:rsidRDefault="005F0C19">
      <w:pPr>
        <w:pStyle w:val="a3"/>
        <w:rPr>
          <w:u w:val="single"/>
        </w:rPr>
      </w:pPr>
      <w:r w:rsidRPr="00C35766">
        <w:rPr>
          <w:rFonts w:eastAsia="Times New Roman"/>
          <w:u w:val="single" w:color="000000"/>
          <w:lang w:val="it-IT"/>
        </w:rPr>
        <w:t>Interventi chirurgici o procedure dentistiche</w:t>
      </w:r>
    </w:p>
    <w:p w14:paraId="063AB266" w14:textId="77777777" w:rsidR="00953B2E" w:rsidRPr="00C35766" w:rsidRDefault="00953B2E">
      <w:pPr>
        <w:spacing w:before="4" w:line="190" w:lineRule="exact"/>
        <w:rPr>
          <w:rFonts w:ascii="Times New Roman" w:hAnsi="Times New Roman" w:cs="Times New Roman"/>
          <w:sz w:val="19"/>
          <w:szCs w:val="19"/>
        </w:rPr>
      </w:pPr>
    </w:p>
    <w:p w14:paraId="14DAAB7B" w14:textId="77777777" w:rsidR="00953B2E" w:rsidRPr="00C35766" w:rsidRDefault="005F0C19">
      <w:pPr>
        <w:pStyle w:val="a3"/>
        <w:numPr>
          <w:ilvl w:val="1"/>
          <w:numId w:val="4"/>
        </w:numPr>
        <w:ind w:left="660" w:hanging="660"/>
      </w:pPr>
      <w:r w:rsidRPr="00C35766">
        <w:rPr>
          <w:rFonts w:eastAsia="Times New Roman"/>
          <w:lang w:val="it-IT"/>
        </w:rPr>
        <w:t>Prima di un intervento chirurgico o procedure dentistiche, informi il medico che sta prendendo Yuflyma. Il medico potrebbe consigliare la sospensione temporanea di Yuflyma.</w:t>
      </w:r>
    </w:p>
    <w:p w14:paraId="23F1388B" w14:textId="77777777" w:rsidR="00953B2E" w:rsidRPr="00C35766" w:rsidRDefault="00953B2E">
      <w:pPr>
        <w:spacing w:before="8" w:line="240" w:lineRule="exact"/>
        <w:rPr>
          <w:rFonts w:ascii="Times New Roman" w:hAnsi="Times New Roman" w:cs="Times New Roman"/>
          <w:sz w:val="24"/>
          <w:szCs w:val="24"/>
        </w:rPr>
      </w:pPr>
    </w:p>
    <w:p w14:paraId="78130270" w14:textId="77777777" w:rsidR="00953B2E" w:rsidRPr="00C35766" w:rsidRDefault="005F0C19">
      <w:pPr>
        <w:pStyle w:val="a3"/>
        <w:rPr>
          <w:u w:val="single"/>
        </w:rPr>
      </w:pPr>
      <w:r w:rsidRPr="00C35766">
        <w:rPr>
          <w:rFonts w:eastAsia="Times New Roman"/>
          <w:u w:val="single" w:color="000000"/>
          <w:lang w:val="it-IT"/>
        </w:rPr>
        <w:t>Malattie demielinizzanti</w:t>
      </w:r>
    </w:p>
    <w:p w14:paraId="0C5169A4" w14:textId="77777777" w:rsidR="00953B2E" w:rsidRPr="00C35766" w:rsidRDefault="00953B2E">
      <w:pPr>
        <w:spacing w:before="4" w:line="190" w:lineRule="exact"/>
        <w:rPr>
          <w:rFonts w:ascii="Times New Roman" w:hAnsi="Times New Roman" w:cs="Times New Roman"/>
          <w:sz w:val="19"/>
          <w:szCs w:val="19"/>
        </w:rPr>
      </w:pPr>
    </w:p>
    <w:p w14:paraId="2A4E823C" w14:textId="77777777" w:rsidR="00953B2E" w:rsidRPr="00C35766" w:rsidRDefault="005F0C19">
      <w:pPr>
        <w:pStyle w:val="a3"/>
        <w:numPr>
          <w:ilvl w:val="1"/>
          <w:numId w:val="4"/>
        </w:numPr>
        <w:ind w:left="660" w:hanging="660"/>
        <w:rPr>
          <w:lang w:val="pt-BR"/>
        </w:rPr>
      </w:pPr>
      <w:r w:rsidRPr="00C35766">
        <w:rPr>
          <w:rFonts w:eastAsia="Times New Roman"/>
          <w:lang w:val="it-IT"/>
        </w:rPr>
        <w:t>Se è affetto da o sviluppa una malattia demielinizzante (malattia che colpisce lo strato isolante attorno ai nervi, come la sclerosi multipla), il medico deciderà se è il caso di iniziare o continuare a ricevere il trattamento con Yuflyma.  Informi il medico immediatamente nel caso in cui lei manifesti sintomi quali variazioni nella visione, debolezza di braccia o gambe o intorpidimento o formicolio che interessi qualsiasi parte del corpo.</w:t>
      </w:r>
    </w:p>
    <w:p w14:paraId="20E7007B" w14:textId="77777777" w:rsidR="00953B2E" w:rsidRPr="00C35766" w:rsidRDefault="00953B2E">
      <w:pPr>
        <w:spacing w:before="14" w:line="240" w:lineRule="exact"/>
        <w:rPr>
          <w:rFonts w:ascii="Times New Roman" w:hAnsi="Times New Roman" w:cs="Times New Roman"/>
          <w:sz w:val="24"/>
          <w:szCs w:val="24"/>
          <w:lang w:val="pt-BR"/>
        </w:rPr>
      </w:pPr>
    </w:p>
    <w:p w14:paraId="590A2980" w14:textId="77777777" w:rsidR="00953B2E" w:rsidRPr="00C35766" w:rsidRDefault="005F0C19">
      <w:pPr>
        <w:pStyle w:val="a3"/>
        <w:rPr>
          <w:u w:val="single"/>
        </w:rPr>
      </w:pPr>
      <w:r w:rsidRPr="00C35766">
        <w:rPr>
          <w:rFonts w:eastAsia="Times New Roman"/>
          <w:u w:val="single" w:color="000000"/>
          <w:lang w:val="it-IT"/>
        </w:rPr>
        <w:t>Vaccinazioni</w:t>
      </w:r>
    </w:p>
    <w:p w14:paraId="75E703E4" w14:textId="77777777" w:rsidR="00953B2E" w:rsidRPr="00C35766" w:rsidRDefault="00953B2E">
      <w:pPr>
        <w:spacing w:before="4" w:line="190" w:lineRule="exact"/>
        <w:rPr>
          <w:rFonts w:ascii="Times New Roman" w:hAnsi="Times New Roman" w:cs="Times New Roman"/>
          <w:sz w:val="19"/>
          <w:szCs w:val="19"/>
        </w:rPr>
      </w:pPr>
    </w:p>
    <w:p w14:paraId="3A8D2D5A" w14:textId="77777777" w:rsidR="00953B2E" w:rsidRPr="00C35766" w:rsidRDefault="005F0C19">
      <w:pPr>
        <w:pStyle w:val="a3"/>
        <w:numPr>
          <w:ilvl w:val="1"/>
          <w:numId w:val="4"/>
        </w:numPr>
        <w:ind w:left="660" w:hanging="660"/>
        <w:rPr>
          <w:lang w:val="it-IT"/>
        </w:rPr>
      </w:pPr>
      <w:r w:rsidRPr="00C35766">
        <w:rPr>
          <w:rFonts w:eastAsia="Times New Roman"/>
          <w:lang w:val="it-IT"/>
        </w:rPr>
        <w:t>Certi vaccini possono causare infezioni e non devono essere somministrati durante il trattamento con Yuflyma.</w:t>
      </w:r>
    </w:p>
    <w:p w14:paraId="5511A259" w14:textId="77777777" w:rsidR="00953B2E" w:rsidRPr="00C35766" w:rsidRDefault="00953B2E">
      <w:pPr>
        <w:spacing w:before="11" w:line="240" w:lineRule="exact"/>
        <w:rPr>
          <w:rFonts w:ascii="Times New Roman" w:hAnsi="Times New Roman" w:cs="Times New Roman"/>
          <w:sz w:val="24"/>
          <w:lang w:val="it-IT"/>
        </w:rPr>
      </w:pPr>
    </w:p>
    <w:p w14:paraId="208E0334" w14:textId="77777777" w:rsidR="00953B2E" w:rsidRPr="00C35766" w:rsidRDefault="005F0C19">
      <w:pPr>
        <w:pStyle w:val="a3"/>
        <w:numPr>
          <w:ilvl w:val="1"/>
          <w:numId w:val="4"/>
        </w:numPr>
        <w:ind w:left="998" w:hanging="340"/>
        <w:rPr>
          <w:lang w:val="it-IT"/>
        </w:rPr>
      </w:pPr>
      <w:r w:rsidRPr="00C35766">
        <w:rPr>
          <w:rFonts w:eastAsia="Times New Roman"/>
          <w:lang w:val="it-IT"/>
        </w:rPr>
        <w:t>Consulti il medico prima di sottoporsi a vaccinazioni.</w:t>
      </w:r>
    </w:p>
    <w:p w14:paraId="031DB7B0" w14:textId="77777777" w:rsidR="00953B2E" w:rsidRPr="00C35766" w:rsidRDefault="005F0C19">
      <w:pPr>
        <w:pStyle w:val="a3"/>
        <w:numPr>
          <w:ilvl w:val="1"/>
          <w:numId w:val="4"/>
        </w:numPr>
        <w:ind w:left="998" w:hanging="340"/>
        <w:rPr>
          <w:lang w:val="it-IT"/>
        </w:rPr>
      </w:pPr>
      <w:r w:rsidRPr="00C35766">
        <w:rPr>
          <w:rFonts w:eastAsia="Times New Roman"/>
          <w:lang w:val="it-IT"/>
        </w:rPr>
        <w:t>Si raccomanda, se possibile, di sottoporre i bambini a tutte le vaccinazioni previste per la loro età prima di iniziare il trattamento con Yuflyma.</w:t>
      </w:r>
    </w:p>
    <w:p w14:paraId="261C8D97" w14:textId="286DE619" w:rsidR="00953B2E" w:rsidRPr="00C35766" w:rsidRDefault="005F0C19">
      <w:pPr>
        <w:pStyle w:val="a3"/>
        <w:numPr>
          <w:ilvl w:val="1"/>
          <w:numId w:val="4"/>
        </w:numPr>
        <w:ind w:left="998" w:hanging="340"/>
        <w:rPr>
          <w:lang w:val="it-IT"/>
        </w:rPr>
      </w:pPr>
      <w:r w:rsidRPr="00C35766">
        <w:rPr>
          <w:rFonts w:eastAsia="Times New Roman"/>
          <w:lang w:val="it-IT"/>
        </w:rPr>
        <w:t xml:space="preserve">Se ha assunto Yuflyma durante la gravidanza, il bambino potrebbe avere un maggior rischio di contrarre </w:t>
      </w:r>
      <w:r w:rsidR="003B6B97" w:rsidRPr="00C35766">
        <w:rPr>
          <w:rFonts w:eastAsia="Times New Roman"/>
          <w:lang w:val="it-IT"/>
        </w:rPr>
        <w:t>un’</w:t>
      </w:r>
      <w:r w:rsidRPr="00C35766">
        <w:rPr>
          <w:rFonts w:eastAsia="Times New Roman"/>
          <w:lang w:val="it-IT"/>
        </w:rPr>
        <w:t>infezione fino a circa 5 mesi dopo l’ultima somministrazione di Yuflyma ricevuta in gravidanza. È importante che lei riferisca al pediatra o ad altro operatore sanitario del suo utilizzo di Yuflyma durante la gravidanza, cosicché possano decidere quando il bambino deve ricevere qualsiasi tipo di vaccinazione.</w:t>
      </w:r>
    </w:p>
    <w:p w14:paraId="3070AB9B" w14:textId="77777777" w:rsidR="00953B2E" w:rsidRPr="00C35766" w:rsidRDefault="00953B2E">
      <w:pPr>
        <w:spacing w:before="14" w:line="240" w:lineRule="exact"/>
        <w:rPr>
          <w:rFonts w:ascii="Times New Roman" w:hAnsi="Times New Roman" w:cs="Times New Roman"/>
          <w:sz w:val="24"/>
          <w:szCs w:val="24"/>
          <w:lang w:val="it-IT"/>
        </w:rPr>
      </w:pPr>
    </w:p>
    <w:p w14:paraId="6D742A4E" w14:textId="77777777" w:rsidR="00953B2E" w:rsidRPr="00C35766" w:rsidRDefault="005F0C19">
      <w:pPr>
        <w:pStyle w:val="a3"/>
        <w:rPr>
          <w:u w:val="single"/>
        </w:rPr>
      </w:pPr>
      <w:r w:rsidRPr="00C35766">
        <w:rPr>
          <w:rFonts w:eastAsia="Times New Roman"/>
          <w:u w:val="single" w:color="000000"/>
          <w:lang w:val="it-IT"/>
        </w:rPr>
        <w:t>Insufficienza cardiaca</w:t>
      </w:r>
    </w:p>
    <w:p w14:paraId="1C87D9BD" w14:textId="77777777" w:rsidR="00953B2E" w:rsidRPr="00C35766" w:rsidRDefault="00953B2E">
      <w:pPr>
        <w:spacing w:before="4" w:line="190" w:lineRule="exact"/>
        <w:rPr>
          <w:rFonts w:ascii="Times New Roman" w:hAnsi="Times New Roman" w:cs="Times New Roman"/>
          <w:sz w:val="19"/>
          <w:szCs w:val="19"/>
        </w:rPr>
      </w:pPr>
    </w:p>
    <w:p w14:paraId="22B8F49D" w14:textId="64DB81D6" w:rsidR="00953B2E" w:rsidRPr="00C35766" w:rsidRDefault="005F0C19">
      <w:pPr>
        <w:pStyle w:val="a3"/>
        <w:numPr>
          <w:ilvl w:val="1"/>
          <w:numId w:val="4"/>
        </w:numPr>
        <w:ind w:left="660" w:hanging="660"/>
      </w:pPr>
      <w:r w:rsidRPr="00C35766">
        <w:rPr>
          <w:rFonts w:eastAsia="Times New Roman"/>
          <w:lang w:val="it-IT"/>
        </w:rPr>
        <w:t xml:space="preserve">In caso di lieve insufficienza cardiaca e di concomitante trattamento con Yuflyma, il medico dovrà attentamente valutare e seguire lo stato del suo cuore. È importante informare il medico </w:t>
      </w:r>
      <w:r w:rsidR="00FB3571" w:rsidRPr="00C35766">
        <w:rPr>
          <w:rFonts w:eastAsia="Times New Roman"/>
          <w:lang w:val="it-IT"/>
        </w:rPr>
        <w:t>se ha o ha avuto in passato gravi</w:t>
      </w:r>
      <w:r w:rsidRPr="00C35766">
        <w:rPr>
          <w:rFonts w:eastAsia="Times New Roman"/>
          <w:lang w:val="it-IT"/>
        </w:rPr>
        <w:t xml:space="preserve"> problemi al cuore. Se appaiono nuovi sintomi di insufficienza cardiaca o se i sintomi già esistenti dovessero peggiorare (per esempio, respiro corto o gonfiore dei piedi), contatti immediatamente il medico.  </w:t>
      </w:r>
      <w:r w:rsidR="001F3C14" w:rsidRPr="00C35766">
        <w:rPr>
          <w:rFonts w:eastAsia="맑은 고딕"/>
          <w:lang w:val="it-IT" w:eastAsia="ko-KR"/>
        </w:rPr>
        <w:t>I</w:t>
      </w:r>
      <w:r w:rsidRPr="00C35766">
        <w:rPr>
          <w:rFonts w:eastAsia="Times New Roman"/>
          <w:lang w:val="it-IT"/>
        </w:rPr>
        <w:t>l medico deciderà se è possibile usare Yuflyma.</w:t>
      </w:r>
    </w:p>
    <w:p w14:paraId="2C8CF36B" w14:textId="77777777" w:rsidR="00953B2E" w:rsidRPr="00C35766" w:rsidRDefault="00953B2E">
      <w:pPr>
        <w:spacing w:before="14" w:line="240" w:lineRule="exact"/>
        <w:rPr>
          <w:rFonts w:ascii="Times New Roman" w:hAnsi="Times New Roman" w:cs="Times New Roman"/>
          <w:sz w:val="24"/>
          <w:szCs w:val="24"/>
        </w:rPr>
      </w:pPr>
    </w:p>
    <w:p w14:paraId="3663152E" w14:textId="73B3FB67" w:rsidR="00953B2E" w:rsidRPr="00C35766" w:rsidRDefault="005F0C19">
      <w:pPr>
        <w:pStyle w:val="a3"/>
        <w:rPr>
          <w:u w:val="single"/>
        </w:rPr>
      </w:pPr>
      <w:r w:rsidRPr="00C35766">
        <w:rPr>
          <w:rFonts w:eastAsia="Times New Roman"/>
          <w:u w:val="single" w:color="000000"/>
          <w:lang w:val="it-IT"/>
        </w:rPr>
        <w:t xml:space="preserve">Febbre, lividi, </w:t>
      </w:r>
      <w:r w:rsidR="00FB3571" w:rsidRPr="00C35766">
        <w:rPr>
          <w:rFonts w:eastAsia="Times New Roman"/>
          <w:u w:val="single" w:color="000000"/>
          <w:lang w:val="it-IT"/>
        </w:rPr>
        <w:t xml:space="preserve">sanguinamento </w:t>
      </w:r>
      <w:r w:rsidRPr="00C35766">
        <w:rPr>
          <w:rFonts w:eastAsia="Times New Roman"/>
          <w:u w:val="single" w:color="000000"/>
          <w:lang w:val="it-IT"/>
        </w:rPr>
        <w:t>o pallore</w:t>
      </w:r>
    </w:p>
    <w:p w14:paraId="1230603A" w14:textId="77777777" w:rsidR="00953B2E" w:rsidRPr="00C35766" w:rsidRDefault="00953B2E">
      <w:pPr>
        <w:spacing w:before="4" w:line="190" w:lineRule="exact"/>
        <w:rPr>
          <w:rFonts w:ascii="Times New Roman" w:hAnsi="Times New Roman" w:cs="Times New Roman"/>
          <w:sz w:val="19"/>
          <w:szCs w:val="19"/>
        </w:rPr>
      </w:pPr>
    </w:p>
    <w:p w14:paraId="64E854BB" w14:textId="28BD8084" w:rsidR="00953B2E" w:rsidRPr="00C35766" w:rsidRDefault="005F0C19">
      <w:pPr>
        <w:pStyle w:val="a3"/>
        <w:numPr>
          <w:ilvl w:val="1"/>
          <w:numId w:val="4"/>
        </w:numPr>
        <w:ind w:left="660" w:hanging="660"/>
        <w:rPr>
          <w:lang w:val="it-IT"/>
        </w:rPr>
      </w:pPr>
      <w:r w:rsidRPr="00C35766">
        <w:rPr>
          <w:rFonts w:eastAsia="Times New Roman"/>
          <w:lang w:val="it-IT"/>
        </w:rPr>
        <w:t xml:space="preserve">In alcuni pazienti l’organismo può non essere in grado di produrre un quantitativo di cellule ematiche sufficiente e tale da combattere le infezioni o arrestare </w:t>
      </w:r>
      <w:r w:rsidR="00FB3571" w:rsidRPr="00C35766">
        <w:rPr>
          <w:rFonts w:eastAsia="Times New Roman"/>
          <w:lang w:val="it-IT"/>
        </w:rPr>
        <w:t>un sanguinamento</w:t>
      </w:r>
      <w:r w:rsidRPr="00C35766">
        <w:rPr>
          <w:rFonts w:eastAsia="Times New Roman"/>
          <w:lang w:val="it-IT"/>
        </w:rPr>
        <w:t>. Il medico potrebbe decidere di interrompere la terapia. Nel caso in cui lei abbia febbre persistente, lividi o facilità di sanguinamento o pallore, si rivolga immediatamente al medico.</w:t>
      </w:r>
    </w:p>
    <w:p w14:paraId="40076499" w14:textId="77777777" w:rsidR="00953B2E" w:rsidRPr="00C35766" w:rsidRDefault="00953B2E">
      <w:pPr>
        <w:pStyle w:val="a3"/>
        <w:rPr>
          <w:u w:val="single"/>
          <w:lang w:val="it-IT"/>
        </w:rPr>
      </w:pPr>
    </w:p>
    <w:p w14:paraId="76AB132D" w14:textId="77777777" w:rsidR="00953B2E" w:rsidRPr="00C35766" w:rsidRDefault="005F0C19">
      <w:pPr>
        <w:pStyle w:val="a3"/>
        <w:rPr>
          <w:u w:val="single"/>
        </w:rPr>
      </w:pPr>
      <w:r w:rsidRPr="00C35766">
        <w:rPr>
          <w:rFonts w:eastAsia="Times New Roman"/>
          <w:u w:val="single"/>
          <w:lang w:val="it-IT"/>
        </w:rPr>
        <w:t>Tumore</w:t>
      </w:r>
    </w:p>
    <w:p w14:paraId="1C0B9E22" w14:textId="77777777" w:rsidR="00953B2E" w:rsidRPr="00C35766" w:rsidRDefault="00953B2E">
      <w:pPr>
        <w:pStyle w:val="a3"/>
        <w:rPr>
          <w:u w:val="single"/>
        </w:rPr>
      </w:pPr>
    </w:p>
    <w:p w14:paraId="04BE50B4" w14:textId="77777777" w:rsidR="00953B2E" w:rsidRPr="00C35766" w:rsidRDefault="005F0C19">
      <w:pPr>
        <w:pStyle w:val="a3"/>
        <w:numPr>
          <w:ilvl w:val="1"/>
          <w:numId w:val="4"/>
        </w:numPr>
        <w:ind w:left="660" w:hanging="660"/>
        <w:rPr>
          <w:lang w:val="it-IT"/>
        </w:rPr>
      </w:pPr>
      <w:r w:rsidRPr="00C35766">
        <w:rPr>
          <w:rFonts w:eastAsia="Times New Roman"/>
          <w:lang w:val="it-IT"/>
        </w:rPr>
        <w:t>Nei pazienti, sia bambini sia adulti, sottoposti a trattamento con Yuflyma o con altri farmaci anti-TNF, si sono manifestati molto raramente alcuni tipi di tumori.</w:t>
      </w:r>
    </w:p>
    <w:p w14:paraId="142AAE69" w14:textId="77777777" w:rsidR="00953B2E" w:rsidRPr="00C35766" w:rsidRDefault="00953B2E">
      <w:pPr>
        <w:pStyle w:val="a3"/>
        <w:rPr>
          <w:lang w:val="it-IT"/>
        </w:rPr>
      </w:pPr>
    </w:p>
    <w:p w14:paraId="44719B48" w14:textId="77777777" w:rsidR="00953B2E" w:rsidRPr="00C35766" w:rsidRDefault="005F0C19">
      <w:pPr>
        <w:pStyle w:val="a3"/>
        <w:numPr>
          <w:ilvl w:val="1"/>
          <w:numId w:val="4"/>
        </w:numPr>
        <w:ind w:left="998" w:hanging="340"/>
        <w:rPr>
          <w:lang w:val="it-IT"/>
        </w:rPr>
      </w:pPr>
      <w:r w:rsidRPr="00C35766">
        <w:rPr>
          <w:rFonts w:eastAsia="Times New Roman"/>
          <w:lang w:val="it-IT"/>
        </w:rPr>
        <w:t>I pazienti con artrite reumatoide di grave entità da molto tempo possono presentare un rischio superiore alla media di sviluppare un linfoma (un tumore che colpisce il sistema linfatico) e leucemia (un tumore che colpisce il sangue e il midollo osseo).</w:t>
      </w:r>
    </w:p>
    <w:p w14:paraId="555EE848" w14:textId="77777777" w:rsidR="00953B2E" w:rsidRPr="00C35766" w:rsidRDefault="005F0C19">
      <w:pPr>
        <w:pStyle w:val="a3"/>
        <w:numPr>
          <w:ilvl w:val="1"/>
          <w:numId w:val="4"/>
        </w:numPr>
        <w:ind w:left="998" w:hanging="340"/>
        <w:rPr>
          <w:lang w:val="it-IT"/>
        </w:rPr>
      </w:pPr>
      <w:r w:rsidRPr="00C35766">
        <w:rPr>
          <w:rFonts w:eastAsia="Times New Roman"/>
          <w:lang w:val="it-IT"/>
        </w:rPr>
        <w:t>Se lei assume Yuflyma, il rischio di contrarre linfomi, leucemia o altri tumori può aumentare. In rare circostanze, nei pazienti sottoposti a terapia con Yuflyma, è stato osservato un tipo non comune e grave di linfoma. Alcuni di questi pazienti erano anche in terapia con azatioprina o 6-mercaptopurina.</w:t>
      </w:r>
    </w:p>
    <w:p w14:paraId="3501E4CE" w14:textId="77777777" w:rsidR="00953B2E" w:rsidRPr="00C35766" w:rsidRDefault="005F0C19">
      <w:pPr>
        <w:pStyle w:val="a3"/>
        <w:numPr>
          <w:ilvl w:val="1"/>
          <w:numId w:val="4"/>
        </w:numPr>
        <w:ind w:left="998" w:hanging="340"/>
        <w:rPr>
          <w:lang w:val="it-IT"/>
        </w:rPr>
      </w:pPr>
      <w:r w:rsidRPr="00C35766">
        <w:rPr>
          <w:rFonts w:eastAsia="Times New Roman"/>
          <w:lang w:val="it-IT"/>
        </w:rPr>
        <w:t>Avvisi il medico se sta assumendo azatioprina o 6-mercaptopurina con Yuflyma.</w:t>
      </w:r>
    </w:p>
    <w:p w14:paraId="24B373BA" w14:textId="77777777" w:rsidR="00953B2E" w:rsidRPr="00C35766" w:rsidRDefault="005F0C19">
      <w:pPr>
        <w:pStyle w:val="a3"/>
        <w:numPr>
          <w:ilvl w:val="1"/>
          <w:numId w:val="4"/>
        </w:numPr>
        <w:ind w:left="998" w:hanging="340"/>
        <w:rPr>
          <w:lang w:val="pt-BR"/>
        </w:rPr>
      </w:pPr>
      <w:r w:rsidRPr="00C35766">
        <w:rPr>
          <w:rFonts w:eastAsia="Times New Roman"/>
          <w:lang w:val="it-IT"/>
        </w:rPr>
        <w:t>Nei pazienti che assumono Yuflyma, sono stati osservati casi di carcinoma cutaneo non melanotico.</w:t>
      </w:r>
    </w:p>
    <w:p w14:paraId="136B6597" w14:textId="77777777" w:rsidR="00953B2E" w:rsidRPr="00C35766" w:rsidRDefault="005F0C19">
      <w:pPr>
        <w:pStyle w:val="a3"/>
        <w:numPr>
          <w:ilvl w:val="1"/>
          <w:numId w:val="4"/>
        </w:numPr>
        <w:ind w:left="998" w:hanging="340"/>
        <w:rPr>
          <w:lang w:val="pt-BR"/>
        </w:rPr>
      </w:pPr>
      <w:r w:rsidRPr="00C35766">
        <w:rPr>
          <w:rFonts w:eastAsia="Times New Roman"/>
          <w:lang w:val="it-IT"/>
        </w:rPr>
        <w:t>Se dovessero comparire nuove lesioni cutanee nel corso della terapia o successivamente ad essa o se l’aspetto delle lesioni già esistenti si dovesse modificare, lo riferisca al medico.</w:t>
      </w:r>
    </w:p>
    <w:p w14:paraId="1A24FC1E" w14:textId="77777777" w:rsidR="00953B2E" w:rsidRPr="00C35766" w:rsidRDefault="00953B2E">
      <w:pPr>
        <w:pStyle w:val="a3"/>
        <w:rPr>
          <w:lang w:val="pt-BR"/>
        </w:rPr>
      </w:pPr>
    </w:p>
    <w:p w14:paraId="17E8CF76" w14:textId="54843B74" w:rsidR="00953B2E" w:rsidRPr="00C35766" w:rsidRDefault="005F0C19">
      <w:pPr>
        <w:pStyle w:val="a3"/>
        <w:numPr>
          <w:ilvl w:val="1"/>
          <w:numId w:val="4"/>
        </w:numPr>
        <w:ind w:left="660" w:hanging="660"/>
        <w:rPr>
          <w:lang w:val="it-IT"/>
        </w:rPr>
      </w:pPr>
      <w:r w:rsidRPr="00C35766">
        <w:rPr>
          <w:rFonts w:eastAsia="Times New Roman"/>
          <w:lang w:val="it-IT"/>
        </w:rPr>
        <w:t xml:space="preserve">Ci sono stati casi di </w:t>
      </w:r>
      <w:r w:rsidR="00FB3571" w:rsidRPr="00C35766">
        <w:rPr>
          <w:rFonts w:eastAsia="Times New Roman"/>
          <w:lang w:val="it-IT"/>
        </w:rPr>
        <w:t>tumori</w:t>
      </w:r>
      <w:r w:rsidRPr="00C35766">
        <w:rPr>
          <w:rFonts w:eastAsia="Times New Roman"/>
          <w:lang w:val="it-IT"/>
        </w:rPr>
        <w:t>, oltre al linfoma, in pazienti con uno specifico tipo di malattia del polmone chiamata Malattia Polmonare Cronica Ostruttiva (COPD) trattati con un altro anti-TNF. Se soffre di COPD, o fuma molto, deve discutere con il medico se è appropriato il trattamento con un anti-TNF.</w:t>
      </w:r>
    </w:p>
    <w:p w14:paraId="596B9D0F" w14:textId="77777777" w:rsidR="00953B2E" w:rsidRPr="00C35766" w:rsidRDefault="00953B2E">
      <w:pPr>
        <w:spacing w:before="11" w:line="240" w:lineRule="exact"/>
        <w:rPr>
          <w:rFonts w:ascii="Times New Roman" w:hAnsi="Times New Roman" w:cs="Times New Roman"/>
          <w:sz w:val="24"/>
          <w:szCs w:val="24"/>
          <w:lang w:val="it-IT"/>
        </w:rPr>
      </w:pPr>
    </w:p>
    <w:p w14:paraId="10753553" w14:textId="77777777" w:rsidR="00953B2E" w:rsidRPr="00C35766" w:rsidRDefault="005F0C19">
      <w:pPr>
        <w:pStyle w:val="a3"/>
        <w:rPr>
          <w:u w:val="single"/>
        </w:rPr>
      </w:pPr>
      <w:r w:rsidRPr="00C35766">
        <w:rPr>
          <w:rFonts w:eastAsia="Times New Roman"/>
          <w:u w:val="single" w:color="000000"/>
          <w:lang w:val="it-IT"/>
        </w:rPr>
        <w:t>Malattia autoimmune</w:t>
      </w:r>
    </w:p>
    <w:p w14:paraId="7B8B61B4" w14:textId="77777777" w:rsidR="00953B2E" w:rsidRPr="00C35766" w:rsidRDefault="00953B2E">
      <w:pPr>
        <w:spacing w:before="4" w:line="190" w:lineRule="exact"/>
        <w:rPr>
          <w:rFonts w:ascii="Times New Roman" w:hAnsi="Times New Roman" w:cs="Times New Roman"/>
          <w:sz w:val="19"/>
          <w:szCs w:val="19"/>
        </w:rPr>
      </w:pPr>
    </w:p>
    <w:p w14:paraId="2D302B35" w14:textId="76450354" w:rsidR="00953B2E" w:rsidRPr="00C35766" w:rsidRDefault="005F0C19">
      <w:pPr>
        <w:pStyle w:val="a3"/>
        <w:numPr>
          <w:ilvl w:val="1"/>
          <w:numId w:val="4"/>
        </w:numPr>
        <w:ind w:left="660" w:hanging="660"/>
        <w:rPr>
          <w:lang w:val="it-IT"/>
        </w:rPr>
      </w:pPr>
      <w:r w:rsidRPr="00C35766">
        <w:rPr>
          <w:rFonts w:eastAsia="Times New Roman"/>
          <w:lang w:val="it-IT"/>
        </w:rPr>
        <w:t xml:space="preserve">Raramente, il trattamento con Yuflyma può portare alla manifestazione di una sindrome simile al lupus. Informi il medico qualora si manifestino sintomi come eruzione cutanea persistente di natura inspiegabile, febbre, dolore alle articolazioni o </w:t>
      </w:r>
      <w:r w:rsidR="00FB3571" w:rsidRPr="00C35766">
        <w:rPr>
          <w:rFonts w:eastAsia="Times New Roman"/>
          <w:lang w:val="it-IT"/>
        </w:rPr>
        <w:t>stanchezza</w:t>
      </w:r>
      <w:r w:rsidRPr="00C35766">
        <w:rPr>
          <w:rFonts w:eastAsia="Times New Roman"/>
          <w:lang w:val="it-IT"/>
        </w:rPr>
        <w:t>.</w:t>
      </w:r>
    </w:p>
    <w:p w14:paraId="2BF64AA0" w14:textId="77777777" w:rsidR="00953B2E" w:rsidRPr="00C35766" w:rsidRDefault="00953B2E">
      <w:pPr>
        <w:spacing w:before="15" w:line="240" w:lineRule="exact"/>
        <w:rPr>
          <w:rFonts w:ascii="Times New Roman" w:hAnsi="Times New Roman" w:cs="Times New Roman"/>
          <w:sz w:val="24"/>
          <w:szCs w:val="24"/>
          <w:lang w:val="it-IT"/>
        </w:rPr>
      </w:pPr>
    </w:p>
    <w:p w14:paraId="2299A2B6" w14:textId="77777777" w:rsidR="00953B2E" w:rsidRPr="00E22C29" w:rsidRDefault="005F0C19" w:rsidP="00C0539A">
      <w:pPr>
        <w:pStyle w:val="a3"/>
        <w:keepNext/>
        <w:rPr>
          <w:rFonts w:eastAsia="Times New Roman"/>
          <w:b/>
          <w:bCs/>
          <w:lang w:val="it-IT"/>
        </w:rPr>
      </w:pPr>
      <w:r w:rsidRPr="00E22C29">
        <w:rPr>
          <w:rFonts w:eastAsia="Times New Roman"/>
          <w:b/>
          <w:bCs/>
          <w:lang w:val="it-IT"/>
        </w:rPr>
        <w:lastRenderedPageBreak/>
        <w:t>Bambini e adolescenti</w:t>
      </w:r>
    </w:p>
    <w:p w14:paraId="7B03D7A3" w14:textId="77777777" w:rsidR="00953B2E" w:rsidRPr="00C35766" w:rsidRDefault="00953B2E" w:rsidP="00C0539A">
      <w:pPr>
        <w:keepNext/>
        <w:spacing w:before="10" w:line="240" w:lineRule="exact"/>
        <w:rPr>
          <w:rFonts w:ascii="Times New Roman" w:hAnsi="Times New Roman" w:cs="Times New Roman"/>
          <w:sz w:val="24"/>
          <w:szCs w:val="24"/>
        </w:rPr>
      </w:pPr>
    </w:p>
    <w:p w14:paraId="5D7478E8" w14:textId="77777777" w:rsidR="00953B2E" w:rsidRPr="00C35766" w:rsidRDefault="005F0C19">
      <w:pPr>
        <w:pStyle w:val="a3"/>
        <w:numPr>
          <w:ilvl w:val="1"/>
          <w:numId w:val="4"/>
        </w:numPr>
        <w:ind w:left="660" w:hanging="660"/>
        <w:rPr>
          <w:lang w:val="it-IT"/>
        </w:rPr>
      </w:pPr>
      <w:r w:rsidRPr="00C35766">
        <w:rPr>
          <w:rFonts w:eastAsia="Times New Roman"/>
          <w:lang w:val="it-IT"/>
        </w:rPr>
        <w:t>Vaccinazioni: se possibile i bambini dovrebbero avere già fatto tutte le vaccinazioni prima di usare Yuflyma.</w:t>
      </w:r>
    </w:p>
    <w:p w14:paraId="584F3D50" w14:textId="77777777" w:rsidR="00953B2E" w:rsidRPr="00C35766" w:rsidRDefault="00953B2E" w:rsidP="00C0539A">
      <w:pPr>
        <w:pStyle w:val="a3"/>
        <w:numPr>
          <w:ilvl w:val="0"/>
          <w:numId w:val="0"/>
        </w:numPr>
        <w:rPr>
          <w:b/>
          <w:lang w:val="it-IT"/>
        </w:rPr>
      </w:pPr>
    </w:p>
    <w:p w14:paraId="72F00884" w14:textId="77777777" w:rsidR="00953B2E" w:rsidRPr="00C35766" w:rsidRDefault="005F0C19">
      <w:pPr>
        <w:pStyle w:val="a3"/>
        <w:rPr>
          <w:b/>
          <w:lang w:val="pt-BR"/>
        </w:rPr>
      </w:pPr>
      <w:r w:rsidRPr="00C35766">
        <w:rPr>
          <w:rFonts w:eastAsia="Times New Roman"/>
          <w:b/>
          <w:bCs/>
          <w:lang w:val="it-IT"/>
        </w:rPr>
        <w:t>Altri medicinali e Yuflyma</w:t>
      </w:r>
    </w:p>
    <w:p w14:paraId="7D83A3B7" w14:textId="77777777" w:rsidR="00953B2E" w:rsidRPr="00C35766" w:rsidRDefault="00953B2E">
      <w:pPr>
        <w:pStyle w:val="a3"/>
        <w:rPr>
          <w:b/>
          <w:lang w:val="pt-BR"/>
        </w:rPr>
      </w:pPr>
    </w:p>
    <w:p w14:paraId="3E2C95BF" w14:textId="25785301" w:rsidR="00953B2E" w:rsidRPr="00C35766" w:rsidRDefault="005F0C19">
      <w:pPr>
        <w:pStyle w:val="a3"/>
        <w:rPr>
          <w:lang w:val="it-IT"/>
        </w:rPr>
      </w:pPr>
      <w:r w:rsidRPr="00C35766">
        <w:rPr>
          <w:rFonts w:eastAsia="Times New Roman"/>
          <w:lang w:val="it-IT"/>
        </w:rPr>
        <w:t>Informi il medico o il farmacista se sta assumendo, ha recentemente assunto o potrebbe assumere qualsiasi altro medicinale. Non usi Yuflyma con medicinali che contengono i seguenti principi attivi a causa del rischio aumentato di avere infezioni gravi:</w:t>
      </w:r>
    </w:p>
    <w:p w14:paraId="4F799A60" w14:textId="77777777" w:rsidR="00953B2E" w:rsidRPr="00C35766" w:rsidRDefault="00953B2E">
      <w:pPr>
        <w:pStyle w:val="a3"/>
        <w:rPr>
          <w:lang w:val="it-IT"/>
        </w:rPr>
      </w:pPr>
    </w:p>
    <w:p w14:paraId="0724347D" w14:textId="77777777" w:rsidR="00953B2E" w:rsidRPr="00C35766" w:rsidRDefault="005F0C19">
      <w:pPr>
        <w:pStyle w:val="a3"/>
        <w:numPr>
          <w:ilvl w:val="1"/>
          <w:numId w:val="4"/>
        </w:numPr>
        <w:ind w:left="660" w:hanging="660"/>
      </w:pPr>
      <w:r w:rsidRPr="00C35766">
        <w:rPr>
          <w:rFonts w:eastAsia="Times New Roman"/>
          <w:lang w:val="it-IT"/>
        </w:rPr>
        <w:t>anakinra</w:t>
      </w:r>
    </w:p>
    <w:p w14:paraId="12FE4A33" w14:textId="77777777" w:rsidR="00953B2E" w:rsidRPr="00C35766" w:rsidRDefault="005F0C19">
      <w:pPr>
        <w:pStyle w:val="a3"/>
        <w:numPr>
          <w:ilvl w:val="1"/>
          <w:numId w:val="4"/>
        </w:numPr>
        <w:ind w:left="660" w:hanging="660"/>
      </w:pPr>
      <w:r w:rsidRPr="00C35766">
        <w:rPr>
          <w:rFonts w:eastAsia="Times New Roman"/>
          <w:lang w:val="it-IT"/>
        </w:rPr>
        <w:t>abatacept.</w:t>
      </w:r>
    </w:p>
    <w:p w14:paraId="40712F24" w14:textId="77777777" w:rsidR="00953B2E" w:rsidRPr="00C35766" w:rsidRDefault="00953B2E">
      <w:pPr>
        <w:pStyle w:val="a3"/>
      </w:pPr>
    </w:p>
    <w:p w14:paraId="512A3CC9" w14:textId="77777777" w:rsidR="00953B2E" w:rsidRPr="00C35766" w:rsidRDefault="005F0C19">
      <w:pPr>
        <w:pStyle w:val="a3"/>
        <w:rPr>
          <w:lang w:val="pt-BR"/>
        </w:rPr>
      </w:pPr>
      <w:r w:rsidRPr="00C35766">
        <w:rPr>
          <w:rFonts w:eastAsia="Times New Roman"/>
          <w:lang w:val="it-IT"/>
        </w:rPr>
        <w:t>Yuflyma può essere assunto con:</w:t>
      </w:r>
    </w:p>
    <w:p w14:paraId="5C6ADA83" w14:textId="77777777" w:rsidR="00953B2E" w:rsidRPr="00C35766" w:rsidRDefault="005F0C19">
      <w:pPr>
        <w:pStyle w:val="a3"/>
        <w:numPr>
          <w:ilvl w:val="1"/>
          <w:numId w:val="4"/>
        </w:numPr>
        <w:ind w:left="660" w:hanging="660"/>
      </w:pPr>
      <w:r w:rsidRPr="00C35766">
        <w:rPr>
          <w:rFonts w:eastAsia="Times New Roman"/>
          <w:lang w:val="it-IT"/>
        </w:rPr>
        <w:t>metotressato</w:t>
      </w:r>
    </w:p>
    <w:p w14:paraId="0A4DB839" w14:textId="77777777" w:rsidR="00953B2E" w:rsidRPr="00C35766" w:rsidRDefault="005F0C19">
      <w:pPr>
        <w:pStyle w:val="a3"/>
        <w:numPr>
          <w:ilvl w:val="1"/>
          <w:numId w:val="4"/>
        </w:numPr>
        <w:ind w:left="660" w:hanging="660"/>
        <w:rPr>
          <w:lang w:val="pt-BR"/>
        </w:rPr>
      </w:pPr>
      <w:r w:rsidRPr="00C35766">
        <w:rPr>
          <w:rFonts w:eastAsia="Times New Roman"/>
          <w:lang w:val="it-IT"/>
        </w:rPr>
        <w:t>altri farmaci antireumatici modificanti la malattia (ad esempio sulfasalazina, idrossiclorochina, leflunomide e sali d’oro per via parenterale)</w:t>
      </w:r>
    </w:p>
    <w:p w14:paraId="62A11402" w14:textId="77777777" w:rsidR="00953B2E" w:rsidRPr="00C35766" w:rsidRDefault="005F0C19">
      <w:pPr>
        <w:pStyle w:val="a3"/>
        <w:numPr>
          <w:ilvl w:val="1"/>
          <w:numId w:val="4"/>
        </w:numPr>
        <w:ind w:left="660" w:hanging="660"/>
        <w:rPr>
          <w:lang w:val="it-IT"/>
        </w:rPr>
      </w:pPr>
      <w:r w:rsidRPr="00C35766">
        <w:rPr>
          <w:rFonts w:eastAsia="Times New Roman"/>
          <w:lang w:val="it-IT"/>
        </w:rPr>
        <w:t>steroidi o analgesici, compresi i farmaci anti-infiammatori non steroidei (FANS).</w:t>
      </w:r>
    </w:p>
    <w:p w14:paraId="58897E7F" w14:textId="77777777" w:rsidR="00953B2E" w:rsidRPr="00C35766" w:rsidRDefault="00953B2E">
      <w:pPr>
        <w:pStyle w:val="a3"/>
        <w:rPr>
          <w:lang w:val="it-IT"/>
        </w:rPr>
      </w:pPr>
    </w:p>
    <w:p w14:paraId="2DC6ABF3" w14:textId="77777777" w:rsidR="00953B2E" w:rsidRPr="00C35766" w:rsidRDefault="005F0C19">
      <w:pPr>
        <w:pStyle w:val="a3"/>
        <w:rPr>
          <w:lang w:val="es-ES"/>
        </w:rPr>
      </w:pPr>
      <w:r w:rsidRPr="00C35766">
        <w:rPr>
          <w:rFonts w:eastAsia="Times New Roman"/>
          <w:lang w:val="it-IT"/>
        </w:rPr>
        <w:t>Se ha dubbi, si rivolga al medico.</w:t>
      </w:r>
    </w:p>
    <w:p w14:paraId="39BF4CA3" w14:textId="77777777" w:rsidR="00953B2E" w:rsidRPr="00C35766" w:rsidRDefault="00953B2E">
      <w:pPr>
        <w:spacing w:before="18" w:line="240" w:lineRule="exact"/>
        <w:rPr>
          <w:rFonts w:ascii="Times New Roman" w:hAnsi="Times New Roman" w:cs="Times New Roman"/>
          <w:sz w:val="24"/>
          <w:szCs w:val="24"/>
          <w:lang w:val="es-ES"/>
        </w:rPr>
      </w:pPr>
    </w:p>
    <w:p w14:paraId="7AEBEE5D" w14:textId="77777777" w:rsidR="00953B2E" w:rsidRPr="00C35766" w:rsidRDefault="005F0C19">
      <w:pPr>
        <w:pStyle w:val="a3"/>
        <w:rPr>
          <w:b/>
        </w:rPr>
      </w:pPr>
      <w:r w:rsidRPr="00C35766">
        <w:rPr>
          <w:rFonts w:eastAsia="Times New Roman"/>
          <w:b/>
          <w:bCs/>
          <w:lang w:val="it-IT"/>
        </w:rPr>
        <w:t>Gravidanza e allattamento</w:t>
      </w:r>
    </w:p>
    <w:p w14:paraId="48246E3B" w14:textId="77777777" w:rsidR="00953B2E" w:rsidRPr="00C35766" w:rsidRDefault="00953B2E">
      <w:pPr>
        <w:spacing w:before="9" w:line="260" w:lineRule="exact"/>
        <w:rPr>
          <w:rFonts w:ascii="Times New Roman" w:hAnsi="Times New Roman" w:cs="Times New Roman"/>
          <w:sz w:val="26"/>
          <w:szCs w:val="26"/>
        </w:rPr>
      </w:pPr>
    </w:p>
    <w:p w14:paraId="38A59E6F" w14:textId="77777777" w:rsidR="00953B2E" w:rsidRPr="00C35766" w:rsidRDefault="005F0C19">
      <w:pPr>
        <w:pStyle w:val="a3"/>
        <w:numPr>
          <w:ilvl w:val="1"/>
          <w:numId w:val="4"/>
        </w:numPr>
        <w:ind w:left="660" w:hanging="660"/>
        <w:rPr>
          <w:lang w:val="it-IT"/>
        </w:rPr>
      </w:pPr>
      <w:r w:rsidRPr="00C35766">
        <w:rPr>
          <w:rFonts w:eastAsia="Times New Roman"/>
          <w:lang w:val="it-IT"/>
        </w:rPr>
        <w:t>Deve considerare l’utilizzo di un’adeguata misura contraccettiva per prevenire una gravidanza e continuarne l’utilizzo per almeno 5 mesi dopo l’ultima terapia con Yuflyma.</w:t>
      </w:r>
    </w:p>
    <w:p w14:paraId="44BBC95D" w14:textId="77777777" w:rsidR="00953B2E" w:rsidRPr="00C35766" w:rsidRDefault="005F0C19">
      <w:pPr>
        <w:pStyle w:val="a3"/>
        <w:numPr>
          <w:ilvl w:val="1"/>
          <w:numId w:val="4"/>
        </w:numPr>
        <w:ind w:left="660" w:hanging="660"/>
        <w:rPr>
          <w:lang w:val="es-ES"/>
        </w:rPr>
      </w:pPr>
      <w:r w:rsidRPr="00C35766">
        <w:rPr>
          <w:rFonts w:eastAsia="Times New Roman"/>
          <w:lang w:val="it-IT"/>
        </w:rPr>
        <w:t>Se è in corso una gravidanza, se sospetta o sta pianificando una gravidanza chieda consiglio al suo medico circa l’assunzione di questo medicinale.</w:t>
      </w:r>
    </w:p>
    <w:p w14:paraId="7328C1BC" w14:textId="77777777" w:rsidR="00953B2E" w:rsidRPr="00C35766" w:rsidRDefault="005F0C19">
      <w:pPr>
        <w:pStyle w:val="a3"/>
        <w:numPr>
          <w:ilvl w:val="1"/>
          <w:numId w:val="4"/>
        </w:numPr>
        <w:ind w:left="660" w:hanging="660"/>
        <w:rPr>
          <w:lang w:val="it-IT"/>
        </w:rPr>
      </w:pPr>
      <w:r w:rsidRPr="00C35766">
        <w:rPr>
          <w:rFonts w:eastAsia="Times New Roman"/>
          <w:lang w:val="it-IT"/>
        </w:rPr>
        <w:t>Yuflyma deve essere usato durante la gravidanza solo se necessario.</w:t>
      </w:r>
    </w:p>
    <w:p w14:paraId="7D9D380A" w14:textId="77777777" w:rsidR="00953B2E" w:rsidRPr="00C35766" w:rsidRDefault="005F0C19">
      <w:pPr>
        <w:pStyle w:val="a3"/>
        <w:numPr>
          <w:ilvl w:val="1"/>
          <w:numId w:val="4"/>
        </w:numPr>
        <w:ind w:left="660" w:hanging="660"/>
        <w:rPr>
          <w:lang w:val="it-IT"/>
        </w:rPr>
      </w:pPr>
      <w:r w:rsidRPr="00C35766">
        <w:rPr>
          <w:rFonts w:eastAsia="Times New Roman"/>
          <w:lang w:val="it-IT"/>
        </w:rPr>
        <w:t>Secondo uno studio sulla gravidanza, non è stato riscontrato un rischio maggiore di difetti alla nascita quando la madre aveva ricevuto Yuflyma durante la gravidanza, rispetto a madri che avevano la stessa patologia ma che non avevano ricevuto Yuflyma.</w:t>
      </w:r>
    </w:p>
    <w:p w14:paraId="137BC375" w14:textId="77777777" w:rsidR="00953B2E" w:rsidRPr="00C35766" w:rsidRDefault="005F0C19">
      <w:pPr>
        <w:pStyle w:val="a3"/>
        <w:numPr>
          <w:ilvl w:val="1"/>
          <w:numId w:val="4"/>
        </w:numPr>
        <w:ind w:left="660" w:hanging="660"/>
        <w:rPr>
          <w:lang w:val="it-IT"/>
        </w:rPr>
      </w:pPr>
      <w:r w:rsidRPr="00C35766">
        <w:rPr>
          <w:rFonts w:eastAsia="Times New Roman"/>
          <w:lang w:val="it-IT"/>
        </w:rPr>
        <w:t>Yuflyma può essere usato durante l’allattamento con latte materno.</w:t>
      </w:r>
    </w:p>
    <w:p w14:paraId="0E0621AB" w14:textId="77777777" w:rsidR="00953B2E" w:rsidRPr="00C35766" w:rsidRDefault="005F0C19">
      <w:pPr>
        <w:pStyle w:val="a3"/>
        <w:numPr>
          <w:ilvl w:val="1"/>
          <w:numId w:val="4"/>
        </w:numPr>
        <w:ind w:left="660" w:hanging="660"/>
        <w:rPr>
          <w:lang w:val="it-IT"/>
        </w:rPr>
      </w:pPr>
      <w:r w:rsidRPr="00C35766">
        <w:rPr>
          <w:rFonts w:eastAsia="Times New Roman"/>
          <w:lang w:val="it-IT"/>
        </w:rPr>
        <w:t>Se assume Yuflyma durante la gravidanza, il bambino potrebbe avere un maggior rischio di contrarre un’infezione.</w:t>
      </w:r>
    </w:p>
    <w:p w14:paraId="1C465F83" w14:textId="70E2ECC2" w:rsidR="00953B2E" w:rsidRPr="00C35766" w:rsidRDefault="005F0C19">
      <w:pPr>
        <w:pStyle w:val="a3"/>
        <w:numPr>
          <w:ilvl w:val="1"/>
          <w:numId w:val="4"/>
        </w:numPr>
        <w:ind w:left="660" w:hanging="660"/>
        <w:rPr>
          <w:lang w:val="it-IT"/>
        </w:rPr>
      </w:pPr>
      <w:r w:rsidRPr="00C35766">
        <w:rPr>
          <w:rFonts w:eastAsia="Times New Roman"/>
          <w:lang w:val="it-IT"/>
        </w:rPr>
        <w:t xml:space="preserve">È importante che lei riferisca al pediatra o ad altro operatore sanitario del suo utilizzo di Yuflyma durante la gravidanza, prima che il bambino riceva qualsiasi tipo di vaccinazione.  Per ulteriori informazioni sulle vaccinazioni consulti </w:t>
      </w:r>
      <w:r w:rsidR="00C66441">
        <w:rPr>
          <w:rFonts w:eastAsia="Times New Roman"/>
          <w:lang w:val="it-IT"/>
        </w:rPr>
        <w:t>il paragrafo</w:t>
      </w:r>
      <w:r w:rsidRPr="00C35766">
        <w:rPr>
          <w:rFonts w:eastAsia="Times New Roman"/>
          <w:lang w:val="it-IT"/>
        </w:rPr>
        <w:t xml:space="preserve"> “Avvertenze e precauzioni”.</w:t>
      </w:r>
    </w:p>
    <w:p w14:paraId="52CAD584" w14:textId="77777777" w:rsidR="00953B2E" w:rsidRPr="00C35766" w:rsidRDefault="00953B2E">
      <w:pPr>
        <w:spacing w:before="15" w:line="240" w:lineRule="exact"/>
        <w:rPr>
          <w:rFonts w:ascii="Times New Roman" w:hAnsi="Times New Roman" w:cs="Times New Roman"/>
          <w:b/>
          <w:sz w:val="24"/>
          <w:lang w:val="it-IT"/>
        </w:rPr>
      </w:pPr>
    </w:p>
    <w:p w14:paraId="4A6E1A3F" w14:textId="77777777" w:rsidR="00953B2E" w:rsidRPr="00C35766" w:rsidRDefault="005F0C19">
      <w:pPr>
        <w:pStyle w:val="a3"/>
        <w:rPr>
          <w:b/>
          <w:lang w:val="pt-BR"/>
        </w:rPr>
      </w:pPr>
      <w:r w:rsidRPr="00C35766">
        <w:rPr>
          <w:rFonts w:eastAsia="Times New Roman"/>
          <w:b/>
          <w:bCs/>
          <w:lang w:val="it-IT"/>
        </w:rPr>
        <w:t>Guida di veicoli e utilizzo di macchinari</w:t>
      </w:r>
    </w:p>
    <w:p w14:paraId="7CF1AEEF" w14:textId="77777777" w:rsidR="00953B2E" w:rsidRPr="00C35766" w:rsidRDefault="00953B2E">
      <w:pPr>
        <w:spacing w:before="12" w:line="240" w:lineRule="exact"/>
        <w:rPr>
          <w:rFonts w:ascii="Times New Roman" w:hAnsi="Times New Roman" w:cs="Times New Roman"/>
          <w:sz w:val="24"/>
          <w:szCs w:val="24"/>
          <w:lang w:val="pt-BR"/>
        </w:rPr>
      </w:pPr>
    </w:p>
    <w:p w14:paraId="5ED11509" w14:textId="4CA1BF65" w:rsidR="00953B2E" w:rsidRPr="00C35766" w:rsidRDefault="005F0C19">
      <w:pPr>
        <w:pStyle w:val="a3"/>
        <w:rPr>
          <w:lang w:val="pt-BR"/>
        </w:rPr>
      </w:pPr>
      <w:r w:rsidRPr="00C35766">
        <w:rPr>
          <w:rFonts w:eastAsia="Times New Roman"/>
          <w:lang w:val="it-IT"/>
        </w:rPr>
        <w:t xml:space="preserve">Yuflyma può avere un </w:t>
      </w:r>
      <w:r w:rsidR="00006AFE">
        <w:rPr>
          <w:rFonts w:eastAsia="Times New Roman"/>
          <w:lang w:val="it-IT"/>
        </w:rPr>
        <w:t>lieve</w:t>
      </w:r>
      <w:r w:rsidR="00006AFE" w:rsidRPr="00C35766">
        <w:rPr>
          <w:rFonts w:eastAsia="Times New Roman"/>
          <w:lang w:val="it-IT"/>
        </w:rPr>
        <w:t xml:space="preserve"> </w:t>
      </w:r>
      <w:r w:rsidRPr="00C35766">
        <w:rPr>
          <w:rFonts w:eastAsia="Times New Roman"/>
          <w:lang w:val="it-IT"/>
        </w:rPr>
        <w:t>effetto sulla sua capacità di guidare, andare in bicicletta o utilizzare macchinari. In seguito all’assunzione di Yuflyma, si possono avere disturbi della vista e la sensazione che l’ambiente in cui ci si trova ruoti.</w:t>
      </w:r>
    </w:p>
    <w:p w14:paraId="1620F12F" w14:textId="77777777" w:rsidR="00953B2E" w:rsidRPr="00C35766" w:rsidRDefault="00953B2E">
      <w:pPr>
        <w:pStyle w:val="a3"/>
        <w:rPr>
          <w:lang w:val="pt-BR"/>
        </w:rPr>
      </w:pPr>
    </w:p>
    <w:p w14:paraId="08D155AB" w14:textId="6AA66E3D" w:rsidR="00953B2E" w:rsidRPr="00C35766" w:rsidRDefault="00865BDB">
      <w:pPr>
        <w:pStyle w:val="a3"/>
        <w:rPr>
          <w:b/>
          <w:lang w:val="pt-BR"/>
        </w:rPr>
      </w:pPr>
      <w:r>
        <w:rPr>
          <w:rFonts w:hint="eastAsia"/>
          <w:b/>
          <w:bCs/>
          <w:lang w:val="it-IT" w:eastAsia="ko-KR"/>
        </w:rPr>
        <w:t>Yuflyma</w:t>
      </w:r>
      <w:r w:rsidR="005F0C19" w:rsidRPr="00C35766">
        <w:rPr>
          <w:rFonts w:eastAsia="Times New Roman"/>
          <w:b/>
          <w:bCs/>
          <w:lang w:val="it-IT"/>
        </w:rPr>
        <w:t xml:space="preserve"> contiene sodio</w:t>
      </w:r>
    </w:p>
    <w:p w14:paraId="61D0406F" w14:textId="77777777" w:rsidR="00953B2E" w:rsidRPr="00C35766" w:rsidRDefault="00953B2E">
      <w:pPr>
        <w:spacing w:before="12" w:line="240" w:lineRule="exact"/>
        <w:rPr>
          <w:rFonts w:ascii="Times New Roman" w:hAnsi="Times New Roman" w:cs="Times New Roman"/>
          <w:sz w:val="24"/>
          <w:szCs w:val="24"/>
          <w:lang w:val="pt-BR"/>
        </w:rPr>
      </w:pPr>
    </w:p>
    <w:p w14:paraId="0D44CED3" w14:textId="5139367E" w:rsidR="00953B2E" w:rsidRPr="00C35766" w:rsidRDefault="005F0C19">
      <w:pPr>
        <w:spacing w:line="200" w:lineRule="exact"/>
        <w:rPr>
          <w:rFonts w:ascii="Times New Roman" w:hAnsi="Times New Roman" w:cs="Times New Roman"/>
          <w:sz w:val="20"/>
          <w:szCs w:val="20"/>
          <w:lang w:val="pt-BR"/>
        </w:rPr>
      </w:pPr>
      <w:r w:rsidRPr="00C35766">
        <w:rPr>
          <w:rFonts w:ascii="Times New Roman" w:eastAsia="Times New Roman" w:hAnsi="Times New Roman" w:cs="Times New Roman"/>
          <w:lang w:val="it-IT"/>
        </w:rPr>
        <w:t xml:space="preserve">Questo </w:t>
      </w:r>
      <w:r w:rsidR="00F725C8">
        <w:rPr>
          <w:rFonts w:ascii="Times New Roman" w:eastAsia="Times New Roman" w:hAnsi="Times New Roman" w:cs="Times New Roman"/>
          <w:lang w:val="it-IT"/>
        </w:rPr>
        <w:t>medicinale</w:t>
      </w:r>
      <w:r w:rsidRPr="00C35766">
        <w:rPr>
          <w:rFonts w:ascii="Times New Roman" w:eastAsia="Times New Roman" w:hAnsi="Times New Roman" w:cs="Times New Roman"/>
          <w:lang w:val="it-IT"/>
        </w:rPr>
        <w:t xml:space="preserve"> contiene meno di 1 mmol di sodio (23</w:t>
      </w:r>
      <w:r w:rsidRPr="00C35766">
        <w:rPr>
          <w:rFonts w:ascii="Times New Roman" w:eastAsia="Calibri" w:hAnsi="Times New Roman" w:cs="Times New Roman"/>
          <w:lang w:val="it-IT"/>
        </w:rPr>
        <w:t> </w:t>
      </w:r>
      <w:r w:rsidRPr="00C35766">
        <w:rPr>
          <w:rFonts w:ascii="Times New Roman" w:eastAsia="Times New Roman" w:hAnsi="Times New Roman" w:cs="Times New Roman"/>
          <w:lang w:val="it-IT"/>
        </w:rPr>
        <w:t xml:space="preserve">mg) per dose da 0,4 </w:t>
      </w:r>
      <w:r w:rsidR="00331973" w:rsidRPr="00C35766">
        <w:rPr>
          <w:rFonts w:ascii="Times New Roman" w:eastAsia="Times New Roman" w:hAnsi="Times New Roman" w:cs="Times New Roman"/>
          <w:lang w:val="it-IT"/>
        </w:rPr>
        <w:t>mL</w:t>
      </w:r>
      <w:r w:rsidRPr="00C35766">
        <w:rPr>
          <w:rFonts w:ascii="Times New Roman" w:eastAsia="Times New Roman" w:hAnsi="Times New Roman" w:cs="Times New Roman"/>
          <w:lang w:val="it-IT"/>
        </w:rPr>
        <w:t xml:space="preserve">, </w:t>
      </w:r>
      <w:r w:rsidR="000775D4">
        <w:rPr>
          <w:rFonts w:ascii="Times New Roman" w:eastAsia="Times New Roman" w:hAnsi="Times New Roman" w:cs="Times New Roman"/>
          <w:lang w:val="it-IT"/>
        </w:rPr>
        <w:t>cioè</w:t>
      </w:r>
      <w:r w:rsidRPr="00C35766">
        <w:rPr>
          <w:rFonts w:ascii="Times New Roman" w:eastAsia="Times New Roman" w:hAnsi="Times New Roman" w:cs="Times New Roman"/>
          <w:lang w:val="it-IT"/>
        </w:rPr>
        <w:t xml:space="preserve"> essenzialmente “senza sodio”.</w:t>
      </w:r>
    </w:p>
    <w:p w14:paraId="23BF28BB" w14:textId="77777777" w:rsidR="00953B2E" w:rsidRPr="00C35766" w:rsidRDefault="00953B2E">
      <w:pPr>
        <w:spacing w:line="200" w:lineRule="exact"/>
        <w:rPr>
          <w:rFonts w:ascii="Times New Roman" w:hAnsi="Times New Roman" w:cs="Times New Roman"/>
          <w:sz w:val="20"/>
          <w:szCs w:val="20"/>
          <w:lang w:val="pt-BR"/>
        </w:rPr>
      </w:pPr>
    </w:p>
    <w:p w14:paraId="778A4A9F" w14:textId="77777777" w:rsidR="00953B2E" w:rsidRPr="00C35766" w:rsidRDefault="00953B2E">
      <w:pPr>
        <w:spacing w:line="200" w:lineRule="exact"/>
        <w:rPr>
          <w:rFonts w:ascii="Times New Roman" w:hAnsi="Times New Roman" w:cs="Times New Roman"/>
          <w:sz w:val="20"/>
          <w:szCs w:val="20"/>
          <w:lang w:val="pt-BR"/>
        </w:rPr>
      </w:pPr>
    </w:p>
    <w:p w14:paraId="0F5DBAEA" w14:textId="77777777" w:rsidR="00953B2E" w:rsidRPr="00C35766" w:rsidRDefault="005F0C19" w:rsidP="00787805">
      <w:pPr>
        <w:pStyle w:val="a4"/>
        <w:numPr>
          <w:ilvl w:val="0"/>
          <w:numId w:val="32"/>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t>Come usare Yuflyma</w:t>
      </w:r>
    </w:p>
    <w:p w14:paraId="19D84DF2" w14:textId="77777777" w:rsidR="00953B2E" w:rsidRPr="00C35766" w:rsidRDefault="00953B2E">
      <w:pPr>
        <w:spacing w:before="9" w:line="240" w:lineRule="exact"/>
        <w:rPr>
          <w:rFonts w:ascii="Times New Roman" w:hAnsi="Times New Roman" w:cs="Times New Roman"/>
          <w:sz w:val="24"/>
          <w:szCs w:val="24"/>
        </w:rPr>
      </w:pPr>
    </w:p>
    <w:p w14:paraId="1A32F377" w14:textId="77777777" w:rsidR="00953B2E" w:rsidRPr="00C35766" w:rsidRDefault="005F0C19">
      <w:pPr>
        <w:pStyle w:val="a3"/>
        <w:rPr>
          <w:lang w:val="es-ES"/>
        </w:rPr>
      </w:pPr>
      <w:r w:rsidRPr="00C35766">
        <w:rPr>
          <w:rFonts w:eastAsia="Times New Roman"/>
          <w:lang w:val="it-IT"/>
        </w:rPr>
        <w:t xml:space="preserve">Usi questo medicinale seguendo sempre esattamente le istruzioni del medico o del farmacista. Se ha dubbi </w:t>
      </w:r>
      <w:r w:rsidRPr="00C35766">
        <w:rPr>
          <w:rFonts w:eastAsia="Times New Roman"/>
          <w:lang w:val="it-IT"/>
        </w:rPr>
        <w:lastRenderedPageBreak/>
        <w:t>consulti il medico o il farmacista.</w:t>
      </w:r>
    </w:p>
    <w:p w14:paraId="2FB2D8B3" w14:textId="77777777" w:rsidR="00953B2E" w:rsidRPr="00C35766" w:rsidRDefault="00953B2E">
      <w:pPr>
        <w:spacing w:before="10" w:line="240" w:lineRule="exact"/>
        <w:rPr>
          <w:rFonts w:ascii="Times New Roman" w:hAnsi="Times New Roman" w:cs="Times New Roman"/>
          <w:sz w:val="24"/>
          <w:szCs w:val="24"/>
          <w:lang w:val="es-ES"/>
        </w:rPr>
      </w:pPr>
    </w:p>
    <w:p w14:paraId="7B3014E7" w14:textId="62695B0B" w:rsidR="00953B2E" w:rsidRPr="00C35766" w:rsidRDefault="00212ADE">
      <w:pPr>
        <w:pStyle w:val="a3"/>
        <w:rPr>
          <w:rFonts w:eastAsia="Times New Roman"/>
          <w:lang w:val="it-IT"/>
        </w:rPr>
      </w:pPr>
      <w:r w:rsidRPr="00824699">
        <w:rPr>
          <w:lang w:val="it-IT"/>
        </w:rPr>
        <w:t xml:space="preserve">Le dosi raccomandate di </w:t>
      </w:r>
      <w:r w:rsidR="00963203" w:rsidRPr="00824699">
        <w:rPr>
          <w:lang w:val="it-IT"/>
        </w:rPr>
        <w:t>Yuflyma</w:t>
      </w:r>
      <w:r w:rsidRPr="00824699">
        <w:rPr>
          <w:lang w:val="it-IT"/>
        </w:rPr>
        <w:t xml:space="preserve"> in ciascuna indicazione approvata sono elencate nella seguente tabella. Il medico potrebbe prescrivere un’altra concentrazione di </w:t>
      </w:r>
      <w:r w:rsidR="00963203" w:rsidRPr="00824699">
        <w:rPr>
          <w:lang w:val="it-IT"/>
        </w:rPr>
        <w:t>Yuflyma</w:t>
      </w:r>
      <w:r w:rsidRPr="00824699">
        <w:rPr>
          <w:lang w:val="it-IT"/>
        </w:rPr>
        <w:t xml:space="preserve"> se necessita di una dose differente.</w:t>
      </w:r>
    </w:p>
    <w:p w14:paraId="7E9EE5DD" w14:textId="77777777" w:rsidR="00953B2E" w:rsidRPr="00C35766" w:rsidRDefault="00953B2E">
      <w:pPr>
        <w:pStyle w:val="a3"/>
        <w:rPr>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6501B3" w14:paraId="46227240"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1BD143CB" w14:textId="6F2F7087" w:rsidR="00AC614F" w:rsidRPr="00C35766" w:rsidRDefault="00AC614F" w:rsidP="00AF25F1">
            <w:pPr>
              <w:pStyle w:val="TableParagraph"/>
              <w:spacing w:line="251"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Artrite reumatoide, artrite psoriasica, spondilite anchilosante o spondiloartrite assiale senza evidenza radiografica di spondilite anchilosante</w:t>
            </w:r>
          </w:p>
        </w:tc>
      </w:tr>
      <w:tr w:rsidR="00AC614F" w:rsidRPr="00C35766" w14:paraId="70A769B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285E13C" w14:textId="1627F3F9"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0F6477F8" w14:textId="15C75893"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1C5B2BAE"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6501B3" w14:paraId="23F3EF19"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61901BA0"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7080AA28"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130CA2FD"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Nell’artrite reumatoide</w:t>
            </w:r>
          </w:p>
          <w:p w14:paraId="66D59175" w14:textId="77777777" w:rsidR="00AC614F" w:rsidRPr="00824699" w:rsidRDefault="00AC614F" w:rsidP="00130A90">
            <w:pPr>
              <w:pStyle w:val="TableParagraph"/>
              <w:spacing w:before="1" w:line="239" w:lineRule="auto"/>
              <w:ind w:left="102" w:right="73"/>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si continua ad assumere il metotressato durante il trattamento con Yuflyma. Se il medico decide che il metotressato non è appropriato, Yuflyma può essere somministrato da solo.</w:t>
            </w:r>
          </w:p>
          <w:p w14:paraId="2A3A35A2" w14:textId="77777777" w:rsidR="00AC614F" w:rsidRPr="00824699" w:rsidRDefault="00AC614F" w:rsidP="00130A90">
            <w:pPr>
              <w:pStyle w:val="TableParagraph"/>
              <w:spacing w:before="13" w:line="240" w:lineRule="exact"/>
              <w:rPr>
                <w:rFonts w:ascii="Times New Roman" w:hAnsi="Times New Roman" w:cs="Times New Roman"/>
                <w:sz w:val="24"/>
                <w:szCs w:val="24"/>
                <w:lang w:val="it-IT"/>
              </w:rPr>
            </w:pPr>
          </w:p>
          <w:p w14:paraId="1628528F" w14:textId="1B21038F" w:rsidR="00AC614F" w:rsidRPr="00824699" w:rsidRDefault="00AC614F" w:rsidP="00130A90">
            <w:pPr>
              <w:pStyle w:val="TableParagraph"/>
              <w:ind w:left="102" w:right="12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Se è affetto da artrite reumatoide e non assume metotressato in associazione a Yuflyma, il medico può decidere di prescriverle 40 mg di</w:t>
            </w:r>
            <w:r w:rsidR="00824954"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Yuflyma ogni settimana o 80 mg a settimane alterne.</w:t>
            </w:r>
          </w:p>
        </w:tc>
      </w:tr>
    </w:tbl>
    <w:p w14:paraId="60285FEE" w14:textId="77777777" w:rsidR="00AC614F" w:rsidRPr="00824699" w:rsidRDefault="00AC614F" w:rsidP="00AC614F">
      <w:pPr>
        <w:spacing w:before="12"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625056AA"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07F5231A" w14:textId="77777777" w:rsidR="00AC614F" w:rsidRPr="00C35766" w:rsidRDefault="00AC614F" w:rsidP="00130A90">
            <w:pPr>
              <w:pStyle w:val="TableParagraph"/>
              <w:spacing w:line="250"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idiopatica giovanile poliarticolare</w:t>
            </w:r>
          </w:p>
        </w:tc>
      </w:tr>
      <w:tr w:rsidR="00AC614F" w:rsidRPr="00C35766" w14:paraId="0EC2C812"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F1996C4" w14:textId="1B9DACF6"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18875D76" w14:textId="0B011DA1"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1C193995"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C35766" w14:paraId="5B9E612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61822431"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58B35AD8" w14:textId="77777777" w:rsidR="00AC614F" w:rsidRPr="00824699" w:rsidRDefault="00AC614F" w:rsidP="00130A90">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2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73B0F1A6"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6335DB2"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C35766" w14:paraId="16CE56D7"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2B7AF33" w14:textId="79631EF5"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Bambini e adolescenti a partire da 2 anni di età e con peso compreso tra 10 kg e meno di 30 kg</w:t>
            </w:r>
          </w:p>
        </w:tc>
        <w:tc>
          <w:tcPr>
            <w:tcW w:w="3096" w:type="dxa"/>
            <w:tcBorders>
              <w:top w:val="single" w:sz="5" w:space="0" w:color="000000"/>
              <w:left w:val="single" w:sz="5" w:space="0" w:color="000000"/>
              <w:bottom w:val="single" w:sz="5" w:space="0" w:color="000000"/>
              <w:right w:val="single" w:sz="5" w:space="0" w:color="000000"/>
            </w:tcBorders>
          </w:tcPr>
          <w:p w14:paraId="1BC91351" w14:textId="09348BA6"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0BF6D176" w14:textId="469899E3"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66033B03" w14:textId="77777777" w:rsidR="00AC614F" w:rsidRPr="00C35766" w:rsidRDefault="00AC614F" w:rsidP="00AC614F">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6C0E80F8"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24FBD45C" w14:textId="77777777" w:rsidR="00AC614F" w:rsidRPr="00C35766" w:rsidRDefault="00AC614F"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associata ad entesite</w:t>
            </w:r>
          </w:p>
        </w:tc>
      </w:tr>
      <w:tr w:rsidR="00AC614F" w:rsidRPr="00C35766" w14:paraId="5B7E84C9"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376A91A" w14:textId="44DA6F2C"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500AA02A" w14:textId="0AE7C1FB"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42AF55E2"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C35766" w14:paraId="1B3A3A4A"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FB8EA03"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13F64A83" w14:textId="77777777" w:rsidR="00AC614F" w:rsidRPr="00824699" w:rsidRDefault="00AC614F" w:rsidP="00130A90">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6A9539C3"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79D5D430"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212ADE" w14:paraId="3AED61CC"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277BC8D1" w14:textId="36E898B9"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Bambini e adolescenti a partire da 6 anni di età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52D3B438" w14:textId="3B82F061"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1EB5AE53" w14:textId="27FD7C77"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23DADE4F" w14:textId="77777777" w:rsidR="00AC614F" w:rsidRPr="00146E60" w:rsidRDefault="00AC614F">
      <w:pPr>
        <w:spacing w:before="10" w:line="240" w:lineRule="exact"/>
        <w:rPr>
          <w:rFonts w:ascii="Times New Roman" w:eastAsia="Times New Roman" w:hAnsi="Times New Roman" w:cs="Times New Roman"/>
          <w:spacing w:val="-1"/>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79263E43"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1E8F43BC" w14:textId="77777777" w:rsidR="00AC614F" w:rsidRPr="00C35766" w:rsidRDefault="00AC614F"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Psoriasi a placche</w:t>
            </w:r>
          </w:p>
        </w:tc>
      </w:tr>
      <w:tr w:rsidR="00AC614F" w:rsidRPr="00C35766" w14:paraId="651A9519"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B2F8EAB" w14:textId="7809693C"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5BE117C" w14:textId="1C1725B3"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27B1A52E"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6501B3" w14:paraId="12B4C67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7D6D38C"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177E782E" w14:textId="77777777" w:rsidR="00AC614F" w:rsidRPr="00C35766" w:rsidRDefault="00AC614F" w:rsidP="00130A90">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80 mg (due iniezioni da 40 mg</w:t>
            </w:r>
          </w:p>
          <w:p w14:paraId="69D539C6" w14:textId="77777777" w:rsidR="00AC614F" w:rsidRPr="00824699" w:rsidRDefault="00AC614F" w:rsidP="00130A90">
            <w:pPr>
              <w:pStyle w:val="TableParagraph"/>
              <w:spacing w:before="1" w:line="239" w:lineRule="auto"/>
              <w:ind w:left="102" w:right="51"/>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 in un giorno), seguita da 40 mg a </w:t>
            </w:r>
            <w:r w:rsidRPr="00C35766">
              <w:rPr>
                <w:rFonts w:ascii="Times New Roman" w:eastAsia="Times New Roman" w:hAnsi="Times New Roman" w:cs="Times New Roman"/>
                <w:spacing w:val="-1"/>
                <w:lang w:val="it-IT"/>
              </w:rPr>
              <w:lastRenderedPageBreak/>
              <w:t>settimane alterne, a partire da una settimana dopo la prima dose.</w:t>
            </w:r>
          </w:p>
        </w:tc>
        <w:tc>
          <w:tcPr>
            <w:tcW w:w="3096" w:type="dxa"/>
            <w:tcBorders>
              <w:top w:val="single" w:sz="5" w:space="0" w:color="000000"/>
              <w:left w:val="single" w:sz="5" w:space="0" w:color="000000"/>
              <w:bottom w:val="single" w:sz="5" w:space="0" w:color="000000"/>
              <w:right w:val="single" w:sz="5" w:space="0" w:color="000000"/>
            </w:tcBorders>
          </w:tcPr>
          <w:p w14:paraId="59CFC491" w14:textId="3F0E0417" w:rsidR="00AC614F" w:rsidRPr="00C35766" w:rsidRDefault="00AC614F" w:rsidP="00130A90">
            <w:pPr>
              <w:pStyle w:val="TableParagraph"/>
              <w:spacing w:before="1" w:line="239" w:lineRule="auto"/>
              <w:ind w:left="102" w:right="193"/>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lastRenderedPageBreak/>
              <w:t xml:space="preserve">In caso di risposta inadeguata il medico può aumentare il dosaggio a 40 mg ogni </w:t>
            </w:r>
            <w:r w:rsidRPr="00C35766">
              <w:rPr>
                <w:rFonts w:ascii="Times New Roman" w:eastAsia="Times New Roman" w:hAnsi="Times New Roman" w:cs="Times New Roman"/>
                <w:spacing w:val="-1"/>
                <w:lang w:val="it-IT"/>
              </w:rPr>
              <w:lastRenderedPageBreak/>
              <w:t>settimana o 80 mg a settimane alterne.</w:t>
            </w:r>
          </w:p>
        </w:tc>
      </w:tr>
      <w:tr w:rsidR="00AC614F" w:rsidRPr="00C35766" w14:paraId="5B0402E6"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C2FA51E"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lastRenderedPageBreak/>
              <w:t>Bambini e adolescenti dai 4</w:t>
            </w:r>
          </w:p>
          <w:p w14:paraId="0ADE4578" w14:textId="77777777" w:rsidR="00AC614F" w:rsidRPr="00824699" w:rsidRDefault="00AC614F" w:rsidP="00130A90">
            <w:pPr>
              <w:pStyle w:val="TableParagraph"/>
              <w:spacing w:before="1" w:line="254"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ai 17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0C1BD0B5" w14:textId="77777777" w:rsidR="00AC614F" w:rsidRPr="00C35766" w:rsidRDefault="00AC614F" w:rsidP="00130A90">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40 mg, seguita da</w:t>
            </w:r>
          </w:p>
          <w:p w14:paraId="22226781" w14:textId="2E016E01" w:rsidR="00AC614F" w:rsidRDefault="00AC614F" w:rsidP="00130A90">
            <w:pPr>
              <w:pStyle w:val="TableParagraph"/>
              <w:spacing w:line="252"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40 mg una settimana più tardi.</w:t>
            </w:r>
          </w:p>
          <w:p w14:paraId="07E5E0ED" w14:textId="77777777" w:rsidR="00212ADE" w:rsidRPr="00C35766" w:rsidRDefault="00212ADE" w:rsidP="00130A90">
            <w:pPr>
              <w:pStyle w:val="TableParagraph"/>
              <w:spacing w:line="252" w:lineRule="exact"/>
              <w:ind w:left="102" w:right="57"/>
              <w:rPr>
                <w:rFonts w:ascii="Times New Roman" w:eastAsia="Times New Roman" w:hAnsi="Times New Roman" w:cs="Times New Roman"/>
                <w:spacing w:val="-1"/>
                <w:lang w:val="es-ES"/>
              </w:rPr>
            </w:pPr>
          </w:p>
          <w:p w14:paraId="43C998F7" w14:textId="17BFCBD0" w:rsidR="00AC614F" w:rsidRPr="00824699" w:rsidRDefault="00AC614F"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Successivamente, la dose abituale è di 40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27FE1F50"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C35766" w14:paraId="0D8A306D"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7E23584" w14:textId="74DB30AE" w:rsidR="00212ADE" w:rsidRPr="00C35766" w:rsidRDefault="00212ADE" w:rsidP="00130A90">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Bambini e adolescenti di età compresa tra 4 e 17 anni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27B24010" w14:textId="77777777" w:rsidR="00212ADE" w:rsidRDefault="00212ADE" w:rsidP="00130A90">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Una dose iniziale di 20 mg, seguita da 20 mg dopo una settimana.</w:t>
            </w:r>
          </w:p>
          <w:p w14:paraId="7726DDC3" w14:textId="77777777" w:rsidR="00212ADE" w:rsidRDefault="00212ADE" w:rsidP="00130A90">
            <w:pPr>
              <w:pStyle w:val="TableParagraph"/>
              <w:spacing w:line="246" w:lineRule="exact"/>
              <w:ind w:left="102" w:right="57"/>
              <w:rPr>
                <w:rFonts w:ascii="Times New Roman" w:eastAsia="Times New Roman" w:hAnsi="Times New Roman" w:cs="Times New Roman"/>
                <w:spacing w:val="-1"/>
                <w:lang w:val="it-IT"/>
              </w:rPr>
            </w:pPr>
          </w:p>
          <w:p w14:paraId="4C2BEE55" w14:textId="3DD154D3" w:rsidR="00212ADE" w:rsidRPr="00C35766" w:rsidRDefault="00212ADE" w:rsidP="00130A90">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C630380" w14:textId="29FFBDE9" w:rsidR="00212ADE" w:rsidRPr="00C35766" w:rsidRDefault="00212ADE" w:rsidP="00130A90">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Non pertinente</w:t>
            </w:r>
          </w:p>
        </w:tc>
      </w:tr>
    </w:tbl>
    <w:p w14:paraId="43F00C4B" w14:textId="77777777" w:rsidR="00AC614F" w:rsidRPr="00C35766" w:rsidRDefault="00AC614F" w:rsidP="00AC614F">
      <w:pPr>
        <w:spacing w:before="7" w:line="90" w:lineRule="exact"/>
        <w:rPr>
          <w:rFonts w:ascii="Times New Roman" w:hAnsi="Times New Roman" w:cs="Times New Roman"/>
          <w:sz w:val="9"/>
          <w:szCs w:val="9"/>
        </w:rPr>
      </w:pPr>
    </w:p>
    <w:p w14:paraId="6B1471CF" w14:textId="77777777" w:rsidR="00AC614F" w:rsidRPr="00C35766" w:rsidRDefault="00AC614F" w:rsidP="00AC614F">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7A971F14"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0A5F06DE" w14:textId="77777777" w:rsidR="00AC614F" w:rsidRPr="00C35766" w:rsidRDefault="00AC614F" w:rsidP="00130A90">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Idrosadenite suppurativa</w:t>
            </w:r>
          </w:p>
        </w:tc>
      </w:tr>
      <w:tr w:rsidR="00AC614F" w:rsidRPr="00C35766" w14:paraId="6B023A23"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2903775" w14:textId="33FA9BCB"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1AC3A47" w14:textId="77777777" w:rsidR="00AC614F" w:rsidRPr="00824699" w:rsidRDefault="00AC614F" w:rsidP="00130A90">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0744872B"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494E69" w14:paraId="4A35A71E"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F7D2F6C" w14:textId="77777777" w:rsidR="00AC614F" w:rsidRPr="00C35766" w:rsidRDefault="00AC614F" w:rsidP="00130A90">
            <w:pPr>
              <w:pStyle w:val="TableParagraph"/>
              <w:spacing w:line="248"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25AA5A3B" w14:textId="232F7126" w:rsidR="00AC614F" w:rsidRPr="00824699" w:rsidRDefault="00AC614F" w:rsidP="00146E6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160 mg (quattro iniezioni da 40 mg in un giorno o due iniezioni da 40 mg al giorno, per due</w:t>
            </w:r>
            <w:r w:rsidR="003C2212">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giorni consecutivi), seguita da una dose di 80 mg (due iniezioni da 40 mg in un giorno) due settimane più tardi. Dopo altre due settimane, continuare con una dose di 40 mg ogni settimana o 80 mg ogni due settimane, come prescritto dal medico.</w:t>
            </w:r>
          </w:p>
        </w:tc>
        <w:tc>
          <w:tcPr>
            <w:tcW w:w="3096" w:type="dxa"/>
            <w:tcBorders>
              <w:top w:val="single" w:sz="5" w:space="0" w:color="000000"/>
              <w:left w:val="single" w:sz="5" w:space="0" w:color="000000"/>
              <w:bottom w:val="single" w:sz="5" w:space="0" w:color="000000"/>
              <w:right w:val="single" w:sz="5" w:space="0" w:color="000000"/>
            </w:tcBorders>
          </w:tcPr>
          <w:p w14:paraId="135444EE" w14:textId="77777777" w:rsidR="00AC614F" w:rsidRPr="00824699" w:rsidRDefault="00AC614F" w:rsidP="00130A9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w:t>
            </w:r>
          </w:p>
          <w:p w14:paraId="22E51A7B" w14:textId="77777777" w:rsidR="00AC614F" w:rsidRPr="00824699" w:rsidRDefault="00AC614F" w:rsidP="00130A90">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tutti i giorni una soluzione di lavaggio antisettica sulle aree interessate.</w:t>
            </w:r>
          </w:p>
        </w:tc>
      </w:tr>
      <w:tr w:rsidR="00AC614F" w:rsidRPr="00494E69" w14:paraId="17033341"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758F9DA" w14:textId="013FC526"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Adolescenti da 12 a 17 anni</w:t>
            </w:r>
          </w:p>
          <w:p w14:paraId="7B75CC66" w14:textId="77777777" w:rsidR="00AC614F" w:rsidRPr="00824699" w:rsidRDefault="00AC614F" w:rsidP="00130A90">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43439B9A" w14:textId="067AF277" w:rsidR="00AC614F" w:rsidRPr="008F008E" w:rsidRDefault="00AC614F"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(due iniezioni da 40 mg in un giorno), seguita da 40 mg a settimane alterne, a partire dalla settimana successiva.</w:t>
            </w:r>
          </w:p>
        </w:tc>
        <w:tc>
          <w:tcPr>
            <w:tcW w:w="3096" w:type="dxa"/>
            <w:tcBorders>
              <w:top w:val="single" w:sz="5" w:space="0" w:color="000000"/>
              <w:left w:val="single" w:sz="5" w:space="0" w:color="000000"/>
              <w:bottom w:val="single" w:sz="5" w:space="0" w:color="000000"/>
              <w:right w:val="single" w:sz="5" w:space="0" w:color="000000"/>
            </w:tcBorders>
          </w:tcPr>
          <w:p w14:paraId="3E9E9B68" w14:textId="63E4067A" w:rsidR="00AC614F" w:rsidRPr="00824699" w:rsidRDefault="00AC614F"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In caso di</w:t>
            </w:r>
            <w:r w:rsidRPr="00C35766">
              <w:rPr>
                <w:rFonts w:ascii="Times New Roman" w:eastAsia="Times New Roman" w:hAnsi="Times New Roman" w:cs="Times New Roman"/>
                <w:lang w:val="it-IT"/>
              </w:rPr>
              <w:t xml:space="preserve"> risposta inadeguata a Yuflyma 40 mg a settimane alterne, il medico può aumentare il dosaggio a 40 mg ogni settimana o 80 mg</w:t>
            </w:r>
            <w:r w:rsidRPr="00C35766">
              <w:rPr>
                <w:rFonts w:ascii="Times New Roman" w:eastAsia="Times New Roman" w:hAnsi="Times New Roman" w:cs="Times New Roman"/>
                <w:spacing w:val="-1"/>
                <w:lang w:val="it-IT"/>
              </w:rPr>
              <w:t xml:space="preserve"> a settimane alterne.</w:t>
            </w:r>
          </w:p>
          <w:p w14:paraId="65BCCCA1" w14:textId="77777777" w:rsidR="00AC614F" w:rsidRPr="00824699" w:rsidRDefault="00AC614F" w:rsidP="00130A90">
            <w:pPr>
              <w:pStyle w:val="TableParagraph"/>
              <w:spacing w:before="1"/>
              <w:ind w:left="102" w:right="223"/>
              <w:jc w:val="both"/>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 tutti i giorni una soluzione di lavaggio antisettica sulle aree interessate.</w:t>
            </w:r>
          </w:p>
        </w:tc>
      </w:tr>
    </w:tbl>
    <w:p w14:paraId="70D1F444" w14:textId="77777777" w:rsidR="00AC614F" w:rsidRPr="00824699" w:rsidRDefault="00AC614F" w:rsidP="00AC614F">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02FB3996"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4194C2A0" w14:textId="77777777" w:rsidR="00AC614F" w:rsidRPr="00C35766" w:rsidRDefault="00AC614F" w:rsidP="00130A90">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Malattia di Crohn</w:t>
            </w:r>
          </w:p>
        </w:tc>
      </w:tr>
      <w:tr w:rsidR="00AC614F" w:rsidRPr="00C35766" w14:paraId="06CAFA49"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7ADCF193" w14:textId="3DD95ED9"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092C9C8E" w14:textId="77777777" w:rsidR="00AC614F" w:rsidRPr="00824699" w:rsidRDefault="00AC614F" w:rsidP="00130A90">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0F7E9947"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494E69" w14:paraId="7766EEA6"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3F06C8E"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Bambini, adolescenti e adulti</w:t>
            </w:r>
          </w:p>
          <w:p w14:paraId="2981599B" w14:textId="77777777" w:rsidR="00AC614F" w:rsidRPr="00824699" w:rsidRDefault="00AC614F" w:rsidP="00130A90">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40 kg</w:t>
            </w:r>
          </w:p>
        </w:tc>
        <w:tc>
          <w:tcPr>
            <w:tcW w:w="3096" w:type="dxa"/>
            <w:tcBorders>
              <w:top w:val="single" w:sz="5" w:space="0" w:color="000000"/>
              <w:left w:val="single" w:sz="5" w:space="0" w:color="000000"/>
              <w:bottom w:val="single" w:sz="5" w:space="0" w:color="000000"/>
              <w:right w:val="single" w:sz="5" w:space="0" w:color="000000"/>
            </w:tcBorders>
          </w:tcPr>
          <w:p w14:paraId="4BAC4808" w14:textId="57186D38" w:rsidR="00AC614F" w:rsidRPr="00C35766" w:rsidRDefault="00AC614F" w:rsidP="00C7325A">
            <w:pPr>
              <w:pStyle w:val="TableParagraph"/>
              <w:spacing w:line="246" w:lineRule="exact"/>
              <w:ind w:left="102" w:right="57"/>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Prima dose di 80 mg (due iniezioni da 40 mg in un giorno), seguita da 40 mg due settimane più tardi.</w:t>
            </w:r>
          </w:p>
          <w:p w14:paraId="2B543C64" w14:textId="77777777" w:rsidR="00AC614F" w:rsidRPr="00C35766" w:rsidRDefault="00AC614F" w:rsidP="00130A90">
            <w:pPr>
              <w:pStyle w:val="TableParagraph"/>
              <w:spacing w:before="11" w:line="240" w:lineRule="exact"/>
              <w:rPr>
                <w:rFonts w:ascii="Times New Roman" w:hAnsi="Times New Roman" w:cs="Times New Roman"/>
                <w:sz w:val="24"/>
                <w:szCs w:val="24"/>
                <w:lang w:val="es-ES"/>
              </w:rPr>
            </w:pPr>
          </w:p>
          <w:p w14:paraId="599D87DE" w14:textId="77777777" w:rsidR="00AC614F" w:rsidRPr="00C35766" w:rsidRDefault="00AC614F" w:rsidP="00130A90">
            <w:pPr>
              <w:pStyle w:val="TableParagraph"/>
              <w:ind w:left="102" w:right="76"/>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 xml:space="preserve">Se è necessario indurre una risposta più rapida, il medico potrebbe prescrivere una dose iniziale di 160 mg (quattro </w:t>
            </w:r>
            <w:r w:rsidRPr="00C35766">
              <w:rPr>
                <w:rFonts w:ascii="Times New Roman" w:eastAsia="Times New Roman" w:hAnsi="Times New Roman" w:cs="Times New Roman"/>
                <w:spacing w:val="-1"/>
                <w:lang w:val="it-IT"/>
              </w:rPr>
              <w:lastRenderedPageBreak/>
              <w:t>iniezioni da 40 mg in un giorno o due iniezioni da 40 mg al giorno per due giorni consecutivi), seguita da 80 mg (due iniezioni da 40 mg in un giorno) dopo due settimane.</w:t>
            </w:r>
          </w:p>
          <w:p w14:paraId="0B722AB1" w14:textId="77777777" w:rsidR="00AC614F" w:rsidRPr="00C35766" w:rsidRDefault="00AC614F" w:rsidP="00130A90">
            <w:pPr>
              <w:pStyle w:val="TableParagraph"/>
              <w:spacing w:before="17" w:line="240" w:lineRule="exact"/>
              <w:rPr>
                <w:rFonts w:ascii="Times New Roman" w:hAnsi="Times New Roman" w:cs="Times New Roman"/>
                <w:sz w:val="24"/>
                <w:szCs w:val="24"/>
                <w:lang w:val="es-ES"/>
              </w:rPr>
            </w:pPr>
          </w:p>
          <w:p w14:paraId="35DC7004" w14:textId="77777777" w:rsidR="00AC614F" w:rsidRPr="00824699" w:rsidRDefault="00AC614F" w:rsidP="00130A90">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4C20744"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lastRenderedPageBreak/>
              <w:t>Il medico può aumentare la</w:t>
            </w:r>
          </w:p>
          <w:p w14:paraId="029DB64A" w14:textId="77777777" w:rsidR="00AC614F" w:rsidRPr="00824699" w:rsidRDefault="00AC614F" w:rsidP="00130A90">
            <w:pPr>
              <w:pStyle w:val="TableParagraph"/>
              <w:spacing w:before="3" w:line="252"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dose a 40 mg ogni settimana o 80 mg a settimane alterne.</w:t>
            </w:r>
          </w:p>
        </w:tc>
      </w:tr>
      <w:tr w:rsidR="00212ADE" w:rsidRPr="006501B3" w14:paraId="660E550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76F95375" w14:textId="3674570A" w:rsidR="00212ADE" w:rsidRPr="00C35766" w:rsidRDefault="00212ADE" w:rsidP="00130A90">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Bambini e adolescenti di età compresa tra 6 e 17 anni e con peso inferiore a 40 kg</w:t>
            </w:r>
          </w:p>
        </w:tc>
        <w:tc>
          <w:tcPr>
            <w:tcW w:w="3096" w:type="dxa"/>
            <w:tcBorders>
              <w:top w:val="single" w:sz="5" w:space="0" w:color="000000"/>
              <w:left w:val="single" w:sz="5" w:space="0" w:color="000000"/>
              <w:bottom w:val="single" w:sz="5" w:space="0" w:color="000000"/>
              <w:right w:val="single" w:sz="5" w:space="0" w:color="000000"/>
            </w:tcBorders>
          </w:tcPr>
          <w:p w14:paraId="698788FD" w14:textId="77777777" w:rsidR="00212ADE" w:rsidRPr="00212ADE" w:rsidRDefault="00212ADE" w:rsidP="00C7325A">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Una dose iniziale di 40 mg seguita da 20 mg dopo d</w:t>
            </w:r>
            <w:r w:rsidRPr="00212ADE">
              <w:rPr>
                <w:rFonts w:ascii="Times New Roman" w:eastAsia="Times New Roman" w:hAnsi="Times New Roman" w:cs="Times New Roman"/>
                <w:lang w:val="it-IT"/>
              </w:rPr>
              <w:t>ue settimane.</w:t>
            </w:r>
          </w:p>
          <w:p w14:paraId="050BB655" w14:textId="77777777" w:rsidR="00212ADE" w:rsidRDefault="00212ADE" w:rsidP="00C7325A">
            <w:pPr>
              <w:pStyle w:val="TableParagraph"/>
              <w:spacing w:line="246" w:lineRule="exact"/>
              <w:ind w:left="102" w:right="57"/>
              <w:rPr>
                <w:rFonts w:ascii="Times New Roman" w:eastAsia="Times New Roman" w:hAnsi="Times New Roman" w:cs="Times New Roman"/>
                <w:lang w:val="it-IT"/>
              </w:rPr>
            </w:pPr>
          </w:p>
          <w:p w14:paraId="2B8A9941" w14:textId="77777777" w:rsidR="00212ADE" w:rsidRDefault="00212ADE" w:rsidP="00C7325A">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Se è necessario indurre una risposta più rapida, il medico potrebbe prescrivere una dose iniziale di 80 mg (due iniezioni da 40 mg in un giorno), seguita da 40 mg dopo due settimane.</w:t>
            </w:r>
          </w:p>
          <w:p w14:paraId="59E1E967" w14:textId="77777777" w:rsidR="00212ADE" w:rsidRDefault="00212ADE" w:rsidP="00C7325A">
            <w:pPr>
              <w:pStyle w:val="TableParagraph"/>
              <w:spacing w:line="246" w:lineRule="exact"/>
              <w:ind w:left="102" w:right="57"/>
              <w:rPr>
                <w:rFonts w:ascii="Times New Roman" w:eastAsia="Times New Roman" w:hAnsi="Times New Roman" w:cs="Times New Roman"/>
                <w:lang w:val="it-IT"/>
              </w:rPr>
            </w:pPr>
          </w:p>
          <w:p w14:paraId="5603A4B1" w14:textId="52BFE4CB" w:rsidR="00212ADE" w:rsidRPr="00146E60" w:rsidRDefault="00212ADE" w:rsidP="00C7325A">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4D1F76F" w14:textId="1ED934C1" w:rsidR="00212ADE" w:rsidRPr="00146E60" w:rsidRDefault="00212ADE" w:rsidP="00130A90">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Il medico potrebbe aumentare la frequenza della dose a 20 mg ogni settimana.</w:t>
            </w:r>
          </w:p>
        </w:tc>
      </w:tr>
    </w:tbl>
    <w:p w14:paraId="42DE583C" w14:textId="77777777" w:rsidR="00AC614F" w:rsidRPr="00824699" w:rsidRDefault="00AC614F" w:rsidP="00AC614F">
      <w:pPr>
        <w:spacing w:before="7" w:line="90" w:lineRule="exact"/>
        <w:rPr>
          <w:rFonts w:ascii="Times New Roman" w:hAnsi="Times New Roman" w:cs="Times New Roman"/>
          <w:sz w:val="9"/>
          <w:szCs w:val="9"/>
          <w:lang w:val="it-IT"/>
        </w:rPr>
      </w:pPr>
    </w:p>
    <w:p w14:paraId="66EBBF00" w14:textId="77777777" w:rsidR="00AC614F" w:rsidRPr="00824699" w:rsidRDefault="00AC614F" w:rsidP="00AC614F">
      <w:pPr>
        <w:spacing w:before="10" w:line="240" w:lineRule="exact"/>
        <w:rPr>
          <w:rFonts w:ascii="Times New Roman" w:hAnsi="Times New Roman" w:cs="Times New Roman"/>
          <w:sz w:val="24"/>
          <w:szCs w:val="24"/>
          <w:lang w:val="it-IT"/>
        </w:rPr>
      </w:pPr>
    </w:p>
    <w:tbl>
      <w:tblPr>
        <w:tblStyle w:val="TableNormal1"/>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96"/>
        <w:gridCol w:w="3096"/>
        <w:gridCol w:w="3096"/>
      </w:tblGrid>
      <w:tr w:rsidR="00AC614F" w:rsidRPr="00C35766" w14:paraId="35D31721" w14:textId="77777777" w:rsidTr="00B3291C">
        <w:tc>
          <w:tcPr>
            <w:tcW w:w="9288" w:type="dxa"/>
            <w:gridSpan w:val="3"/>
          </w:tcPr>
          <w:p w14:paraId="7D0B4E98" w14:textId="77777777" w:rsidR="00AC614F" w:rsidRPr="00C35766" w:rsidRDefault="00AC614F"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Colite ulcerosa</w:t>
            </w:r>
          </w:p>
        </w:tc>
      </w:tr>
      <w:tr w:rsidR="00AC614F" w:rsidRPr="00C35766" w14:paraId="48713926" w14:textId="77777777" w:rsidTr="00B3291C">
        <w:tc>
          <w:tcPr>
            <w:tcW w:w="3096" w:type="dxa"/>
          </w:tcPr>
          <w:p w14:paraId="7E2B14D7" w14:textId="5F22D4A2"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Pr>
          <w:p w14:paraId="7B8947B7" w14:textId="56443C24"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Pr>
          <w:p w14:paraId="5C912CD1"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494E69" w14:paraId="02B2A2B9" w14:textId="77777777" w:rsidTr="00B3291C">
        <w:tc>
          <w:tcPr>
            <w:tcW w:w="3096" w:type="dxa"/>
          </w:tcPr>
          <w:p w14:paraId="3AAA3DDF"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Pr>
          <w:p w14:paraId="1B28D179" w14:textId="19992682" w:rsidR="00AC614F" w:rsidRPr="00C35766" w:rsidRDefault="00AC614F" w:rsidP="00C7325A">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 xml:space="preserve">Prima dose di 160 mg (quattro iniezioni da 40 </w:t>
            </w:r>
            <w:r w:rsidR="00021206" w:rsidRPr="00C35766">
              <w:rPr>
                <w:rFonts w:ascii="Times New Roman" w:eastAsia="Times New Roman" w:hAnsi="Times New Roman" w:cs="Times New Roman"/>
                <w:spacing w:val="-1"/>
                <w:lang w:val="it-IT"/>
              </w:rPr>
              <w:t xml:space="preserve">mg </w:t>
            </w:r>
            <w:r w:rsidRPr="00C35766">
              <w:rPr>
                <w:rFonts w:ascii="Times New Roman" w:eastAsia="Times New Roman" w:hAnsi="Times New Roman" w:cs="Times New Roman"/>
                <w:spacing w:val="-1"/>
                <w:lang w:val="it-IT"/>
              </w:rPr>
              <w:t>in un giorno o due iniezioni da 40 mg al giorno per due giorni consecutivi), seguita da 80 mg (due iniezioni da 40 mg in un giorno) dopo due settimane.</w:t>
            </w:r>
          </w:p>
          <w:p w14:paraId="07F8CF53" w14:textId="77777777" w:rsidR="00AC614F" w:rsidRPr="00C35766" w:rsidRDefault="00AC614F" w:rsidP="00130A90">
            <w:pPr>
              <w:pStyle w:val="TableParagraph"/>
              <w:spacing w:before="17" w:line="240" w:lineRule="exact"/>
              <w:rPr>
                <w:rFonts w:ascii="Times New Roman" w:hAnsi="Times New Roman" w:cs="Times New Roman"/>
                <w:sz w:val="24"/>
                <w:szCs w:val="24"/>
                <w:lang w:val="pt-BR"/>
              </w:rPr>
            </w:pPr>
          </w:p>
          <w:p w14:paraId="6F3657C0" w14:textId="77777777" w:rsidR="00AC614F" w:rsidRPr="00824699" w:rsidRDefault="00AC614F" w:rsidP="00130A90">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Pr>
          <w:p w14:paraId="12D14E39" w14:textId="77777777" w:rsidR="00AC614F" w:rsidRPr="00C35766" w:rsidRDefault="00AC614F" w:rsidP="00130A90">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Il medico può aumentare il dosaggio a 40 mg ogni settimana o 80 mg a settimane alterne.</w:t>
            </w:r>
          </w:p>
        </w:tc>
      </w:tr>
      <w:tr w:rsidR="001F24B7" w:rsidRPr="00494E69" w14:paraId="2464B28E" w14:textId="77777777" w:rsidTr="00B3291C">
        <w:tc>
          <w:tcPr>
            <w:tcW w:w="3096" w:type="dxa"/>
          </w:tcPr>
          <w:p w14:paraId="29FE226E" w14:textId="76F7859E"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inferiore a 40 kg</w:t>
            </w:r>
          </w:p>
        </w:tc>
        <w:tc>
          <w:tcPr>
            <w:tcW w:w="3096" w:type="dxa"/>
          </w:tcPr>
          <w:p w14:paraId="10CE0845" w14:textId="77777777" w:rsidR="001F24B7" w:rsidRPr="00C35766" w:rsidRDefault="001F24B7" w:rsidP="00974170">
            <w:pPr>
              <w:numPr>
                <w:ilvl w:val="12"/>
                <w:numId w:val="0"/>
              </w:numPr>
              <w:ind w:left="57"/>
              <w:rPr>
                <w:rFonts w:ascii="Times New Roman" w:hAnsi="Times New Roman" w:cs="Times New Roman"/>
                <w:lang w:val="de-CH"/>
              </w:rPr>
            </w:pPr>
            <w:r w:rsidRPr="00C35766">
              <w:rPr>
                <w:rFonts w:ascii="Times New Roman" w:hAnsi="Times New Roman" w:cs="Times New Roman"/>
                <w:lang w:val="de-CH"/>
              </w:rPr>
              <w:t>Una dose iniziale di 80 mg (due iniezioni da 40 mg in un giorno), seguita da 40 mg (una iniezione da 40 mg) dopo due settimane.</w:t>
            </w:r>
          </w:p>
          <w:p w14:paraId="4B1FFAEF" w14:textId="77777777" w:rsidR="001F24B7" w:rsidRPr="00C35766" w:rsidRDefault="001F24B7" w:rsidP="00974170">
            <w:pPr>
              <w:numPr>
                <w:ilvl w:val="12"/>
                <w:numId w:val="0"/>
              </w:numPr>
              <w:ind w:left="57"/>
              <w:rPr>
                <w:rFonts w:ascii="Times New Roman" w:hAnsi="Times New Roman" w:cs="Times New Roman"/>
                <w:lang w:val="de-CH"/>
              </w:rPr>
            </w:pPr>
          </w:p>
          <w:p w14:paraId="157B9ABF" w14:textId="24EA81AF" w:rsidR="001F24B7" w:rsidRPr="00C35766" w:rsidRDefault="001F24B7" w:rsidP="00974170">
            <w:pPr>
              <w:pStyle w:val="TableParagraph"/>
              <w:spacing w:line="246" w:lineRule="exact"/>
              <w:ind w:lef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40 mg a settimane alterne.</w:t>
            </w:r>
          </w:p>
        </w:tc>
        <w:tc>
          <w:tcPr>
            <w:tcW w:w="3096" w:type="dxa"/>
          </w:tcPr>
          <w:p w14:paraId="41EC617C" w14:textId="569504BB"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r w:rsidR="001F24B7" w:rsidRPr="00494E69" w14:paraId="76DC63FB" w14:textId="77777777" w:rsidTr="00B3291C">
        <w:tc>
          <w:tcPr>
            <w:tcW w:w="3096" w:type="dxa"/>
          </w:tcPr>
          <w:p w14:paraId="4C279000" w14:textId="213DA707"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pari o superiore a 40 kg</w:t>
            </w:r>
          </w:p>
        </w:tc>
        <w:tc>
          <w:tcPr>
            <w:tcW w:w="3096" w:type="dxa"/>
          </w:tcPr>
          <w:p w14:paraId="553D7881" w14:textId="77777777" w:rsidR="001F24B7" w:rsidRPr="00C35766" w:rsidRDefault="001F24B7" w:rsidP="00974170">
            <w:pPr>
              <w:numPr>
                <w:ilvl w:val="12"/>
                <w:numId w:val="0"/>
              </w:numPr>
              <w:ind w:left="57"/>
              <w:rPr>
                <w:rFonts w:ascii="Times New Roman" w:hAnsi="Times New Roman" w:cs="Times New Roman"/>
                <w:lang w:val="it-IT"/>
              </w:rPr>
            </w:pPr>
            <w:r w:rsidRPr="00C35766">
              <w:rPr>
                <w:rFonts w:ascii="Times New Roman" w:hAnsi="Times New Roman" w:cs="Times New Roman"/>
                <w:lang w:val="it-IT"/>
              </w:rPr>
              <w:t>Una dose iniziale di 160 mg (quattro iniezioni da 40 mg in un giorno o due iniezioni da 40 mg al giorno per due giorni consecutivi), seguita da 80 mg (due iniezioni da 40 mg in un giorno) dopo due settimane.</w:t>
            </w:r>
          </w:p>
          <w:p w14:paraId="3244D936" w14:textId="77777777" w:rsidR="001F24B7" w:rsidRPr="00C35766" w:rsidRDefault="001F24B7" w:rsidP="00974170">
            <w:pPr>
              <w:numPr>
                <w:ilvl w:val="12"/>
                <w:numId w:val="0"/>
              </w:numPr>
              <w:ind w:left="57"/>
              <w:rPr>
                <w:rFonts w:ascii="Times New Roman" w:hAnsi="Times New Roman" w:cs="Times New Roman"/>
                <w:lang w:val="it-IT"/>
              </w:rPr>
            </w:pPr>
          </w:p>
          <w:p w14:paraId="24CC31DC" w14:textId="164DB91F" w:rsidR="001F24B7" w:rsidRPr="00C35766" w:rsidRDefault="001F24B7" w:rsidP="008F4C1A">
            <w:pPr>
              <w:pStyle w:val="TableParagraph"/>
              <w:spacing w:line="246" w:lineRule="exact"/>
              <w:ind w:lef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80 mg a settimane alterne.</w:t>
            </w:r>
          </w:p>
        </w:tc>
        <w:tc>
          <w:tcPr>
            <w:tcW w:w="3096" w:type="dxa"/>
          </w:tcPr>
          <w:p w14:paraId="48A180F0" w14:textId="071CCD11"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bl>
    <w:p w14:paraId="1A1947A9" w14:textId="77777777" w:rsidR="00AC614F" w:rsidRPr="00C35766" w:rsidRDefault="00AC614F" w:rsidP="00AC614F">
      <w:pPr>
        <w:spacing w:before="10" w:line="240" w:lineRule="exact"/>
        <w:rPr>
          <w:rFonts w:ascii="Times New Roman" w:hAnsi="Times New Roman" w:cs="Times New Roman"/>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AC614F" w:rsidRPr="00C35766" w14:paraId="3E00B6DC"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56DED791" w14:textId="77777777" w:rsidR="00AC614F" w:rsidRPr="00C35766" w:rsidRDefault="00AC614F"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Uveite non infettiva</w:t>
            </w:r>
          </w:p>
        </w:tc>
      </w:tr>
      <w:tr w:rsidR="00AC614F" w:rsidRPr="00C35766" w14:paraId="4BC0FF0A"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C73DFF4" w14:textId="099280A1"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32527D0D" w14:textId="545D4A86" w:rsidR="00AC614F" w:rsidRPr="00824699" w:rsidRDefault="00AC614F"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219427A1" w14:textId="77777777" w:rsidR="00AC614F" w:rsidRPr="00C35766" w:rsidRDefault="00AC614F"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AC614F" w:rsidRPr="006501B3" w14:paraId="0EC76B91"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604FB46" w14:textId="77777777" w:rsidR="00AC614F" w:rsidRPr="00C35766" w:rsidRDefault="00AC614F"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058DA695" w14:textId="0E9E5DE1" w:rsidR="00AC614F" w:rsidRPr="00824699" w:rsidRDefault="00AC614F"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(due iniezioni da 40 mg in un giorno), seguita da 40 mg a settimane alterne a partire da una settimana dopo la prima</w:t>
            </w:r>
            <w:r w:rsidRPr="00C35766">
              <w:rPr>
                <w:rFonts w:ascii="Times New Roman" w:eastAsia="Times New Roman" w:hAnsi="Times New Roman" w:cs="Times New Roman"/>
                <w:lang w:val="it-IT"/>
              </w:rPr>
              <w:t xml:space="preserve"> dose.</w:t>
            </w:r>
          </w:p>
        </w:tc>
        <w:tc>
          <w:tcPr>
            <w:tcW w:w="3096" w:type="dxa"/>
            <w:tcBorders>
              <w:top w:val="single" w:sz="5" w:space="0" w:color="000000"/>
              <w:left w:val="single" w:sz="5" w:space="0" w:color="000000"/>
              <w:bottom w:val="single" w:sz="5" w:space="0" w:color="000000"/>
              <w:right w:val="single" w:sz="5" w:space="0" w:color="000000"/>
            </w:tcBorders>
          </w:tcPr>
          <w:p w14:paraId="263C5E86" w14:textId="77777777" w:rsidR="00AC614F" w:rsidRPr="00824699" w:rsidRDefault="00AC614F"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 corticosteroidi o gli altri farmaci che influiscono sul sistema immunitario potranno essere continuati durante il trattamento con Yuflyma.</w:t>
            </w:r>
          </w:p>
          <w:p w14:paraId="7502FD96" w14:textId="77777777" w:rsidR="00AC614F" w:rsidRPr="00824699" w:rsidRDefault="00AC614F" w:rsidP="00130A90">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Yuflyma può essere anche somministrato in monoterapia.</w:t>
            </w:r>
          </w:p>
        </w:tc>
      </w:tr>
      <w:tr w:rsidR="00212ADE" w:rsidRPr="00C35766" w14:paraId="62553F17"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2237B01E" w14:textId="03709661"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Bambini e adolescenti a partire da 2 anni di età e con peso inferiore a 30 kg</w:t>
            </w:r>
          </w:p>
        </w:tc>
        <w:tc>
          <w:tcPr>
            <w:tcW w:w="3096" w:type="dxa"/>
            <w:tcBorders>
              <w:top w:val="single" w:sz="5" w:space="0" w:color="000000"/>
              <w:left w:val="single" w:sz="5" w:space="0" w:color="000000"/>
              <w:bottom w:val="single" w:sz="5" w:space="0" w:color="000000"/>
              <w:right w:val="single" w:sz="5" w:space="0" w:color="000000"/>
            </w:tcBorders>
          </w:tcPr>
          <w:p w14:paraId="4D6C4152" w14:textId="0E01E1CB"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D12B923" w14:textId="2CB03E8B"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 xml:space="preserve">Il medico potrebbe prescrivere una dose iniziale da 40 mg da somministrare una settimana prima dell’inizio della dose abituale da 20 mg a settimane alterne. L’uso di </w:t>
            </w:r>
            <w:r w:rsidR="00963203">
              <w:rPr>
                <w:rFonts w:ascii="Times New Roman" w:eastAsia="Times New Roman" w:hAnsi="Times New Roman" w:cs="Times New Roman"/>
                <w:spacing w:val="-1"/>
                <w:lang w:val="it-IT"/>
              </w:rPr>
              <w:t>Yuflyma</w:t>
            </w:r>
            <w:r w:rsidRPr="00146E60">
              <w:rPr>
                <w:rFonts w:ascii="Times New Roman" w:eastAsia="Times New Roman" w:hAnsi="Times New Roman" w:cs="Times New Roman"/>
                <w:spacing w:val="-1"/>
                <w:lang w:val="it-IT"/>
              </w:rPr>
              <w:t xml:space="preserve"> è raccomandato in associazione al metotressato.</w:t>
            </w:r>
          </w:p>
        </w:tc>
      </w:tr>
      <w:tr w:rsidR="00212ADE" w:rsidRPr="00C35766" w14:paraId="2A8AE825"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BABAC27" w14:textId="27F92676" w:rsidR="00212ADE" w:rsidRPr="00824699" w:rsidRDefault="00212ADE" w:rsidP="00212ADE">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e adolescenti a partire da</w:t>
            </w:r>
            <w:r w:rsidRPr="00C35766">
              <w:rPr>
                <w:rFonts w:ascii="Times New Roman" w:eastAsia="Times New Roman" w:hAnsi="Times New Roman" w:cs="Times New Roman"/>
                <w:lang w:val="it-IT"/>
              </w:rPr>
              <w:t xml:space="preserve"> 2 anni di età con peso di almeno 30 kg</w:t>
            </w:r>
          </w:p>
        </w:tc>
        <w:tc>
          <w:tcPr>
            <w:tcW w:w="3096" w:type="dxa"/>
            <w:tcBorders>
              <w:top w:val="single" w:sz="5" w:space="0" w:color="000000"/>
              <w:left w:val="single" w:sz="5" w:space="0" w:color="000000"/>
              <w:bottom w:val="single" w:sz="5" w:space="0" w:color="000000"/>
              <w:right w:val="single" w:sz="5" w:space="0" w:color="000000"/>
            </w:tcBorders>
          </w:tcPr>
          <w:p w14:paraId="43F8235E" w14:textId="77777777" w:rsidR="00212ADE" w:rsidRPr="00C35766" w:rsidRDefault="00212ADE" w:rsidP="00212ADE">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C7D35EF" w14:textId="005C1E29" w:rsidR="00212ADE" w:rsidRPr="00C35766" w:rsidRDefault="00212ADE" w:rsidP="00146E6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Il medico potrebbe prescrivere una dose iniziale da 80 mg da somministrare una settimana prima dell’inizio della dose abituale da</w:t>
            </w:r>
            <w:r w:rsidR="003C2212">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lang w:val="it-IT"/>
              </w:rPr>
              <w:t>40 mg a settimane alterne. L’uso di Yuflyma è raccomandato in associazione al metotressato.</w:t>
            </w:r>
          </w:p>
        </w:tc>
      </w:tr>
    </w:tbl>
    <w:p w14:paraId="309D28BB" w14:textId="77777777" w:rsidR="00953B2E" w:rsidRPr="00C35766" w:rsidRDefault="00953B2E">
      <w:pPr>
        <w:pStyle w:val="a3"/>
      </w:pPr>
    </w:p>
    <w:p w14:paraId="18306D2C" w14:textId="77777777" w:rsidR="00953B2E" w:rsidRPr="00C35766" w:rsidRDefault="005F0C19">
      <w:pPr>
        <w:pStyle w:val="a3"/>
        <w:rPr>
          <w:b/>
          <w:lang w:val="it-IT"/>
        </w:rPr>
      </w:pPr>
      <w:r w:rsidRPr="00C35766">
        <w:rPr>
          <w:rFonts w:eastAsia="Times New Roman"/>
          <w:b/>
          <w:bCs/>
          <w:lang w:val="it-IT"/>
        </w:rPr>
        <w:t>Modo e via di somministrazione</w:t>
      </w:r>
    </w:p>
    <w:p w14:paraId="14D8DF4B" w14:textId="77777777" w:rsidR="00953B2E" w:rsidRPr="00C35766" w:rsidRDefault="00953B2E">
      <w:pPr>
        <w:spacing w:before="9" w:line="240" w:lineRule="exact"/>
        <w:rPr>
          <w:rFonts w:ascii="Times New Roman" w:hAnsi="Times New Roman" w:cs="Times New Roman"/>
          <w:sz w:val="24"/>
          <w:lang w:val="it-IT"/>
        </w:rPr>
      </w:pPr>
    </w:p>
    <w:p w14:paraId="5EFAFD76" w14:textId="57BAE03D" w:rsidR="00953B2E" w:rsidRPr="00C35766" w:rsidRDefault="005F0C19">
      <w:pPr>
        <w:pStyle w:val="a3"/>
        <w:rPr>
          <w:lang w:val="it-IT"/>
        </w:rPr>
      </w:pPr>
      <w:r w:rsidRPr="00C35766">
        <w:rPr>
          <w:rFonts w:eastAsia="Times New Roman"/>
          <w:lang w:val="it-IT"/>
        </w:rPr>
        <w:t xml:space="preserve">Yuflyma è somministrato per iniezione sotto la </w:t>
      </w:r>
      <w:r w:rsidR="00841E18" w:rsidRPr="00C35766">
        <w:rPr>
          <w:rFonts w:eastAsia="Times New Roman"/>
          <w:lang w:val="it-IT"/>
        </w:rPr>
        <w:t xml:space="preserve">pelle </w:t>
      </w:r>
      <w:r w:rsidRPr="00C35766">
        <w:rPr>
          <w:rFonts w:eastAsia="Times New Roman"/>
          <w:lang w:val="it-IT"/>
        </w:rPr>
        <w:t>(per iniezione</w:t>
      </w:r>
      <w:r w:rsidR="00841E18" w:rsidRPr="00C35766">
        <w:rPr>
          <w:rFonts w:eastAsia="Times New Roman"/>
          <w:lang w:val="it-IT"/>
        </w:rPr>
        <w:t xml:space="preserve"> </w:t>
      </w:r>
      <w:r w:rsidRPr="00C35766">
        <w:rPr>
          <w:rFonts w:eastAsia="Times New Roman"/>
          <w:lang w:val="it-IT"/>
        </w:rPr>
        <w:t>sottocutanea).</w:t>
      </w:r>
    </w:p>
    <w:p w14:paraId="5DDA8111" w14:textId="77777777" w:rsidR="00953B2E" w:rsidRPr="00C35766" w:rsidRDefault="00953B2E">
      <w:pPr>
        <w:spacing w:before="18" w:line="240" w:lineRule="exact"/>
        <w:rPr>
          <w:rFonts w:ascii="Times New Roman" w:hAnsi="Times New Roman" w:cs="Times New Roman"/>
          <w:sz w:val="24"/>
          <w:lang w:val="it-IT"/>
        </w:rPr>
      </w:pPr>
    </w:p>
    <w:p w14:paraId="229643EB" w14:textId="44D438EA" w:rsidR="00953B2E" w:rsidRPr="00C35766" w:rsidRDefault="005F0C19">
      <w:pPr>
        <w:pStyle w:val="a3"/>
        <w:rPr>
          <w:b/>
          <w:lang w:val="it-IT"/>
        </w:rPr>
      </w:pPr>
      <w:r w:rsidRPr="00C35766">
        <w:rPr>
          <w:rFonts w:eastAsia="Times New Roman"/>
          <w:b/>
          <w:bCs/>
          <w:lang w:val="it-IT"/>
        </w:rPr>
        <w:t xml:space="preserve">Istruzioni dettagliate su come somministrare Yuflyma sono descritte nel paragrafo 7 </w:t>
      </w:r>
      <w:r w:rsidR="00471BD2">
        <w:rPr>
          <w:rFonts w:eastAsia="Times New Roman"/>
          <w:b/>
          <w:bCs/>
          <w:lang w:val="it-IT"/>
        </w:rPr>
        <w:t>“</w:t>
      </w:r>
      <w:r w:rsidR="008146D6" w:rsidRPr="00C35766">
        <w:rPr>
          <w:rFonts w:eastAsia="Times New Roman"/>
          <w:b/>
          <w:bCs/>
          <w:lang w:val="it-IT"/>
        </w:rPr>
        <w:t>Istruzioni per l’uso</w:t>
      </w:r>
      <w:r w:rsidR="00471BD2">
        <w:rPr>
          <w:rFonts w:eastAsia="Times New Roman"/>
          <w:b/>
          <w:bCs/>
          <w:lang w:val="it-IT"/>
        </w:rPr>
        <w:t>”</w:t>
      </w:r>
      <w:r w:rsidRPr="00C35766">
        <w:rPr>
          <w:rFonts w:eastAsia="Times New Roman"/>
          <w:b/>
          <w:bCs/>
          <w:lang w:val="it-IT"/>
        </w:rPr>
        <w:t>.</w:t>
      </w:r>
    </w:p>
    <w:p w14:paraId="79B84092" w14:textId="77777777" w:rsidR="00953B2E" w:rsidRPr="00C35766" w:rsidRDefault="00953B2E">
      <w:pPr>
        <w:pStyle w:val="a3"/>
        <w:rPr>
          <w:b/>
          <w:lang w:val="it-IT"/>
        </w:rPr>
      </w:pPr>
    </w:p>
    <w:p w14:paraId="2C9215B4" w14:textId="77777777" w:rsidR="00953B2E" w:rsidRPr="00C35766" w:rsidRDefault="005F0C19">
      <w:pPr>
        <w:pStyle w:val="a3"/>
        <w:rPr>
          <w:b/>
          <w:lang w:val="pt-BR"/>
        </w:rPr>
      </w:pPr>
      <w:r w:rsidRPr="00C35766">
        <w:rPr>
          <w:rFonts w:eastAsia="Times New Roman"/>
          <w:b/>
          <w:bCs/>
          <w:lang w:val="it-IT"/>
        </w:rPr>
        <w:t>Se usa più Yuflyma di quanto deve</w:t>
      </w:r>
    </w:p>
    <w:p w14:paraId="7B576D2F" w14:textId="77777777" w:rsidR="00953B2E" w:rsidRPr="00C35766" w:rsidRDefault="00953B2E">
      <w:pPr>
        <w:pStyle w:val="a3"/>
        <w:rPr>
          <w:lang w:val="pt-BR"/>
        </w:rPr>
      </w:pPr>
    </w:p>
    <w:p w14:paraId="64049943" w14:textId="77777777" w:rsidR="00953B2E" w:rsidRPr="00C35766" w:rsidRDefault="005F0C19">
      <w:pPr>
        <w:pStyle w:val="a3"/>
        <w:rPr>
          <w:lang w:val="it-IT"/>
        </w:rPr>
      </w:pPr>
      <w:r w:rsidRPr="00C35766">
        <w:rPr>
          <w:rFonts w:eastAsia="Times New Roman"/>
          <w:lang w:val="it-IT"/>
        </w:rPr>
        <w:t>Se accidentalmente inietta Yuflyma più frequentemente di quanto disposto dal medico o dal farmacista, contatti il medico o il farmacista informandoli di aver assunto più farmaco. Conservi sempre la scatola del farmaco, anche se vuota.</w:t>
      </w:r>
    </w:p>
    <w:p w14:paraId="1F787C7A" w14:textId="77777777" w:rsidR="00953B2E" w:rsidRPr="00C35766" w:rsidRDefault="00953B2E">
      <w:pPr>
        <w:spacing w:before="18" w:line="240" w:lineRule="exact"/>
        <w:rPr>
          <w:rFonts w:ascii="Times New Roman" w:hAnsi="Times New Roman" w:cs="Times New Roman"/>
          <w:b/>
          <w:sz w:val="24"/>
          <w:szCs w:val="24"/>
          <w:lang w:val="it-IT"/>
        </w:rPr>
      </w:pPr>
    </w:p>
    <w:p w14:paraId="6C4C25B1" w14:textId="77777777" w:rsidR="00953B2E" w:rsidRPr="00C35766" w:rsidRDefault="005F0C19">
      <w:pPr>
        <w:pStyle w:val="a3"/>
        <w:rPr>
          <w:b/>
          <w:lang w:val="it-IT"/>
        </w:rPr>
      </w:pPr>
      <w:r w:rsidRPr="00C35766">
        <w:rPr>
          <w:rFonts w:eastAsia="Times New Roman"/>
          <w:b/>
          <w:bCs/>
          <w:lang w:val="it-IT"/>
        </w:rPr>
        <w:t>Se dimentica di usare Yuflyma</w:t>
      </w:r>
    </w:p>
    <w:p w14:paraId="404EDB2E" w14:textId="77777777" w:rsidR="00953B2E" w:rsidRPr="00C35766" w:rsidRDefault="00953B2E">
      <w:pPr>
        <w:spacing w:before="9" w:line="240" w:lineRule="exact"/>
        <w:rPr>
          <w:rFonts w:ascii="Times New Roman" w:hAnsi="Times New Roman" w:cs="Times New Roman"/>
          <w:sz w:val="24"/>
          <w:szCs w:val="24"/>
          <w:lang w:val="it-IT"/>
        </w:rPr>
      </w:pPr>
    </w:p>
    <w:p w14:paraId="2C3B527F" w14:textId="77777777" w:rsidR="00953B2E" w:rsidRPr="00C35766" w:rsidRDefault="005F0C19">
      <w:pPr>
        <w:pStyle w:val="a3"/>
        <w:rPr>
          <w:lang w:val="it-IT"/>
        </w:rPr>
      </w:pPr>
      <w:r w:rsidRPr="00C35766">
        <w:rPr>
          <w:rFonts w:eastAsia="Times New Roman"/>
          <w:lang w:val="it-IT"/>
        </w:rPr>
        <w:t>Se dimentica di fare un’iniezione, deve iniettarsi la dose successiva di Yuflyma non appena se ne ricorda.  Dopodiché riprenda la dose regolarmente secondo lo schema posologico stabilito.</w:t>
      </w:r>
    </w:p>
    <w:p w14:paraId="7AD8A35B" w14:textId="77777777" w:rsidR="00953B2E" w:rsidRPr="00C35766" w:rsidRDefault="00953B2E">
      <w:pPr>
        <w:spacing w:before="18" w:line="240" w:lineRule="exact"/>
        <w:rPr>
          <w:rFonts w:ascii="Times New Roman" w:hAnsi="Times New Roman" w:cs="Times New Roman"/>
          <w:sz w:val="24"/>
          <w:szCs w:val="24"/>
          <w:lang w:val="it-IT"/>
        </w:rPr>
      </w:pPr>
    </w:p>
    <w:p w14:paraId="63FFD65D" w14:textId="77777777" w:rsidR="00953B2E" w:rsidRPr="00C35766" w:rsidRDefault="005F0C19">
      <w:pPr>
        <w:pStyle w:val="a3"/>
        <w:rPr>
          <w:b/>
          <w:lang w:val="it-IT"/>
        </w:rPr>
      </w:pPr>
      <w:r w:rsidRPr="00C35766">
        <w:rPr>
          <w:rFonts w:eastAsia="Times New Roman"/>
          <w:b/>
          <w:bCs/>
          <w:lang w:val="it-IT"/>
        </w:rPr>
        <w:t>Se interrompe il trattamento con Yuflyma</w:t>
      </w:r>
    </w:p>
    <w:p w14:paraId="68CF94CF" w14:textId="77777777" w:rsidR="00953B2E" w:rsidRPr="00C35766" w:rsidRDefault="00953B2E">
      <w:pPr>
        <w:spacing w:before="6" w:line="240" w:lineRule="exact"/>
        <w:rPr>
          <w:rFonts w:ascii="Times New Roman" w:hAnsi="Times New Roman" w:cs="Times New Roman"/>
          <w:sz w:val="24"/>
          <w:szCs w:val="24"/>
          <w:lang w:val="it-IT"/>
        </w:rPr>
      </w:pPr>
    </w:p>
    <w:p w14:paraId="7E8CC008" w14:textId="77777777" w:rsidR="00953B2E" w:rsidRPr="00C35766" w:rsidRDefault="005F0C19">
      <w:pPr>
        <w:pStyle w:val="a3"/>
        <w:rPr>
          <w:lang w:val="it-IT"/>
        </w:rPr>
      </w:pPr>
      <w:r w:rsidRPr="00C35766">
        <w:rPr>
          <w:rFonts w:eastAsia="Times New Roman"/>
          <w:lang w:val="it-IT"/>
        </w:rPr>
        <w:t>La decisione di interrompere l’uso di Yuflyma deve essere discussa con il medico. I sintomi possono ritornare se smette di usare Yuflyma.</w:t>
      </w:r>
    </w:p>
    <w:p w14:paraId="78AFF641" w14:textId="77777777" w:rsidR="00953B2E" w:rsidRPr="00C35766" w:rsidRDefault="00953B2E">
      <w:pPr>
        <w:spacing w:before="12" w:line="240" w:lineRule="exact"/>
        <w:rPr>
          <w:rFonts w:ascii="Times New Roman" w:hAnsi="Times New Roman" w:cs="Times New Roman"/>
          <w:sz w:val="24"/>
          <w:szCs w:val="24"/>
          <w:lang w:val="it-IT"/>
        </w:rPr>
      </w:pPr>
    </w:p>
    <w:p w14:paraId="1187057D" w14:textId="77777777" w:rsidR="00953B2E" w:rsidRPr="00C35766" w:rsidRDefault="005F0C19">
      <w:pPr>
        <w:pStyle w:val="a3"/>
        <w:rPr>
          <w:lang w:val="it-IT"/>
        </w:rPr>
      </w:pPr>
      <w:r w:rsidRPr="00C35766">
        <w:rPr>
          <w:rFonts w:eastAsia="Times New Roman"/>
          <w:lang w:val="it-IT"/>
        </w:rPr>
        <w:t>Se ha qualsiasi dubbio sull’uso di questo medicinale, si rivolga al medico o al farmacista.</w:t>
      </w:r>
    </w:p>
    <w:p w14:paraId="03EA5937" w14:textId="77777777" w:rsidR="00953B2E" w:rsidRPr="00C35766" w:rsidRDefault="00953B2E">
      <w:pPr>
        <w:spacing w:line="200" w:lineRule="exact"/>
        <w:rPr>
          <w:rFonts w:ascii="Times New Roman" w:hAnsi="Times New Roman" w:cs="Times New Roman"/>
          <w:sz w:val="20"/>
          <w:szCs w:val="20"/>
          <w:lang w:val="it-IT"/>
        </w:rPr>
      </w:pPr>
    </w:p>
    <w:p w14:paraId="506D4D6D" w14:textId="77777777" w:rsidR="00953B2E" w:rsidRPr="00C35766" w:rsidRDefault="005F0C19" w:rsidP="00787805">
      <w:pPr>
        <w:pStyle w:val="a4"/>
        <w:keepNext/>
        <w:numPr>
          <w:ilvl w:val="0"/>
          <w:numId w:val="32"/>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lastRenderedPageBreak/>
        <w:t>Possibili effetti indesiderati</w:t>
      </w:r>
    </w:p>
    <w:p w14:paraId="0C401C27" w14:textId="77777777" w:rsidR="00953B2E" w:rsidRPr="00C35766" w:rsidRDefault="00953B2E">
      <w:pPr>
        <w:keepNext/>
        <w:spacing w:before="12" w:line="240" w:lineRule="exact"/>
        <w:rPr>
          <w:rFonts w:ascii="Times New Roman" w:hAnsi="Times New Roman" w:cs="Times New Roman"/>
          <w:sz w:val="24"/>
          <w:szCs w:val="24"/>
        </w:rPr>
      </w:pPr>
    </w:p>
    <w:p w14:paraId="1284B792" w14:textId="77777777" w:rsidR="00953B2E" w:rsidRPr="00C35766" w:rsidRDefault="005F0C19">
      <w:pPr>
        <w:pStyle w:val="a3"/>
        <w:rPr>
          <w:lang w:val="pt-BR"/>
        </w:rPr>
      </w:pPr>
      <w:r w:rsidRPr="00C35766">
        <w:rPr>
          <w:rFonts w:eastAsia="Times New Roman"/>
          <w:lang w:val="it-IT"/>
        </w:rPr>
        <w:t>Come tutti i medicinali, questo medicinale può causare effetti indesiderati sebbene non tutte le persone li manifestino. La maggior parte degli effetti indesiderati si presenta in forma da lieve a moderata. Tuttavia, alcuni possono essere gravi e richiedere trattamento. Effetti indesiderati possono manifestarsi fino a 4 mesi dall’ultima iniezione di Yuflyma.</w:t>
      </w:r>
    </w:p>
    <w:p w14:paraId="088326BF" w14:textId="77777777" w:rsidR="00953B2E" w:rsidRPr="00C35766" w:rsidRDefault="00953B2E">
      <w:pPr>
        <w:spacing w:before="15" w:line="240" w:lineRule="exact"/>
        <w:rPr>
          <w:rFonts w:ascii="Times New Roman" w:hAnsi="Times New Roman" w:cs="Times New Roman"/>
          <w:sz w:val="24"/>
          <w:szCs w:val="24"/>
          <w:lang w:val="pt-BR"/>
        </w:rPr>
      </w:pPr>
    </w:p>
    <w:p w14:paraId="2A722489" w14:textId="77777777" w:rsidR="00953B2E" w:rsidRPr="00C35766" w:rsidRDefault="005F0C19">
      <w:pPr>
        <w:pStyle w:val="a3"/>
        <w:rPr>
          <w:b/>
          <w:lang w:val="it-IT"/>
        </w:rPr>
      </w:pPr>
      <w:r w:rsidRPr="00C35766">
        <w:rPr>
          <w:rFonts w:eastAsia="Times New Roman"/>
          <w:b/>
          <w:bCs/>
          <w:lang w:val="it-IT"/>
        </w:rPr>
        <w:t>Informi immediatamente il medico se nota una qualsiasi delle seguenti reazioni</w:t>
      </w:r>
    </w:p>
    <w:p w14:paraId="77F0699E" w14:textId="77777777" w:rsidR="00953B2E" w:rsidRPr="00C35766" w:rsidRDefault="00953B2E">
      <w:pPr>
        <w:spacing w:before="10" w:line="240" w:lineRule="exact"/>
        <w:rPr>
          <w:rFonts w:ascii="Times New Roman" w:hAnsi="Times New Roman" w:cs="Times New Roman"/>
          <w:sz w:val="24"/>
          <w:lang w:val="it-IT"/>
        </w:rPr>
      </w:pPr>
    </w:p>
    <w:p w14:paraId="5D10C809"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eruzione cutanea grave, orticaria o altri segni di reazione allergica</w:t>
      </w:r>
    </w:p>
    <w:p w14:paraId="67D6E200"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gonfiore del viso, delle mani, dei piedi</w:t>
      </w:r>
    </w:p>
    <w:p w14:paraId="39A906F2"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difficoltà a respirare, difficoltà a deglutire</w:t>
      </w:r>
    </w:p>
    <w:p w14:paraId="247C4FCD"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respiro corto sotto sforzo o in posizione sdraiata o piedi gonfi</w:t>
      </w:r>
    </w:p>
    <w:p w14:paraId="500E35CD" w14:textId="77777777" w:rsidR="00953B2E" w:rsidRPr="00C35766" w:rsidRDefault="00953B2E">
      <w:pPr>
        <w:spacing w:before="15" w:line="240" w:lineRule="exact"/>
        <w:rPr>
          <w:rFonts w:ascii="Times New Roman" w:hAnsi="Times New Roman" w:cs="Times New Roman"/>
          <w:sz w:val="24"/>
          <w:lang w:val="it-IT"/>
        </w:rPr>
      </w:pPr>
    </w:p>
    <w:p w14:paraId="4C32DA81" w14:textId="77777777" w:rsidR="00953B2E" w:rsidRPr="00C35766" w:rsidRDefault="005F0C19">
      <w:pPr>
        <w:pStyle w:val="a3"/>
        <w:rPr>
          <w:b/>
          <w:lang w:val="it-IT"/>
        </w:rPr>
      </w:pPr>
      <w:r w:rsidRPr="00C35766">
        <w:rPr>
          <w:rFonts w:eastAsia="Times New Roman"/>
          <w:b/>
          <w:bCs/>
          <w:lang w:val="it-IT"/>
        </w:rPr>
        <w:t>Informi appena possibile il medico se nota una qualsiasi delle seguenti reazioni</w:t>
      </w:r>
    </w:p>
    <w:p w14:paraId="55F56951" w14:textId="77777777" w:rsidR="00953B2E" w:rsidRPr="00C35766" w:rsidRDefault="00953B2E">
      <w:pPr>
        <w:spacing w:before="10" w:line="240" w:lineRule="exact"/>
        <w:rPr>
          <w:rFonts w:ascii="Times New Roman" w:hAnsi="Times New Roman" w:cs="Times New Roman"/>
          <w:sz w:val="24"/>
          <w:lang w:val="it-IT"/>
        </w:rPr>
      </w:pPr>
    </w:p>
    <w:p w14:paraId="42D63C31"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segni di infezione come febbre, sensazione di malessere, ferite, problemi dentali, bruciore nell’urinare</w:t>
      </w:r>
    </w:p>
    <w:p w14:paraId="2FCFEFA1" w14:textId="77777777" w:rsidR="00953B2E" w:rsidRPr="00C35766" w:rsidRDefault="005F0C19" w:rsidP="00787805">
      <w:pPr>
        <w:pStyle w:val="a3"/>
        <w:numPr>
          <w:ilvl w:val="0"/>
          <w:numId w:val="15"/>
        </w:numPr>
        <w:ind w:left="660" w:hanging="660"/>
      </w:pPr>
      <w:r w:rsidRPr="00C35766">
        <w:rPr>
          <w:rFonts w:eastAsia="Times New Roman"/>
          <w:lang w:val="it-IT"/>
        </w:rPr>
        <w:t>sensazione di debolezza/stanchezza</w:t>
      </w:r>
    </w:p>
    <w:p w14:paraId="5728C66F" w14:textId="77777777" w:rsidR="00953B2E" w:rsidRPr="00C35766" w:rsidRDefault="005F0C19" w:rsidP="00787805">
      <w:pPr>
        <w:pStyle w:val="a3"/>
        <w:numPr>
          <w:ilvl w:val="0"/>
          <w:numId w:val="15"/>
        </w:numPr>
        <w:ind w:left="660" w:hanging="660"/>
      </w:pPr>
      <w:r w:rsidRPr="00C35766">
        <w:rPr>
          <w:rFonts w:eastAsia="Times New Roman"/>
          <w:lang w:val="it-IT"/>
        </w:rPr>
        <w:t>tosse</w:t>
      </w:r>
    </w:p>
    <w:p w14:paraId="52516D16" w14:textId="77777777" w:rsidR="00953B2E" w:rsidRPr="00C35766" w:rsidRDefault="005F0C19" w:rsidP="00787805">
      <w:pPr>
        <w:pStyle w:val="a3"/>
        <w:numPr>
          <w:ilvl w:val="0"/>
          <w:numId w:val="15"/>
        </w:numPr>
        <w:ind w:left="660" w:hanging="660"/>
      </w:pPr>
      <w:r w:rsidRPr="00C35766">
        <w:rPr>
          <w:rFonts w:eastAsia="Times New Roman"/>
          <w:lang w:val="it-IT"/>
        </w:rPr>
        <w:t>formicolio</w:t>
      </w:r>
    </w:p>
    <w:p w14:paraId="18D2B9E3" w14:textId="77777777" w:rsidR="00953B2E" w:rsidRPr="00C35766" w:rsidRDefault="005F0C19" w:rsidP="00787805">
      <w:pPr>
        <w:pStyle w:val="a3"/>
        <w:numPr>
          <w:ilvl w:val="0"/>
          <w:numId w:val="15"/>
        </w:numPr>
        <w:ind w:left="660" w:hanging="660"/>
      </w:pPr>
      <w:r w:rsidRPr="00C35766">
        <w:rPr>
          <w:rFonts w:eastAsia="Times New Roman"/>
          <w:lang w:val="it-IT"/>
        </w:rPr>
        <w:t>intorpidimento</w:t>
      </w:r>
    </w:p>
    <w:p w14:paraId="67320B96" w14:textId="77777777" w:rsidR="00953B2E" w:rsidRPr="00C35766" w:rsidRDefault="005F0C19" w:rsidP="00787805">
      <w:pPr>
        <w:pStyle w:val="a3"/>
        <w:numPr>
          <w:ilvl w:val="0"/>
          <w:numId w:val="15"/>
        </w:numPr>
        <w:ind w:left="660" w:hanging="660"/>
      </w:pPr>
      <w:r w:rsidRPr="00C35766">
        <w:rPr>
          <w:rFonts w:eastAsia="Times New Roman"/>
          <w:lang w:val="it-IT"/>
        </w:rPr>
        <w:t>sdoppiamento della vista</w:t>
      </w:r>
    </w:p>
    <w:p w14:paraId="05F35655" w14:textId="77777777" w:rsidR="00953B2E" w:rsidRPr="00C35766" w:rsidRDefault="005F0C19" w:rsidP="00787805">
      <w:pPr>
        <w:pStyle w:val="a3"/>
        <w:numPr>
          <w:ilvl w:val="0"/>
          <w:numId w:val="15"/>
        </w:numPr>
        <w:ind w:left="660" w:hanging="660"/>
      </w:pPr>
      <w:r w:rsidRPr="00C35766">
        <w:rPr>
          <w:rFonts w:eastAsia="Times New Roman"/>
          <w:lang w:val="it-IT"/>
        </w:rPr>
        <w:t>debolezza di braccia o gambe</w:t>
      </w:r>
    </w:p>
    <w:p w14:paraId="6343B060"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gonfiore o piaga aperta che non guarisce</w:t>
      </w:r>
    </w:p>
    <w:p w14:paraId="36D2473D" w14:textId="37395861" w:rsidR="00953B2E" w:rsidRPr="00C35766" w:rsidRDefault="005F0C19" w:rsidP="00787805">
      <w:pPr>
        <w:pStyle w:val="a3"/>
        <w:numPr>
          <w:ilvl w:val="0"/>
          <w:numId w:val="15"/>
        </w:numPr>
        <w:ind w:left="660" w:hanging="660"/>
        <w:rPr>
          <w:lang w:val="it-IT"/>
        </w:rPr>
      </w:pPr>
      <w:r w:rsidRPr="00C35766">
        <w:rPr>
          <w:rFonts w:eastAsia="Times New Roman"/>
          <w:lang w:val="it-IT"/>
        </w:rPr>
        <w:t xml:space="preserve">segni e sintomi che suggeriscono la comparsa di disturbi a carico del sistema emopoietico, come la presenza di febbre persistente, lividi, </w:t>
      </w:r>
      <w:r w:rsidR="0067374F" w:rsidRPr="00C35766">
        <w:rPr>
          <w:rFonts w:eastAsia="Times New Roman"/>
          <w:lang w:val="it-IT"/>
        </w:rPr>
        <w:t>sanguinamento</w:t>
      </w:r>
      <w:r w:rsidRPr="00C35766">
        <w:rPr>
          <w:rFonts w:eastAsia="Times New Roman"/>
          <w:lang w:val="it-IT"/>
        </w:rPr>
        <w:t>, pallore</w:t>
      </w:r>
    </w:p>
    <w:p w14:paraId="3C03CC5F" w14:textId="77777777" w:rsidR="00953B2E" w:rsidRPr="00C35766" w:rsidRDefault="00953B2E">
      <w:pPr>
        <w:pStyle w:val="a3"/>
        <w:numPr>
          <w:ilvl w:val="0"/>
          <w:numId w:val="0"/>
        </w:numPr>
        <w:ind w:left="660"/>
        <w:rPr>
          <w:lang w:val="it-IT"/>
        </w:rPr>
      </w:pPr>
    </w:p>
    <w:p w14:paraId="78C430D9" w14:textId="77777777" w:rsidR="00953B2E" w:rsidRPr="00C35766" w:rsidRDefault="005F0C19">
      <w:pPr>
        <w:pStyle w:val="a3"/>
        <w:rPr>
          <w:lang w:val="pt-BR"/>
        </w:rPr>
      </w:pPr>
      <w:r w:rsidRPr="00C35766">
        <w:rPr>
          <w:rFonts w:eastAsia="Times New Roman"/>
          <w:lang w:val="it-IT"/>
        </w:rPr>
        <w:t>I sintomi sopra descritti possono essere segni dei seguenti effetti indesiderati, che sono stati osservati con Yuflyma.</w:t>
      </w:r>
    </w:p>
    <w:p w14:paraId="1992FAF5" w14:textId="77777777" w:rsidR="00953B2E" w:rsidRPr="00C35766" w:rsidRDefault="00953B2E">
      <w:pPr>
        <w:spacing w:before="10" w:line="240" w:lineRule="exact"/>
        <w:rPr>
          <w:rFonts w:ascii="Times New Roman" w:hAnsi="Times New Roman" w:cs="Times New Roman"/>
          <w:sz w:val="24"/>
          <w:szCs w:val="24"/>
          <w:lang w:val="pt-BR"/>
        </w:rPr>
      </w:pPr>
    </w:p>
    <w:p w14:paraId="435C5C50" w14:textId="77777777" w:rsidR="00515324" w:rsidRPr="00C35766" w:rsidRDefault="00515324" w:rsidP="00515324">
      <w:pPr>
        <w:pStyle w:val="a3"/>
        <w:rPr>
          <w:lang w:val="pt-BR"/>
        </w:rPr>
      </w:pPr>
      <w:r w:rsidRPr="00C35766">
        <w:rPr>
          <w:rFonts w:eastAsia="Times New Roman"/>
          <w:b/>
          <w:bCs/>
          <w:lang w:val="it-IT"/>
        </w:rPr>
        <w:t xml:space="preserve">Molto comuni </w:t>
      </w:r>
      <w:r w:rsidRPr="00C35766">
        <w:rPr>
          <w:rFonts w:eastAsia="Times New Roman"/>
          <w:lang w:val="it-IT"/>
        </w:rPr>
        <w:t>(possono interessare più di 1 persona su 10)</w:t>
      </w:r>
    </w:p>
    <w:p w14:paraId="494E545C" w14:textId="77777777" w:rsidR="00515324" w:rsidRPr="00C35766" w:rsidRDefault="00515324" w:rsidP="00515324">
      <w:pPr>
        <w:spacing w:before="14" w:line="240" w:lineRule="exact"/>
        <w:rPr>
          <w:rFonts w:ascii="Times New Roman" w:hAnsi="Times New Roman" w:cs="Times New Roman"/>
          <w:sz w:val="24"/>
          <w:szCs w:val="24"/>
          <w:lang w:val="pt-BR"/>
        </w:rPr>
      </w:pPr>
    </w:p>
    <w:p w14:paraId="5D072B75" w14:textId="2E00615F" w:rsidR="00515324" w:rsidRPr="00C35766" w:rsidRDefault="00515324" w:rsidP="00787805">
      <w:pPr>
        <w:pStyle w:val="a3"/>
        <w:numPr>
          <w:ilvl w:val="0"/>
          <w:numId w:val="15"/>
        </w:numPr>
        <w:ind w:left="660" w:hanging="660"/>
        <w:rPr>
          <w:lang w:val="pt-BR"/>
        </w:rPr>
      </w:pPr>
      <w:r w:rsidRPr="00C35766">
        <w:rPr>
          <w:rFonts w:eastAsia="Times New Roman"/>
          <w:lang w:val="it-IT"/>
        </w:rPr>
        <w:t>reazioni nella sede d’iniezione (tra cui dolore, gonfiore, arrossamento o prurito)</w:t>
      </w:r>
    </w:p>
    <w:p w14:paraId="771AFFC4" w14:textId="5FA45513" w:rsidR="00515324" w:rsidRPr="00824699" w:rsidRDefault="00515324" w:rsidP="00787805">
      <w:pPr>
        <w:pStyle w:val="a3"/>
        <w:numPr>
          <w:ilvl w:val="0"/>
          <w:numId w:val="15"/>
        </w:numPr>
        <w:ind w:left="660" w:hanging="660"/>
        <w:rPr>
          <w:lang w:val="it-IT"/>
        </w:rPr>
      </w:pPr>
      <w:r w:rsidRPr="00C35766">
        <w:rPr>
          <w:rFonts w:eastAsia="Times New Roman"/>
          <w:lang w:val="it-IT"/>
        </w:rPr>
        <w:t>infezioni delle vie respiratorie (tra cui raffreddore, naso che cola, sinusite e polmonite)</w:t>
      </w:r>
    </w:p>
    <w:p w14:paraId="61D3015B" w14:textId="77777777" w:rsidR="00515324" w:rsidRPr="00C35766" w:rsidRDefault="00515324" w:rsidP="00787805">
      <w:pPr>
        <w:pStyle w:val="a3"/>
        <w:numPr>
          <w:ilvl w:val="0"/>
          <w:numId w:val="15"/>
        </w:numPr>
        <w:ind w:left="660" w:hanging="660"/>
      </w:pPr>
      <w:r w:rsidRPr="00C35766">
        <w:rPr>
          <w:rFonts w:eastAsia="Times New Roman"/>
          <w:lang w:val="it-IT"/>
        </w:rPr>
        <w:t>mal di testa</w:t>
      </w:r>
    </w:p>
    <w:p w14:paraId="76E7E356" w14:textId="77777777" w:rsidR="00515324" w:rsidRPr="00C35766" w:rsidRDefault="00515324" w:rsidP="00787805">
      <w:pPr>
        <w:pStyle w:val="a3"/>
        <w:numPr>
          <w:ilvl w:val="0"/>
          <w:numId w:val="15"/>
        </w:numPr>
        <w:ind w:left="660" w:hanging="660"/>
      </w:pPr>
      <w:r w:rsidRPr="00C35766">
        <w:rPr>
          <w:rFonts w:eastAsia="Times New Roman"/>
          <w:lang w:val="it-IT"/>
        </w:rPr>
        <w:t>dolore addominale</w:t>
      </w:r>
    </w:p>
    <w:p w14:paraId="39094DEF" w14:textId="77777777" w:rsidR="00515324" w:rsidRPr="00C35766" w:rsidRDefault="00515324" w:rsidP="00787805">
      <w:pPr>
        <w:pStyle w:val="a3"/>
        <w:numPr>
          <w:ilvl w:val="0"/>
          <w:numId w:val="15"/>
        </w:numPr>
        <w:ind w:left="660" w:hanging="660"/>
      </w:pPr>
      <w:r w:rsidRPr="00C35766">
        <w:rPr>
          <w:rFonts w:eastAsia="Times New Roman"/>
          <w:lang w:val="it-IT"/>
        </w:rPr>
        <w:t>nausea e vomito</w:t>
      </w:r>
    </w:p>
    <w:p w14:paraId="34FF8EAF" w14:textId="77777777" w:rsidR="00515324" w:rsidRPr="00C35766" w:rsidRDefault="00515324" w:rsidP="00787805">
      <w:pPr>
        <w:pStyle w:val="a3"/>
        <w:numPr>
          <w:ilvl w:val="0"/>
          <w:numId w:val="15"/>
        </w:numPr>
        <w:ind w:left="660" w:hanging="660"/>
      </w:pPr>
      <w:r w:rsidRPr="00C35766">
        <w:rPr>
          <w:rFonts w:eastAsia="Times New Roman"/>
          <w:lang w:val="it-IT"/>
        </w:rPr>
        <w:t>eruzione cutanea</w:t>
      </w:r>
    </w:p>
    <w:p w14:paraId="4B11A6A4" w14:textId="6EEDD1D9" w:rsidR="00515324" w:rsidRPr="00C35766" w:rsidRDefault="00B40428" w:rsidP="00787805">
      <w:pPr>
        <w:pStyle w:val="a3"/>
        <w:numPr>
          <w:ilvl w:val="0"/>
          <w:numId w:val="15"/>
        </w:numPr>
        <w:ind w:left="660" w:hanging="660"/>
      </w:pPr>
      <w:r>
        <w:rPr>
          <w:rFonts w:eastAsia="Times New Roman"/>
          <w:lang w:val="it-IT"/>
        </w:rPr>
        <w:t>d</w:t>
      </w:r>
      <w:r w:rsidRPr="00C35766">
        <w:rPr>
          <w:rFonts w:eastAsia="Times New Roman"/>
          <w:lang w:val="it-IT"/>
        </w:rPr>
        <w:t xml:space="preserve">olore </w:t>
      </w:r>
      <w:r w:rsidR="00515324" w:rsidRPr="00C35766">
        <w:rPr>
          <w:rFonts w:eastAsia="Times New Roman"/>
          <w:lang w:val="it-IT"/>
        </w:rPr>
        <w:t>muscoloscheletrico</w:t>
      </w:r>
    </w:p>
    <w:p w14:paraId="7F32BDF6" w14:textId="77777777" w:rsidR="00515324" w:rsidRPr="00C35766" w:rsidRDefault="00515324" w:rsidP="00515324">
      <w:pPr>
        <w:spacing w:before="9" w:line="220" w:lineRule="exact"/>
        <w:rPr>
          <w:rFonts w:ascii="Times New Roman" w:hAnsi="Times New Roman" w:cs="Times New Roman"/>
        </w:rPr>
      </w:pPr>
    </w:p>
    <w:p w14:paraId="58AE8525" w14:textId="77777777" w:rsidR="00515324" w:rsidRPr="00C35766" w:rsidRDefault="00515324" w:rsidP="00515324">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3A36C32B" w14:textId="77777777" w:rsidR="00515324" w:rsidRPr="00C35766" w:rsidRDefault="00515324" w:rsidP="00515324">
      <w:pPr>
        <w:spacing w:before="14" w:line="240" w:lineRule="exact"/>
        <w:rPr>
          <w:rFonts w:ascii="Times New Roman" w:hAnsi="Times New Roman" w:cs="Times New Roman"/>
          <w:sz w:val="24"/>
          <w:szCs w:val="24"/>
          <w:lang w:val="pt-BR"/>
        </w:rPr>
      </w:pPr>
    </w:p>
    <w:p w14:paraId="61EA2395"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infezioni gravi (tra cui setticemia ed influenza)</w:t>
      </w:r>
    </w:p>
    <w:p w14:paraId="6E63F899"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infezioni intestinali (tra cui gastroenterite)</w:t>
      </w:r>
    </w:p>
    <w:p w14:paraId="0C44EDE3"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infezioni della pelle (tra cui cellulite e infezione da Herpes Zoster)</w:t>
      </w:r>
    </w:p>
    <w:p w14:paraId="4B66CAF2" w14:textId="3E609265" w:rsidR="00515324" w:rsidRPr="00C35766" w:rsidRDefault="00515324" w:rsidP="00787805">
      <w:pPr>
        <w:pStyle w:val="a3"/>
        <w:numPr>
          <w:ilvl w:val="0"/>
          <w:numId w:val="15"/>
        </w:numPr>
        <w:ind w:left="660" w:hanging="660"/>
      </w:pPr>
      <w:r w:rsidRPr="00C35766">
        <w:rPr>
          <w:rFonts w:eastAsia="Times New Roman"/>
          <w:lang w:val="it-IT"/>
        </w:rPr>
        <w:t>infezioni dell’orecchio</w:t>
      </w:r>
    </w:p>
    <w:p w14:paraId="41848992" w14:textId="7ED68D55" w:rsidR="00515324" w:rsidRPr="00C35766" w:rsidRDefault="00515324" w:rsidP="00787805">
      <w:pPr>
        <w:pStyle w:val="a3"/>
        <w:numPr>
          <w:ilvl w:val="0"/>
          <w:numId w:val="15"/>
        </w:numPr>
        <w:ind w:left="660" w:hanging="660"/>
        <w:rPr>
          <w:lang w:val="pt-BR"/>
        </w:rPr>
      </w:pPr>
      <w:r w:rsidRPr="00C35766">
        <w:rPr>
          <w:rFonts w:eastAsia="Times New Roman"/>
          <w:lang w:val="it-IT"/>
        </w:rPr>
        <w:t xml:space="preserve">infezioni orali (tra cui infezioni dei denti ed herpes </w:t>
      </w:r>
      <w:r w:rsidR="00842603" w:rsidRPr="00075E40">
        <w:rPr>
          <w:rFonts w:eastAsia="Times New Roman"/>
          <w:lang w:val="it-IT"/>
        </w:rPr>
        <w:t>labiali</w:t>
      </w:r>
      <w:r w:rsidRPr="00C35766">
        <w:rPr>
          <w:rFonts w:eastAsia="Times New Roman"/>
          <w:lang w:val="it-IT"/>
        </w:rPr>
        <w:t>)</w:t>
      </w:r>
    </w:p>
    <w:p w14:paraId="149E6FD9" w14:textId="77777777" w:rsidR="00515324" w:rsidRPr="00C35766" w:rsidRDefault="00515324" w:rsidP="00787805">
      <w:pPr>
        <w:pStyle w:val="a3"/>
        <w:numPr>
          <w:ilvl w:val="0"/>
          <w:numId w:val="15"/>
        </w:numPr>
        <w:ind w:left="660" w:hanging="660"/>
      </w:pPr>
      <w:r w:rsidRPr="00C35766">
        <w:rPr>
          <w:rFonts w:eastAsia="Times New Roman"/>
          <w:lang w:val="it-IT"/>
        </w:rPr>
        <w:t>infezioni dell’apparato riproduttivo</w:t>
      </w:r>
    </w:p>
    <w:p w14:paraId="1D358817" w14:textId="349869A5" w:rsidR="00515324" w:rsidRPr="00C35766" w:rsidRDefault="00D53FB4" w:rsidP="00787805">
      <w:pPr>
        <w:pStyle w:val="a3"/>
        <w:numPr>
          <w:ilvl w:val="0"/>
          <w:numId w:val="15"/>
        </w:numPr>
        <w:ind w:left="660" w:hanging="660"/>
      </w:pPr>
      <w:r>
        <w:rPr>
          <w:rFonts w:eastAsia="Times New Roman"/>
          <w:lang w:val="it-IT"/>
        </w:rPr>
        <w:t>i</w:t>
      </w:r>
      <w:r w:rsidRPr="00C35766">
        <w:rPr>
          <w:rFonts w:eastAsia="Times New Roman"/>
          <w:lang w:val="it-IT"/>
        </w:rPr>
        <w:t xml:space="preserve">nfezione </w:t>
      </w:r>
      <w:r w:rsidR="00515324" w:rsidRPr="00C35766">
        <w:rPr>
          <w:rFonts w:eastAsia="Times New Roman"/>
          <w:lang w:val="it-IT"/>
        </w:rPr>
        <w:t>delle vie urinarie</w:t>
      </w:r>
    </w:p>
    <w:p w14:paraId="29B28CEF" w14:textId="19DCF407" w:rsidR="00515324" w:rsidRPr="00C35766" w:rsidRDefault="00515324" w:rsidP="00787805">
      <w:pPr>
        <w:pStyle w:val="a3"/>
        <w:numPr>
          <w:ilvl w:val="0"/>
          <w:numId w:val="15"/>
        </w:numPr>
        <w:ind w:left="660" w:hanging="660"/>
      </w:pPr>
      <w:r w:rsidRPr="00C35766">
        <w:rPr>
          <w:rFonts w:eastAsia="Times New Roman"/>
          <w:lang w:val="it-IT"/>
        </w:rPr>
        <w:t>infezioni fungine</w:t>
      </w:r>
    </w:p>
    <w:p w14:paraId="41D5779A" w14:textId="77777777" w:rsidR="00515324" w:rsidRPr="00C35766" w:rsidRDefault="00515324" w:rsidP="00787805">
      <w:pPr>
        <w:pStyle w:val="a3"/>
        <w:numPr>
          <w:ilvl w:val="0"/>
          <w:numId w:val="15"/>
        </w:numPr>
        <w:ind w:left="660" w:hanging="660"/>
      </w:pPr>
      <w:r w:rsidRPr="00C35766">
        <w:rPr>
          <w:rFonts w:eastAsia="Times New Roman"/>
          <w:lang w:val="it-IT"/>
        </w:rPr>
        <w:t>infezioni a carico delle articolazioni</w:t>
      </w:r>
    </w:p>
    <w:p w14:paraId="355A336D" w14:textId="77777777" w:rsidR="00515324" w:rsidRPr="00C35766" w:rsidRDefault="00515324" w:rsidP="00787805">
      <w:pPr>
        <w:pStyle w:val="a3"/>
        <w:numPr>
          <w:ilvl w:val="0"/>
          <w:numId w:val="15"/>
        </w:numPr>
        <w:ind w:left="660" w:hanging="660"/>
      </w:pPr>
      <w:r w:rsidRPr="00C35766">
        <w:rPr>
          <w:rFonts w:eastAsia="Times New Roman"/>
          <w:lang w:val="it-IT"/>
        </w:rPr>
        <w:t>tumori benigni</w:t>
      </w:r>
    </w:p>
    <w:p w14:paraId="6073A653" w14:textId="77777777" w:rsidR="00515324" w:rsidRPr="00C35766" w:rsidRDefault="00515324" w:rsidP="00787805">
      <w:pPr>
        <w:pStyle w:val="a3"/>
        <w:numPr>
          <w:ilvl w:val="0"/>
          <w:numId w:val="15"/>
        </w:numPr>
        <w:ind w:left="660" w:hanging="660"/>
      </w:pPr>
      <w:r w:rsidRPr="00C35766">
        <w:rPr>
          <w:rFonts w:eastAsia="Times New Roman"/>
          <w:lang w:val="it-IT"/>
        </w:rPr>
        <w:lastRenderedPageBreak/>
        <w:t>tumore della pelle</w:t>
      </w:r>
    </w:p>
    <w:p w14:paraId="4FC0B42A" w14:textId="77777777" w:rsidR="00515324" w:rsidRPr="00C35766" w:rsidRDefault="00515324" w:rsidP="00787805">
      <w:pPr>
        <w:pStyle w:val="a3"/>
        <w:numPr>
          <w:ilvl w:val="0"/>
          <w:numId w:val="15"/>
        </w:numPr>
        <w:ind w:left="660" w:hanging="660"/>
        <w:rPr>
          <w:lang w:val="de-CH"/>
        </w:rPr>
      </w:pPr>
      <w:r w:rsidRPr="00C35766">
        <w:rPr>
          <w:rFonts w:eastAsia="Times New Roman"/>
          <w:lang w:val="it-IT"/>
        </w:rPr>
        <w:t>reazioni allergiche (tra cui allergia stagionale)</w:t>
      </w:r>
    </w:p>
    <w:p w14:paraId="2ECC8C52" w14:textId="77777777" w:rsidR="00515324" w:rsidRPr="00C35766" w:rsidRDefault="00515324" w:rsidP="00787805">
      <w:pPr>
        <w:pStyle w:val="a3"/>
        <w:numPr>
          <w:ilvl w:val="0"/>
          <w:numId w:val="15"/>
        </w:numPr>
        <w:ind w:left="660" w:hanging="660"/>
      </w:pPr>
      <w:r w:rsidRPr="00C35766">
        <w:rPr>
          <w:rFonts w:eastAsia="Times New Roman"/>
          <w:lang w:val="it-IT"/>
        </w:rPr>
        <w:t>disidratazione</w:t>
      </w:r>
    </w:p>
    <w:p w14:paraId="782FF031"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cambiamenti di umore (inclusa depressione)</w:t>
      </w:r>
    </w:p>
    <w:p w14:paraId="621E6FCD" w14:textId="77777777" w:rsidR="00515324" w:rsidRPr="00C35766" w:rsidRDefault="00515324" w:rsidP="00787805">
      <w:pPr>
        <w:pStyle w:val="a3"/>
        <w:numPr>
          <w:ilvl w:val="0"/>
          <w:numId w:val="15"/>
        </w:numPr>
        <w:ind w:left="660" w:hanging="660"/>
      </w:pPr>
      <w:r w:rsidRPr="00C35766">
        <w:rPr>
          <w:rFonts w:eastAsia="Times New Roman"/>
          <w:lang w:val="it-IT"/>
        </w:rPr>
        <w:t>ansia</w:t>
      </w:r>
    </w:p>
    <w:p w14:paraId="44B3E9CF" w14:textId="77777777" w:rsidR="00515324" w:rsidRPr="00C35766" w:rsidRDefault="00515324" w:rsidP="00787805">
      <w:pPr>
        <w:pStyle w:val="a3"/>
        <w:numPr>
          <w:ilvl w:val="0"/>
          <w:numId w:val="15"/>
        </w:numPr>
        <w:ind w:left="660" w:hanging="660"/>
      </w:pPr>
      <w:r w:rsidRPr="00C35766">
        <w:rPr>
          <w:rFonts w:eastAsia="Times New Roman"/>
          <w:lang w:val="it-IT"/>
        </w:rPr>
        <w:t>difficoltà a dormire</w:t>
      </w:r>
    </w:p>
    <w:p w14:paraId="451D77FA"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disturbi della sensibilità come formicolii, sensazione di fitte o intorpidimento</w:t>
      </w:r>
    </w:p>
    <w:p w14:paraId="16907A21" w14:textId="4C8A6105" w:rsidR="00515324" w:rsidRPr="00C35766" w:rsidRDefault="00515324" w:rsidP="00787805">
      <w:pPr>
        <w:pStyle w:val="a3"/>
        <w:numPr>
          <w:ilvl w:val="0"/>
          <w:numId w:val="15"/>
        </w:numPr>
        <w:ind w:left="660" w:hanging="660"/>
      </w:pPr>
      <w:r w:rsidRPr="00C35766">
        <w:rPr>
          <w:rFonts w:eastAsia="Times New Roman"/>
          <w:lang w:val="it-IT"/>
        </w:rPr>
        <w:t>emicrania</w:t>
      </w:r>
    </w:p>
    <w:p w14:paraId="3FAA0254"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compressione di radice nervosa (tra cui dolore lombare e dolore alle gambe)</w:t>
      </w:r>
    </w:p>
    <w:p w14:paraId="78282F26" w14:textId="73B8EAA9" w:rsidR="00515324" w:rsidRPr="00C35766" w:rsidRDefault="00515324" w:rsidP="00787805">
      <w:pPr>
        <w:pStyle w:val="a3"/>
        <w:numPr>
          <w:ilvl w:val="0"/>
          <w:numId w:val="15"/>
        </w:numPr>
        <w:ind w:left="660" w:hanging="660"/>
      </w:pPr>
      <w:r w:rsidRPr="00C35766">
        <w:rPr>
          <w:rFonts w:eastAsia="Times New Roman"/>
          <w:lang w:val="it-IT"/>
        </w:rPr>
        <w:t>disturbi visivi</w:t>
      </w:r>
    </w:p>
    <w:p w14:paraId="38A5AE74" w14:textId="77777777" w:rsidR="00515324" w:rsidRPr="00C35766" w:rsidRDefault="00515324" w:rsidP="00787805">
      <w:pPr>
        <w:pStyle w:val="a3"/>
        <w:numPr>
          <w:ilvl w:val="0"/>
          <w:numId w:val="15"/>
        </w:numPr>
        <w:ind w:left="660" w:hanging="660"/>
      </w:pPr>
      <w:r w:rsidRPr="00C35766">
        <w:rPr>
          <w:rFonts w:eastAsia="Times New Roman"/>
          <w:lang w:val="it-IT"/>
        </w:rPr>
        <w:t>infiammazione degli occhi</w:t>
      </w:r>
    </w:p>
    <w:p w14:paraId="4722767A" w14:textId="77777777" w:rsidR="00515324" w:rsidRPr="00C35766" w:rsidRDefault="00515324" w:rsidP="00787805">
      <w:pPr>
        <w:pStyle w:val="a3"/>
        <w:numPr>
          <w:ilvl w:val="0"/>
          <w:numId w:val="15"/>
        </w:numPr>
        <w:ind w:left="660" w:hanging="660"/>
        <w:rPr>
          <w:lang w:val="de-CH"/>
        </w:rPr>
      </w:pPr>
      <w:r w:rsidRPr="00C35766">
        <w:rPr>
          <w:rFonts w:eastAsia="Times New Roman"/>
          <w:lang w:val="it-IT"/>
        </w:rPr>
        <w:t>infiammazione delle palpebre e tumefazione degli occhi</w:t>
      </w:r>
    </w:p>
    <w:p w14:paraId="1027F419"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vertigini (sensazione di capogiro o rotazione)</w:t>
      </w:r>
    </w:p>
    <w:p w14:paraId="67CC2B63" w14:textId="77777777" w:rsidR="00515324" w:rsidRPr="00C35766" w:rsidRDefault="00515324" w:rsidP="00787805">
      <w:pPr>
        <w:pStyle w:val="a3"/>
        <w:numPr>
          <w:ilvl w:val="0"/>
          <w:numId w:val="15"/>
        </w:numPr>
        <w:ind w:left="660" w:hanging="660"/>
      </w:pPr>
      <w:r w:rsidRPr="00C35766">
        <w:rPr>
          <w:rFonts w:eastAsia="Times New Roman"/>
          <w:lang w:val="it-IT"/>
        </w:rPr>
        <w:t>sensazione di battito cardiaco accelerato</w:t>
      </w:r>
    </w:p>
    <w:p w14:paraId="1EA959AC" w14:textId="77777777" w:rsidR="00515324" w:rsidRPr="00C35766" w:rsidRDefault="00515324" w:rsidP="00787805">
      <w:pPr>
        <w:pStyle w:val="a3"/>
        <w:numPr>
          <w:ilvl w:val="0"/>
          <w:numId w:val="15"/>
        </w:numPr>
        <w:ind w:left="660" w:hanging="660"/>
      </w:pPr>
      <w:r w:rsidRPr="00C35766">
        <w:rPr>
          <w:rFonts w:eastAsia="Times New Roman"/>
          <w:lang w:val="it-IT"/>
        </w:rPr>
        <w:t>pressione sanguigna elevata</w:t>
      </w:r>
    </w:p>
    <w:p w14:paraId="61E1D3C1" w14:textId="180F3A2D" w:rsidR="00515324" w:rsidRPr="00C35766" w:rsidRDefault="00515324" w:rsidP="00787805">
      <w:pPr>
        <w:pStyle w:val="a3"/>
        <w:numPr>
          <w:ilvl w:val="0"/>
          <w:numId w:val="15"/>
        </w:numPr>
        <w:ind w:left="660" w:hanging="660"/>
      </w:pPr>
      <w:r w:rsidRPr="00C35766">
        <w:rPr>
          <w:rFonts w:eastAsia="Times New Roman"/>
          <w:lang w:val="it-IT"/>
        </w:rPr>
        <w:t>vampate</w:t>
      </w:r>
    </w:p>
    <w:p w14:paraId="2F857CC3"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ematoma (accumulo di sangue al di fuori dei vasi sanguigni)</w:t>
      </w:r>
    </w:p>
    <w:p w14:paraId="2F102307" w14:textId="77777777" w:rsidR="00515324" w:rsidRPr="00C35766" w:rsidRDefault="00515324" w:rsidP="00787805">
      <w:pPr>
        <w:pStyle w:val="a3"/>
        <w:numPr>
          <w:ilvl w:val="0"/>
          <w:numId w:val="15"/>
        </w:numPr>
        <w:ind w:left="660" w:hanging="660"/>
      </w:pPr>
      <w:r w:rsidRPr="00C35766">
        <w:rPr>
          <w:rFonts w:eastAsia="Times New Roman"/>
          <w:lang w:val="it-IT"/>
        </w:rPr>
        <w:t>tosse</w:t>
      </w:r>
    </w:p>
    <w:p w14:paraId="191C8362" w14:textId="1B378FAA" w:rsidR="00515324" w:rsidRPr="00C35766" w:rsidRDefault="00515324" w:rsidP="00787805">
      <w:pPr>
        <w:pStyle w:val="a3"/>
        <w:numPr>
          <w:ilvl w:val="0"/>
          <w:numId w:val="15"/>
        </w:numPr>
        <w:ind w:left="660" w:hanging="660"/>
      </w:pPr>
      <w:r w:rsidRPr="00C35766">
        <w:rPr>
          <w:rFonts w:eastAsia="Times New Roman"/>
          <w:lang w:val="it-IT"/>
        </w:rPr>
        <w:t>asma</w:t>
      </w:r>
    </w:p>
    <w:p w14:paraId="75E91726" w14:textId="77777777" w:rsidR="00515324" w:rsidRPr="00C35766" w:rsidRDefault="00515324" w:rsidP="00787805">
      <w:pPr>
        <w:pStyle w:val="a3"/>
        <w:numPr>
          <w:ilvl w:val="0"/>
          <w:numId w:val="15"/>
        </w:numPr>
        <w:ind w:left="660" w:hanging="660"/>
      </w:pPr>
      <w:r w:rsidRPr="00C35766">
        <w:rPr>
          <w:rFonts w:eastAsia="Times New Roman"/>
          <w:lang w:val="it-IT"/>
        </w:rPr>
        <w:t>respiro affannoso</w:t>
      </w:r>
    </w:p>
    <w:p w14:paraId="0A29F0C3" w14:textId="77777777" w:rsidR="00515324" w:rsidRPr="00C35766" w:rsidRDefault="00515324" w:rsidP="00787805">
      <w:pPr>
        <w:pStyle w:val="a3"/>
        <w:numPr>
          <w:ilvl w:val="0"/>
          <w:numId w:val="15"/>
        </w:numPr>
        <w:ind w:left="660" w:hanging="660"/>
      </w:pPr>
      <w:r w:rsidRPr="00C35766">
        <w:rPr>
          <w:rFonts w:eastAsia="Times New Roman"/>
          <w:lang w:val="it-IT"/>
        </w:rPr>
        <w:t>sanguinamento gastrointestinale</w:t>
      </w:r>
    </w:p>
    <w:p w14:paraId="0606284F"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dispepsia (indigestione, gonfiore, bruciore di stomaco)</w:t>
      </w:r>
    </w:p>
    <w:p w14:paraId="35450C68" w14:textId="77777777" w:rsidR="00515324" w:rsidRPr="00C35766" w:rsidRDefault="00515324" w:rsidP="00787805">
      <w:pPr>
        <w:pStyle w:val="a3"/>
        <w:numPr>
          <w:ilvl w:val="0"/>
          <w:numId w:val="15"/>
        </w:numPr>
        <w:ind w:left="660" w:hanging="660"/>
      </w:pPr>
      <w:r w:rsidRPr="00C35766">
        <w:rPr>
          <w:rFonts w:eastAsia="Times New Roman"/>
          <w:lang w:val="it-IT"/>
        </w:rPr>
        <w:t>disturbo da reflusso acido</w:t>
      </w:r>
    </w:p>
    <w:p w14:paraId="34F9C3FB"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sindrome sicca (tra cui secchezza degli occhi e della bocca)</w:t>
      </w:r>
    </w:p>
    <w:p w14:paraId="6CE0319F" w14:textId="77777777" w:rsidR="00515324" w:rsidRPr="00C35766" w:rsidRDefault="00515324" w:rsidP="00787805">
      <w:pPr>
        <w:pStyle w:val="a3"/>
        <w:numPr>
          <w:ilvl w:val="0"/>
          <w:numId w:val="15"/>
        </w:numPr>
        <w:ind w:left="660" w:hanging="660"/>
      </w:pPr>
      <w:r w:rsidRPr="00C35766">
        <w:rPr>
          <w:rFonts w:eastAsia="Times New Roman"/>
          <w:lang w:val="it-IT"/>
        </w:rPr>
        <w:t>prurito</w:t>
      </w:r>
    </w:p>
    <w:p w14:paraId="6FDC9EDD" w14:textId="77777777" w:rsidR="00515324" w:rsidRPr="00C35766" w:rsidRDefault="00515324" w:rsidP="00787805">
      <w:pPr>
        <w:pStyle w:val="a3"/>
        <w:numPr>
          <w:ilvl w:val="0"/>
          <w:numId w:val="15"/>
        </w:numPr>
        <w:ind w:left="660" w:hanging="660"/>
        <w:rPr>
          <w:rFonts w:eastAsia="Times New Roman"/>
          <w:spacing w:val="-1"/>
        </w:rPr>
      </w:pPr>
      <w:r w:rsidRPr="00C35766">
        <w:rPr>
          <w:rFonts w:eastAsia="Times New Roman"/>
          <w:lang w:val="it-IT"/>
        </w:rPr>
        <w:t>eruzione cutanea pruriginosa</w:t>
      </w:r>
    </w:p>
    <w:p w14:paraId="7DC77918" w14:textId="77777777" w:rsidR="00515324" w:rsidRPr="00C35766" w:rsidRDefault="00515324" w:rsidP="00787805">
      <w:pPr>
        <w:pStyle w:val="a3"/>
        <w:numPr>
          <w:ilvl w:val="0"/>
          <w:numId w:val="15"/>
        </w:numPr>
        <w:ind w:left="660" w:hanging="660"/>
      </w:pPr>
      <w:r w:rsidRPr="00C35766">
        <w:rPr>
          <w:rFonts w:eastAsia="Times New Roman"/>
          <w:lang w:val="it-IT"/>
        </w:rPr>
        <w:t>lividi</w:t>
      </w:r>
    </w:p>
    <w:p w14:paraId="687D94D0"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infiammazione della pelle (come eczema)</w:t>
      </w:r>
    </w:p>
    <w:p w14:paraId="34C2DC96"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rottura delle unghie delle dita della mano e del piede</w:t>
      </w:r>
    </w:p>
    <w:p w14:paraId="329524FC" w14:textId="77777777" w:rsidR="00515324" w:rsidRPr="00C35766" w:rsidRDefault="00515324" w:rsidP="00787805">
      <w:pPr>
        <w:pStyle w:val="a3"/>
        <w:numPr>
          <w:ilvl w:val="0"/>
          <w:numId w:val="15"/>
        </w:numPr>
        <w:ind w:left="660" w:hanging="660"/>
      </w:pPr>
      <w:r w:rsidRPr="00C35766">
        <w:rPr>
          <w:rFonts w:eastAsia="Times New Roman"/>
          <w:lang w:val="it-IT"/>
        </w:rPr>
        <w:t>aumento della sudorazione</w:t>
      </w:r>
    </w:p>
    <w:p w14:paraId="1EB89DC2" w14:textId="77777777" w:rsidR="00515324" w:rsidRPr="00C35766" w:rsidRDefault="00515324" w:rsidP="00787805">
      <w:pPr>
        <w:pStyle w:val="a3"/>
        <w:numPr>
          <w:ilvl w:val="0"/>
          <w:numId w:val="15"/>
        </w:numPr>
        <w:ind w:left="660" w:hanging="660"/>
      </w:pPr>
      <w:r w:rsidRPr="00C35766">
        <w:rPr>
          <w:rFonts w:eastAsia="Times New Roman"/>
          <w:lang w:val="it-IT"/>
        </w:rPr>
        <w:t>perdita di capelli</w:t>
      </w:r>
    </w:p>
    <w:p w14:paraId="2B88D686" w14:textId="77777777" w:rsidR="00515324" w:rsidRPr="00C35766" w:rsidRDefault="00515324" w:rsidP="00787805">
      <w:pPr>
        <w:pStyle w:val="a3"/>
        <w:numPr>
          <w:ilvl w:val="0"/>
          <w:numId w:val="15"/>
        </w:numPr>
        <w:ind w:left="660" w:hanging="660"/>
      </w:pPr>
      <w:r w:rsidRPr="00C35766">
        <w:rPr>
          <w:rFonts w:eastAsia="Times New Roman"/>
          <w:lang w:val="it-IT"/>
        </w:rPr>
        <w:t>insorgenza o peggioramento della psoriasi</w:t>
      </w:r>
    </w:p>
    <w:p w14:paraId="3B9A8B40" w14:textId="3D8F32E4" w:rsidR="00515324" w:rsidRPr="00C35766" w:rsidRDefault="00515324" w:rsidP="00787805">
      <w:pPr>
        <w:pStyle w:val="a3"/>
        <w:numPr>
          <w:ilvl w:val="0"/>
          <w:numId w:val="15"/>
        </w:numPr>
        <w:ind w:left="660" w:hanging="660"/>
      </w:pPr>
      <w:r w:rsidRPr="00C35766">
        <w:rPr>
          <w:rFonts w:eastAsia="Times New Roman"/>
          <w:lang w:val="it-IT"/>
        </w:rPr>
        <w:t>spasmi muscolari</w:t>
      </w:r>
    </w:p>
    <w:p w14:paraId="32DCF569" w14:textId="77777777" w:rsidR="00515324" w:rsidRPr="00C35766" w:rsidRDefault="00515324" w:rsidP="00787805">
      <w:pPr>
        <w:pStyle w:val="a3"/>
        <w:numPr>
          <w:ilvl w:val="0"/>
          <w:numId w:val="15"/>
        </w:numPr>
        <w:ind w:left="660" w:hanging="660"/>
      </w:pPr>
      <w:r w:rsidRPr="00C35766">
        <w:rPr>
          <w:rFonts w:eastAsia="Times New Roman"/>
          <w:lang w:val="it-IT"/>
        </w:rPr>
        <w:t>sangue nelle urine</w:t>
      </w:r>
    </w:p>
    <w:p w14:paraId="61BF8AD8" w14:textId="77777777" w:rsidR="00515324" w:rsidRPr="00C35766" w:rsidRDefault="00515324" w:rsidP="00787805">
      <w:pPr>
        <w:pStyle w:val="a3"/>
        <w:numPr>
          <w:ilvl w:val="0"/>
          <w:numId w:val="15"/>
        </w:numPr>
        <w:ind w:left="660" w:hanging="660"/>
      </w:pPr>
      <w:r w:rsidRPr="00C35766">
        <w:rPr>
          <w:rFonts w:eastAsia="Times New Roman"/>
          <w:lang w:val="it-IT"/>
        </w:rPr>
        <w:t>problemi renali</w:t>
      </w:r>
    </w:p>
    <w:p w14:paraId="0C3E682C" w14:textId="39A02F44" w:rsidR="00515324" w:rsidRPr="00C35766" w:rsidRDefault="00515324" w:rsidP="00787805">
      <w:pPr>
        <w:pStyle w:val="a3"/>
        <w:numPr>
          <w:ilvl w:val="0"/>
          <w:numId w:val="15"/>
        </w:numPr>
        <w:ind w:left="660" w:hanging="660"/>
      </w:pPr>
      <w:r w:rsidRPr="00C35766">
        <w:rPr>
          <w:rFonts w:eastAsia="Times New Roman"/>
          <w:lang w:val="it-IT"/>
        </w:rPr>
        <w:t>dolore al petto</w:t>
      </w:r>
    </w:p>
    <w:p w14:paraId="512F2272" w14:textId="77777777" w:rsidR="00515324" w:rsidRPr="00C35766" w:rsidRDefault="00515324" w:rsidP="00787805">
      <w:pPr>
        <w:pStyle w:val="a3"/>
        <w:numPr>
          <w:ilvl w:val="0"/>
          <w:numId w:val="15"/>
        </w:numPr>
        <w:ind w:left="660" w:hanging="660"/>
      </w:pPr>
      <w:r w:rsidRPr="00C35766">
        <w:rPr>
          <w:rFonts w:eastAsia="Times New Roman"/>
          <w:lang w:val="it-IT"/>
        </w:rPr>
        <w:t>edema (accumulo di liquidi)</w:t>
      </w:r>
    </w:p>
    <w:p w14:paraId="18494DAD" w14:textId="77777777" w:rsidR="00515324" w:rsidRPr="00C35766" w:rsidRDefault="00515324" w:rsidP="00787805">
      <w:pPr>
        <w:pStyle w:val="a3"/>
        <w:numPr>
          <w:ilvl w:val="0"/>
          <w:numId w:val="15"/>
        </w:numPr>
        <w:ind w:left="660" w:hanging="660"/>
      </w:pPr>
      <w:r w:rsidRPr="00C35766">
        <w:rPr>
          <w:rFonts w:eastAsia="Times New Roman"/>
          <w:lang w:val="it-IT"/>
        </w:rPr>
        <w:t>febbre</w:t>
      </w:r>
    </w:p>
    <w:p w14:paraId="4F35ACA7" w14:textId="71D5BF42" w:rsidR="00515324" w:rsidRPr="00C35766" w:rsidRDefault="00515324" w:rsidP="00787805">
      <w:pPr>
        <w:pStyle w:val="a3"/>
        <w:numPr>
          <w:ilvl w:val="0"/>
          <w:numId w:val="15"/>
        </w:numPr>
        <w:ind w:left="660" w:hanging="660"/>
        <w:rPr>
          <w:lang w:val="pt-BR"/>
        </w:rPr>
      </w:pPr>
      <w:r w:rsidRPr="00C35766">
        <w:rPr>
          <w:rFonts w:eastAsia="Times New Roman"/>
          <w:lang w:val="it-IT"/>
        </w:rPr>
        <w:t>riduzione delle piastrine nel sangue che aumenta il rischio di sanguinamento o di lividi</w:t>
      </w:r>
    </w:p>
    <w:p w14:paraId="592D7575" w14:textId="30173E90" w:rsidR="00515324" w:rsidRPr="00C35766" w:rsidRDefault="00515324" w:rsidP="00787805">
      <w:pPr>
        <w:pStyle w:val="a3"/>
        <w:numPr>
          <w:ilvl w:val="0"/>
          <w:numId w:val="15"/>
        </w:numPr>
        <w:ind w:left="660" w:hanging="660"/>
      </w:pPr>
      <w:r w:rsidRPr="00C35766">
        <w:rPr>
          <w:rFonts w:eastAsia="Times New Roman"/>
          <w:lang w:val="it-IT"/>
        </w:rPr>
        <w:t>compromissione della guarigione delle ferite</w:t>
      </w:r>
    </w:p>
    <w:p w14:paraId="3FFFEDD5" w14:textId="77777777" w:rsidR="00515324" w:rsidRPr="00C35766" w:rsidRDefault="00515324" w:rsidP="00515324">
      <w:pPr>
        <w:spacing w:before="10" w:line="240" w:lineRule="exact"/>
        <w:rPr>
          <w:rFonts w:ascii="Times New Roman" w:hAnsi="Times New Roman" w:cs="Times New Roman"/>
          <w:sz w:val="24"/>
          <w:szCs w:val="24"/>
        </w:rPr>
      </w:pPr>
    </w:p>
    <w:p w14:paraId="5853E689" w14:textId="77777777" w:rsidR="00515324" w:rsidRPr="00824699" w:rsidRDefault="00515324" w:rsidP="00515324">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25BFEDAA" w14:textId="77777777" w:rsidR="00515324" w:rsidRPr="00824699" w:rsidRDefault="00515324" w:rsidP="00515324">
      <w:pPr>
        <w:spacing w:before="14" w:line="260" w:lineRule="exact"/>
        <w:rPr>
          <w:rFonts w:ascii="Times New Roman" w:hAnsi="Times New Roman" w:cs="Times New Roman"/>
          <w:sz w:val="26"/>
          <w:szCs w:val="26"/>
          <w:lang w:val="it-IT"/>
        </w:rPr>
      </w:pPr>
    </w:p>
    <w:p w14:paraId="4F0D48B5"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infezioni opportunistiche (che includono la tubercolosi ed altre infezioni che si verificano quando si riducono le difese immunitarie)</w:t>
      </w:r>
    </w:p>
    <w:p w14:paraId="4BAB1933" w14:textId="06C7F042" w:rsidR="00515324" w:rsidRPr="00824699" w:rsidRDefault="00515324" w:rsidP="00787805">
      <w:pPr>
        <w:pStyle w:val="a3"/>
        <w:numPr>
          <w:ilvl w:val="0"/>
          <w:numId w:val="15"/>
        </w:numPr>
        <w:ind w:left="660" w:hanging="660"/>
        <w:rPr>
          <w:lang w:val="it-IT"/>
        </w:rPr>
      </w:pPr>
      <w:r w:rsidRPr="00C35766">
        <w:rPr>
          <w:rFonts w:eastAsia="Times New Roman"/>
          <w:lang w:val="it-IT"/>
        </w:rPr>
        <w:t>infezioni neurologiche (tra cui la meningite virale)</w:t>
      </w:r>
    </w:p>
    <w:p w14:paraId="7DF2A45F" w14:textId="77777777" w:rsidR="00515324" w:rsidRPr="00C35766" w:rsidRDefault="00515324" w:rsidP="00787805">
      <w:pPr>
        <w:pStyle w:val="a3"/>
        <w:numPr>
          <w:ilvl w:val="0"/>
          <w:numId w:val="15"/>
        </w:numPr>
        <w:ind w:left="660" w:hanging="660"/>
      </w:pPr>
      <w:r w:rsidRPr="00C35766">
        <w:rPr>
          <w:rFonts w:eastAsia="Times New Roman"/>
          <w:lang w:val="it-IT"/>
        </w:rPr>
        <w:t>infezioni degli occhi</w:t>
      </w:r>
    </w:p>
    <w:p w14:paraId="6098D176" w14:textId="3F58D491" w:rsidR="00515324" w:rsidRPr="00C35766" w:rsidRDefault="00515324" w:rsidP="00787805">
      <w:pPr>
        <w:pStyle w:val="a3"/>
        <w:numPr>
          <w:ilvl w:val="0"/>
          <w:numId w:val="15"/>
        </w:numPr>
        <w:ind w:left="660" w:hanging="660"/>
      </w:pPr>
      <w:r w:rsidRPr="00C35766">
        <w:rPr>
          <w:rFonts w:eastAsia="Times New Roman"/>
          <w:lang w:val="it-IT"/>
        </w:rPr>
        <w:t>infezioni batteriche</w:t>
      </w:r>
    </w:p>
    <w:p w14:paraId="61A88CEF"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diverticolite (infiammazione e infezione dell’intestino crasso)</w:t>
      </w:r>
    </w:p>
    <w:p w14:paraId="1A338A56" w14:textId="13782DD2" w:rsidR="00515324" w:rsidRPr="00C35766" w:rsidRDefault="00515324" w:rsidP="00787805">
      <w:pPr>
        <w:pStyle w:val="a3"/>
        <w:numPr>
          <w:ilvl w:val="0"/>
          <w:numId w:val="15"/>
        </w:numPr>
        <w:ind w:left="660" w:hanging="660"/>
      </w:pPr>
      <w:r w:rsidRPr="00C35766">
        <w:rPr>
          <w:rFonts w:eastAsia="Times New Roman"/>
          <w:lang w:val="it-IT"/>
        </w:rPr>
        <w:t>tumore</w:t>
      </w:r>
    </w:p>
    <w:p w14:paraId="464ED318" w14:textId="0482945B" w:rsidR="00515324" w:rsidRPr="00C35766" w:rsidRDefault="00515324" w:rsidP="00787805">
      <w:pPr>
        <w:pStyle w:val="a3"/>
        <w:numPr>
          <w:ilvl w:val="0"/>
          <w:numId w:val="15"/>
        </w:numPr>
        <w:ind w:left="660" w:hanging="660"/>
      </w:pPr>
      <w:r w:rsidRPr="00C35766">
        <w:rPr>
          <w:rFonts w:eastAsia="Times New Roman"/>
          <w:lang w:val="it-IT"/>
        </w:rPr>
        <w:t>tumore del sistema linfatico</w:t>
      </w:r>
    </w:p>
    <w:p w14:paraId="59050EFE" w14:textId="77777777" w:rsidR="00515324" w:rsidRPr="00C35766" w:rsidRDefault="00515324" w:rsidP="00787805">
      <w:pPr>
        <w:pStyle w:val="a3"/>
        <w:numPr>
          <w:ilvl w:val="0"/>
          <w:numId w:val="15"/>
        </w:numPr>
        <w:ind w:left="660" w:hanging="660"/>
      </w:pPr>
      <w:r w:rsidRPr="00C35766">
        <w:rPr>
          <w:rFonts w:eastAsia="Times New Roman"/>
          <w:lang w:val="it-IT"/>
        </w:rPr>
        <w:lastRenderedPageBreak/>
        <w:t>melanoma</w:t>
      </w:r>
    </w:p>
    <w:p w14:paraId="321D06DB" w14:textId="208209FA" w:rsidR="00515324" w:rsidRPr="00C35766" w:rsidRDefault="00515324" w:rsidP="00787805">
      <w:pPr>
        <w:pStyle w:val="a3"/>
        <w:numPr>
          <w:ilvl w:val="0"/>
          <w:numId w:val="15"/>
        </w:numPr>
        <w:ind w:left="660" w:hanging="660"/>
        <w:rPr>
          <w:lang w:val="pt-BR"/>
        </w:rPr>
      </w:pPr>
      <w:r w:rsidRPr="00C35766">
        <w:rPr>
          <w:rFonts w:eastAsia="Times New Roman"/>
          <w:lang w:val="it-IT"/>
        </w:rPr>
        <w:t>disordini del sistema immunitario che possono colpire polmoni, pelle e linfonodi (che si presentano più comunemente come sarcoidosi)</w:t>
      </w:r>
    </w:p>
    <w:p w14:paraId="1E9CDE92"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vasculite (infiammazione dei vasi sanguigni)</w:t>
      </w:r>
    </w:p>
    <w:p w14:paraId="031346CF" w14:textId="77777777" w:rsidR="00515324" w:rsidRPr="00C35766" w:rsidRDefault="00515324" w:rsidP="00787805">
      <w:pPr>
        <w:pStyle w:val="a3"/>
        <w:numPr>
          <w:ilvl w:val="0"/>
          <w:numId w:val="15"/>
        </w:numPr>
        <w:ind w:left="660" w:hanging="660"/>
      </w:pPr>
      <w:r w:rsidRPr="00C35766">
        <w:rPr>
          <w:rFonts w:eastAsia="Times New Roman"/>
          <w:lang w:val="it-IT"/>
        </w:rPr>
        <w:t>tremore (agitazione)</w:t>
      </w:r>
    </w:p>
    <w:p w14:paraId="1590166B" w14:textId="37C58806" w:rsidR="00515324" w:rsidRPr="00C35766" w:rsidRDefault="00515324" w:rsidP="00787805">
      <w:pPr>
        <w:pStyle w:val="a3"/>
        <w:numPr>
          <w:ilvl w:val="0"/>
          <w:numId w:val="15"/>
        </w:numPr>
        <w:ind w:left="660" w:hanging="660"/>
        <w:rPr>
          <w:lang w:val="pt-BR"/>
        </w:rPr>
      </w:pPr>
      <w:r w:rsidRPr="00C35766">
        <w:rPr>
          <w:rFonts w:eastAsia="Times New Roman"/>
          <w:lang w:val="it-IT"/>
        </w:rPr>
        <w:t>neuropatia (disturbo del sistema nervoso)</w:t>
      </w:r>
    </w:p>
    <w:p w14:paraId="53B8C896" w14:textId="77777777" w:rsidR="00515324" w:rsidRPr="00C35766" w:rsidRDefault="00515324" w:rsidP="00787805">
      <w:pPr>
        <w:pStyle w:val="a3"/>
        <w:numPr>
          <w:ilvl w:val="0"/>
          <w:numId w:val="15"/>
        </w:numPr>
        <w:ind w:left="660" w:hanging="660"/>
      </w:pPr>
      <w:r w:rsidRPr="00C35766">
        <w:rPr>
          <w:rFonts w:eastAsia="Times New Roman"/>
          <w:lang w:val="it-IT"/>
        </w:rPr>
        <w:t>ictus</w:t>
      </w:r>
    </w:p>
    <w:p w14:paraId="72F3F86F" w14:textId="30001D9B" w:rsidR="00515324" w:rsidRPr="00C35766" w:rsidRDefault="00515324" w:rsidP="00787805">
      <w:pPr>
        <w:pStyle w:val="a3"/>
        <w:numPr>
          <w:ilvl w:val="0"/>
          <w:numId w:val="15"/>
        </w:numPr>
        <w:ind w:left="660" w:hanging="660"/>
      </w:pPr>
      <w:r w:rsidRPr="00C35766">
        <w:rPr>
          <w:rFonts w:eastAsia="Times New Roman"/>
          <w:lang w:val="it-IT"/>
        </w:rPr>
        <w:t>perdita dell' udito, ronzio</w:t>
      </w:r>
    </w:p>
    <w:p w14:paraId="148EA147"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sensazione di battito cardiaco irregolare come palpitazioni</w:t>
      </w:r>
    </w:p>
    <w:p w14:paraId="3ECDEA73" w14:textId="0F7C8B78" w:rsidR="00515324" w:rsidRPr="00824699" w:rsidRDefault="00515324" w:rsidP="00787805">
      <w:pPr>
        <w:pStyle w:val="a3"/>
        <w:numPr>
          <w:ilvl w:val="0"/>
          <w:numId w:val="15"/>
        </w:numPr>
        <w:ind w:left="660" w:hanging="660"/>
        <w:rPr>
          <w:lang w:val="it-IT"/>
        </w:rPr>
      </w:pPr>
      <w:r w:rsidRPr="00C35766">
        <w:rPr>
          <w:rFonts w:eastAsia="Times New Roman"/>
          <w:lang w:val="it-IT"/>
        </w:rPr>
        <w:t>problemi al cuore che possono causare respiro corto o gonfiore a livello delle caviglie</w:t>
      </w:r>
    </w:p>
    <w:p w14:paraId="7CA80674" w14:textId="77777777" w:rsidR="00515324" w:rsidRPr="00C35766" w:rsidRDefault="00515324" w:rsidP="00787805">
      <w:pPr>
        <w:pStyle w:val="a3"/>
        <w:numPr>
          <w:ilvl w:val="0"/>
          <w:numId w:val="15"/>
        </w:numPr>
        <w:ind w:left="660" w:hanging="660"/>
      </w:pPr>
      <w:r w:rsidRPr="00C35766">
        <w:rPr>
          <w:rFonts w:eastAsia="Times New Roman"/>
          <w:lang w:val="it-IT"/>
        </w:rPr>
        <w:t>attacco di cuore</w:t>
      </w:r>
    </w:p>
    <w:p w14:paraId="550C97AF"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una sacca nella parete di un’arteria principale, infiammazione e coagulo in una vena, ostruzione di un vaso sanguigno</w:t>
      </w:r>
    </w:p>
    <w:p w14:paraId="5F24050A" w14:textId="37FF2B00" w:rsidR="00515324" w:rsidRPr="00824699" w:rsidRDefault="00515324" w:rsidP="00787805">
      <w:pPr>
        <w:pStyle w:val="a3"/>
        <w:numPr>
          <w:ilvl w:val="0"/>
          <w:numId w:val="15"/>
        </w:numPr>
        <w:ind w:left="660" w:hanging="660"/>
        <w:rPr>
          <w:lang w:val="it-IT"/>
        </w:rPr>
      </w:pPr>
      <w:r w:rsidRPr="00C35766">
        <w:rPr>
          <w:rFonts w:eastAsia="Times New Roman"/>
          <w:lang w:val="it-IT"/>
        </w:rPr>
        <w:t>malattia polmonare che provoca respiro corto (inclusa infiammazione)</w:t>
      </w:r>
    </w:p>
    <w:p w14:paraId="03E24321" w14:textId="53215F83" w:rsidR="00515324" w:rsidRPr="00C35766" w:rsidRDefault="00515324" w:rsidP="00787805">
      <w:pPr>
        <w:pStyle w:val="a3"/>
        <w:numPr>
          <w:ilvl w:val="0"/>
          <w:numId w:val="15"/>
        </w:numPr>
        <w:ind w:left="660" w:hanging="660"/>
        <w:rPr>
          <w:lang w:val="es-ES"/>
        </w:rPr>
      </w:pPr>
      <w:r w:rsidRPr="00C35766">
        <w:rPr>
          <w:rFonts w:eastAsia="Times New Roman"/>
          <w:lang w:val="it-IT"/>
        </w:rPr>
        <w:t>embolia polmonare (occlusione di una arteria del polmone)</w:t>
      </w:r>
    </w:p>
    <w:p w14:paraId="1A35EB15"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versamento pleurico (accumulo anomalo di liquido nello spazio pleurico)</w:t>
      </w:r>
    </w:p>
    <w:p w14:paraId="218850E8"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infiammazione del pancreas che causa forti dolori all’addome ed alla schiena</w:t>
      </w:r>
    </w:p>
    <w:p w14:paraId="0594AAAD" w14:textId="77777777" w:rsidR="00515324" w:rsidRPr="00C35766" w:rsidRDefault="00515324" w:rsidP="00787805">
      <w:pPr>
        <w:pStyle w:val="a3"/>
        <w:numPr>
          <w:ilvl w:val="0"/>
          <w:numId w:val="15"/>
        </w:numPr>
        <w:ind w:left="660" w:hanging="660"/>
      </w:pPr>
      <w:r w:rsidRPr="00C35766">
        <w:rPr>
          <w:rFonts w:eastAsia="Times New Roman"/>
          <w:lang w:val="it-IT"/>
        </w:rPr>
        <w:t>difficoltà nella deglutizione</w:t>
      </w:r>
    </w:p>
    <w:p w14:paraId="336472E2"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edema facciale (gonfiore del viso)</w:t>
      </w:r>
    </w:p>
    <w:p w14:paraId="2F981F3F"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infiammazione della cistifellea, calcoli alla cistifellea</w:t>
      </w:r>
    </w:p>
    <w:p w14:paraId="79F370E0" w14:textId="77777777" w:rsidR="00515324" w:rsidRPr="00C35766" w:rsidRDefault="00515324" w:rsidP="00787805">
      <w:pPr>
        <w:pStyle w:val="a3"/>
        <w:numPr>
          <w:ilvl w:val="0"/>
          <w:numId w:val="15"/>
        </w:numPr>
        <w:ind w:left="660" w:hanging="660"/>
      </w:pPr>
      <w:r w:rsidRPr="00C35766">
        <w:rPr>
          <w:rFonts w:eastAsia="Times New Roman"/>
          <w:lang w:val="it-IT"/>
        </w:rPr>
        <w:t>fegato grasso</w:t>
      </w:r>
    </w:p>
    <w:p w14:paraId="0B3E3C09" w14:textId="77777777" w:rsidR="00515324" w:rsidRPr="00C35766" w:rsidRDefault="00515324" w:rsidP="00787805">
      <w:pPr>
        <w:pStyle w:val="a3"/>
        <w:numPr>
          <w:ilvl w:val="0"/>
          <w:numId w:val="15"/>
        </w:numPr>
        <w:ind w:left="660" w:hanging="660"/>
      </w:pPr>
      <w:r w:rsidRPr="00C35766">
        <w:rPr>
          <w:rFonts w:eastAsia="Times New Roman"/>
          <w:lang w:val="it-IT"/>
        </w:rPr>
        <w:t>sudorazione notturna</w:t>
      </w:r>
    </w:p>
    <w:p w14:paraId="6D91E614" w14:textId="77777777" w:rsidR="00515324" w:rsidRPr="00C35766" w:rsidRDefault="00515324" w:rsidP="00787805">
      <w:pPr>
        <w:pStyle w:val="a3"/>
        <w:numPr>
          <w:ilvl w:val="0"/>
          <w:numId w:val="15"/>
        </w:numPr>
        <w:ind w:left="660" w:hanging="660"/>
      </w:pPr>
      <w:r w:rsidRPr="00C35766">
        <w:rPr>
          <w:rFonts w:eastAsia="Times New Roman"/>
          <w:lang w:val="it-IT"/>
        </w:rPr>
        <w:t>cicatrice</w:t>
      </w:r>
    </w:p>
    <w:p w14:paraId="1134920B" w14:textId="77777777" w:rsidR="00515324" w:rsidRPr="00C35766" w:rsidRDefault="00515324" w:rsidP="00787805">
      <w:pPr>
        <w:pStyle w:val="a3"/>
        <w:numPr>
          <w:ilvl w:val="0"/>
          <w:numId w:val="15"/>
        </w:numPr>
        <w:ind w:left="660" w:hanging="660"/>
      </w:pPr>
      <w:r w:rsidRPr="00C35766">
        <w:rPr>
          <w:rFonts w:eastAsia="Times New Roman"/>
          <w:lang w:val="it-IT"/>
        </w:rPr>
        <w:t>anormale catabolismo muscolare</w:t>
      </w:r>
    </w:p>
    <w:p w14:paraId="28D35E61" w14:textId="77777777" w:rsidR="00515324" w:rsidRPr="00C35766" w:rsidRDefault="00515324" w:rsidP="00787805">
      <w:pPr>
        <w:pStyle w:val="a3"/>
        <w:numPr>
          <w:ilvl w:val="0"/>
          <w:numId w:val="15"/>
        </w:numPr>
        <w:ind w:left="660" w:hanging="660"/>
        <w:rPr>
          <w:rFonts w:eastAsia="Times New Roman"/>
          <w:spacing w:val="-1"/>
          <w:lang w:val="es-ES"/>
        </w:rPr>
      </w:pPr>
      <w:r w:rsidRPr="00C35766">
        <w:rPr>
          <w:rFonts w:eastAsia="Times New Roman"/>
          <w:lang w:val="it-IT"/>
        </w:rPr>
        <w:t>lupus eritematoso sistemico (tra cui infiammazione della pelle, del cuore, del polmone, delle articolazioni e di altri organi)</w:t>
      </w:r>
    </w:p>
    <w:p w14:paraId="4FD8736C" w14:textId="77777777" w:rsidR="00515324" w:rsidRPr="00C35766" w:rsidRDefault="00515324" w:rsidP="00787805">
      <w:pPr>
        <w:pStyle w:val="a3"/>
        <w:numPr>
          <w:ilvl w:val="0"/>
          <w:numId w:val="15"/>
        </w:numPr>
        <w:ind w:left="660" w:hanging="660"/>
      </w:pPr>
      <w:r w:rsidRPr="00C35766">
        <w:rPr>
          <w:rFonts w:eastAsia="Times New Roman"/>
          <w:lang w:val="it-IT"/>
        </w:rPr>
        <w:t>sonno interrotto</w:t>
      </w:r>
    </w:p>
    <w:p w14:paraId="3DD0DB50" w14:textId="77777777" w:rsidR="00515324" w:rsidRPr="00C35766" w:rsidRDefault="00515324" w:rsidP="00787805">
      <w:pPr>
        <w:pStyle w:val="a3"/>
        <w:numPr>
          <w:ilvl w:val="0"/>
          <w:numId w:val="15"/>
        </w:numPr>
        <w:ind w:left="660" w:hanging="660"/>
      </w:pPr>
      <w:r w:rsidRPr="00C35766">
        <w:rPr>
          <w:rFonts w:eastAsia="Times New Roman"/>
          <w:lang w:val="it-IT"/>
        </w:rPr>
        <w:t>impotenza</w:t>
      </w:r>
    </w:p>
    <w:p w14:paraId="107A672E" w14:textId="77777777" w:rsidR="00515324" w:rsidRPr="00C35766" w:rsidRDefault="00515324" w:rsidP="00787805">
      <w:pPr>
        <w:pStyle w:val="a3"/>
        <w:numPr>
          <w:ilvl w:val="0"/>
          <w:numId w:val="15"/>
        </w:numPr>
        <w:ind w:left="660" w:hanging="660"/>
      </w:pPr>
      <w:r w:rsidRPr="00C35766">
        <w:rPr>
          <w:rFonts w:eastAsia="Times New Roman"/>
          <w:lang w:val="it-IT"/>
        </w:rPr>
        <w:t>infiammazioni</w:t>
      </w:r>
    </w:p>
    <w:p w14:paraId="42D4FE64" w14:textId="77777777" w:rsidR="00515324" w:rsidRPr="00C35766" w:rsidRDefault="00515324" w:rsidP="00515324">
      <w:pPr>
        <w:spacing w:before="13" w:line="240" w:lineRule="exact"/>
        <w:rPr>
          <w:rFonts w:ascii="Times New Roman" w:hAnsi="Times New Roman" w:cs="Times New Roman"/>
          <w:sz w:val="24"/>
          <w:szCs w:val="24"/>
        </w:rPr>
      </w:pPr>
    </w:p>
    <w:p w14:paraId="00302264" w14:textId="1C982FE4" w:rsidR="00515324" w:rsidRPr="00824699" w:rsidRDefault="00515324" w:rsidP="00515324">
      <w:pPr>
        <w:pStyle w:val="a3"/>
        <w:rPr>
          <w:lang w:val="it-IT"/>
        </w:rPr>
      </w:pPr>
      <w:r w:rsidRPr="00C35766">
        <w:rPr>
          <w:rFonts w:eastAsia="Times New Roman"/>
          <w:b/>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51A4048F" w14:textId="77777777" w:rsidR="00515324" w:rsidRPr="00824699" w:rsidRDefault="00515324" w:rsidP="00515324">
      <w:pPr>
        <w:spacing w:before="12" w:line="240" w:lineRule="exact"/>
        <w:rPr>
          <w:rFonts w:ascii="Times New Roman" w:hAnsi="Times New Roman" w:cs="Times New Roman"/>
          <w:sz w:val="24"/>
          <w:szCs w:val="24"/>
          <w:lang w:val="it-IT"/>
        </w:rPr>
      </w:pPr>
    </w:p>
    <w:p w14:paraId="1C4FBE91"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leucemia (un tumore che colpisce il sangue e il midollo osseo)</w:t>
      </w:r>
    </w:p>
    <w:p w14:paraId="3A4E6FA8" w14:textId="77777777" w:rsidR="00515324" w:rsidRPr="00C35766" w:rsidRDefault="00515324" w:rsidP="00787805">
      <w:pPr>
        <w:pStyle w:val="a3"/>
        <w:numPr>
          <w:ilvl w:val="0"/>
          <w:numId w:val="15"/>
        </w:numPr>
        <w:ind w:left="660" w:hanging="660"/>
      </w:pPr>
      <w:r w:rsidRPr="00C35766">
        <w:rPr>
          <w:rFonts w:eastAsia="Times New Roman"/>
          <w:lang w:val="it-IT"/>
        </w:rPr>
        <w:t>reazione allergica grave con shock</w:t>
      </w:r>
    </w:p>
    <w:p w14:paraId="6E1E5599" w14:textId="425A0D7D" w:rsidR="00515324" w:rsidRPr="00C35766" w:rsidRDefault="00515324" w:rsidP="00787805">
      <w:pPr>
        <w:pStyle w:val="a3"/>
        <w:numPr>
          <w:ilvl w:val="0"/>
          <w:numId w:val="15"/>
        </w:numPr>
        <w:ind w:left="660" w:hanging="660"/>
      </w:pPr>
      <w:r w:rsidRPr="00C35766">
        <w:rPr>
          <w:rFonts w:eastAsia="Times New Roman"/>
          <w:lang w:val="it-IT"/>
        </w:rPr>
        <w:t>sclerosi multipla</w:t>
      </w:r>
    </w:p>
    <w:p w14:paraId="1CC6B90F" w14:textId="18F75BB0" w:rsidR="00515324" w:rsidRPr="00824699" w:rsidRDefault="00515324" w:rsidP="00787805">
      <w:pPr>
        <w:pStyle w:val="a3"/>
        <w:numPr>
          <w:ilvl w:val="0"/>
          <w:numId w:val="15"/>
        </w:numPr>
        <w:ind w:left="660" w:hanging="660"/>
        <w:rPr>
          <w:lang w:val="it-IT"/>
        </w:rPr>
      </w:pPr>
      <w:r w:rsidRPr="00C35766">
        <w:rPr>
          <w:rFonts w:eastAsia="Times New Roman"/>
          <w:lang w:val="it-IT"/>
        </w:rPr>
        <w:t>disturbi neurologici (come infiammazione del nervo ottico e sindrome di Guillain-Barré che può causare debolezza muscolare, sensazioni ano</w:t>
      </w:r>
      <w:r w:rsidR="00D21855" w:rsidRPr="00C35766">
        <w:rPr>
          <w:rFonts w:eastAsia="맑은 고딕"/>
          <w:lang w:val="it-IT" w:eastAsia="ko-KR"/>
        </w:rPr>
        <w:t>r</w:t>
      </w:r>
      <w:r w:rsidRPr="00C35766">
        <w:rPr>
          <w:rFonts w:eastAsia="Times New Roman"/>
          <w:lang w:val="it-IT"/>
        </w:rPr>
        <w:t>mali, formicolio alle braccia ed alla parte superiore del corpo)</w:t>
      </w:r>
    </w:p>
    <w:p w14:paraId="0EB62C46" w14:textId="77777777" w:rsidR="00515324" w:rsidRPr="00C35766" w:rsidRDefault="00515324" w:rsidP="00787805">
      <w:pPr>
        <w:pStyle w:val="a3"/>
        <w:numPr>
          <w:ilvl w:val="0"/>
          <w:numId w:val="15"/>
        </w:numPr>
        <w:ind w:left="660" w:hanging="660"/>
      </w:pPr>
      <w:r w:rsidRPr="00C35766">
        <w:rPr>
          <w:rFonts w:eastAsia="Times New Roman"/>
          <w:lang w:val="it-IT"/>
        </w:rPr>
        <w:t>arresto cardiaco</w:t>
      </w:r>
    </w:p>
    <w:p w14:paraId="7DCD3944"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fibrosi polmonare (cicatrici del polmone)</w:t>
      </w:r>
    </w:p>
    <w:p w14:paraId="451ADC9D" w14:textId="77777777" w:rsidR="00515324" w:rsidRPr="00C35766" w:rsidRDefault="00515324" w:rsidP="00787805">
      <w:pPr>
        <w:pStyle w:val="a3"/>
        <w:numPr>
          <w:ilvl w:val="0"/>
          <w:numId w:val="15"/>
        </w:numPr>
        <w:ind w:left="660" w:hanging="660"/>
      </w:pPr>
      <w:r w:rsidRPr="00C35766">
        <w:rPr>
          <w:rFonts w:eastAsia="Times New Roman"/>
          <w:lang w:val="it-IT"/>
        </w:rPr>
        <w:t>perforazione intestinale (foro nell’intestino)</w:t>
      </w:r>
    </w:p>
    <w:p w14:paraId="328E5711" w14:textId="6EAFAB43" w:rsidR="00515324" w:rsidRPr="00C35766" w:rsidRDefault="00515324" w:rsidP="00787805">
      <w:pPr>
        <w:pStyle w:val="a3"/>
        <w:numPr>
          <w:ilvl w:val="0"/>
          <w:numId w:val="15"/>
        </w:numPr>
        <w:ind w:left="660" w:hanging="660"/>
      </w:pPr>
      <w:r w:rsidRPr="00C35766">
        <w:rPr>
          <w:rFonts w:eastAsia="Times New Roman"/>
          <w:lang w:val="it-IT"/>
        </w:rPr>
        <w:t>epatite</w:t>
      </w:r>
    </w:p>
    <w:p w14:paraId="19AEED76" w14:textId="77777777" w:rsidR="00515324" w:rsidRPr="00C35766" w:rsidRDefault="00515324" w:rsidP="00787805">
      <w:pPr>
        <w:pStyle w:val="a3"/>
        <w:numPr>
          <w:ilvl w:val="0"/>
          <w:numId w:val="15"/>
        </w:numPr>
        <w:ind w:left="660" w:hanging="660"/>
      </w:pPr>
      <w:r w:rsidRPr="00C35766">
        <w:rPr>
          <w:rFonts w:eastAsia="Times New Roman"/>
          <w:lang w:val="it-IT"/>
        </w:rPr>
        <w:t>riattivazione dell’epatite B</w:t>
      </w:r>
    </w:p>
    <w:p w14:paraId="66D889E1"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epatite autoimmune (infiammazione del fegato causata dal proprio sistema immunitario)</w:t>
      </w:r>
    </w:p>
    <w:p w14:paraId="1C2E578E"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vasculite cutanea (infiammazione dei vasi sanguigni della pelle)</w:t>
      </w:r>
    </w:p>
    <w:p w14:paraId="38E19BC2" w14:textId="644A1C81" w:rsidR="00515324" w:rsidRPr="00C35766" w:rsidRDefault="00515324" w:rsidP="00787805">
      <w:pPr>
        <w:pStyle w:val="a3"/>
        <w:numPr>
          <w:ilvl w:val="0"/>
          <w:numId w:val="15"/>
        </w:numPr>
        <w:ind w:left="660" w:hanging="660"/>
        <w:rPr>
          <w:lang w:val="pt-BR"/>
        </w:rPr>
      </w:pPr>
      <w:r w:rsidRPr="00C35766">
        <w:rPr>
          <w:rFonts w:eastAsia="Times New Roman"/>
          <w:lang w:val="it-IT"/>
        </w:rPr>
        <w:t>sindrome di Stevens-Johnson (i sintomi precoci includono malessere, febbre, mal di testa ed eruzione cutanea)</w:t>
      </w:r>
    </w:p>
    <w:p w14:paraId="42212BA8"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edema facciale (gonfiore del viso) associato a reazioni allergiche</w:t>
      </w:r>
    </w:p>
    <w:p w14:paraId="0D949F21" w14:textId="5C923A72" w:rsidR="00515324" w:rsidRPr="00C35766" w:rsidRDefault="00515324" w:rsidP="00787805">
      <w:pPr>
        <w:pStyle w:val="a3"/>
        <w:numPr>
          <w:ilvl w:val="0"/>
          <w:numId w:val="15"/>
        </w:numPr>
        <w:ind w:left="660" w:hanging="660"/>
        <w:rPr>
          <w:lang w:val="it-IT"/>
        </w:rPr>
      </w:pPr>
      <w:r w:rsidRPr="00C35766">
        <w:rPr>
          <w:rFonts w:eastAsia="Times New Roman"/>
          <w:lang w:val="it-IT"/>
        </w:rPr>
        <w:t>eritema multiforme (eruzione cutane</w:t>
      </w:r>
      <w:r w:rsidR="00875999" w:rsidRPr="00C35766">
        <w:rPr>
          <w:rFonts w:eastAsia="Times New Roman"/>
          <w:lang w:val="it-IT"/>
        </w:rPr>
        <w:t>a</w:t>
      </w:r>
      <w:r w:rsidRPr="00C35766">
        <w:rPr>
          <w:rFonts w:eastAsia="Times New Roman"/>
          <w:lang w:val="it-IT"/>
        </w:rPr>
        <w:t xml:space="preserve"> infiammatoria)</w:t>
      </w:r>
    </w:p>
    <w:p w14:paraId="19A97953" w14:textId="77777777" w:rsidR="00515324" w:rsidRPr="00C35766" w:rsidRDefault="00515324" w:rsidP="00787805">
      <w:pPr>
        <w:pStyle w:val="a3"/>
        <w:numPr>
          <w:ilvl w:val="0"/>
          <w:numId w:val="15"/>
        </w:numPr>
        <w:ind w:left="660" w:hanging="660"/>
      </w:pPr>
      <w:r w:rsidRPr="00C35766">
        <w:rPr>
          <w:rFonts w:eastAsia="Times New Roman"/>
          <w:lang w:val="it-IT"/>
        </w:rPr>
        <w:t>sindrome simile al lupus</w:t>
      </w:r>
    </w:p>
    <w:p w14:paraId="15A031CF"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angioedema (gonfiore localizzato della pelle)</w:t>
      </w:r>
    </w:p>
    <w:p w14:paraId="3DA37EB5"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reazione cutanea lichenoide (eruzione cutanea rosso-violacea pruriginosa)</w:t>
      </w:r>
    </w:p>
    <w:p w14:paraId="4440BB8C" w14:textId="77777777" w:rsidR="00515324" w:rsidRPr="00C35766" w:rsidRDefault="00515324" w:rsidP="00515324">
      <w:pPr>
        <w:spacing w:before="10" w:line="240" w:lineRule="exact"/>
        <w:rPr>
          <w:rFonts w:ascii="Times New Roman" w:hAnsi="Times New Roman" w:cs="Times New Roman"/>
          <w:sz w:val="24"/>
          <w:szCs w:val="24"/>
          <w:lang w:val="pt-BR"/>
        </w:rPr>
      </w:pPr>
    </w:p>
    <w:p w14:paraId="0267C2E1" w14:textId="00B6C2A2" w:rsidR="00515324" w:rsidRPr="00824699" w:rsidRDefault="00515324" w:rsidP="00515324">
      <w:pPr>
        <w:pStyle w:val="a3"/>
        <w:rPr>
          <w:lang w:val="it-IT"/>
        </w:rPr>
      </w:pPr>
      <w:r w:rsidRPr="00C35766">
        <w:rPr>
          <w:rFonts w:eastAsia="Times New Roman"/>
          <w:b/>
          <w:bCs/>
          <w:lang w:val="it-IT"/>
        </w:rPr>
        <w:t xml:space="preserve">Non </w:t>
      </w:r>
      <w:r w:rsidR="00C54CAA" w:rsidRPr="00C35766">
        <w:rPr>
          <w:rFonts w:eastAsia="Times New Roman"/>
          <w:b/>
          <w:bCs/>
          <w:lang w:val="it-IT"/>
        </w:rPr>
        <w:t xml:space="preserve">nota </w:t>
      </w:r>
      <w:r w:rsidRPr="00C35766">
        <w:rPr>
          <w:rFonts w:eastAsia="Times New Roman"/>
          <w:lang w:val="it-IT"/>
        </w:rPr>
        <w:t>(la frequenza non può essere definita sulla base dei dati disponibili):</w:t>
      </w:r>
    </w:p>
    <w:p w14:paraId="61ABDD1F" w14:textId="77777777" w:rsidR="00515324" w:rsidRPr="00824699" w:rsidRDefault="00515324" w:rsidP="00515324">
      <w:pPr>
        <w:spacing w:before="14" w:line="240" w:lineRule="exact"/>
        <w:rPr>
          <w:rFonts w:ascii="Times New Roman" w:hAnsi="Times New Roman" w:cs="Times New Roman"/>
          <w:sz w:val="24"/>
          <w:szCs w:val="24"/>
          <w:lang w:val="it-IT"/>
        </w:rPr>
      </w:pPr>
    </w:p>
    <w:p w14:paraId="194ECEA0"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linfoma epato-splenico a cellule T (un raro tumore del sangue che spesso risulta fatale)</w:t>
      </w:r>
    </w:p>
    <w:p w14:paraId="7F598ADE"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carcinoma a cellule di Merkel (un tipo di cancro della pelle)</w:t>
      </w:r>
    </w:p>
    <w:p w14:paraId="29315013" w14:textId="77777777" w:rsidR="00515324" w:rsidRPr="00C35766" w:rsidRDefault="00515324" w:rsidP="00787805">
      <w:pPr>
        <w:pStyle w:val="a3"/>
        <w:numPr>
          <w:ilvl w:val="0"/>
          <w:numId w:val="15"/>
        </w:numPr>
        <w:ind w:left="660" w:hanging="660"/>
        <w:rPr>
          <w:lang w:val="es-ES"/>
        </w:rPr>
      </w:pPr>
      <w:r w:rsidRPr="00C35766">
        <w:rPr>
          <w:rFonts w:eastAsia="Times New Roman"/>
          <w:lang w:val="it-IT"/>
        </w:rPr>
        <w:t>sarcoma di Kaposi, un raro tumore associato all’infezione da herpes virus umano 8. Il sarcoma di Kaposi appare più comunemente come lesioni viola sulla pelle.</w:t>
      </w:r>
    </w:p>
    <w:p w14:paraId="63D9B241" w14:textId="2E0D89ED" w:rsidR="00515324" w:rsidRPr="00C35766" w:rsidRDefault="00515324" w:rsidP="00787805">
      <w:pPr>
        <w:pStyle w:val="a3"/>
        <w:numPr>
          <w:ilvl w:val="0"/>
          <w:numId w:val="15"/>
        </w:numPr>
        <w:ind w:left="660" w:hanging="660"/>
      </w:pPr>
      <w:r w:rsidRPr="00C35766">
        <w:rPr>
          <w:rFonts w:eastAsia="Times New Roman"/>
          <w:lang w:val="it-IT"/>
        </w:rPr>
        <w:t>insufficienza epatica</w:t>
      </w:r>
    </w:p>
    <w:p w14:paraId="31986126" w14:textId="520B851D" w:rsidR="00515324" w:rsidRPr="00C35766" w:rsidRDefault="00515324" w:rsidP="00787805">
      <w:pPr>
        <w:pStyle w:val="a3"/>
        <w:numPr>
          <w:ilvl w:val="0"/>
          <w:numId w:val="15"/>
        </w:numPr>
        <w:ind w:left="660" w:hanging="660"/>
        <w:rPr>
          <w:lang w:val="pt-BR"/>
        </w:rPr>
      </w:pPr>
      <w:r w:rsidRPr="00C35766">
        <w:rPr>
          <w:rFonts w:eastAsia="Times New Roman"/>
          <w:lang w:val="it-IT"/>
        </w:rPr>
        <w:t>peggioramento di una condizione chiamata dermatomiosite (che si manifesta come eruzione cutanea accompagnata da debolezza muscolare)</w:t>
      </w:r>
    </w:p>
    <w:p w14:paraId="1EFE852D" w14:textId="5619A380" w:rsidR="00C54CAA" w:rsidRPr="00C35766" w:rsidRDefault="00A24854" w:rsidP="00F02AC8">
      <w:pPr>
        <w:pStyle w:val="a3"/>
        <w:numPr>
          <w:ilvl w:val="0"/>
          <w:numId w:val="15"/>
        </w:numPr>
        <w:ind w:left="660" w:hanging="660"/>
        <w:rPr>
          <w:lang w:val="pt-BR"/>
        </w:rPr>
      </w:pPr>
      <w:r>
        <w:rPr>
          <w:rFonts w:eastAsia="Times New Roman"/>
          <w:lang w:val="it-IT"/>
        </w:rPr>
        <w:t>a</w:t>
      </w:r>
      <w:r w:rsidRPr="00C35766">
        <w:rPr>
          <w:rFonts w:eastAsia="Times New Roman"/>
          <w:lang w:val="it-IT"/>
        </w:rPr>
        <w:t xml:space="preserve">umento </w:t>
      </w:r>
      <w:r w:rsidR="00C54CAA" w:rsidRPr="00C35766">
        <w:rPr>
          <w:rFonts w:eastAsia="Times New Roman"/>
          <w:lang w:val="it-IT"/>
        </w:rPr>
        <w:t>di peso (per la maggior parte dei pazienti l’aumento di peso è stato basso)</w:t>
      </w:r>
    </w:p>
    <w:p w14:paraId="3DD3BA1C" w14:textId="77777777" w:rsidR="00515324" w:rsidRPr="00C35766" w:rsidRDefault="00515324" w:rsidP="00515324">
      <w:pPr>
        <w:pStyle w:val="a3"/>
        <w:numPr>
          <w:ilvl w:val="0"/>
          <w:numId w:val="0"/>
        </w:numPr>
        <w:rPr>
          <w:lang w:val="pt-BR"/>
        </w:rPr>
      </w:pPr>
    </w:p>
    <w:p w14:paraId="7E978CB3" w14:textId="77777777" w:rsidR="00515324" w:rsidRPr="00C35766" w:rsidRDefault="00515324" w:rsidP="00515324">
      <w:pPr>
        <w:pStyle w:val="a3"/>
        <w:rPr>
          <w:lang w:val="pt-BR"/>
        </w:rPr>
      </w:pPr>
      <w:r w:rsidRPr="00C35766">
        <w:rPr>
          <w:rFonts w:eastAsia="Times New Roman"/>
          <w:lang w:val="it-IT"/>
        </w:rPr>
        <w:t>Alcuni degli effetti indesiderati osservati con Yuflyma possono essere asintomatici e possono essere individuati solo attraverso gli esami del sangue. Questi includono:</w:t>
      </w:r>
    </w:p>
    <w:p w14:paraId="16FDA8A4" w14:textId="77777777" w:rsidR="00515324" w:rsidRPr="00C35766" w:rsidRDefault="00515324" w:rsidP="00515324">
      <w:pPr>
        <w:pStyle w:val="a3"/>
        <w:rPr>
          <w:lang w:val="pt-BR"/>
        </w:rPr>
      </w:pPr>
    </w:p>
    <w:p w14:paraId="1C3B4790" w14:textId="77777777" w:rsidR="00515324" w:rsidRPr="00C35766" w:rsidRDefault="00515324" w:rsidP="00515324">
      <w:pPr>
        <w:pStyle w:val="a3"/>
        <w:rPr>
          <w:rFonts w:eastAsia="Times New Roman"/>
          <w:lang w:val="pt-BR"/>
        </w:rPr>
      </w:pPr>
      <w:r w:rsidRPr="00C35766">
        <w:rPr>
          <w:rFonts w:eastAsia="Times New Roman"/>
          <w:b/>
          <w:bCs/>
          <w:spacing w:val="-1"/>
          <w:lang w:val="it-IT"/>
        </w:rPr>
        <w:t xml:space="preserve">Molto comuni </w:t>
      </w:r>
      <w:r w:rsidRPr="00C35766">
        <w:rPr>
          <w:rFonts w:eastAsia="Times New Roman"/>
          <w:spacing w:val="-1"/>
          <w:lang w:val="it-IT"/>
        </w:rPr>
        <w:t>(possono interessare più di 1 persona su 10)</w:t>
      </w:r>
    </w:p>
    <w:p w14:paraId="29352AB1" w14:textId="77777777" w:rsidR="00515324" w:rsidRPr="00C35766" w:rsidRDefault="00515324" w:rsidP="00515324">
      <w:pPr>
        <w:pStyle w:val="a3"/>
        <w:rPr>
          <w:lang w:val="pt-BR"/>
        </w:rPr>
      </w:pPr>
    </w:p>
    <w:p w14:paraId="77B397CC" w14:textId="77777777" w:rsidR="00515324" w:rsidRPr="00C35766" w:rsidRDefault="00515324" w:rsidP="00787805">
      <w:pPr>
        <w:pStyle w:val="a3"/>
        <w:numPr>
          <w:ilvl w:val="0"/>
          <w:numId w:val="15"/>
        </w:numPr>
        <w:ind w:left="660" w:hanging="660"/>
      </w:pPr>
      <w:r w:rsidRPr="00C35766">
        <w:rPr>
          <w:rFonts w:eastAsia="Times New Roman"/>
          <w:lang w:val="it-IT"/>
        </w:rPr>
        <w:t>bassa conta dei globuli bianchi</w:t>
      </w:r>
    </w:p>
    <w:p w14:paraId="3FD36299" w14:textId="77777777" w:rsidR="00515324" w:rsidRPr="00C35766" w:rsidRDefault="00515324" w:rsidP="00787805">
      <w:pPr>
        <w:pStyle w:val="a3"/>
        <w:numPr>
          <w:ilvl w:val="0"/>
          <w:numId w:val="15"/>
        </w:numPr>
        <w:ind w:left="660" w:hanging="660"/>
      </w:pPr>
      <w:r w:rsidRPr="00C35766">
        <w:rPr>
          <w:rFonts w:eastAsia="Times New Roman"/>
          <w:lang w:val="it-IT"/>
        </w:rPr>
        <w:t>bassa conta dei globuli rossi</w:t>
      </w:r>
    </w:p>
    <w:p w14:paraId="2B7A5A3B" w14:textId="77777777" w:rsidR="00515324" w:rsidRPr="00C35766" w:rsidRDefault="00515324" w:rsidP="00787805">
      <w:pPr>
        <w:pStyle w:val="a3"/>
        <w:numPr>
          <w:ilvl w:val="0"/>
          <w:numId w:val="15"/>
        </w:numPr>
        <w:ind w:left="660" w:hanging="660"/>
      </w:pPr>
      <w:r w:rsidRPr="00C35766">
        <w:rPr>
          <w:rFonts w:eastAsia="Times New Roman"/>
          <w:lang w:val="it-IT"/>
        </w:rPr>
        <w:t>aumento dei lipidi nel sangue</w:t>
      </w:r>
    </w:p>
    <w:p w14:paraId="0FE44A53" w14:textId="5871142D" w:rsidR="00515324" w:rsidRPr="00C35766" w:rsidRDefault="00515324" w:rsidP="00787805">
      <w:pPr>
        <w:pStyle w:val="a3"/>
        <w:numPr>
          <w:ilvl w:val="0"/>
          <w:numId w:val="15"/>
        </w:numPr>
        <w:ind w:left="660" w:hanging="660"/>
      </w:pPr>
      <w:r w:rsidRPr="00C35766">
        <w:rPr>
          <w:rFonts w:eastAsia="Times New Roman"/>
          <w:lang w:val="it-IT"/>
        </w:rPr>
        <w:t>aumento degli enzimi epatici</w:t>
      </w:r>
    </w:p>
    <w:p w14:paraId="4404112B" w14:textId="77777777" w:rsidR="00515324" w:rsidRPr="00C35766" w:rsidRDefault="00515324" w:rsidP="00515324">
      <w:pPr>
        <w:spacing w:before="10" w:line="240" w:lineRule="exact"/>
        <w:rPr>
          <w:rFonts w:ascii="Times New Roman" w:hAnsi="Times New Roman" w:cs="Times New Roman"/>
          <w:sz w:val="24"/>
          <w:szCs w:val="24"/>
        </w:rPr>
      </w:pPr>
    </w:p>
    <w:p w14:paraId="6B136F3E" w14:textId="77777777" w:rsidR="00515324" w:rsidRPr="00C35766" w:rsidRDefault="00515324" w:rsidP="00515324">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639F8872" w14:textId="77777777" w:rsidR="00515324" w:rsidRPr="00C35766" w:rsidRDefault="00515324" w:rsidP="00515324">
      <w:pPr>
        <w:spacing w:before="14" w:line="240" w:lineRule="exact"/>
        <w:rPr>
          <w:rFonts w:ascii="Times New Roman" w:hAnsi="Times New Roman" w:cs="Times New Roman"/>
          <w:sz w:val="24"/>
          <w:szCs w:val="24"/>
          <w:lang w:val="pt-BR"/>
        </w:rPr>
      </w:pPr>
    </w:p>
    <w:p w14:paraId="7A425F0B" w14:textId="77777777" w:rsidR="00515324" w:rsidRPr="00C35766" w:rsidRDefault="00515324" w:rsidP="00787805">
      <w:pPr>
        <w:pStyle w:val="a3"/>
        <w:numPr>
          <w:ilvl w:val="0"/>
          <w:numId w:val="15"/>
        </w:numPr>
        <w:ind w:left="660" w:hanging="660"/>
        <w:rPr>
          <w:lang w:val="pt-BR"/>
        </w:rPr>
      </w:pPr>
      <w:r w:rsidRPr="00C35766">
        <w:rPr>
          <w:rFonts w:eastAsia="Times New Roman"/>
          <w:lang w:val="it-IT"/>
        </w:rPr>
        <w:t>aumento della conta dei globuli bianchi</w:t>
      </w:r>
    </w:p>
    <w:p w14:paraId="5F451CD5" w14:textId="77777777" w:rsidR="00515324" w:rsidRPr="00C35766" w:rsidRDefault="00515324" w:rsidP="00787805">
      <w:pPr>
        <w:pStyle w:val="a3"/>
        <w:numPr>
          <w:ilvl w:val="0"/>
          <w:numId w:val="15"/>
        </w:numPr>
        <w:ind w:left="660" w:hanging="660"/>
      </w:pPr>
      <w:r w:rsidRPr="00C35766">
        <w:rPr>
          <w:rFonts w:eastAsia="Times New Roman"/>
          <w:lang w:val="it-IT"/>
        </w:rPr>
        <w:t>riduzione delle piastrine nel sangue</w:t>
      </w:r>
    </w:p>
    <w:p w14:paraId="797010AF" w14:textId="77777777" w:rsidR="00515324" w:rsidRPr="00C35766" w:rsidRDefault="00515324" w:rsidP="00787805">
      <w:pPr>
        <w:pStyle w:val="a3"/>
        <w:numPr>
          <w:ilvl w:val="0"/>
          <w:numId w:val="15"/>
        </w:numPr>
        <w:ind w:left="660" w:hanging="660"/>
      </w:pPr>
      <w:r w:rsidRPr="00C35766">
        <w:rPr>
          <w:rFonts w:eastAsia="Times New Roman"/>
          <w:lang w:val="it-IT"/>
        </w:rPr>
        <w:t>aumento dell’acido urico nel sangue</w:t>
      </w:r>
    </w:p>
    <w:p w14:paraId="5B3D0CB3" w14:textId="77777777" w:rsidR="00515324" w:rsidRPr="00C35766" w:rsidRDefault="00515324" w:rsidP="00787805">
      <w:pPr>
        <w:pStyle w:val="a3"/>
        <w:numPr>
          <w:ilvl w:val="0"/>
          <w:numId w:val="15"/>
        </w:numPr>
        <w:ind w:left="660" w:hanging="660"/>
      </w:pPr>
      <w:r w:rsidRPr="00C35766">
        <w:rPr>
          <w:rFonts w:eastAsia="Times New Roman"/>
          <w:lang w:val="it-IT"/>
        </w:rPr>
        <w:t>alterazione del sodio nel sangue</w:t>
      </w:r>
    </w:p>
    <w:p w14:paraId="501D0412" w14:textId="77777777" w:rsidR="00515324" w:rsidRPr="00C35766" w:rsidRDefault="00515324" w:rsidP="00787805">
      <w:pPr>
        <w:pStyle w:val="a3"/>
        <w:numPr>
          <w:ilvl w:val="0"/>
          <w:numId w:val="15"/>
        </w:numPr>
        <w:ind w:left="660" w:hanging="660"/>
      </w:pPr>
      <w:r w:rsidRPr="00C35766">
        <w:rPr>
          <w:rFonts w:eastAsia="Times New Roman"/>
          <w:lang w:val="it-IT"/>
        </w:rPr>
        <w:t>riduzione del calcio nel sangue</w:t>
      </w:r>
    </w:p>
    <w:p w14:paraId="0432069A" w14:textId="3254AEDA" w:rsidR="00515324" w:rsidRPr="00C35766" w:rsidRDefault="00515324" w:rsidP="00787805">
      <w:pPr>
        <w:pStyle w:val="a3"/>
        <w:numPr>
          <w:ilvl w:val="0"/>
          <w:numId w:val="15"/>
        </w:numPr>
        <w:ind w:left="660" w:hanging="660"/>
      </w:pPr>
      <w:r w:rsidRPr="00C35766">
        <w:rPr>
          <w:rFonts w:eastAsia="Times New Roman"/>
          <w:lang w:val="it-IT"/>
        </w:rPr>
        <w:t>riduzione del fosfato nel sangue</w:t>
      </w:r>
    </w:p>
    <w:p w14:paraId="0E33F02E" w14:textId="77777777" w:rsidR="00515324" w:rsidRPr="00C35766" w:rsidRDefault="00515324" w:rsidP="00787805">
      <w:pPr>
        <w:pStyle w:val="a3"/>
        <w:numPr>
          <w:ilvl w:val="0"/>
          <w:numId w:val="15"/>
        </w:numPr>
        <w:ind w:left="660" w:hanging="660"/>
      </w:pPr>
      <w:r w:rsidRPr="00C35766">
        <w:rPr>
          <w:rFonts w:eastAsia="Times New Roman"/>
          <w:lang w:val="it-IT"/>
        </w:rPr>
        <w:t>aumento dello zucchero nel sangue</w:t>
      </w:r>
    </w:p>
    <w:p w14:paraId="7991CAF5" w14:textId="77777777" w:rsidR="00515324" w:rsidRPr="00824699" w:rsidRDefault="00515324" w:rsidP="00787805">
      <w:pPr>
        <w:pStyle w:val="a3"/>
        <w:numPr>
          <w:ilvl w:val="0"/>
          <w:numId w:val="15"/>
        </w:numPr>
        <w:ind w:left="660" w:hanging="660"/>
        <w:rPr>
          <w:lang w:val="it-IT"/>
        </w:rPr>
      </w:pPr>
      <w:r w:rsidRPr="00C35766">
        <w:rPr>
          <w:rFonts w:eastAsia="Times New Roman"/>
          <w:lang w:val="it-IT"/>
        </w:rPr>
        <w:t>aumento della lattato deidrogenasi nel sangue</w:t>
      </w:r>
    </w:p>
    <w:p w14:paraId="69240652" w14:textId="77777777" w:rsidR="00515324" w:rsidRPr="00C35766" w:rsidRDefault="00515324" w:rsidP="00787805">
      <w:pPr>
        <w:pStyle w:val="a3"/>
        <w:numPr>
          <w:ilvl w:val="0"/>
          <w:numId w:val="15"/>
        </w:numPr>
        <w:ind w:left="660" w:hanging="660"/>
      </w:pPr>
      <w:r w:rsidRPr="00C35766">
        <w:rPr>
          <w:rFonts w:eastAsia="Times New Roman"/>
          <w:lang w:val="it-IT"/>
        </w:rPr>
        <w:t>presenza di autoanticorpi nel sangue</w:t>
      </w:r>
    </w:p>
    <w:p w14:paraId="26137898" w14:textId="77777777" w:rsidR="00515324" w:rsidRPr="00C35766" w:rsidRDefault="00515324" w:rsidP="00787805">
      <w:pPr>
        <w:pStyle w:val="a3"/>
        <w:numPr>
          <w:ilvl w:val="0"/>
          <w:numId w:val="15"/>
        </w:numPr>
        <w:ind w:left="660" w:hanging="660"/>
      </w:pPr>
      <w:r w:rsidRPr="00C35766">
        <w:rPr>
          <w:rFonts w:eastAsia="Times New Roman"/>
          <w:lang w:val="it-IT"/>
        </w:rPr>
        <w:t>riduzione del potassio nel sangue</w:t>
      </w:r>
    </w:p>
    <w:p w14:paraId="54061BE9" w14:textId="77777777" w:rsidR="00515324" w:rsidRPr="00C35766" w:rsidRDefault="00515324" w:rsidP="00515324">
      <w:pPr>
        <w:spacing w:before="13" w:line="240" w:lineRule="exact"/>
        <w:rPr>
          <w:rFonts w:ascii="Times New Roman" w:hAnsi="Times New Roman" w:cs="Times New Roman"/>
          <w:sz w:val="24"/>
          <w:szCs w:val="24"/>
        </w:rPr>
      </w:pPr>
    </w:p>
    <w:p w14:paraId="0969986F" w14:textId="77777777" w:rsidR="00515324" w:rsidRPr="00824699" w:rsidRDefault="00515324" w:rsidP="00515324">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3309852F" w14:textId="77777777" w:rsidR="00515324" w:rsidRPr="00824699" w:rsidRDefault="00515324" w:rsidP="00515324">
      <w:pPr>
        <w:spacing w:before="12" w:line="240" w:lineRule="exact"/>
        <w:rPr>
          <w:rFonts w:ascii="Times New Roman" w:hAnsi="Times New Roman" w:cs="Times New Roman"/>
          <w:sz w:val="24"/>
          <w:szCs w:val="24"/>
          <w:lang w:val="it-IT"/>
        </w:rPr>
      </w:pPr>
    </w:p>
    <w:p w14:paraId="0F473205" w14:textId="15FAA8F2" w:rsidR="00515324" w:rsidRPr="00824699" w:rsidRDefault="00515324" w:rsidP="00787805">
      <w:pPr>
        <w:pStyle w:val="a3"/>
        <w:numPr>
          <w:ilvl w:val="0"/>
          <w:numId w:val="15"/>
        </w:numPr>
        <w:ind w:left="660" w:hanging="660"/>
        <w:rPr>
          <w:lang w:val="it-IT"/>
        </w:rPr>
      </w:pPr>
      <w:r w:rsidRPr="00C35766">
        <w:rPr>
          <w:rFonts w:eastAsia="Times New Roman"/>
          <w:lang w:val="it-IT"/>
        </w:rPr>
        <w:t>livelli elevati di bilirubina (esame del sangue relativo al fegato)</w:t>
      </w:r>
    </w:p>
    <w:p w14:paraId="3956AA68" w14:textId="77777777" w:rsidR="00515324" w:rsidRPr="00824699" w:rsidRDefault="00515324" w:rsidP="00515324">
      <w:pPr>
        <w:spacing w:before="13" w:line="240" w:lineRule="exact"/>
        <w:rPr>
          <w:rFonts w:ascii="Times New Roman" w:hAnsi="Times New Roman" w:cs="Times New Roman"/>
          <w:sz w:val="24"/>
          <w:szCs w:val="24"/>
          <w:lang w:val="it-IT"/>
        </w:rPr>
      </w:pPr>
    </w:p>
    <w:p w14:paraId="2267883A" w14:textId="1572113A" w:rsidR="00953B2E" w:rsidRPr="00C35766" w:rsidRDefault="005F0C19">
      <w:pPr>
        <w:pStyle w:val="a3"/>
        <w:rPr>
          <w:lang w:val="it-IT"/>
        </w:rPr>
      </w:pPr>
      <w:r w:rsidRPr="00C35766">
        <w:rPr>
          <w:rFonts w:eastAsia="Times New Roman"/>
          <w:b/>
          <w:bCs/>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78E1EE69" w14:textId="77777777" w:rsidR="00953B2E" w:rsidRPr="00C35766" w:rsidRDefault="00953B2E">
      <w:pPr>
        <w:spacing w:before="14" w:line="240" w:lineRule="exact"/>
        <w:rPr>
          <w:rFonts w:ascii="Times New Roman" w:hAnsi="Times New Roman" w:cs="Times New Roman"/>
          <w:sz w:val="24"/>
          <w:lang w:val="it-IT"/>
        </w:rPr>
      </w:pPr>
    </w:p>
    <w:p w14:paraId="0E842E14" w14:textId="77777777" w:rsidR="00953B2E" w:rsidRPr="00C35766" w:rsidRDefault="005F0C19" w:rsidP="00787805">
      <w:pPr>
        <w:pStyle w:val="a3"/>
        <w:numPr>
          <w:ilvl w:val="0"/>
          <w:numId w:val="15"/>
        </w:numPr>
        <w:ind w:left="660" w:hanging="660"/>
        <w:rPr>
          <w:lang w:val="pt-BR"/>
        </w:rPr>
      </w:pPr>
      <w:r w:rsidRPr="00C35766">
        <w:rPr>
          <w:rFonts w:eastAsia="Times New Roman"/>
          <w:lang w:val="it-IT"/>
        </w:rPr>
        <w:t xml:space="preserve">bassa conta dei globuli bianchi, dei globuli rossi e delle piastrine. </w:t>
      </w:r>
    </w:p>
    <w:p w14:paraId="7FE87986" w14:textId="77777777" w:rsidR="00953B2E" w:rsidRPr="00C35766" w:rsidRDefault="00953B2E">
      <w:pPr>
        <w:spacing w:before="15" w:line="240" w:lineRule="exact"/>
        <w:rPr>
          <w:rFonts w:ascii="Times New Roman" w:hAnsi="Times New Roman" w:cs="Times New Roman"/>
          <w:sz w:val="24"/>
          <w:szCs w:val="24"/>
          <w:lang w:val="pt-BR"/>
        </w:rPr>
      </w:pPr>
    </w:p>
    <w:p w14:paraId="148AF5BB" w14:textId="07AB936B" w:rsidR="00953B2E" w:rsidRPr="00C35766" w:rsidRDefault="005F0C19">
      <w:pPr>
        <w:pStyle w:val="a3"/>
        <w:rPr>
          <w:b/>
          <w:lang w:val="pt-BR"/>
        </w:rPr>
      </w:pPr>
      <w:r w:rsidRPr="00C35766">
        <w:rPr>
          <w:rFonts w:eastAsia="Times New Roman"/>
          <w:b/>
          <w:bCs/>
          <w:lang w:val="it-IT"/>
        </w:rPr>
        <w:t>Segnalazione degli effetti indesiderati</w:t>
      </w:r>
    </w:p>
    <w:p w14:paraId="3201B7B7" w14:textId="77777777" w:rsidR="00953B2E" w:rsidRPr="00C35766" w:rsidRDefault="00953B2E">
      <w:pPr>
        <w:pStyle w:val="a3"/>
        <w:rPr>
          <w:sz w:val="10"/>
          <w:szCs w:val="10"/>
          <w:lang w:val="pt-BR"/>
        </w:rPr>
      </w:pPr>
    </w:p>
    <w:p w14:paraId="06F1A47A" w14:textId="30A2470F" w:rsidR="00953B2E" w:rsidRPr="00C35766" w:rsidRDefault="005F0C19">
      <w:pPr>
        <w:pStyle w:val="a3"/>
        <w:rPr>
          <w:lang w:val="it-IT"/>
        </w:rPr>
      </w:pPr>
      <w:r w:rsidRPr="00C35766">
        <w:rPr>
          <w:rFonts w:eastAsia="Times New Roman"/>
          <w:lang w:val="it-IT"/>
        </w:rPr>
        <w:t xml:space="preserve">Se manifesta un qualsiasi effetto indesiderato, compresi quelli non elencati in questo foglio, si rivolga al medico, o al farmacista o all’infermiere. Può inoltre segnalare gli effetti indesiderati direttamente tramite il </w:t>
      </w:r>
      <w:r w:rsidRPr="00C35766">
        <w:rPr>
          <w:rFonts w:eastAsia="Times New Roman"/>
          <w:highlight w:val="lightGray"/>
          <w:lang w:val="it-IT"/>
        </w:rPr>
        <w:t>sistema nazionale di segnalazione riportato nell’</w:t>
      </w:r>
      <w:hyperlink r:id="rId33">
        <w:r w:rsidRPr="00C35766">
          <w:rPr>
            <w:rStyle w:val="Collegamentoipertestuale1"/>
            <w:highlight w:val="lightGray"/>
            <w:lang w:val="pt-BR"/>
          </w:rPr>
          <w:t>allegato V</w:t>
        </w:r>
      </w:hyperlink>
      <w:r w:rsidRPr="00C35766">
        <w:rPr>
          <w:lang w:val="pt-BR"/>
        </w:rPr>
        <w:t>.</w:t>
      </w:r>
      <w:r w:rsidRPr="00C35766">
        <w:rPr>
          <w:rFonts w:eastAsia="Times New Roman"/>
          <w:lang w:val="it-IT"/>
        </w:rPr>
        <w:t xml:space="preserve"> Segnalando gli effetti indesiderati può contribuire a fornire maggiori informazioni sulla sicurezza di questo medicinale.</w:t>
      </w:r>
    </w:p>
    <w:p w14:paraId="7F3F8A3F" w14:textId="77777777" w:rsidR="00953B2E" w:rsidRPr="00C35766" w:rsidRDefault="00953B2E">
      <w:pPr>
        <w:spacing w:line="200" w:lineRule="exact"/>
        <w:rPr>
          <w:rFonts w:ascii="Times New Roman" w:hAnsi="Times New Roman" w:cs="Times New Roman"/>
          <w:sz w:val="20"/>
          <w:szCs w:val="20"/>
          <w:lang w:val="it-IT"/>
        </w:rPr>
      </w:pPr>
    </w:p>
    <w:p w14:paraId="43A7A05A" w14:textId="77777777" w:rsidR="00953B2E" w:rsidRPr="00C35766" w:rsidRDefault="00953B2E">
      <w:pPr>
        <w:spacing w:line="200" w:lineRule="exact"/>
        <w:rPr>
          <w:rFonts w:ascii="Times New Roman" w:hAnsi="Times New Roman" w:cs="Times New Roman"/>
          <w:sz w:val="20"/>
          <w:szCs w:val="20"/>
          <w:lang w:val="it-IT"/>
        </w:rPr>
      </w:pPr>
    </w:p>
    <w:p w14:paraId="10BF7424" w14:textId="77777777" w:rsidR="00953B2E" w:rsidRPr="00C35766" w:rsidRDefault="005F0C19" w:rsidP="00787805">
      <w:pPr>
        <w:pStyle w:val="a4"/>
        <w:numPr>
          <w:ilvl w:val="0"/>
          <w:numId w:val="32"/>
        </w:numPr>
        <w:spacing w:before="18" w:line="240" w:lineRule="exact"/>
        <w:ind w:hanging="468"/>
        <w:rPr>
          <w:rFonts w:ascii="Times New Roman" w:hAnsi="Times New Roman" w:cs="Times New Roman"/>
          <w:b/>
        </w:rPr>
      </w:pPr>
      <w:r w:rsidRPr="00C35766">
        <w:rPr>
          <w:rFonts w:ascii="Times New Roman" w:eastAsia="Times New Roman" w:hAnsi="Times New Roman" w:cs="Times New Roman"/>
          <w:b/>
          <w:bCs/>
          <w:lang w:val="it-IT"/>
        </w:rPr>
        <w:t>Come conservare Yuflyma</w:t>
      </w:r>
    </w:p>
    <w:p w14:paraId="1BD73B95" w14:textId="77777777" w:rsidR="00953B2E" w:rsidRPr="00C35766" w:rsidRDefault="00953B2E">
      <w:pPr>
        <w:pStyle w:val="a3"/>
      </w:pPr>
    </w:p>
    <w:p w14:paraId="2B1586F1" w14:textId="77777777" w:rsidR="00953B2E" w:rsidRPr="00C35766" w:rsidRDefault="005F0C19">
      <w:pPr>
        <w:pStyle w:val="a3"/>
        <w:rPr>
          <w:lang w:val="it-IT"/>
        </w:rPr>
      </w:pPr>
      <w:r w:rsidRPr="00C35766">
        <w:rPr>
          <w:rFonts w:eastAsia="Times New Roman"/>
          <w:lang w:val="it-IT"/>
        </w:rPr>
        <w:t>Conservi questo medicinale fuori dalla vista e dalla portata dei bambini.</w:t>
      </w:r>
    </w:p>
    <w:p w14:paraId="73E68DC9" w14:textId="77777777" w:rsidR="00953B2E" w:rsidRPr="00C35766" w:rsidRDefault="00953B2E">
      <w:pPr>
        <w:pStyle w:val="a3"/>
        <w:rPr>
          <w:lang w:val="it-IT"/>
        </w:rPr>
      </w:pPr>
    </w:p>
    <w:p w14:paraId="6EDA47BC" w14:textId="77777777" w:rsidR="00953B2E" w:rsidRPr="00C35766" w:rsidRDefault="005F0C19">
      <w:pPr>
        <w:pStyle w:val="a3"/>
        <w:rPr>
          <w:lang w:val="it-IT"/>
        </w:rPr>
      </w:pPr>
      <w:r w:rsidRPr="00C35766">
        <w:rPr>
          <w:rFonts w:eastAsia="Times New Roman"/>
          <w:lang w:val="it-IT"/>
        </w:rPr>
        <w:t>Non usi questo medicinale dopo la data di scadenza che è riportata sull’etichetta/imballaggio esterno dopo la scritta Scad..</w:t>
      </w:r>
    </w:p>
    <w:p w14:paraId="46FEF0E8" w14:textId="77777777" w:rsidR="00953B2E" w:rsidRPr="00C35766" w:rsidRDefault="00953B2E">
      <w:pPr>
        <w:pStyle w:val="a3"/>
        <w:rPr>
          <w:lang w:val="it-IT"/>
        </w:rPr>
      </w:pPr>
    </w:p>
    <w:p w14:paraId="3D6CC6A1" w14:textId="77777777" w:rsidR="00953B2E" w:rsidRPr="00C35766" w:rsidRDefault="005F0C19">
      <w:pPr>
        <w:pStyle w:val="a3"/>
        <w:rPr>
          <w:lang w:val="es-ES"/>
        </w:rPr>
      </w:pPr>
      <w:r w:rsidRPr="00C35766">
        <w:rPr>
          <w:rFonts w:eastAsia="Times New Roman"/>
          <w:lang w:val="it-IT"/>
        </w:rPr>
        <w:t>Conservare in frigorifero (2°C – 8°C). Non congelare.</w:t>
      </w:r>
    </w:p>
    <w:p w14:paraId="110CD9DF" w14:textId="77777777" w:rsidR="00953B2E" w:rsidRPr="00C35766" w:rsidRDefault="00953B2E">
      <w:pPr>
        <w:pStyle w:val="a3"/>
        <w:rPr>
          <w:lang w:val="es-ES"/>
        </w:rPr>
      </w:pPr>
    </w:p>
    <w:p w14:paraId="350EE926" w14:textId="21391DEC" w:rsidR="00953B2E" w:rsidRPr="00C35766" w:rsidRDefault="007945E3">
      <w:pPr>
        <w:pStyle w:val="a3"/>
        <w:rPr>
          <w:lang w:val="es-ES"/>
        </w:rPr>
      </w:pPr>
      <w:r>
        <w:rPr>
          <w:rFonts w:eastAsia="Times New Roman"/>
          <w:lang w:val="it-IT"/>
        </w:rPr>
        <w:t>Tenere</w:t>
      </w:r>
      <w:r w:rsidRPr="00C35766">
        <w:rPr>
          <w:rFonts w:eastAsia="Times New Roman"/>
          <w:lang w:val="it-IT"/>
        </w:rPr>
        <w:t xml:space="preserve"> </w:t>
      </w:r>
      <w:r w:rsidR="005F0C19" w:rsidRPr="00C35766">
        <w:rPr>
          <w:rFonts w:eastAsia="Times New Roman"/>
          <w:lang w:val="it-IT"/>
        </w:rPr>
        <w:t xml:space="preserve">la siringa </w:t>
      </w:r>
      <w:r w:rsidR="0092097A" w:rsidRPr="00C35766">
        <w:rPr>
          <w:rFonts w:eastAsia="Times New Roman"/>
          <w:lang w:val="it-IT"/>
        </w:rPr>
        <w:t>pre-riempita</w:t>
      </w:r>
      <w:r w:rsidR="0016259F" w:rsidRPr="00C35766">
        <w:rPr>
          <w:rFonts w:eastAsia="Times New Roman"/>
          <w:lang w:val="it-IT"/>
        </w:rPr>
        <w:t xml:space="preserve"> </w:t>
      </w:r>
      <w:r w:rsidR="005F0C19" w:rsidRPr="00C35766">
        <w:rPr>
          <w:rFonts w:eastAsia="Times New Roman"/>
          <w:lang w:val="it-IT"/>
        </w:rPr>
        <w:t xml:space="preserve">con il </w:t>
      </w:r>
      <w:r w:rsidR="005F0C19" w:rsidRPr="00C35766">
        <w:rPr>
          <w:rFonts w:eastAsia="Times New Roman"/>
          <w:highlight w:val="lightGray"/>
          <w:lang w:val="it-IT"/>
        </w:rPr>
        <w:t>dispositivo di sicurezza</w:t>
      </w:r>
      <w:r w:rsidR="005F0C19" w:rsidRPr="00C35766">
        <w:rPr>
          <w:highlight w:val="lightGray"/>
          <w:lang w:val="it-IT"/>
        </w:rPr>
        <w:t xml:space="preserve"> per l’ago</w:t>
      </w:r>
      <w:r w:rsidR="005F0C19" w:rsidRPr="00C35766">
        <w:rPr>
          <w:rFonts w:eastAsia="Times New Roman"/>
          <w:lang w:val="it-IT"/>
        </w:rPr>
        <w:t xml:space="preserve"> nell’imballaggio esterno per protegger</w:t>
      </w:r>
      <w:r w:rsidR="00CB211B">
        <w:rPr>
          <w:rFonts w:eastAsia="Times New Roman"/>
          <w:lang w:val="it-IT"/>
        </w:rPr>
        <w:t>e</w:t>
      </w:r>
      <w:r w:rsidR="005F0C19" w:rsidRPr="00C35766">
        <w:rPr>
          <w:rFonts w:eastAsia="Times New Roman"/>
          <w:lang w:val="it-IT"/>
        </w:rPr>
        <w:t xml:space="preserve"> </w:t>
      </w:r>
      <w:r w:rsidR="00CB211B">
        <w:rPr>
          <w:rFonts w:eastAsia="Times New Roman"/>
          <w:lang w:val="it-IT"/>
        </w:rPr>
        <w:t xml:space="preserve">il medicinale </w:t>
      </w:r>
      <w:r w:rsidR="005F0C19" w:rsidRPr="00C35766">
        <w:rPr>
          <w:rFonts w:eastAsia="Times New Roman"/>
          <w:lang w:val="it-IT"/>
        </w:rPr>
        <w:t>dalla luce.</w:t>
      </w:r>
    </w:p>
    <w:p w14:paraId="181325EF" w14:textId="77777777" w:rsidR="00953B2E" w:rsidRPr="00C35766" w:rsidRDefault="00953B2E">
      <w:pPr>
        <w:spacing w:before="13" w:line="240" w:lineRule="exact"/>
        <w:rPr>
          <w:rFonts w:ascii="Times New Roman" w:hAnsi="Times New Roman" w:cs="Times New Roman"/>
          <w:sz w:val="24"/>
          <w:szCs w:val="24"/>
          <w:lang w:val="es-ES"/>
        </w:rPr>
      </w:pPr>
    </w:p>
    <w:p w14:paraId="31A2EE1C" w14:textId="77777777" w:rsidR="00953B2E" w:rsidRPr="00C35766" w:rsidRDefault="005F0C19">
      <w:pPr>
        <w:pStyle w:val="a3"/>
        <w:rPr>
          <w:lang w:val="es-ES"/>
        </w:rPr>
      </w:pPr>
      <w:r w:rsidRPr="00C35766">
        <w:rPr>
          <w:rFonts w:eastAsia="Times New Roman"/>
          <w:lang w:val="it-IT"/>
        </w:rPr>
        <w:t>Condizioni di conservazione alternative:</w:t>
      </w:r>
    </w:p>
    <w:p w14:paraId="5295690F" w14:textId="77777777" w:rsidR="00953B2E" w:rsidRPr="00C35766" w:rsidRDefault="00953B2E">
      <w:pPr>
        <w:spacing w:before="14" w:line="240" w:lineRule="exact"/>
        <w:rPr>
          <w:rFonts w:ascii="Times New Roman" w:hAnsi="Times New Roman" w:cs="Times New Roman"/>
          <w:sz w:val="24"/>
          <w:szCs w:val="24"/>
          <w:lang w:val="es-ES"/>
        </w:rPr>
      </w:pPr>
    </w:p>
    <w:p w14:paraId="48EC49D4" w14:textId="2D39D930" w:rsidR="00953B2E" w:rsidRPr="00C35766" w:rsidRDefault="005F0C19">
      <w:pPr>
        <w:pStyle w:val="a3"/>
        <w:rPr>
          <w:lang w:val="pt-BR"/>
        </w:rPr>
      </w:pPr>
      <w:r w:rsidRPr="00C35766">
        <w:rPr>
          <w:rFonts w:eastAsia="Times New Roman"/>
          <w:lang w:val="it-IT"/>
        </w:rPr>
        <w:t xml:space="preserve">Quando necessario (per esempio quando viaggia) una singola siringa </w:t>
      </w:r>
      <w:r w:rsidR="0092097A" w:rsidRPr="00C35766">
        <w:rPr>
          <w:rFonts w:eastAsia="Times New Roman"/>
          <w:lang w:val="it-IT"/>
        </w:rPr>
        <w:t>pre-riempita</w:t>
      </w:r>
      <w:r w:rsidRPr="00C35766">
        <w:rPr>
          <w:rFonts w:eastAsia="Times New Roman"/>
          <w:lang w:val="it-IT"/>
        </w:rPr>
        <w:t xml:space="preserve"> </w:t>
      </w:r>
      <w:r w:rsidRPr="00C35766">
        <w:rPr>
          <w:rFonts w:eastAsia="Times New Roman"/>
          <w:highlight w:val="lightGray"/>
          <w:lang w:val="it-IT"/>
        </w:rPr>
        <w:t>con dispositivo di sicurezza</w:t>
      </w:r>
      <w:r w:rsidRPr="00C35766">
        <w:rPr>
          <w:rFonts w:eastAsia="Times New Roman"/>
          <w:lang w:val="it-IT"/>
        </w:rPr>
        <w:t xml:space="preserve"> </w:t>
      </w:r>
      <w:r w:rsidRPr="00C35766">
        <w:rPr>
          <w:highlight w:val="lightGray"/>
          <w:lang w:val="it-IT"/>
        </w:rPr>
        <w:t xml:space="preserve">per l'ago </w:t>
      </w:r>
      <w:r w:rsidRPr="00C35766">
        <w:rPr>
          <w:rFonts w:eastAsia="Times New Roman"/>
          <w:lang w:val="it-IT"/>
        </w:rPr>
        <w:t>di Yuflyma può essere conservata a temperatura ambiente (fino a 25°C) per un periodo massimo di 3</w:t>
      </w:r>
      <w:r w:rsidR="00A62C62">
        <w:rPr>
          <w:rFonts w:eastAsia="Times New Roman"/>
          <w:lang w:val="it-IT"/>
        </w:rPr>
        <w:t>1</w:t>
      </w:r>
      <w:r w:rsidRPr="00C35766">
        <w:rPr>
          <w:rFonts w:eastAsia="Times New Roman"/>
          <w:lang w:val="it-IT"/>
        </w:rPr>
        <w:t xml:space="preserve"> giorni; assicurarsi di proteggere il medicinale dalla luce. Una volta che viene rimossa dal frigorifero per essere conservata a temperatura ambiente, la siringa </w:t>
      </w:r>
      <w:r w:rsidRPr="00C35766">
        <w:rPr>
          <w:rFonts w:eastAsia="Times New Roman"/>
          <w:b/>
          <w:bCs/>
          <w:lang w:val="it-IT"/>
        </w:rPr>
        <w:t>deve essere usata entro 3</w:t>
      </w:r>
      <w:r w:rsidR="00A62C62">
        <w:rPr>
          <w:rFonts w:eastAsia="Times New Roman"/>
          <w:b/>
          <w:bCs/>
          <w:lang w:val="it-IT"/>
        </w:rPr>
        <w:t>1</w:t>
      </w:r>
      <w:r w:rsidRPr="00C35766">
        <w:rPr>
          <w:rFonts w:eastAsia="Times New Roman"/>
          <w:b/>
          <w:bCs/>
          <w:lang w:val="it-IT"/>
        </w:rPr>
        <w:t xml:space="preserve"> giorni o buttata via</w:t>
      </w:r>
      <w:r w:rsidRPr="00C35766">
        <w:rPr>
          <w:rFonts w:eastAsia="Times New Roman"/>
          <w:lang w:val="it-IT"/>
        </w:rPr>
        <w:t>, anche se viene posta di nuovo nel frigorifero.</w:t>
      </w:r>
    </w:p>
    <w:p w14:paraId="2BD91AA4" w14:textId="77777777" w:rsidR="00953B2E" w:rsidRPr="00C35766" w:rsidRDefault="00953B2E">
      <w:pPr>
        <w:spacing w:before="17" w:line="240" w:lineRule="exact"/>
        <w:rPr>
          <w:rFonts w:ascii="Times New Roman" w:hAnsi="Times New Roman" w:cs="Times New Roman"/>
          <w:sz w:val="24"/>
          <w:szCs w:val="24"/>
          <w:lang w:val="pt-BR"/>
        </w:rPr>
      </w:pPr>
    </w:p>
    <w:p w14:paraId="42DFCA23" w14:textId="77777777" w:rsidR="00953B2E" w:rsidRPr="00C35766" w:rsidRDefault="005F0C19">
      <w:pPr>
        <w:pStyle w:val="a3"/>
        <w:rPr>
          <w:lang w:val="pt-BR"/>
        </w:rPr>
      </w:pPr>
      <w:r w:rsidRPr="00C35766">
        <w:rPr>
          <w:rFonts w:eastAsia="Times New Roman"/>
          <w:lang w:val="it-IT"/>
        </w:rPr>
        <w:t>Deve registrare la data in cui la siringa viene tolta dal frigorifero la prima volta e la data dopo la quale la siringa deve essere buttata via.</w:t>
      </w:r>
    </w:p>
    <w:p w14:paraId="1E5A8246" w14:textId="77777777" w:rsidR="00953B2E" w:rsidRPr="00C35766" w:rsidRDefault="00953B2E">
      <w:pPr>
        <w:spacing w:before="14" w:line="240" w:lineRule="exact"/>
        <w:rPr>
          <w:rFonts w:ascii="Times New Roman" w:hAnsi="Times New Roman" w:cs="Times New Roman"/>
          <w:sz w:val="24"/>
          <w:szCs w:val="24"/>
          <w:lang w:val="pt-BR"/>
        </w:rPr>
      </w:pPr>
    </w:p>
    <w:p w14:paraId="11447DF1" w14:textId="77777777" w:rsidR="00953B2E" w:rsidRPr="00C35766" w:rsidRDefault="005F0C19">
      <w:pPr>
        <w:pStyle w:val="a3"/>
      </w:pPr>
      <w:r w:rsidRPr="00C35766">
        <w:rPr>
          <w:rFonts w:eastAsia="Times New Roman"/>
          <w:lang w:val="it-IT"/>
        </w:rPr>
        <w:t>Non getti alcun medicinale nell’acqua di scarico e nei rifiuti domestici. Chieda al medico o al farmacista come eliminare i medicinali che non utilizza più. Questo aiuterà a proteggere l’ambiente.</w:t>
      </w:r>
    </w:p>
    <w:p w14:paraId="0BA0371C" w14:textId="77777777" w:rsidR="00953B2E" w:rsidRPr="00C35766" w:rsidRDefault="00953B2E">
      <w:pPr>
        <w:pStyle w:val="a4"/>
        <w:spacing w:before="18" w:line="240" w:lineRule="exact"/>
        <w:ind w:left="468"/>
        <w:rPr>
          <w:rFonts w:ascii="Times New Roman" w:hAnsi="Times New Roman" w:cs="Times New Roman"/>
          <w:b/>
        </w:rPr>
      </w:pPr>
    </w:p>
    <w:p w14:paraId="1C6ED543" w14:textId="77777777" w:rsidR="00953B2E" w:rsidRPr="00C35766" w:rsidRDefault="00953B2E">
      <w:pPr>
        <w:spacing w:before="18" w:line="240" w:lineRule="exact"/>
        <w:rPr>
          <w:rFonts w:ascii="Times New Roman" w:hAnsi="Times New Roman" w:cs="Times New Roman"/>
          <w:b/>
        </w:rPr>
      </w:pPr>
    </w:p>
    <w:p w14:paraId="62F825A2" w14:textId="77777777" w:rsidR="00953B2E" w:rsidRPr="00C35766" w:rsidRDefault="005F0C19" w:rsidP="00787805">
      <w:pPr>
        <w:pStyle w:val="a4"/>
        <w:numPr>
          <w:ilvl w:val="0"/>
          <w:numId w:val="32"/>
        </w:numPr>
        <w:spacing w:before="18" w:line="240" w:lineRule="exact"/>
        <w:ind w:hanging="468"/>
        <w:rPr>
          <w:rFonts w:ascii="Times New Roman" w:hAnsi="Times New Roman" w:cs="Times New Roman"/>
          <w:b/>
          <w:lang w:val="it-IT"/>
        </w:rPr>
      </w:pPr>
      <w:r w:rsidRPr="00C35766">
        <w:rPr>
          <w:rFonts w:ascii="Times New Roman" w:eastAsia="Times New Roman" w:hAnsi="Times New Roman" w:cs="Times New Roman"/>
          <w:b/>
          <w:bCs/>
          <w:lang w:val="it-IT"/>
        </w:rPr>
        <w:t>Contenuto della confezione e altre informazioni</w:t>
      </w:r>
    </w:p>
    <w:p w14:paraId="64C89DD4" w14:textId="77777777" w:rsidR="00953B2E" w:rsidRPr="00C35766" w:rsidRDefault="00953B2E">
      <w:pPr>
        <w:pStyle w:val="a4"/>
        <w:spacing w:before="18" w:line="240" w:lineRule="exact"/>
        <w:ind w:left="468"/>
        <w:rPr>
          <w:rFonts w:ascii="Times New Roman" w:hAnsi="Times New Roman" w:cs="Times New Roman"/>
          <w:b/>
          <w:lang w:val="it-IT"/>
        </w:rPr>
      </w:pPr>
    </w:p>
    <w:p w14:paraId="7F5BB005" w14:textId="77777777" w:rsidR="00953B2E" w:rsidRPr="00C35766" w:rsidRDefault="005F0C19">
      <w:pPr>
        <w:spacing w:before="18"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Cosa contiene Yuflyma</w:t>
      </w:r>
    </w:p>
    <w:p w14:paraId="7B7CA021" w14:textId="77777777" w:rsidR="00953B2E" w:rsidRPr="00C35766" w:rsidRDefault="00953B2E">
      <w:pPr>
        <w:spacing w:before="18" w:line="240" w:lineRule="exact"/>
        <w:rPr>
          <w:rFonts w:ascii="Times New Roman" w:hAnsi="Times New Roman" w:cs="Times New Roman"/>
          <w:b/>
          <w:lang w:val="it-IT"/>
        </w:rPr>
      </w:pPr>
    </w:p>
    <w:p w14:paraId="77181CFA" w14:textId="77777777" w:rsidR="00953B2E" w:rsidRPr="00C35766" w:rsidRDefault="005F0C19">
      <w:pPr>
        <w:pStyle w:val="a3"/>
        <w:rPr>
          <w:lang w:val="it-IT"/>
        </w:rPr>
      </w:pPr>
      <w:r w:rsidRPr="00C35766">
        <w:rPr>
          <w:rFonts w:eastAsia="Times New Roman"/>
          <w:lang w:val="it-IT"/>
        </w:rPr>
        <w:t>Il principio attivo è adalimumab.</w:t>
      </w:r>
    </w:p>
    <w:p w14:paraId="731CA0EC" w14:textId="77777777" w:rsidR="00953B2E" w:rsidRPr="00C35766" w:rsidRDefault="005F0C19">
      <w:pPr>
        <w:pStyle w:val="a3"/>
        <w:rPr>
          <w:lang w:val="pt-BR"/>
        </w:rPr>
      </w:pPr>
      <w:r w:rsidRPr="00C35766">
        <w:rPr>
          <w:rFonts w:eastAsia="Times New Roman"/>
          <w:lang w:val="it-IT"/>
        </w:rPr>
        <w:t>Gli altri componenti sono acido acetico, acetato di sodio triidrato, glicina, polisorbato 80, e acqua per preparazioni iniettabili.</w:t>
      </w:r>
    </w:p>
    <w:p w14:paraId="2C56728D" w14:textId="77777777" w:rsidR="00953B2E" w:rsidRPr="00C35766" w:rsidRDefault="00953B2E">
      <w:pPr>
        <w:pStyle w:val="a3"/>
        <w:rPr>
          <w:lang w:val="pt-BR"/>
        </w:rPr>
      </w:pPr>
    </w:p>
    <w:p w14:paraId="0B754598" w14:textId="238B18D1" w:rsidR="00953B2E" w:rsidRPr="00C35766" w:rsidRDefault="005F0C19">
      <w:pPr>
        <w:pStyle w:val="a3"/>
        <w:rPr>
          <w:b/>
          <w:lang w:val="pt-BR"/>
        </w:rPr>
      </w:pPr>
      <w:r w:rsidRPr="00C35766">
        <w:rPr>
          <w:rFonts w:eastAsia="Times New Roman"/>
          <w:b/>
          <w:bCs/>
          <w:lang w:val="it-IT"/>
        </w:rPr>
        <w:t xml:space="preserve">Descrizione dell’aspetto di Yuflyma siringa </w:t>
      </w:r>
      <w:r w:rsidR="0092097A" w:rsidRPr="00C35766">
        <w:rPr>
          <w:rFonts w:eastAsia="Times New Roman"/>
          <w:b/>
          <w:bCs/>
          <w:lang w:val="it-IT"/>
        </w:rPr>
        <w:t>pre-riempita</w:t>
      </w:r>
      <w:r w:rsidRPr="00C35766">
        <w:rPr>
          <w:rFonts w:eastAsia="Times New Roman"/>
          <w:b/>
          <w:bCs/>
          <w:lang w:val="it-IT"/>
        </w:rPr>
        <w:t xml:space="preserve"> </w:t>
      </w:r>
      <w:r w:rsidRPr="00C35766">
        <w:rPr>
          <w:rFonts w:eastAsia="Times New Roman"/>
          <w:b/>
          <w:bCs/>
          <w:highlight w:val="lightGray"/>
          <w:lang w:val="it-IT"/>
        </w:rPr>
        <w:t>con dispositivo di sicurezza</w:t>
      </w:r>
      <w:r w:rsidRPr="00C35766">
        <w:rPr>
          <w:b/>
          <w:highlight w:val="lightGray"/>
          <w:lang w:val="it-IT"/>
        </w:rPr>
        <w:t xml:space="preserve"> per l’ago </w:t>
      </w:r>
      <w:r w:rsidRPr="00C35766">
        <w:rPr>
          <w:rFonts w:eastAsia="Times New Roman"/>
          <w:b/>
          <w:bCs/>
          <w:lang w:val="it-IT"/>
        </w:rPr>
        <w:t>e contenuto della confezione</w:t>
      </w:r>
    </w:p>
    <w:p w14:paraId="2CFB9ECD" w14:textId="77777777" w:rsidR="00953B2E" w:rsidRPr="00C35766" w:rsidRDefault="00953B2E">
      <w:pPr>
        <w:spacing w:before="12" w:line="240" w:lineRule="exact"/>
        <w:rPr>
          <w:rFonts w:ascii="Times New Roman" w:hAnsi="Times New Roman" w:cs="Times New Roman"/>
          <w:sz w:val="24"/>
          <w:szCs w:val="24"/>
          <w:lang w:val="pt-BR"/>
        </w:rPr>
      </w:pPr>
    </w:p>
    <w:p w14:paraId="4C07FC5B" w14:textId="0912AD0D" w:rsidR="00953B2E" w:rsidRPr="00C35766" w:rsidRDefault="005F0C19">
      <w:pPr>
        <w:pStyle w:val="a3"/>
        <w:rPr>
          <w:lang w:val="pt-BR"/>
        </w:rPr>
      </w:pPr>
      <w:r w:rsidRPr="00C35766">
        <w:rPr>
          <w:rFonts w:eastAsia="Times New Roman"/>
          <w:lang w:val="it-IT"/>
        </w:rPr>
        <w:t xml:space="preserve">Yuflyma 40 mg soluzione iniettabile in siringa </w:t>
      </w:r>
      <w:r w:rsidR="0092097A" w:rsidRPr="00C35766">
        <w:rPr>
          <w:rFonts w:eastAsia="Times New Roman"/>
          <w:lang w:val="it-IT"/>
        </w:rPr>
        <w:t>pre-riempita</w:t>
      </w:r>
      <w:r w:rsidRPr="00C35766">
        <w:rPr>
          <w:rFonts w:eastAsia="Times New Roman"/>
          <w:lang w:val="it-IT"/>
        </w:rPr>
        <w:t xml:space="preserve"> </w:t>
      </w:r>
      <w:r w:rsidRPr="00C35766">
        <w:rPr>
          <w:rFonts w:eastAsia="Times New Roman"/>
          <w:highlight w:val="lightGray"/>
          <w:lang w:val="it-IT"/>
        </w:rPr>
        <w:t>con dispositivo di sicurezza</w:t>
      </w:r>
      <w:r w:rsidRPr="00C35766">
        <w:rPr>
          <w:highlight w:val="lightGray"/>
          <w:lang w:val="it-IT"/>
        </w:rPr>
        <w:t xml:space="preserve"> per l’ago</w:t>
      </w:r>
      <w:r w:rsidRPr="00C35766">
        <w:rPr>
          <w:rFonts w:eastAsia="Times New Roman"/>
          <w:lang w:val="it-IT"/>
        </w:rPr>
        <w:t xml:space="preserve"> è fornito come soluzione sterile di 40 mg di adalimumab disciolti in 0,4 </w:t>
      </w:r>
      <w:r w:rsidR="00331973" w:rsidRPr="00C35766">
        <w:rPr>
          <w:rFonts w:eastAsia="Times New Roman"/>
          <w:lang w:val="it-IT"/>
        </w:rPr>
        <w:t>mL</w:t>
      </w:r>
      <w:r w:rsidRPr="00C35766">
        <w:rPr>
          <w:rFonts w:eastAsia="Times New Roman"/>
          <w:lang w:val="it-IT"/>
        </w:rPr>
        <w:t xml:space="preserve"> di soluzione.</w:t>
      </w:r>
    </w:p>
    <w:p w14:paraId="69691FC0" w14:textId="77777777" w:rsidR="00953B2E" w:rsidRPr="00C35766" w:rsidRDefault="00953B2E">
      <w:pPr>
        <w:spacing w:before="11" w:line="240" w:lineRule="exact"/>
        <w:rPr>
          <w:rFonts w:ascii="Times New Roman" w:hAnsi="Times New Roman" w:cs="Times New Roman"/>
          <w:sz w:val="24"/>
          <w:szCs w:val="24"/>
          <w:lang w:val="pt-BR"/>
        </w:rPr>
      </w:pPr>
    </w:p>
    <w:p w14:paraId="00F3E9C9" w14:textId="1CB74D34" w:rsidR="00953B2E" w:rsidRPr="00C35766" w:rsidRDefault="005F0C19">
      <w:pPr>
        <w:pStyle w:val="a3"/>
        <w:rPr>
          <w:lang w:val="it-IT"/>
        </w:rPr>
      </w:pPr>
      <w:r w:rsidRPr="00C35766">
        <w:rPr>
          <w:rFonts w:eastAsia="Times New Roman"/>
          <w:lang w:val="it-IT"/>
        </w:rPr>
        <w:t xml:space="preserve">Yuflyma siringa </w:t>
      </w:r>
      <w:r w:rsidR="0092097A" w:rsidRPr="00C35766">
        <w:rPr>
          <w:rFonts w:eastAsia="Times New Roman"/>
          <w:lang w:val="it-IT"/>
        </w:rPr>
        <w:t>pre-riempita</w:t>
      </w:r>
      <w:r w:rsidRPr="00C35766">
        <w:rPr>
          <w:rFonts w:eastAsia="Times New Roman"/>
          <w:lang w:val="it-IT"/>
        </w:rPr>
        <w:t xml:space="preserve"> è composta da una soluzione di adalimumab contenuta in una siringa di vetro. La confezione da 1 siringa </w:t>
      </w:r>
      <w:r w:rsidR="0092097A" w:rsidRPr="00C35766">
        <w:rPr>
          <w:rFonts w:eastAsia="Times New Roman"/>
          <w:lang w:val="it-IT"/>
        </w:rPr>
        <w:t>pre-riempita</w:t>
      </w:r>
      <w:r w:rsidRPr="00C35766">
        <w:rPr>
          <w:rFonts w:eastAsia="Times New Roman"/>
          <w:lang w:val="it-IT"/>
        </w:rPr>
        <w:t xml:space="preserve"> è fornita con 2 tamponi imbevuti di alcol (1 di riserva). Nelle confezioni da 2, 4 e 6 siringhe </w:t>
      </w:r>
      <w:r w:rsidR="00B82D29" w:rsidRPr="00C35766">
        <w:rPr>
          <w:rFonts w:eastAsia="Times New Roman"/>
          <w:lang w:val="it-IT"/>
        </w:rPr>
        <w:t>pre-riempite</w:t>
      </w:r>
      <w:r w:rsidRPr="00C35766">
        <w:rPr>
          <w:rFonts w:eastAsia="Times New Roman"/>
          <w:lang w:val="it-IT"/>
        </w:rPr>
        <w:t xml:space="preserve">, ciascuna siringa </w:t>
      </w:r>
      <w:r w:rsidR="0092097A" w:rsidRPr="00C35766">
        <w:rPr>
          <w:rFonts w:eastAsia="Times New Roman"/>
          <w:lang w:val="it-IT"/>
        </w:rPr>
        <w:t>pre-riempita</w:t>
      </w:r>
      <w:r w:rsidRPr="00C35766">
        <w:rPr>
          <w:rFonts w:eastAsia="Times New Roman"/>
          <w:lang w:val="it-IT"/>
        </w:rPr>
        <w:t xml:space="preserve"> è fornita con 1 tampone imbevuto di alcol.</w:t>
      </w:r>
    </w:p>
    <w:p w14:paraId="285C801D" w14:textId="77777777" w:rsidR="00953B2E" w:rsidRPr="00C35766" w:rsidRDefault="00953B2E">
      <w:pPr>
        <w:pStyle w:val="a3"/>
        <w:rPr>
          <w:lang w:val="it-IT"/>
        </w:rPr>
      </w:pPr>
    </w:p>
    <w:p w14:paraId="7FABA5EF" w14:textId="4694F85D" w:rsidR="00953B2E" w:rsidRPr="00C35766" w:rsidRDefault="005F0C19">
      <w:pPr>
        <w:pStyle w:val="a3"/>
        <w:rPr>
          <w:lang w:val="it-IT"/>
        </w:rPr>
      </w:pPr>
      <w:r w:rsidRPr="00C35766">
        <w:rPr>
          <w:rFonts w:eastAsia="Times New Roman"/>
          <w:highlight w:val="lightGray"/>
          <w:lang w:val="it-IT"/>
        </w:rPr>
        <w:t xml:space="preserve">Yuflyma siringa </w:t>
      </w:r>
      <w:r w:rsidR="0092097A" w:rsidRPr="00C35766">
        <w:rPr>
          <w:rFonts w:eastAsia="Times New Roman"/>
          <w:highlight w:val="lightGray"/>
          <w:lang w:val="it-IT"/>
        </w:rPr>
        <w:t>pre-riempita</w:t>
      </w:r>
      <w:r w:rsidRPr="00C35766">
        <w:rPr>
          <w:rFonts w:eastAsia="Times New Roman"/>
          <w:highlight w:val="lightGray"/>
          <w:lang w:val="it-IT"/>
        </w:rPr>
        <w:t xml:space="preserve"> è una soluzione a base di adalimumab contenuta in una siringa di vetro con dispositivo di sicurezza per l'ago. La confezione da 1 siringa </w:t>
      </w:r>
      <w:r w:rsidR="0092097A" w:rsidRPr="00C35766">
        <w:rPr>
          <w:rFonts w:eastAsia="Times New Roman"/>
          <w:highlight w:val="lightGray"/>
          <w:lang w:val="it-IT"/>
        </w:rPr>
        <w:t>pre-riempita</w:t>
      </w:r>
      <w:r w:rsidRPr="00C35766">
        <w:rPr>
          <w:rFonts w:eastAsia="Times New Roman"/>
          <w:highlight w:val="lightGray"/>
          <w:lang w:val="it-IT"/>
        </w:rPr>
        <w:t xml:space="preserve"> con dispositivo di sicurezza per l'ago è fornita con 2 tamponi imbevuti di alcol (1 di riserva). Nelle confezioni da 2, 4 e 6 siringhe </w:t>
      </w:r>
      <w:r w:rsidR="00B82D29" w:rsidRPr="00C35766">
        <w:rPr>
          <w:rFonts w:eastAsia="Times New Roman"/>
          <w:highlight w:val="lightGray"/>
          <w:lang w:val="it-IT"/>
        </w:rPr>
        <w:t>pre-riempite</w:t>
      </w:r>
      <w:r w:rsidRPr="00C35766">
        <w:rPr>
          <w:rFonts w:eastAsia="Times New Roman"/>
          <w:highlight w:val="lightGray"/>
          <w:lang w:val="it-IT"/>
        </w:rPr>
        <w:t xml:space="preserve"> con dispositivo di sicurezza per l'ago, ciascuna siringa </w:t>
      </w:r>
      <w:r w:rsidR="0092097A" w:rsidRPr="00C35766">
        <w:rPr>
          <w:rFonts w:eastAsia="Times New Roman"/>
          <w:highlight w:val="lightGray"/>
          <w:lang w:val="it-IT"/>
        </w:rPr>
        <w:t>pre-riempita</w:t>
      </w:r>
      <w:r w:rsidRPr="00C35766">
        <w:rPr>
          <w:rFonts w:eastAsia="Times New Roman"/>
          <w:highlight w:val="lightGray"/>
          <w:lang w:val="it-IT"/>
        </w:rPr>
        <w:t xml:space="preserve"> è fornita con 1 tampone imbevuto di alcol.</w:t>
      </w:r>
    </w:p>
    <w:p w14:paraId="7709BF83" w14:textId="77777777" w:rsidR="00953B2E" w:rsidRPr="00C35766" w:rsidRDefault="00953B2E">
      <w:pPr>
        <w:spacing w:before="10" w:line="240" w:lineRule="exact"/>
        <w:rPr>
          <w:rFonts w:ascii="Times New Roman" w:hAnsi="Times New Roman" w:cs="Times New Roman"/>
          <w:sz w:val="24"/>
          <w:szCs w:val="24"/>
          <w:lang w:val="it-IT"/>
        </w:rPr>
      </w:pPr>
    </w:p>
    <w:p w14:paraId="4C050C96" w14:textId="77777777" w:rsidR="00953B2E" w:rsidRPr="00C35766" w:rsidRDefault="005F0C19">
      <w:pPr>
        <w:pStyle w:val="a3"/>
        <w:rPr>
          <w:lang w:val="fr-FR"/>
        </w:rPr>
      </w:pPr>
      <w:r w:rsidRPr="00C35766">
        <w:rPr>
          <w:rFonts w:eastAsia="Times New Roman"/>
          <w:lang w:val="it-IT"/>
        </w:rPr>
        <w:t>È possibile che non tutte le confezioni siano commercializzate.</w:t>
      </w:r>
    </w:p>
    <w:p w14:paraId="78C0A40A" w14:textId="77777777" w:rsidR="00953B2E" w:rsidRPr="00C35766" w:rsidRDefault="00953B2E">
      <w:pPr>
        <w:spacing w:before="13" w:line="240" w:lineRule="exact"/>
        <w:rPr>
          <w:rFonts w:ascii="Times New Roman" w:hAnsi="Times New Roman" w:cs="Times New Roman"/>
          <w:sz w:val="24"/>
          <w:szCs w:val="24"/>
          <w:lang w:val="fr-FR"/>
        </w:rPr>
      </w:pPr>
    </w:p>
    <w:p w14:paraId="116213C3" w14:textId="5A9F55FD" w:rsidR="00953B2E" w:rsidRPr="00C35766" w:rsidRDefault="005F0C19">
      <w:pPr>
        <w:pStyle w:val="a3"/>
        <w:rPr>
          <w:lang w:val="pt-BR"/>
        </w:rPr>
      </w:pPr>
      <w:r w:rsidRPr="00C35766">
        <w:rPr>
          <w:rFonts w:eastAsia="Times New Roman"/>
          <w:lang w:val="it-IT"/>
        </w:rPr>
        <w:t xml:space="preserve">Yuflyma può essere disponibile come siringa </w:t>
      </w:r>
      <w:r w:rsidR="0092097A" w:rsidRPr="00C35766">
        <w:rPr>
          <w:rFonts w:eastAsia="Times New Roman"/>
          <w:lang w:val="it-IT"/>
        </w:rPr>
        <w:t>pre-riempita</w:t>
      </w:r>
      <w:r w:rsidRPr="00C35766">
        <w:rPr>
          <w:rFonts w:eastAsia="Times New Roman"/>
          <w:lang w:val="it-IT"/>
        </w:rPr>
        <w:t xml:space="preserve"> e/o penna </w:t>
      </w:r>
      <w:r w:rsidR="0092097A" w:rsidRPr="00C35766">
        <w:rPr>
          <w:rFonts w:eastAsia="Times New Roman"/>
          <w:lang w:val="it-IT"/>
        </w:rPr>
        <w:t>pre-riempita</w:t>
      </w:r>
      <w:r w:rsidRPr="00C35766">
        <w:rPr>
          <w:rFonts w:eastAsia="Times New Roman"/>
          <w:lang w:val="it-IT"/>
        </w:rPr>
        <w:t>.</w:t>
      </w:r>
    </w:p>
    <w:p w14:paraId="7A9CEAB1" w14:textId="77777777" w:rsidR="00953B2E" w:rsidRPr="00C35766" w:rsidRDefault="00953B2E">
      <w:pPr>
        <w:spacing w:before="18" w:line="240" w:lineRule="exact"/>
        <w:rPr>
          <w:rFonts w:ascii="Times New Roman" w:hAnsi="Times New Roman" w:cs="Times New Roman"/>
          <w:sz w:val="24"/>
          <w:szCs w:val="24"/>
          <w:lang w:val="pt-BR"/>
        </w:rPr>
      </w:pPr>
    </w:p>
    <w:p w14:paraId="70E473BF" w14:textId="77777777" w:rsidR="00953B2E" w:rsidRPr="00C35766" w:rsidRDefault="005F0C19">
      <w:pPr>
        <w:pStyle w:val="a3"/>
        <w:keepNext/>
        <w:rPr>
          <w:rFonts w:eastAsia="Times New Roman"/>
          <w:b/>
          <w:bCs/>
          <w:lang w:val="it-IT"/>
        </w:rPr>
      </w:pPr>
      <w:r w:rsidRPr="00C35766">
        <w:rPr>
          <w:rFonts w:eastAsia="Times New Roman"/>
          <w:b/>
          <w:bCs/>
          <w:lang w:val="it-IT"/>
        </w:rPr>
        <w:lastRenderedPageBreak/>
        <w:t>Titolare dell’autorizzazione all’immissione in commercio</w:t>
      </w:r>
    </w:p>
    <w:p w14:paraId="07395283" w14:textId="77777777" w:rsidR="00A02C1D" w:rsidRPr="00C35766" w:rsidRDefault="00A02C1D" w:rsidP="00A02C1D">
      <w:pPr>
        <w:spacing w:before="12" w:line="240" w:lineRule="exact"/>
        <w:rPr>
          <w:rFonts w:ascii="Times New Roman" w:hAnsi="Times New Roman" w:cs="Times New Roman"/>
          <w:sz w:val="24"/>
          <w:lang w:val="it-IT"/>
        </w:rPr>
      </w:pPr>
    </w:p>
    <w:p w14:paraId="3D1F2343" w14:textId="77777777" w:rsidR="00A02C1D" w:rsidRPr="00824699" w:rsidRDefault="00A02C1D" w:rsidP="00A02C1D">
      <w:pPr>
        <w:pStyle w:val="a3"/>
        <w:rPr>
          <w:lang w:val="it-IT"/>
        </w:rPr>
      </w:pPr>
      <w:r w:rsidRPr="00824699">
        <w:rPr>
          <w:lang w:val="it-IT"/>
        </w:rPr>
        <w:t xml:space="preserve">Celltrion Healthcare Hungary Kft. </w:t>
      </w:r>
    </w:p>
    <w:p w14:paraId="6E98999A" w14:textId="77777777" w:rsidR="00A02C1D" w:rsidRPr="00C35766" w:rsidRDefault="00A02C1D" w:rsidP="00A02C1D">
      <w:pPr>
        <w:pStyle w:val="a3"/>
      </w:pPr>
      <w:r w:rsidRPr="00C35766">
        <w:t>1062 Budapest</w:t>
      </w:r>
    </w:p>
    <w:p w14:paraId="6F49A819" w14:textId="77777777" w:rsidR="00A02C1D" w:rsidRPr="00C35766" w:rsidRDefault="00A02C1D" w:rsidP="00A02C1D">
      <w:pPr>
        <w:pStyle w:val="a3"/>
      </w:pPr>
      <w:r w:rsidRPr="00C35766">
        <w:t>Váci út 1-3. WestEnd Office Building B torony</w:t>
      </w:r>
    </w:p>
    <w:p w14:paraId="7B0F8385" w14:textId="77777777" w:rsidR="00953B2E" w:rsidRPr="00C35766" w:rsidRDefault="005F0C19">
      <w:pPr>
        <w:pStyle w:val="a3"/>
      </w:pPr>
      <w:r w:rsidRPr="00C35766">
        <w:t>Ungheria</w:t>
      </w:r>
    </w:p>
    <w:p w14:paraId="1D3574F5" w14:textId="77777777" w:rsidR="00953B2E" w:rsidRPr="00C35766" w:rsidRDefault="00953B2E">
      <w:pPr>
        <w:spacing w:before="15" w:line="240" w:lineRule="exact"/>
        <w:rPr>
          <w:rFonts w:ascii="Times New Roman" w:hAnsi="Times New Roman" w:cs="Times New Roman"/>
          <w:b/>
          <w:sz w:val="24"/>
          <w:szCs w:val="24"/>
        </w:rPr>
      </w:pPr>
    </w:p>
    <w:p w14:paraId="26D4942D" w14:textId="77777777" w:rsidR="00953B2E" w:rsidRPr="00C35766" w:rsidRDefault="005F0C19">
      <w:pPr>
        <w:pStyle w:val="a3"/>
        <w:rPr>
          <w:b/>
        </w:rPr>
      </w:pPr>
      <w:r w:rsidRPr="00C35766">
        <w:rPr>
          <w:b/>
        </w:rPr>
        <w:t>Produttore</w:t>
      </w:r>
    </w:p>
    <w:p w14:paraId="44454C87" w14:textId="77777777" w:rsidR="00A02C1D" w:rsidRPr="00C35766" w:rsidRDefault="00A02C1D" w:rsidP="00A02C1D">
      <w:pPr>
        <w:pStyle w:val="a3"/>
      </w:pPr>
    </w:p>
    <w:p w14:paraId="3195AA24" w14:textId="2274B38F" w:rsidR="00A02C1D" w:rsidRPr="00BD232C" w:rsidDel="009328A5" w:rsidRDefault="00A02C1D" w:rsidP="00A02C1D">
      <w:pPr>
        <w:pStyle w:val="a3"/>
        <w:rPr>
          <w:del w:id="50" w:author="만든 이"/>
        </w:rPr>
      </w:pPr>
      <w:del w:id="51" w:author="만든 이">
        <w:r w:rsidRPr="00BD232C" w:rsidDel="009328A5">
          <w:delText>Millmount Healthcare Ltd.</w:delText>
        </w:r>
      </w:del>
    </w:p>
    <w:p w14:paraId="55ACEB69" w14:textId="4CABF2B0" w:rsidR="00A02C1D" w:rsidRPr="00BD232C" w:rsidDel="009328A5" w:rsidRDefault="00A02C1D" w:rsidP="00A02C1D">
      <w:pPr>
        <w:pStyle w:val="a3"/>
        <w:rPr>
          <w:del w:id="52" w:author="만든 이"/>
        </w:rPr>
      </w:pPr>
      <w:del w:id="53" w:author="만든 이">
        <w:r w:rsidRPr="00BD232C" w:rsidDel="009328A5">
          <w:delText>Block 7</w:delText>
        </w:r>
      </w:del>
    </w:p>
    <w:p w14:paraId="65D00E28" w14:textId="7EFB4A68" w:rsidR="00A02C1D" w:rsidRPr="00BD232C" w:rsidDel="009328A5" w:rsidRDefault="00A02C1D" w:rsidP="00A02C1D">
      <w:pPr>
        <w:pStyle w:val="a3"/>
        <w:rPr>
          <w:del w:id="54" w:author="만든 이"/>
        </w:rPr>
      </w:pPr>
      <w:del w:id="55" w:author="만든 이">
        <w:r w:rsidRPr="00BD232C" w:rsidDel="009328A5">
          <w:delText xml:space="preserve">City North Business Campus </w:delText>
        </w:r>
      </w:del>
    </w:p>
    <w:p w14:paraId="79BC0DC3" w14:textId="41DBF80C" w:rsidR="00A02C1D" w:rsidRPr="00BD232C" w:rsidDel="009328A5" w:rsidRDefault="00A02C1D" w:rsidP="00A02C1D">
      <w:pPr>
        <w:pStyle w:val="a3"/>
        <w:rPr>
          <w:del w:id="56" w:author="만든 이"/>
          <w:lang w:val="it-IT"/>
        </w:rPr>
      </w:pPr>
      <w:del w:id="57" w:author="만든 이">
        <w:r w:rsidRPr="00BD232C" w:rsidDel="009328A5">
          <w:delText xml:space="preserve">Stamullen, Co. </w:delText>
        </w:r>
        <w:r w:rsidRPr="00BD232C" w:rsidDel="009328A5">
          <w:rPr>
            <w:lang w:val="it-IT"/>
          </w:rPr>
          <w:delText>Meath K32 YD60</w:delText>
        </w:r>
      </w:del>
    </w:p>
    <w:p w14:paraId="0F662A4B" w14:textId="3EB34964" w:rsidR="009C4C77" w:rsidRPr="00BD232C" w:rsidDel="009328A5" w:rsidRDefault="009C4C77" w:rsidP="00A02C1D">
      <w:pPr>
        <w:pStyle w:val="a3"/>
        <w:rPr>
          <w:del w:id="58" w:author="만든 이"/>
          <w:lang w:val="it-IT"/>
        </w:rPr>
      </w:pPr>
      <w:del w:id="59" w:author="만든 이">
        <w:r w:rsidRPr="00BD232C" w:rsidDel="009328A5">
          <w:rPr>
            <w:lang w:val="it-IT"/>
          </w:rPr>
          <w:delText xml:space="preserve">Irlanda </w:delText>
        </w:r>
      </w:del>
    </w:p>
    <w:p w14:paraId="45CCD79C" w14:textId="7F135911" w:rsidR="00953B2E" w:rsidRPr="00BD232C" w:rsidDel="009328A5" w:rsidRDefault="00953B2E">
      <w:pPr>
        <w:spacing w:before="14" w:line="240" w:lineRule="exact"/>
        <w:rPr>
          <w:del w:id="60" w:author="만든 이"/>
          <w:rFonts w:ascii="Times New Roman" w:hAnsi="Times New Roman" w:cs="Times New Roman"/>
          <w:sz w:val="24"/>
          <w:lang w:val="it-IT"/>
        </w:rPr>
      </w:pPr>
    </w:p>
    <w:p w14:paraId="4D994B1A" w14:textId="77777777" w:rsidR="009328A5" w:rsidRPr="00BD232C" w:rsidRDefault="009328A5" w:rsidP="009328A5">
      <w:pPr>
        <w:spacing w:before="10" w:line="240" w:lineRule="exact"/>
        <w:rPr>
          <w:moveTo w:id="61" w:author="만든 이" w16du:dateUtc="2025-09-09T05:42:00Z"/>
          <w:rFonts w:ascii="Times New Roman" w:eastAsia="Times New Roman" w:hAnsi="Times New Roman" w:cs="Times New Roman"/>
          <w:lang w:val="it-IT"/>
        </w:rPr>
      </w:pPr>
      <w:moveToRangeStart w:id="62" w:author="만든 이" w:name="move208321341"/>
      <w:moveTo w:id="63" w:author="만든 이" w16du:dateUtc="2025-09-09T05:42:00Z">
        <w:r w:rsidRPr="00BD232C">
          <w:rPr>
            <w:rFonts w:ascii="Times New Roman" w:eastAsia="Times New Roman" w:hAnsi="Times New Roman" w:cs="Times New Roman"/>
            <w:lang w:val="it-IT"/>
          </w:rPr>
          <w:t>Nuvisan France SARL</w:t>
        </w:r>
      </w:moveTo>
    </w:p>
    <w:p w14:paraId="0CE30E8C" w14:textId="77777777" w:rsidR="009328A5" w:rsidRPr="002A37A2" w:rsidRDefault="009328A5" w:rsidP="009328A5">
      <w:pPr>
        <w:spacing w:before="10" w:line="240" w:lineRule="exact"/>
        <w:rPr>
          <w:moveTo w:id="64" w:author="만든 이" w16du:dateUtc="2025-09-09T05:42:00Z"/>
          <w:rFonts w:ascii="Times New Roman" w:hAnsi="Times New Roman" w:cs="Times New Roman"/>
          <w:lang w:val="fr-CA" w:eastAsia="ko-KR"/>
        </w:rPr>
      </w:pPr>
      <w:moveTo w:id="65" w:author="만든 이" w16du:dateUtc="2025-09-09T05:42:00Z">
        <w:r w:rsidRPr="002A37A2">
          <w:rPr>
            <w:rFonts w:ascii="Times New Roman" w:eastAsia="Times New Roman" w:hAnsi="Times New Roman" w:cs="Times New Roman"/>
            <w:lang w:val="fr-CA"/>
          </w:rPr>
          <w:t>2400, Route des Colles</w:t>
        </w:r>
      </w:moveTo>
    </w:p>
    <w:p w14:paraId="7DB1CC20" w14:textId="77777777" w:rsidR="009328A5" w:rsidRPr="002A37A2" w:rsidRDefault="009328A5" w:rsidP="009328A5">
      <w:pPr>
        <w:spacing w:before="10" w:line="240" w:lineRule="exact"/>
        <w:rPr>
          <w:moveTo w:id="66" w:author="만든 이" w16du:dateUtc="2025-09-09T05:42:00Z"/>
          <w:rFonts w:ascii="Times New Roman" w:hAnsi="Times New Roman" w:cs="Times New Roman"/>
          <w:lang w:eastAsia="ko-KR"/>
        </w:rPr>
      </w:pPr>
      <w:moveTo w:id="67" w:author="만든 이" w16du:dateUtc="2025-09-09T05:42:00Z">
        <w:r w:rsidRPr="002A37A2">
          <w:rPr>
            <w:rFonts w:ascii="Times New Roman" w:eastAsia="Times New Roman" w:hAnsi="Times New Roman" w:cs="Times New Roman"/>
          </w:rPr>
          <w:t>06410, Biot</w:t>
        </w:r>
      </w:moveTo>
    </w:p>
    <w:p w14:paraId="28F0DB77" w14:textId="77777777" w:rsidR="009328A5" w:rsidRPr="002A37A2" w:rsidRDefault="009328A5" w:rsidP="009328A5">
      <w:pPr>
        <w:autoSpaceDE w:val="0"/>
        <w:autoSpaceDN w:val="0"/>
        <w:adjustRightInd w:val="0"/>
        <w:rPr>
          <w:moveTo w:id="68" w:author="만든 이" w16du:dateUtc="2025-09-09T05:42:00Z"/>
          <w:rFonts w:ascii="Times New Roman" w:eastAsia="Times New Roman" w:hAnsi="Times New Roman" w:cs="Times New Roman"/>
        </w:rPr>
      </w:pPr>
      <w:moveTo w:id="69" w:author="만든 이" w16du:dateUtc="2025-09-09T05:42:00Z">
        <w:r w:rsidRPr="002A37A2">
          <w:rPr>
            <w:rFonts w:ascii="Times New Roman" w:eastAsia="Times New Roman" w:hAnsi="Times New Roman" w:cs="Times New Roman"/>
          </w:rPr>
          <w:t>Francia</w:t>
        </w:r>
      </w:moveTo>
    </w:p>
    <w:p w14:paraId="3B20372D" w14:textId="77777777" w:rsidR="009328A5" w:rsidRPr="00BD232C" w:rsidRDefault="009328A5" w:rsidP="009328A5">
      <w:pPr>
        <w:pStyle w:val="a3"/>
        <w:rPr>
          <w:moveTo w:id="70" w:author="만든 이" w16du:dateUtc="2025-09-09T05:42:00Z"/>
          <w:rFonts w:eastAsia="Times New Roman"/>
          <w:lang w:val="es-ES_tradnl"/>
        </w:rPr>
      </w:pPr>
    </w:p>
    <w:moveToRangeEnd w:id="62"/>
    <w:p w14:paraId="03FADC6C" w14:textId="77777777" w:rsidR="00545576" w:rsidRPr="00824699" w:rsidRDefault="00545576" w:rsidP="00545576">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Nuvisan GmbH</w:t>
      </w:r>
    </w:p>
    <w:p w14:paraId="49E6D754" w14:textId="51E1C4F5" w:rsidR="00545576" w:rsidRPr="00D74B3A" w:rsidRDefault="00545576" w:rsidP="00545576">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Wegenerstraße 13</w:t>
      </w:r>
    </w:p>
    <w:p w14:paraId="37DF7EEB" w14:textId="19DCB3E2" w:rsidR="00545576" w:rsidRPr="00D74B3A" w:rsidRDefault="00545576" w:rsidP="00545576">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89231 Neu</w:t>
      </w:r>
      <w:r w:rsidR="003A4F8F">
        <w:rPr>
          <w:rFonts w:ascii="Times New Roman" w:hAnsi="Times New Roman" w:cs="Times New Roman" w:hint="eastAsia"/>
          <w:shd w:val="pct15" w:color="auto" w:fill="FFFFFF"/>
          <w:lang w:val="de-CH" w:eastAsia="ko-KR"/>
        </w:rPr>
        <w:t>-</w:t>
      </w:r>
      <w:r w:rsidRPr="00146E60">
        <w:rPr>
          <w:rFonts w:ascii="Times New Roman" w:eastAsia="Times New Roman" w:hAnsi="Times New Roman" w:cs="Times New Roman"/>
          <w:shd w:val="pct15" w:color="auto" w:fill="FFFFFF"/>
          <w:lang w:val="de-CH"/>
        </w:rPr>
        <w:t>Ulm</w:t>
      </w:r>
    </w:p>
    <w:p w14:paraId="1414C934" w14:textId="77777777" w:rsidR="00545576" w:rsidRPr="00824699" w:rsidRDefault="00545576" w:rsidP="00545576">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Germania</w:t>
      </w:r>
    </w:p>
    <w:p w14:paraId="7C777C78" w14:textId="77777777" w:rsidR="00545576" w:rsidRPr="00824699" w:rsidRDefault="00545576" w:rsidP="00545576">
      <w:pPr>
        <w:spacing w:before="10" w:line="240" w:lineRule="exact"/>
        <w:rPr>
          <w:rFonts w:ascii="Times New Roman" w:eastAsia="Times New Roman" w:hAnsi="Times New Roman" w:cs="Times New Roman"/>
          <w:shd w:val="pct15" w:color="auto" w:fill="FFFFFF"/>
          <w:lang w:val="it-IT"/>
        </w:rPr>
      </w:pPr>
    </w:p>
    <w:p w14:paraId="0EEF0AB9" w14:textId="7CE99333" w:rsidR="00545576" w:rsidRPr="00824699" w:rsidDel="009328A5" w:rsidRDefault="00545576" w:rsidP="00545576">
      <w:pPr>
        <w:spacing w:before="10" w:line="240" w:lineRule="exact"/>
        <w:rPr>
          <w:moveFrom w:id="71" w:author="만든 이" w16du:dateUtc="2025-09-09T05:42:00Z"/>
          <w:rFonts w:ascii="Times New Roman" w:eastAsia="Times New Roman" w:hAnsi="Times New Roman" w:cs="Times New Roman"/>
          <w:shd w:val="pct15" w:color="auto" w:fill="FFFFFF"/>
          <w:lang w:val="it-IT"/>
        </w:rPr>
      </w:pPr>
      <w:moveFromRangeStart w:id="72" w:author="만든 이" w:name="move208321341"/>
      <w:moveFrom w:id="73" w:author="만든 이" w16du:dateUtc="2025-09-09T05:42:00Z">
        <w:r w:rsidRPr="00824699" w:rsidDel="009328A5">
          <w:rPr>
            <w:rFonts w:ascii="Times New Roman" w:eastAsia="Times New Roman" w:hAnsi="Times New Roman" w:cs="Times New Roman"/>
            <w:shd w:val="pct15" w:color="auto" w:fill="FFFFFF"/>
            <w:lang w:val="it-IT"/>
          </w:rPr>
          <w:t>Nuvisan France SARL</w:t>
        </w:r>
      </w:moveFrom>
    </w:p>
    <w:p w14:paraId="037B09E4" w14:textId="353C277A" w:rsidR="00545576" w:rsidRPr="00D74B3A" w:rsidDel="009328A5" w:rsidRDefault="00545576" w:rsidP="00545576">
      <w:pPr>
        <w:spacing w:before="10" w:line="240" w:lineRule="exact"/>
        <w:rPr>
          <w:moveFrom w:id="74" w:author="만든 이" w16du:dateUtc="2025-09-09T05:42:00Z"/>
          <w:rFonts w:ascii="Times New Roman" w:hAnsi="Times New Roman" w:cs="Times New Roman"/>
          <w:shd w:val="pct15" w:color="auto" w:fill="FFFFFF"/>
          <w:lang w:eastAsia="ko-KR"/>
        </w:rPr>
      </w:pPr>
      <w:moveFrom w:id="75" w:author="만든 이" w16du:dateUtc="2025-09-09T05:42:00Z">
        <w:r w:rsidRPr="00146E60" w:rsidDel="009328A5">
          <w:rPr>
            <w:rFonts w:ascii="Times New Roman" w:eastAsia="Times New Roman" w:hAnsi="Times New Roman" w:cs="Times New Roman"/>
            <w:shd w:val="pct15" w:color="auto" w:fill="FFFFFF"/>
          </w:rPr>
          <w:t>2400, Route des Colles</w:t>
        </w:r>
      </w:moveFrom>
    </w:p>
    <w:p w14:paraId="22372986" w14:textId="5F1E35F9" w:rsidR="00545576" w:rsidRPr="00D74B3A" w:rsidDel="009328A5" w:rsidRDefault="00545576" w:rsidP="00545576">
      <w:pPr>
        <w:spacing w:before="10" w:line="240" w:lineRule="exact"/>
        <w:rPr>
          <w:moveFrom w:id="76" w:author="만든 이" w16du:dateUtc="2025-09-09T05:42:00Z"/>
          <w:rFonts w:ascii="Times New Roman" w:hAnsi="Times New Roman" w:cs="Times New Roman"/>
          <w:shd w:val="pct15" w:color="auto" w:fill="FFFFFF"/>
          <w:lang w:eastAsia="ko-KR"/>
        </w:rPr>
      </w:pPr>
      <w:moveFrom w:id="77" w:author="만든 이" w16du:dateUtc="2025-09-09T05:42:00Z">
        <w:r w:rsidRPr="00146E60" w:rsidDel="009328A5">
          <w:rPr>
            <w:rFonts w:ascii="Times New Roman" w:eastAsia="Times New Roman" w:hAnsi="Times New Roman" w:cs="Times New Roman"/>
            <w:shd w:val="pct15" w:color="auto" w:fill="FFFFFF"/>
          </w:rPr>
          <w:t>06410, Biot</w:t>
        </w:r>
      </w:moveFrom>
    </w:p>
    <w:p w14:paraId="3940CE46" w14:textId="7A87B92D" w:rsidR="00545576" w:rsidRPr="00146E60" w:rsidDel="009328A5" w:rsidRDefault="00545576" w:rsidP="00545576">
      <w:pPr>
        <w:autoSpaceDE w:val="0"/>
        <w:autoSpaceDN w:val="0"/>
        <w:adjustRightInd w:val="0"/>
        <w:rPr>
          <w:moveFrom w:id="78" w:author="만든 이" w16du:dateUtc="2025-09-09T05:42:00Z"/>
          <w:rFonts w:ascii="Times New Roman" w:eastAsia="Times New Roman" w:hAnsi="Times New Roman" w:cs="Times New Roman"/>
          <w:shd w:val="pct15" w:color="auto" w:fill="FFFFFF"/>
        </w:rPr>
      </w:pPr>
      <w:moveFrom w:id="79" w:author="만든 이" w16du:dateUtc="2025-09-09T05:42:00Z">
        <w:r w:rsidRPr="00146E60" w:rsidDel="009328A5">
          <w:rPr>
            <w:rFonts w:ascii="Times New Roman" w:eastAsia="Times New Roman" w:hAnsi="Times New Roman" w:cs="Times New Roman"/>
            <w:shd w:val="pct15" w:color="auto" w:fill="FFFFFF"/>
          </w:rPr>
          <w:t>Francia</w:t>
        </w:r>
      </w:moveFrom>
    </w:p>
    <w:p w14:paraId="635BBD9A" w14:textId="43D7EF94" w:rsidR="0007460C" w:rsidRPr="00146E60" w:rsidDel="009328A5" w:rsidRDefault="0007460C" w:rsidP="0007460C">
      <w:pPr>
        <w:pStyle w:val="a3"/>
        <w:rPr>
          <w:moveFrom w:id="80" w:author="만든 이" w16du:dateUtc="2025-09-09T05:42:00Z"/>
          <w:rFonts w:eastAsia="Times New Roman"/>
          <w:shd w:val="pct15" w:color="auto" w:fill="FFFFFF"/>
          <w:lang w:val="es-ES_tradnl"/>
        </w:rPr>
      </w:pPr>
    </w:p>
    <w:moveFromRangeEnd w:id="72"/>
    <w:p w14:paraId="5185973C" w14:textId="77777777" w:rsidR="0007460C" w:rsidRPr="002A37A2" w:rsidRDefault="0007460C" w:rsidP="0007460C">
      <w:pPr>
        <w:pStyle w:val="a3"/>
        <w:rPr>
          <w:rFonts w:eastAsia="Times New Roman"/>
          <w:shd w:val="pct15" w:color="auto" w:fill="FFFFFF"/>
          <w:lang w:val="es-ES_tradnl"/>
        </w:rPr>
      </w:pPr>
      <w:r w:rsidRPr="002A37A2">
        <w:rPr>
          <w:rFonts w:eastAsia="Times New Roman"/>
          <w:shd w:val="pct15" w:color="auto" w:fill="FFFFFF"/>
          <w:lang w:val="es-ES_tradnl"/>
        </w:rPr>
        <w:t>Midas Pharma GmbH</w:t>
      </w:r>
    </w:p>
    <w:p w14:paraId="0D07B962" w14:textId="79E17296"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Rheinstr. 49</w:t>
      </w:r>
    </w:p>
    <w:p w14:paraId="7C5F9D3E" w14:textId="58F5EB36"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55218 Ingelheim</w:t>
      </w:r>
    </w:p>
    <w:p w14:paraId="7B206003" w14:textId="77777777" w:rsidR="0007460C" w:rsidRPr="002A37A2" w:rsidRDefault="0007460C" w:rsidP="0007460C">
      <w:pPr>
        <w:pStyle w:val="a3"/>
        <w:rPr>
          <w:rFonts w:eastAsia="Times New Roman"/>
          <w:shd w:val="pct15" w:color="auto" w:fill="FFFFFF"/>
          <w:lang w:val="es-ES_tradnl"/>
        </w:rPr>
      </w:pPr>
      <w:r w:rsidRPr="002A37A2">
        <w:rPr>
          <w:rFonts w:eastAsia="Times New Roman"/>
          <w:shd w:val="pct15" w:color="auto" w:fill="FFFFFF"/>
          <w:lang w:val="es-ES_tradnl"/>
        </w:rPr>
        <w:t>Germania</w:t>
      </w:r>
    </w:p>
    <w:p w14:paraId="2410431C" w14:textId="77777777" w:rsidR="0007460C" w:rsidRPr="002A37A2" w:rsidRDefault="0007460C" w:rsidP="0007460C">
      <w:pPr>
        <w:pStyle w:val="a3"/>
        <w:rPr>
          <w:rFonts w:eastAsia="Times New Roman"/>
          <w:shd w:val="pct15" w:color="auto" w:fill="FFFFFF"/>
          <w:lang w:val="es-ES_tradnl"/>
        </w:rPr>
      </w:pPr>
    </w:p>
    <w:p w14:paraId="1EEB51EE" w14:textId="6D4D673B"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KYMOS S.L.</w:t>
      </w:r>
    </w:p>
    <w:p w14:paraId="44B2D93F" w14:textId="4D7E42DC"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Ronda Can Fatjó, 7B.</w:t>
      </w:r>
    </w:p>
    <w:p w14:paraId="1C453229" w14:textId="169F3345"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08290 Cerdanyola del Vallès</w:t>
      </w:r>
    </w:p>
    <w:p w14:paraId="25A2146E" w14:textId="39993107" w:rsidR="0007460C" w:rsidRPr="00D74B3A" w:rsidRDefault="0007460C" w:rsidP="0007460C">
      <w:pPr>
        <w:pStyle w:val="a3"/>
        <w:rPr>
          <w:shd w:val="pct15" w:color="auto" w:fill="FFFFFF"/>
          <w:lang w:val="fr-FR" w:eastAsia="ko-KR"/>
        </w:rPr>
      </w:pPr>
      <w:r w:rsidRPr="00146E60">
        <w:rPr>
          <w:rFonts w:eastAsia="Times New Roman"/>
          <w:shd w:val="pct15" w:color="auto" w:fill="FFFFFF"/>
          <w:lang w:val="fr-FR"/>
        </w:rPr>
        <w:t>Barcelona</w:t>
      </w:r>
    </w:p>
    <w:p w14:paraId="55F68904" w14:textId="77777777" w:rsidR="0007460C" w:rsidRPr="00146E60" w:rsidRDefault="0007460C" w:rsidP="0007460C">
      <w:pPr>
        <w:pStyle w:val="a3"/>
        <w:rPr>
          <w:rFonts w:eastAsia="Times New Roman"/>
          <w:shd w:val="pct15" w:color="auto" w:fill="FFFFFF"/>
          <w:lang w:val="fr-FR"/>
        </w:rPr>
      </w:pPr>
      <w:r w:rsidRPr="00146E60">
        <w:rPr>
          <w:rFonts w:eastAsia="Times New Roman"/>
          <w:shd w:val="pct15" w:color="auto" w:fill="FFFFFF"/>
          <w:lang w:val="fr-FR"/>
        </w:rPr>
        <w:t>Spagna</w:t>
      </w:r>
    </w:p>
    <w:p w14:paraId="68C90CBF" w14:textId="77777777" w:rsidR="00545576" w:rsidRPr="00FB7F5C" w:rsidRDefault="00545576">
      <w:pPr>
        <w:spacing w:before="14" w:line="240" w:lineRule="exact"/>
        <w:rPr>
          <w:rFonts w:ascii="Times New Roman" w:hAnsi="Times New Roman" w:cs="Times New Roman"/>
          <w:sz w:val="24"/>
          <w:lang w:val="fr-FR"/>
        </w:rPr>
      </w:pPr>
    </w:p>
    <w:p w14:paraId="5E7855E2" w14:textId="77777777" w:rsidR="00953B2E" w:rsidRPr="00C35766" w:rsidRDefault="005F0C19">
      <w:pPr>
        <w:pStyle w:val="a3"/>
        <w:rPr>
          <w:lang w:val="it-IT"/>
        </w:rPr>
      </w:pPr>
      <w:r w:rsidRPr="00C35766">
        <w:rPr>
          <w:rFonts w:eastAsia="Times New Roman"/>
          <w:lang w:val="it-IT"/>
        </w:rPr>
        <w:t>Per ulteriori informazioni su questo medicinale, contatti il rappresentante locale del titolare dell’autorizzazione all’immissione in commercio:</w:t>
      </w:r>
    </w:p>
    <w:p w14:paraId="4983B39D" w14:textId="77777777" w:rsidR="00953B2E" w:rsidRPr="00C35766" w:rsidRDefault="00953B2E">
      <w:pPr>
        <w:numPr>
          <w:ilvl w:val="12"/>
          <w:numId w:val="0"/>
        </w:numPr>
        <w:ind w:right="-2"/>
        <w:rPr>
          <w:rFonts w:ascii="Times New Roman" w:hAnsi="Times New Roman" w:cs="Times New Roman"/>
          <w:b/>
          <w:lang w:val="it-IT"/>
        </w:rPr>
      </w:pPr>
    </w:p>
    <w:tbl>
      <w:tblPr>
        <w:tblW w:w="5000" w:type="pct"/>
        <w:tblLook w:val="04A0" w:firstRow="1" w:lastRow="0" w:firstColumn="1" w:lastColumn="0" w:noHBand="0" w:noVBand="1"/>
      </w:tblPr>
      <w:tblGrid>
        <w:gridCol w:w="4800"/>
        <w:gridCol w:w="4800"/>
      </w:tblGrid>
      <w:tr w:rsidR="00D84998" w:rsidRPr="00C35766" w14:paraId="680770ED" w14:textId="77777777" w:rsidTr="00A96C58">
        <w:tc>
          <w:tcPr>
            <w:tcW w:w="2500" w:type="pct"/>
            <w:hideMark/>
          </w:tcPr>
          <w:p w14:paraId="29CBF92A" w14:textId="77777777" w:rsidR="00D84998" w:rsidRPr="00C35766" w:rsidRDefault="00D84998" w:rsidP="00A96C58">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België/Belgique/Belgien</w:t>
            </w:r>
          </w:p>
          <w:p w14:paraId="11227922"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Belgium BVBA</w:t>
            </w:r>
          </w:p>
          <w:p w14:paraId="728DBBA8" w14:textId="77777777" w:rsidR="00D84998" w:rsidRPr="00C35766" w:rsidRDefault="00D84998" w:rsidP="00A96C58">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Tél/Tel: + 32 1528 7418</w:t>
            </w:r>
          </w:p>
        </w:tc>
        <w:tc>
          <w:tcPr>
            <w:tcW w:w="2500" w:type="pct"/>
          </w:tcPr>
          <w:p w14:paraId="4264FF9C" w14:textId="77777777" w:rsidR="00D84998" w:rsidRPr="00C35766" w:rsidRDefault="00D84998" w:rsidP="00A96C58">
            <w:pPr>
              <w:tabs>
                <w:tab w:val="left" w:pos="-720"/>
              </w:tabs>
              <w:suppressAutoHyphens/>
              <w:rPr>
                <w:rFonts w:ascii="Times New Roman" w:hAnsi="Times New Roman" w:cs="Times New Roman"/>
                <w:b/>
                <w:noProof/>
                <w:lang w:eastAsia="fr-FR"/>
              </w:rPr>
            </w:pPr>
            <w:r w:rsidRPr="00C35766">
              <w:rPr>
                <w:rFonts w:ascii="Times New Roman" w:hAnsi="Times New Roman" w:cs="Times New Roman"/>
                <w:b/>
                <w:noProof/>
                <w:lang w:eastAsia="fr-FR"/>
              </w:rPr>
              <w:t>Lietuva</w:t>
            </w:r>
          </w:p>
          <w:p w14:paraId="4B42C40F"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41D918A" w14:textId="401FEF99" w:rsidR="000C13C0" w:rsidRPr="00C35766" w:rsidRDefault="000C13C0" w:rsidP="00F35EB0">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38106535" w14:textId="77777777" w:rsidR="00D84998" w:rsidRPr="00C35766" w:rsidRDefault="00D84998" w:rsidP="00A96C58">
            <w:pPr>
              <w:autoSpaceDE w:val="0"/>
              <w:autoSpaceDN w:val="0"/>
              <w:adjustRightInd w:val="0"/>
              <w:rPr>
                <w:rFonts w:ascii="Times New Roman" w:hAnsi="Times New Roman" w:cs="Times New Roman"/>
                <w:noProof/>
                <w:lang w:eastAsia="fr-FR"/>
              </w:rPr>
            </w:pPr>
          </w:p>
        </w:tc>
      </w:tr>
      <w:tr w:rsidR="00D84998" w:rsidRPr="00C35766" w14:paraId="7FDDE6F7" w14:textId="77777777" w:rsidTr="00A96C58">
        <w:trPr>
          <w:trHeight w:val="619"/>
        </w:trPr>
        <w:tc>
          <w:tcPr>
            <w:tcW w:w="2500" w:type="pct"/>
          </w:tcPr>
          <w:p w14:paraId="008429AA" w14:textId="77777777"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bCs/>
              </w:rPr>
              <w:t>България</w:t>
            </w:r>
          </w:p>
          <w:p w14:paraId="72D78DDA"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04C0F7C7" w14:textId="11577CFA" w:rsidR="00D84998" w:rsidRPr="00C35766" w:rsidRDefault="00BC6B5C" w:rsidP="00A96C58">
            <w:pPr>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Teл.: </w:t>
            </w:r>
            <w:r w:rsidR="00F35EB0" w:rsidRPr="00C35766">
              <w:rPr>
                <w:rFonts w:ascii="Times New Roman" w:eastAsia="맑은 고딕" w:hAnsi="Times New Roman" w:cs="Times New Roman"/>
                <w:noProof/>
                <w:lang w:eastAsia="fr-FR"/>
              </w:rPr>
              <w:t>+36 1 231 0493</w:t>
            </w:r>
          </w:p>
        </w:tc>
        <w:tc>
          <w:tcPr>
            <w:tcW w:w="2500" w:type="pct"/>
            <w:hideMark/>
          </w:tcPr>
          <w:p w14:paraId="79EE5260" w14:textId="77777777" w:rsidR="00D84998" w:rsidRPr="00C35766" w:rsidRDefault="00D84998" w:rsidP="00A96C58">
            <w:pPr>
              <w:tabs>
                <w:tab w:val="left" w:pos="-720"/>
              </w:tabs>
              <w:suppressAutoHyphens/>
              <w:rPr>
                <w:rFonts w:ascii="Times New Roman" w:hAnsi="Times New Roman" w:cs="Times New Roman"/>
                <w:noProof/>
                <w:lang w:val="de-CH" w:eastAsia="fr-FR"/>
              </w:rPr>
            </w:pPr>
            <w:r w:rsidRPr="00C35766">
              <w:rPr>
                <w:rFonts w:ascii="Times New Roman" w:eastAsia="맑은 고딕" w:hAnsi="Times New Roman" w:cs="Times New Roman"/>
                <w:b/>
                <w:noProof/>
                <w:lang w:val="de-CH" w:eastAsia="fr-FR"/>
              </w:rPr>
              <w:t>Luxembourg/Luxemburg</w:t>
            </w:r>
          </w:p>
          <w:p w14:paraId="46DB18D9" w14:textId="77777777" w:rsidR="00D84998" w:rsidRPr="00C35766" w:rsidRDefault="00D84998" w:rsidP="00A96C58">
            <w:pPr>
              <w:tabs>
                <w:tab w:val="left" w:pos="-720"/>
              </w:tabs>
              <w:suppressAutoHyphens/>
              <w:rPr>
                <w:rFonts w:ascii="Times New Roman" w:eastAsia="맑은 고딕" w:hAnsi="Times New Roman" w:cs="Times New Roman"/>
                <w:iCs/>
                <w:noProof/>
                <w:lang w:val="de-CH" w:eastAsia="fr-FR"/>
              </w:rPr>
            </w:pPr>
            <w:r w:rsidRPr="00C35766">
              <w:rPr>
                <w:rFonts w:ascii="Times New Roman" w:eastAsia="맑은 고딕" w:hAnsi="Times New Roman" w:cs="Times New Roman"/>
                <w:iCs/>
                <w:noProof/>
                <w:lang w:val="de-CH" w:eastAsia="fr-FR"/>
              </w:rPr>
              <w:t>Celltrion Healthcare Belgium BVBA</w:t>
            </w:r>
          </w:p>
          <w:p w14:paraId="5E550CEE" w14:textId="77777777" w:rsidR="00D84998" w:rsidRPr="00C35766" w:rsidRDefault="00D84998" w:rsidP="00A96C58">
            <w:pPr>
              <w:tabs>
                <w:tab w:val="left" w:pos="-720"/>
              </w:tabs>
              <w:suppressAutoHyphens/>
              <w:rPr>
                <w:rFonts w:ascii="Times New Roman" w:eastAsia="맑은 고딕" w:hAnsi="Times New Roman" w:cs="Times New Roman"/>
                <w:lang w:val="pt-PT" w:eastAsia="ko-KR"/>
              </w:rPr>
            </w:pPr>
            <w:r w:rsidRPr="00C35766">
              <w:rPr>
                <w:rFonts w:ascii="Times New Roman" w:eastAsia="맑은 고딕" w:hAnsi="Times New Roman" w:cs="Times New Roman"/>
                <w:noProof/>
                <w:lang w:val="fr-FR" w:eastAsia="fr-FR"/>
              </w:rPr>
              <w:t xml:space="preserve">Tél/Tel: </w:t>
            </w:r>
            <w:r w:rsidRPr="00C35766">
              <w:rPr>
                <w:rFonts w:ascii="Times New Roman" w:eastAsia="맑은 고딕" w:hAnsi="Times New Roman" w:cs="Times New Roman"/>
                <w:iCs/>
                <w:noProof/>
                <w:lang w:val="pt-PT" w:eastAsia="fr-FR"/>
              </w:rPr>
              <w:t>+ 32 1528 7418</w:t>
            </w:r>
          </w:p>
        </w:tc>
      </w:tr>
      <w:tr w:rsidR="00D84998" w:rsidRPr="00C35766" w14:paraId="1D8C65DE" w14:textId="77777777" w:rsidTr="00A96C58">
        <w:tc>
          <w:tcPr>
            <w:tcW w:w="2500" w:type="pct"/>
            <w:hideMark/>
          </w:tcPr>
          <w:p w14:paraId="381F05B5" w14:textId="77777777" w:rsidR="00F45088" w:rsidRDefault="00F45088" w:rsidP="00A96C58">
            <w:pPr>
              <w:tabs>
                <w:tab w:val="left" w:pos="-720"/>
              </w:tabs>
              <w:suppressAutoHyphens/>
              <w:rPr>
                <w:rFonts w:ascii="Times New Roman" w:eastAsia="맑은 고딕" w:hAnsi="Times New Roman" w:cs="Times New Roman"/>
                <w:b/>
                <w:noProof/>
                <w:lang w:eastAsia="fr-FR"/>
              </w:rPr>
            </w:pPr>
          </w:p>
          <w:p w14:paraId="7EF29022" w14:textId="31B2EC46" w:rsidR="00D84998" w:rsidRPr="00C35766" w:rsidRDefault="00D84998" w:rsidP="00A96C58">
            <w:pPr>
              <w:tabs>
                <w:tab w:val="left" w:pos="-720"/>
              </w:tabs>
              <w:suppressAutoHyphen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Česká republika</w:t>
            </w:r>
          </w:p>
          <w:p w14:paraId="3235042D"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E0B9229" w14:textId="67A2D10B" w:rsidR="00D84998" w:rsidRPr="00C35766" w:rsidRDefault="000C13C0" w:rsidP="00A96C58">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c>
          <w:tcPr>
            <w:tcW w:w="2500" w:type="pct"/>
          </w:tcPr>
          <w:p w14:paraId="49D6180F" w14:textId="77777777" w:rsidR="00F45088" w:rsidRDefault="00F45088" w:rsidP="00A96C58">
            <w:pPr>
              <w:rPr>
                <w:rFonts w:ascii="Times New Roman" w:hAnsi="Times New Roman" w:cs="Times New Roman"/>
                <w:b/>
                <w:noProof/>
              </w:rPr>
            </w:pPr>
          </w:p>
          <w:p w14:paraId="4CF3250E" w14:textId="0C3AE0FE"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noProof/>
              </w:rPr>
              <w:t>Magyarország</w:t>
            </w:r>
          </w:p>
          <w:p w14:paraId="2EE61640"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4C7A9F7A" w14:textId="19B010EF" w:rsidR="000C13C0" w:rsidRPr="00C35766" w:rsidRDefault="000C13C0" w:rsidP="00F35EB0">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05A81DD0" w14:textId="77777777" w:rsidR="00D84998" w:rsidRPr="00C35766" w:rsidRDefault="00D84998" w:rsidP="00A96C58">
            <w:pPr>
              <w:rPr>
                <w:rFonts w:ascii="Times New Roman" w:eastAsia="맑은 고딕" w:hAnsi="Times New Roman" w:cs="Times New Roman"/>
                <w:noProof/>
                <w:lang w:eastAsia="ko-KR"/>
              </w:rPr>
            </w:pPr>
          </w:p>
        </w:tc>
      </w:tr>
      <w:tr w:rsidR="00D84998" w:rsidRPr="00C35766" w14:paraId="0EF3A4E0" w14:textId="77777777" w:rsidTr="00A96C58">
        <w:tc>
          <w:tcPr>
            <w:tcW w:w="2500" w:type="pct"/>
            <w:hideMark/>
          </w:tcPr>
          <w:p w14:paraId="2E2CBD0E" w14:textId="77777777" w:rsidR="00D84998" w:rsidRPr="00C35766" w:rsidRDefault="00D84998" w:rsidP="00A96C58">
            <w:pPr>
              <w:tabs>
                <w:tab w:val="left" w:pos="-720"/>
              </w:tabs>
              <w:suppressAutoHyphens/>
              <w:rPr>
                <w:rFonts w:ascii="Times New Roman" w:hAnsi="Times New Roman" w:cs="Times New Roman"/>
                <w:b/>
                <w:bCs/>
                <w:i/>
                <w:iCs/>
                <w:noProof/>
                <w:lang w:eastAsia="fr-FR"/>
              </w:rPr>
            </w:pPr>
            <w:r w:rsidRPr="00C35766">
              <w:rPr>
                <w:rFonts w:ascii="Times New Roman" w:hAnsi="Times New Roman" w:cs="Times New Roman"/>
                <w:b/>
                <w:noProof/>
              </w:rPr>
              <w:t>Danmark</w:t>
            </w:r>
          </w:p>
          <w:p w14:paraId="055D9FE6" w14:textId="77777777" w:rsidR="00D84998" w:rsidRPr="00C35766" w:rsidRDefault="00D84998" w:rsidP="00A96C58">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3CBFDEA" w14:textId="77777777" w:rsidR="00D84998" w:rsidRPr="00C35766" w:rsidRDefault="00D84998" w:rsidP="00A96C58">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tc>
        <w:tc>
          <w:tcPr>
            <w:tcW w:w="2500" w:type="pct"/>
          </w:tcPr>
          <w:p w14:paraId="73D8DF28"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Malta</w:t>
            </w:r>
          </w:p>
          <w:p w14:paraId="61F60A20" w14:textId="09965712" w:rsidR="00D84998" w:rsidRPr="00C35766" w:rsidRDefault="00B5072D" w:rsidP="00A96C58">
            <w:pPr>
              <w:tabs>
                <w:tab w:val="left" w:pos="-720"/>
              </w:tabs>
              <w:suppressAutoHyphens/>
              <w:rPr>
                <w:rFonts w:ascii="Times New Roman" w:eastAsia="맑은 고딕" w:hAnsi="Times New Roman" w:cs="Times New Roman"/>
                <w:noProof/>
                <w:lang w:eastAsia="fr-FR"/>
              </w:rPr>
            </w:pPr>
            <w:r w:rsidRPr="00B5072D">
              <w:rPr>
                <w:rFonts w:ascii="Times New Roman" w:eastAsia="맑은 고딕" w:hAnsi="Times New Roman" w:cs="Times New Roman"/>
                <w:noProof/>
                <w:lang w:eastAsia="fr-FR"/>
              </w:rPr>
              <w:t>Mint Health Ltd.</w:t>
            </w:r>
          </w:p>
          <w:p w14:paraId="1558E91C" w14:textId="0804687A" w:rsidR="00D84998" w:rsidRPr="00C35766" w:rsidRDefault="00D84998" w:rsidP="002A7E72">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 xml:space="preserve">Tel: +356 </w:t>
            </w:r>
            <w:r w:rsidR="00B5072D" w:rsidRPr="00B5072D">
              <w:rPr>
                <w:rFonts w:ascii="Times New Roman" w:eastAsia="맑은 고딕" w:hAnsi="Times New Roman" w:cs="Times New Roman"/>
                <w:noProof/>
                <w:lang w:eastAsia="fr-FR"/>
              </w:rPr>
              <w:t>2093 9800</w:t>
            </w:r>
          </w:p>
        </w:tc>
      </w:tr>
      <w:tr w:rsidR="00D84998" w:rsidRPr="00C35766" w14:paraId="0A1FFD7F" w14:textId="77777777" w:rsidTr="00A96C58">
        <w:tc>
          <w:tcPr>
            <w:tcW w:w="2500" w:type="pct"/>
            <w:hideMark/>
          </w:tcPr>
          <w:p w14:paraId="3408E6B7" w14:textId="77777777" w:rsidR="00D84998" w:rsidRPr="00C35766" w:rsidRDefault="00D84998" w:rsidP="00A96C58">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Deutschland</w:t>
            </w:r>
          </w:p>
          <w:p w14:paraId="62518C1A" w14:textId="48F25999" w:rsidR="00CB7B0D" w:rsidRPr="00B23C0A" w:rsidRDefault="00CB7B0D" w:rsidP="00CB7B0D">
            <w:pPr>
              <w:rPr>
                <w:rFonts w:ascii="Times New Roman" w:hAnsi="Times New Roman" w:cs="Times New Roman"/>
                <w:noProof/>
                <w:lang w:eastAsia="ko-KR"/>
              </w:rPr>
            </w:pPr>
            <w:r w:rsidRPr="00C13DB3">
              <w:rPr>
                <w:rFonts w:ascii="Times New Roman" w:hAnsi="Times New Roman" w:cs="Times New Roman"/>
                <w:noProof/>
                <w:lang w:eastAsia="ko-KR"/>
              </w:rPr>
              <w:t xml:space="preserve">Celltrion Healthcare </w:t>
            </w:r>
            <w:r>
              <w:rPr>
                <w:rFonts w:ascii="Times New Roman" w:hAnsi="Times New Roman" w:cs="Times New Roman"/>
                <w:noProof/>
                <w:lang w:eastAsia="ko-KR"/>
              </w:rPr>
              <w:t>Deutschland</w:t>
            </w:r>
            <w:r w:rsidR="00FB3F40">
              <w:rPr>
                <w:rFonts w:ascii="Times New Roman" w:hAnsi="Times New Roman" w:cs="Times New Roman"/>
                <w:noProof/>
                <w:lang w:eastAsia="ko-KR"/>
              </w:rPr>
              <w:t xml:space="preserve"> GmbH</w:t>
            </w:r>
          </w:p>
          <w:p w14:paraId="188EE31B" w14:textId="5660F9F1" w:rsidR="00FB3F40" w:rsidRDefault="00CB7B0D" w:rsidP="00CB7B0D">
            <w:pPr>
              <w:rPr>
                <w:rFonts w:ascii="Times New Roman" w:eastAsia="맑은 고딕" w:hAnsi="Times New Roman" w:cs="Times New Roman"/>
                <w:noProof/>
                <w:lang w:eastAsia="fr-FR"/>
              </w:rPr>
            </w:pPr>
            <w:r w:rsidRPr="00B23C0A">
              <w:rPr>
                <w:rFonts w:ascii="Times New Roman" w:hAnsi="Times New Roman" w:cs="Times New Roman"/>
                <w:noProof/>
                <w:lang w:eastAsia="ko-KR"/>
              </w:rPr>
              <w:t>T</w:t>
            </w:r>
            <w:r w:rsidR="00F479BB">
              <w:rPr>
                <w:rFonts w:ascii="Times New Roman" w:hAnsi="Times New Roman" w:cs="Times New Roman" w:hint="eastAsia"/>
                <w:noProof/>
                <w:lang w:eastAsia="ko-KR"/>
              </w:rPr>
              <w:t>e</w:t>
            </w:r>
            <w:r w:rsidRPr="00B23C0A">
              <w:rPr>
                <w:rFonts w:ascii="Times New Roman" w:hAnsi="Times New Roman" w:cs="Times New Roman"/>
                <w:noProof/>
                <w:lang w:eastAsia="ko-KR"/>
              </w:rPr>
              <w:t>l.: +</w:t>
            </w:r>
            <w:r>
              <w:rPr>
                <w:rFonts w:ascii="Times New Roman" w:hAnsi="Times New Roman" w:cs="Times New Roman"/>
                <w:noProof/>
                <w:lang w:eastAsia="ko-KR"/>
              </w:rPr>
              <w:t>49</w:t>
            </w:r>
            <w:r w:rsidRPr="00B23C0A">
              <w:rPr>
                <w:rFonts w:ascii="Times New Roman" w:hAnsi="Times New Roman" w:cs="Times New Roman"/>
                <w:noProof/>
                <w:lang w:eastAsia="ko-KR"/>
              </w:rPr>
              <w:t xml:space="preserve"> (0)</w:t>
            </w:r>
            <w:r w:rsidR="00893A16">
              <w:rPr>
                <w:rFonts w:ascii="Times New Roman" w:hAnsi="Times New Roman" w:cs="Times New Roman"/>
                <w:noProof/>
                <w:lang w:eastAsia="ko-KR"/>
              </w:rPr>
              <w:t>30 346494150</w:t>
            </w:r>
          </w:p>
          <w:p w14:paraId="056A4E2A" w14:textId="63A235EC" w:rsidR="00FB3F40" w:rsidRPr="00C35766" w:rsidRDefault="00A96424" w:rsidP="00CB7B0D">
            <w:pPr>
              <w:rPr>
                <w:rFonts w:ascii="Times New Roman" w:eastAsia="맑은 고딕" w:hAnsi="Times New Roman" w:cs="Times New Roman"/>
                <w:noProof/>
                <w:lang w:eastAsia="fr-FR"/>
              </w:rPr>
            </w:pPr>
            <w:r w:rsidRPr="00A96424">
              <w:rPr>
                <w:rFonts w:ascii="Times New Roman" w:eastAsia="맑은 고딕" w:hAnsi="Times New Roman" w:cs="Times New Roman"/>
                <w:noProof/>
                <w:lang w:eastAsia="fr-FR"/>
              </w:rPr>
              <w:t>infoDE@celltrionhc.com</w:t>
            </w:r>
          </w:p>
          <w:p w14:paraId="766847CF" w14:textId="4E335880" w:rsidR="00D84998" w:rsidRPr="00C35766" w:rsidRDefault="00D84998" w:rsidP="00A96C58">
            <w:pPr>
              <w:tabs>
                <w:tab w:val="left" w:pos="-720"/>
              </w:tabs>
              <w:suppressAutoHyphens/>
              <w:rPr>
                <w:rFonts w:ascii="Times New Roman" w:eastAsia="맑은 고딕" w:hAnsi="Times New Roman" w:cs="Times New Roman"/>
                <w:noProof/>
                <w:lang w:eastAsia="fr-FR"/>
              </w:rPr>
            </w:pPr>
          </w:p>
          <w:p w14:paraId="1997BD5F" w14:textId="77777777" w:rsidR="00D84998" w:rsidRPr="00C35766" w:rsidRDefault="00D84998" w:rsidP="00A96C58">
            <w:pPr>
              <w:tabs>
                <w:tab w:val="left" w:pos="-720"/>
              </w:tabs>
              <w:suppressAutoHyphens/>
              <w:rPr>
                <w:rFonts w:ascii="Times New Roman" w:eastAsia="맑은 고딕" w:hAnsi="Times New Roman" w:cs="Times New Roman"/>
                <w:noProof/>
                <w:lang w:eastAsia="fr-FR"/>
              </w:rPr>
            </w:pPr>
          </w:p>
        </w:tc>
        <w:tc>
          <w:tcPr>
            <w:tcW w:w="2500" w:type="pct"/>
          </w:tcPr>
          <w:p w14:paraId="6D48B203"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Nederland</w:t>
            </w:r>
          </w:p>
          <w:p w14:paraId="18E20864"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Netherlands B.V.</w:t>
            </w:r>
          </w:p>
          <w:p w14:paraId="32689C00"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+ 31 20 888 7300</w:t>
            </w:r>
          </w:p>
          <w:p w14:paraId="72358443" w14:textId="77777777" w:rsidR="00D84998" w:rsidRPr="00C35766" w:rsidRDefault="00D84998" w:rsidP="00A96C58">
            <w:pPr>
              <w:rPr>
                <w:rFonts w:ascii="Times New Roman" w:eastAsia="맑은 고딕" w:hAnsi="Times New Roman" w:cs="Times New Roman"/>
                <w:noProof/>
                <w:lang w:eastAsia="fr-FR"/>
              </w:rPr>
            </w:pPr>
          </w:p>
        </w:tc>
      </w:tr>
      <w:tr w:rsidR="00D84998" w:rsidRPr="00C35766" w14:paraId="05E370C5" w14:textId="77777777" w:rsidTr="00A96C58">
        <w:tc>
          <w:tcPr>
            <w:tcW w:w="2500" w:type="pct"/>
            <w:hideMark/>
          </w:tcPr>
          <w:p w14:paraId="084CAE0F" w14:textId="77777777" w:rsidR="00D84998" w:rsidRPr="00C35766" w:rsidRDefault="00D84998" w:rsidP="00BD232C">
            <w:pPr>
              <w:keepNext/>
              <w:keepLines/>
              <w:tabs>
                <w:tab w:val="left" w:pos="-720"/>
                <w:tab w:val="left" w:pos="4536"/>
              </w:tabs>
              <w:suppressAutoHyphens/>
              <w:rPr>
                <w:rFonts w:ascii="Times New Roman" w:hAnsi="Times New Roman" w:cs="Times New Roman"/>
                <w:b/>
                <w:noProof/>
                <w:lang w:val="en-GB" w:eastAsia="fr-FR"/>
              </w:rPr>
            </w:pPr>
            <w:r w:rsidRPr="00C35766">
              <w:rPr>
                <w:rFonts w:ascii="Times New Roman" w:eastAsia="맑은 고딕" w:hAnsi="Times New Roman" w:cs="Times New Roman"/>
                <w:b/>
                <w:noProof/>
                <w:lang w:val="en-GB" w:eastAsia="fr-FR"/>
              </w:rPr>
              <w:lastRenderedPageBreak/>
              <w:t>Eesti</w:t>
            </w:r>
          </w:p>
          <w:p w14:paraId="00BE1C6B" w14:textId="77777777" w:rsidR="00D84998" w:rsidRPr="00C35766" w:rsidRDefault="00D84998" w:rsidP="00BD232C">
            <w:pPr>
              <w:keepNext/>
              <w:keepLines/>
              <w:rPr>
                <w:rFonts w:ascii="Times New Roman" w:eastAsia="맑은 고딕" w:hAnsi="Times New Roman" w:cs="Times New Roman"/>
                <w:noProof/>
                <w:lang w:val="en-GB" w:eastAsia="fr-FR"/>
              </w:rPr>
            </w:pPr>
            <w:r w:rsidRPr="00C35766">
              <w:rPr>
                <w:rFonts w:ascii="Times New Roman" w:eastAsia="맑은 고딕" w:hAnsi="Times New Roman" w:cs="Times New Roman"/>
                <w:noProof/>
                <w:lang w:val="en-GB" w:eastAsia="fr-FR"/>
              </w:rPr>
              <w:t>Celltrion Healthcare Hungary Kft.</w:t>
            </w:r>
          </w:p>
          <w:p w14:paraId="1854D35F" w14:textId="77777777" w:rsidR="00D84998" w:rsidRPr="00C35766" w:rsidRDefault="00D84998" w:rsidP="00BD232C">
            <w:pPr>
              <w:keepNext/>
              <w:keepLines/>
              <w:tabs>
                <w:tab w:val="left" w:pos="-720"/>
              </w:tabs>
              <w:suppressAutoHyphens/>
              <w:rPr>
                <w:rFonts w:ascii="Times New Roman" w:eastAsia="맑은 고딕" w:hAnsi="Times New Roman" w:cs="Times New Roman"/>
                <w:noProof/>
                <w:lang w:val="fi-FI" w:eastAsia="fr-FR"/>
              </w:rPr>
            </w:pPr>
            <w:r w:rsidRPr="00C35766">
              <w:rPr>
                <w:rFonts w:ascii="Times New Roman" w:eastAsia="맑은 고딕" w:hAnsi="Times New Roman" w:cs="Times New Roman"/>
                <w:noProof/>
                <w:lang w:eastAsia="fr-FR"/>
              </w:rPr>
              <w:t xml:space="preserve">Tel: </w:t>
            </w:r>
            <w:r w:rsidRPr="00C35766">
              <w:rPr>
                <w:rFonts w:ascii="Times New Roman" w:eastAsia="맑은 고딕" w:hAnsi="Times New Roman" w:cs="Times New Roman"/>
                <w:noProof/>
                <w:lang w:val="fi-FI" w:eastAsia="fr-FR"/>
              </w:rPr>
              <w:t>+36 1 231 0493</w:t>
            </w:r>
          </w:p>
          <w:p w14:paraId="093D9438" w14:textId="77777777" w:rsidR="00D84998" w:rsidRPr="00C35766" w:rsidRDefault="00D84998" w:rsidP="00BD232C">
            <w:pPr>
              <w:keepNext/>
              <w:keepLines/>
              <w:tabs>
                <w:tab w:val="left" w:pos="-720"/>
              </w:tabs>
              <w:suppressAutoHyphens/>
              <w:rPr>
                <w:rFonts w:ascii="Times New Roman" w:eastAsia="맑은 고딕" w:hAnsi="Times New Roman" w:cs="Times New Roman"/>
                <w:noProof/>
                <w:lang w:val="fi-FI" w:eastAsia="ko-KR"/>
              </w:rPr>
            </w:pPr>
          </w:p>
        </w:tc>
        <w:tc>
          <w:tcPr>
            <w:tcW w:w="2500" w:type="pct"/>
          </w:tcPr>
          <w:p w14:paraId="1A6BE9DF" w14:textId="77777777" w:rsidR="00D84998" w:rsidRPr="00C35766" w:rsidRDefault="00D84998" w:rsidP="00BD232C">
            <w:pPr>
              <w:keepNext/>
              <w:keepLines/>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Norge</w:t>
            </w:r>
          </w:p>
          <w:p w14:paraId="38F7D0B7" w14:textId="77777777" w:rsidR="00D84998" w:rsidRPr="00C35766" w:rsidRDefault="00D84998" w:rsidP="00BD232C">
            <w:pPr>
              <w:keepNext/>
              <w:keepLine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60EBD42" w14:textId="77777777" w:rsidR="00D84998" w:rsidRPr="00C35766" w:rsidRDefault="00D84998" w:rsidP="00BD232C">
            <w:pPr>
              <w:keepNext/>
              <w:keepLines/>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p w14:paraId="4E7F54C2" w14:textId="77777777" w:rsidR="00D84998" w:rsidRPr="00C35766" w:rsidRDefault="00D84998" w:rsidP="00BD232C">
            <w:pPr>
              <w:keepNext/>
              <w:keepLines/>
              <w:tabs>
                <w:tab w:val="left" w:pos="-720"/>
              </w:tabs>
              <w:suppressAutoHyphens/>
              <w:rPr>
                <w:rFonts w:ascii="Times New Roman" w:eastAsia="맑은 고딕" w:hAnsi="Times New Roman" w:cs="Times New Roman"/>
                <w:noProof/>
                <w:lang w:eastAsia="ko-KR"/>
              </w:rPr>
            </w:pPr>
          </w:p>
        </w:tc>
      </w:tr>
      <w:tr w:rsidR="00D84998" w:rsidRPr="007B2F1E" w14:paraId="4E5C0BC4" w14:textId="77777777" w:rsidTr="00A96C58">
        <w:tc>
          <w:tcPr>
            <w:tcW w:w="2500" w:type="pct"/>
            <w:hideMark/>
          </w:tcPr>
          <w:p w14:paraId="0169E453" w14:textId="77777777" w:rsidR="00D84998" w:rsidRPr="00C35766" w:rsidRDefault="00D84998" w:rsidP="00A96C58">
            <w:pPr>
              <w:rPr>
                <w:rFonts w:ascii="Times New Roman" w:hAnsi="Times New Roman" w:cs="Times New Roman"/>
                <w:noProof/>
                <w:lang w:val="es-ES_tradnl" w:eastAsia="fr-FR"/>
              </w:rPr>
            </w:pPr>
            <w:r w:rsidRPr="00C35766">
              <w:rPr>
                <w:rFonts w:ascii="Times New Roman" w:hAnsi="Times New Roman" w:cs="Times New Roman"/>
                <w:b/>
                <w:noProof/>
                <w:lang w:val="es-ES_tradnl"/>
              </w:rPr>
              <w:t>España</w:t>
            </w:r>
          </w:p>
          <w:p w14:paraId="566904D0" w14:textId="77777777" w:rsidR="00D84998" w:rsidRPr="00C35766" w:rsidRDefault="00D84998" w:rsidP="00A96C58">
            <w:pPr>
              <w:rPr>
                <w:rFonts w:ascii="Times New Roman" w:eastAsia="맑은 고딕" w:hAnsi="Times New Roman" w:cs="Times New Roman"/>
                <w:noProof/>
                <w:lang w:val="es-ES_tradnl" w:eastAsia="fr-FR"/>
              </w:rPr>
            </w:pPr>
            <w:r w:rsidRPr="00C35766">
              <w:rPr>
                <w:rFonts w:ascii="Times New Roman" w:eastAsia="맑은 고딕" w:hAnsi="Times New Roman" w:cs="Times New Roman"/>
                <w:noProof/>
                <w:lang w:val="es-ES_tradnl" w:eastAsia="fr-FR"/>
              </w:rPr>
              <w:t>Kern Pharma, S.L.</w:t>
            </w:r>
          </w:p>
          <w:p w14:paraId="15EA9667"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+34 93 700 2525</w:t>
            </w:r>
          </w:p>
          <w:p w14:paraId="6398AF81" w14:textId="77777777" w:rsidR="00D84998" w:rsidRPr="00C35766" w:rsidRDefault="00D84998" w:rsidP="00A96C58">
            <w:pPr>
              <w:rPr>
                <w:rFonts w:ascii="Times New Roman" w:hAnsi="Times New Roman" w:cs="Times New Roman"/>
                <w:b/>
                <w:noProof/>
                <w:lang w:eastAsia="fr-FR"/>
              </w:rPr>
            </w:pPr>
          </w:p>
        </w:tc>
        <w:tc>
          <w:tcPr>
            <w:tcW w:w="2500" w:type="pct"/>
          </w:tcPr>
          <w:p w14:paraId="7391C9A4" w14:textId="77777777" w:rsidR="00D84998" w:rsidRPr="00C35766" w:rsidRDefault="00D84998" w:rsidP="00A96C58">
            <w:pPr>
              <w:rPr>
                <w:rFonts w:ascii="Times New Roman" w:hAnsi="Times New Roman" w:cs="Times New Roman"/>
                <w:noProof/>
                <w:lang w:val="de-DE" w:eastAsia="fr-FR"/>
              </w:rPr>
            </w:pPr>
            <w:r w:rsidRPr="00C35766">
              <w:rPr>
                <w:rFonts w:ascii="Times New Roman" w:hAnsi="Times New Roman" w:cs="Times New Roman"/>
                <w:b/>
                <w:noProof/>
                <w:lang w:val="de-DE"/>
              </w:rPr>
              <w:t>Österreich</w:t>
            </w:r>
          </w:p>
          <w:p w14:paraId="3AF19A5B" w14:textId="77777777" w:rsidR="00D84998" w:rsidRPr="00C35766" w:rsidRDefault="00D84998" w:rsidP="00A96C58">
            <w:pPr>
              <w:rPr>
                <w:rFonts w:ascii="Times New Roman" w:eastAsia="맑은 고딕" w:hAnsi="Times New Roman" w:cs="Times New Roman"/>
                <w:noProof/>
                <w:lang w:val="de-DE" w:eastAsia="ko-KR"/>
              </w:rPr>
            </w:pPr>
            <w:r w:rsidRPr="00C35766">
              <w:rPr>
                <w:rFonts w:ascii="Times New Roman" w:eastAsia="맑은 고딕" w:hAnsi="Times New Roman" w:cs="Times New Roman"/>
                <w:noProof/>
                <w:lang w:val="de-DE" w:eastAsia="fr-FR"/>
              </w:rPr>
              <w:t>Astro-Pharma GmbH</w:t>
            </w:r>
          </w:p>
          <w:p w14:paraId="61BB5F9C" w14:textId="77777777" w:rsidR="00D84998" w:rsidRPr="00C35766" w:rsidRDefault="00D84998" w:rsidP="00A96C58">
            <w:pPr>
              <w:tabs>
                <w:tab w:val="left" w:pos="-720"/>
              </w:tabs>
              <w:suppressAutoHyphens/>
              <w:rPr>
                <w:rFonts w:ascii="Times New Roman" w:eastAsia="맑은 고딕" w:hAnsi="Times New Roman" w:cs="Times New Roman"/>
                <w:noProof/>
                <w:lang w:val="de-DE" w:eastAsia="fr-FR"/>
              </w:rPr>
            </w:pPr>
            <w:r w:rsidRPr="00C35766">
              <w:rPr>
                <w:rFonts w:ascii="Times New Roman" w:eastAsia="맑은 고딕" w:hAnsi="Times New Roman" w:cs="Times New Roman"/>
                <w:noProof/>
                <w:lang w:val="de-DE" w:eastAsia="fr-FR"/>
              </w:rPr>
              <w:t>Tel: +43 1 97 99 860</w:t>
            </w:r>
          </w:p>
          <w:p w14:paraId="6C4FD99B" w14:textId="77777777" w:rsidR="00D84998" w:rsidRPr="00C35766" w:rsidRDefault="00D84998" w:rsidP="00A96C58">
            <w:pPr>
              <w:tabs>
                <w:tab w:val="left" w:pos="-720"/>
              </w:tabs>
              <w:suppressAutoHyphens/>
              <w:rPr>
                <w:rFonts w:ascii="Times New Roman" w:hAnsi="Times New Roman" w:cs="Times New Roman"/>
                <w:noProof/>
                <w:lang w:val="de-DE" w:eastAsia="fr-FR"/>
              </w:rPr>
            </w:pPr>
          </w:p>
        </w:tc>
      </w:tr>
      <w:tr w:rsidR="00D84998" w:rsidRPr="00C35766" w14:paraId="6A99D798" w14:textId="77777777" w:rsidTr="00A96C58">
        <w:tc>
          <w:tcPr>
            <w:tcW w:w="2500" w:type="pct"/>
          </w:tcPr>
          <w:p w14:paraId="3C3C2CCE" w14:textId="77777777" w:rsidR="00D84998" w:rsidRPr="00C35766" w:rsidRDefault="00D84998" w:rsidP="00A96C58">
            <w:pPr>
              <w:rPr>
                <w:rFonts w:ascii="Times New Roman" w:hAnsi="Times New Roman" w:cs="Times New Roman"/>
                <w:b/>
                <w:noProof/>
                <w:lang w:val="el-GR" w:eastAsia="fr-FR"/>
              </w:rPr>
            </w:pPr>
            <w:r w:rsidRPr="00C35766">
              <w:rPr>
                <w:rFonts w:ascii="Times New Roman" w:hAnsi="Times New Roman" w:cs="Times New Roman"/>
                <w:b/>
                <w:noProof/>
                <w:lang w:val="el-GR" w:eastAsia="fr-FR"/>
              </w:rPr>
              <w:t>Ελλάδα</w:t>
            </w:r>
          </w:p>
          <w:p w14:paraId="6B8FA311" w14:textId="77777777" w:rsidR="00D84998" w:rsidRPr="00C35766" w:rsidRDefault="00D84998" w:rsidP="00A96C58">
            <w:pPr>
              <w:rPr>
                <w:rFonts w:ascii="Times New Roman" w:hAnsi="Times New Roman" w:cs="Times New Roman"/>
                <w:noProof/>
                <w:lang w:val="el-GR" w:eastAsia="fr-FR"/>
              </w:rPr>
            </w:pPr>
            <w:r w:rsidRPr="00C35766">
              <w:rPr>
                <w:rFonts w:ascii="Times New Roman" w:hAnsi="Times New Roman" w:cs="Times New Roman"/>
                <w:noProof/>
                <w:lang w:val="el-GR" w:eastAsia="fr-FR"/>
              </w:rPr>
              <w:t>ΒΙΑΝΕΞ Α.Ε.</w:t>
            </w:r>
          </w:p>
          <w:p w14:paraId="006FA0EA" w14:textId="22D71492" w:rsidR="00D84998" w:rsidRPr="00C35766" w:rsidRDefault="00D84998" w:rsidP="00A96C58">
            <w:pPr>
              <w:rPr>
                <w:rFonts w:ascii="Times New Roman" w:hAnsi="Times New Roman" w:cs="Times New Roman"/>
                <w:noProof/>
                <w:lang w:val="el-GR" w:eastAsia="fr-FR"/>
              </w:rPr>
            </w:pPr>
            <w:r w:rsidRPr="00C35766">
              <w:rPr>
                <w:rFonts w:ascii="Times New Roman" w:hAnsi="Times New Roman" w:cs="Times New Roman"/>
                <w:noProof/>
                <w:lang w:val="el-GR" w:eastAsia="fr-FR"/>
              </w:rPr>
              <w:t>Τηλ: +30 210 8009111</w:t>
            </w:r>
          </w:p>
          <w:p w14:paraId="557CED79" w14:textId="77777777" w:rsidR="00D84998" w:rsidRPr="00C35766" w:rsidRDefault="00D84998" w:rsidP="00A96C58">
            <w:pPr>
              <w:rPr>
                <w:rFonts w:ascii="Times New Roman" w:eastAsia="맑은 고딕" w:hAnsi="Times New Roman" w:cs="Times New Roman"/>
                <w:noProof/>
                <w:lang w:val="el-GR" w:eastAsia="fr-FR"/>
              </w:rPr>
            </w:pPr>
          </w:p>
        </w:tc>
        <w:tc>
          <w:tcPr>
            <w:tcW w:w="2500" w:type="pct"/>
          </w:tcPr>
          <w:p w14:paraId="34AF2B34" w14:textId="77777777" w:rsidR="00D84998" w:rsidRPr="00C35766" w:rsidRDefault="00D84998" w:rsidP="00A96C58">
            <w:pPr>
              <w:rPr>
                <w:rFonts w:ascii="Times New Roman" w:eastAsia="맑은 고딕" w:hAnsi="Times New Roman" w:cs="Times New Roman"/>
                <w:b/>
                <w:noProof/>
                <w:lang w:val="pl-PL" w:eastAsia="fr-FR"/>
              </w:rPr>
            </w:pPr>
            <w:r w:rsidRPr="00C35766">
              <w:rPr>
                <w:rFonts w:ascii="Times New Roman" w:eastAsia="맑은 고딕" w:hAnsi="Times New Roman" w:cs="Times New Roman"/>
                <w:b/>
                <w:noProof/>
                <w:lang w:val="pl-PL" w:eastAsia="fr-FR"/>
              </w:rPr>
              <w:t>Polska</w:t>
            </w:r>
          </w:p>
          <w:p w14:paraId="3ECBAD65"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C32F97C" w14:textId="5AF9523C" w:rsidR="00D84998" w:rsidRPr="00C35766" w:rsidRDefault="00BC6B5C" w:rsidP="00A96C58">
            <w:pPr>
              <w:rPr>
                <w:rFonts w:ascii="Times New Roman" w:hAnsi="Times New Roman" w:cs="Times New Roman"/>
                <w:b/>
                <w:noProof/>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r>
      <w:tr w:rsidR="00D84998" w:rsidRPr="002A37A2" w14:paraId="5328B09E" w14:textId="77777777" w:rsidTr="00A96C58">
        <w:tc>
          <w:tcPr>
            <w:tcW w:w="2500" w:type="pct"/>
          </w:tcPr>
          <w:p w14:paraId="2AF0E259" w14:textId="77777777" w:rsidR="00D84998" w:rsidRPr="00C35766" w:rsidRDefault="00D84998" w:rsidP="00A96C58">
            <w:pPr>
              <w:rPr>
                <w:rFonts w:ascii="Times New Roman" w:hAnsi="Times New Roman" w:cs="Times New Roman"/>
                <w:b/>
                <w:noProof/>
                <w:lang w:eastAsia="ko-KR"/>
              </w:rPr>
            </w:pPr>
            <w:r w:rsidRPr="00C35766">
              <w:rPr>
                <w:rFonts w:ascii="Times New Roman" w:hAnsi="Times New Roman" w:cs="Times New Roman"/>
                <w:b/>
                <w:noProof/>
                <w:lang w:eastAsia="ko-KR"/>
              </w:rPr>
              <w:t>France</w:t>
            </w:r>
          </w:p>
          <w:p w14:paraId="76283B08" w14:textId="2725C718" w:rsidR="00D84998" w:rsidRPr="00C35766" w:rsidRDefault="00B5072D" w:rsidP="00A96C58">
            <w:pPr>
              <w:rPr>
                <w:rFonts w:ascii="Times New Roman" w:hAnsi="Times New Roman" w:cs="Times New Roman"/>
                <w:noProof/>
                <w:lang w:eastAsia="ko-KR"/>
              </w:rPr>
            </w:pPr>
            <w:r w:rsidRPr="00B5072D">
              <w:rPr>
                <w:rFonts w:ascii="Times New Roman" w:hAnsi="Times New Roman" w:cs="Times New Roman"/>
                <w:noProof/>
                <w:lang w:eastAsia="ko-KR"/>
              </w:rPr>
              <w:t>Celltrion Healthcare France SAS</w:t>
            </w:r>
          </w:p>
          <w:p w14:paraId="006DA5C9" w14:textId="77777777" w:rsidR="00D84998" w:rsidRPr="00C35766" w:rsidRDefault="00D84998" w:rsidP="00A96C58">
            <w:pPr>
              <w:rPr>
                <w:rFonts w:ascii="Times New Roman" w:eastAsia="맑은 고딕" w:hAnsi="Times New Roman" w:cs="Times New Roman"/>
                <w:noProof/>
                <w:lang w:eastAsia="ko-KR"/>
              </w:rPr>
            </w:pPr>
            <w:r w:rsidRPr="00C35766">
              <w:rPr>
                <w:rFonts w:ascii="Times New Roman" w:hAnsi="Times New Roman" w:cs="Times New Roman"/>
                <w:noProof/>
                <w:lang w:eastAsia="ko-KR"/>
              </w:rPr>
              <w:t>T</w:t>
            </w:r>
            <w:r w:rsidRPr="00C35766">
              <w:rPr>
                <w:rFonts w:ascii="Times New Roman" w:hAnsi="Times New Roman" w:cs="Times New Roman"/>
              </w:rPr>
              <w:t>é</w:t>
            </w:r>
            <w:r w:rsidRPr="00C35766">
              <w:rPr>
                <w:rFonts w:ascii="Times New Roman" w:hAnsi="Times New Roman" w:cs="Times New Roman"/>
                <w:noProof/>
                <w:lang w:eastAsia="ko-KR"/>
              </w:rPr>
              <w:t>l.: +33 (0)1 71 25 27 00</w:t>
            </w:r>
          </w:p>
          <w:p w14:paraId="097DB783"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1F1B85CA" w14:textId="77777777" w:rsidR="00B71A1B" w:rsidRPr="002F72A3" w:rsidRDefault="00B71A1B" w:rsidP="00B71A1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7DE869A0" w14:textId="6C996E9F" w:rsidR="00B71A1B" w:rsidRDefault="00B71A1B" w:rsidP="00B71A1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82917C2" w14:textId="5535C924" w:rsidR="00B71A1B" w:rsidRPr="00BD232C" w:rsidRDefault="00B71A1B" w:rsidP="00B71A1B">
            <w:pPr>
              <w:rPr>
                <w:rFonts w:ascii="Times New Roman" w:eastAsia="맑은 고딕" w:hAnsi="Times New Roman" w:cs="Times New Roman"/>
                <w:noProof/>
                <w:lang w:val="fr-CA" w:eastAsia="fr-FR"/>
              </w:rPr>
            </w:pPr>
            <w:r w:rsidRPr="00BD232C">
              <w:rPr>
                <w:rFonts w:ascii="Times New Roman" w:eastAsia="맑은 고딕" w:hAnsi="Times New Roman" w:cs="Times New Roman"/>
                <w:noProof/>
                <w:lang w:val="fr-CA" w:eastAsia="fr-FR"/>
              </w:rPr>
              <w:t>Tel: +351 21 936 8542</w:t>
            </w:r>
          </w:p>
          <w:p w14:paraId="0BBC557F" w14:textId="77777777" w:rsidR="00D84998" w:rsidRPr="00BD232C" w:rsidRDefault="00D84998" w:rsidP="00A96C58">
            <w:pPr>
              <w:rPr>
                <w:rFonts w:ascii="Times New Roman" w:hAnsi="Times New Roman" w:cs="Times New Roman"/>
                <w:b/>
                <w:noProof/>
                <w:lang w:val="fr-CA"/>
              </w:rPr>
            </w:pPr>
          </w:p>
        </w:tc>
      </w:tr>
      <w:tr w:rsidR="00D84998" w:rsidRPr="00C35766" w14:paraId="71AD486B" w14:textId="77777777" w:rsidTr="00A96C58">
        <w:tc>
          <w:tcPr>
            <w:tcW w:w="2500" w:type="pct"/>
          </w:tcPr>
          <w:p w14:paraId="5B0C822D" w14:textId="77777777" w:rsidR="00D84998" w:rsidRPr="00C35766" w:rsidRDefault="00D84998" w:rsidP="00A96C58">
            <w:pPr>
              <w:rPr>
                <w:rFonts w:ascii="Times New Roman" w:hAnsi="Times New Roman" w:cs="Times New Roman"/>
                <w:b/>
                <w:noProof/>
                <w:lang w:val="de-CH" w:eastAsia="ko-KR"/>
              </w:rPr>
            </w:pPr>
            <w:r w:rsidRPr="00C35766">
              <w:rPr>
                <w:rFonts w:ascii="Times New Roman" w:hAnsi="Times New Roman" w:cs="Times New Roman"/>
                <w:b/>
                <w:noProof/>
                <w:lang w:val="de-CH" w:eastAsia="ko-KR"/>
              </w:rPr>
              <w:t>Hrvatska</w:t>
            </w:r>
          </w:p>
          <w:p w14:paraId="09EADDF4" w14:textId="77777777" w:rsidR="00D84998" w:rsidRPr="00C35766" w:rsidRDefault="00D84998" w:rsidP="00A96C58">
            <w:pPr>
              <w:rPr>
                <w:rFonts w:ascii="Times New Roman" w:hAnsi="Times New Roman" w:cs="Times New Roman"/>
                <w:noProof/>
                <w:lang w:val="de-CH" w:eastAsia="ko-KR"/>
              </w:rPr>
            </w:pPr>
            <w:r w:rsidRPr="00C35766">
              <w:rPr>
                <w:rFonts w:ascii="Times New Roman" w:hAnsi="Times New Roman" w:cs="Times New Roman"/>
                <w:noProof/>
                <w:lang w:val="de-CH" w:eastAsia="ko-KR"/>
              </w:rPr>
              <w:t>Oktal Pharma d.o.o.</w:t>
            </w:r>
          </w:p>
          <w:p w14:paraId="125198CF" w14:textId="77777777" w:rsidR="00D84998" w:rsidRPr="00C35766" w:rsidRDefault="00D84998" w:rsidP="00A96C58">
            <w:pPr>
              <w:rPr>
                <w:rFonts w:ascii="Times New Roman" w:hAnsi="Times New Roman" w:cs="Times New Roman"/>
                <w:noProof/>
                <w:lang w:eastAsia="ko-KR"/>
              </w:rPr>
            </w:pPr>
            <w:r w:rsidRPr="00C35766">
              <w:rPr>
                <w:rFonts w:ascii="Times New Roman" w:hAnsi="Times New Roman" w:cs="Times New Roman"/>
                <w:noProof/>
                <w:lang w:eastAsia="ko-KR"/>
              </w:rPr>
              <w:t>Tel: +385 1 6595 777</w:t>
            </w:r>
          </w:p>
          <w:p w14:paraId="5F5FF565"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7F56065E" w14:textId="77777777" w:rsidR="00D84998" w:rsidRPr="00C35766" w:rsidRDefault="00D84998" w:rsidP="00A96C58">
            <w:pPr>
              <w:tabs>
                <w:tab w:val="left" w:pos="-720"/>
              </w:tabs>
              <w:suppressAutoHyphens/>
              <w:rPr>
                <w:rFonts w:ascii="Times New Roman" w:eastAsia="맑은 고딕" w:hAnsi="Times New Roman" w:cs="Times New Roman"/>
                <w:b/>
                <w:noProof/>
                <w:lang w:eastAsia="fr-FR"/>
              </w:rPr>
            </w:pPr>
            <w:r w:rsidRPr="00C35766">
              <w:rPr>
                <w:rFonts w:ascii="Times New Roman" w:hAnsi="Times New Roman" w:cs="Times New Roman"/>
                <w:b/>
                <w:noProof/>
              </w:rPr>
              <w:t>România</w:t>
            </w:r>
          </w:p>
          <w:p w14:paraId="257C07DB"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D32672E" w14:textId="33471423" w:rsidR="00D84998" w:rsidRPr="00C35766" w:rsidRDefault="00BC6B5C" w:rsidP="00A96C58">
            <w:pPr>
              <w:rPr>
                <w:rFonts w:ascii="Times New Roman" w:hAnsi="Times New Roman" w:cs="Times New Roman"/>
                <w:b/>
                <w:noProof/>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r>
      <w:tr w:rsidR="00D84998" w:rsidRPr="00C35766" w14:paraId="1C9EB344" w14:textId="77777777" w:rsidTr="00A96C58">
        <w:tc>
          <w:tcPr>
            <w:tcW w:w="2500" w:type="pct"/>
          </w:tcPr>
          <w:p w14:paraId="1FC0229D" w14:textId="77777777" w:rsidR="00D84998" w:rsidRPr="00C35766" w:rsidRDefault="00D84998" w:rsidP="00A96C58">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Ireland</w:t>
            </w:r>
          </w:p>
          <w:p w14:paraId="28FCB0B0"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Ireland Limited</w:t>
            </w:r>
          </w:p>
          <w:p w14:paraId="011306A4"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+353 1 223 4026</w:t>
            </w:r>
          </w:p>
          <w:p w14:paraId="51F2659E"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5B314666" w14:textId="77777777" w:rsidR="00D84998" w:rsidRPr="00C35766" w:rsidRDefault="00D84998" w:rsidP="00A96C58">
            <w:pPr>
              <w:rPr>
                <w:rFonts w:ascii="Times New Roman" w:eastAsia="맑은 고딕" w:hAnsi="Times New Roman" w:cs="Times New Roman"/>
                <w:b/>
                <w:noProof/>
                <w:lang w:val="it-IT" w:eastAsia="fr-FR"/>
              </w:rPr>
            </w:pPr>
            <w:r w:rsidRPr="00C35766">
              <w:rPr>
                <w:rFonts w:ascii="Times New Roman" w:eastAsia="맑은 고딕" w:hAnsi="Times New Roman" w:cs="Times New Roman"/>
                <w:b/>
                <w:noProof/>
                <w:lang w:val="it-IT" w:eastAsia="fr-FR"/>
              </w:rPr>
              <w:t>Slovenija</w:t>
            </w:r>
          </w:p>
          <w:p w14:paraId="0C66A0DB" w14:textId="77777777" w:rsidR="00D84998" w:rsidRPr="00C35766" w:rsidRDefault="00D84998" w:rsidP="00A96C58">
            <w:pPr>
              <w:rPr>
                <w:rFonts w:ascii="Times New Roman" w:eastAsia="맑은 고딕" w:hAnsi="Times New Roman" w:cs="Times New Roman"/>
                <w:noProof/>
                <w:lang w:val="it-IT" w:eastAsia="fr-FR"/>
              </w:rPr>
            </w:pPr>
            <w:r w:rsidRPr="00C35766">
              <w:rPr>
                <w:rFonts w:ascii="Times New Roman" w:eastAsia="맑은 고딕" w:hAnsi="Times New Roman" w:cs="Times New Roman"/>
                <w:noProof/>
                <w:lang w:val="it-IT" w:eastAsia="fr-FR"/>
              </w:rPr>
              <w:t>OPH Oktal Pharma d.o.o.</w:t>
            </w:r>
          </w:p>
          <w:p w14:paraId="5835B751"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+386 1 519 29 22</w:t>
            </w:r>
          </w:p>
          <w:p w14:paraId="1FC67C63" w14:textId="77777777" w:rsidR="00D84998" w:rsidRPr="00C35766" w:rsidRDefault="00D84998" w:rsidP="00A96C58">
            <w:pPr>
              <w:rPr>
                <w:rFonts w:ascii="Times New Roman" w:hAnsi="Times New Roman" w:cs="Times New Roman"/>
                <w:b/>
                <w:noProof/>
              </w:rPr>
            </w:pPr>
          </w:p>
        </w:tc>
      </w:tr>
      <w:tr w:rsidR="00D84998" w:rsidRPr="00C35766" w14:paraId="3F945C07" w14:textId="77777777" w:rsidTr="00A96C58">
        <w:tc>
          <w:tcPr>
            <w:tcW w:w="2500" w:type="pct"/>
          </w:tcPr>
          <w:p w14:paraId="0F4FEE41"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b/>
                <w:noProof/>
                <w:lang w:eastAsia="fr-FR"/>
              </w:rPr>
              <w:t>Ísland</w:t>
            </w:r>
          </w:p>
          <w:p w14:paraId="0873F016"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2CE1F82"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Sími: +36 1 231 0493</w:t>
            </w:r>
          </w:p>
        </w:tc>
        <w:tc>
          <w:tcPr>
            <w:tcW w:w="2500" w:type="pct"/>
          </w:tcPr>
          <w:p w14:paraId="189B9BD1" w14:textId="77777777"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noProof/>
              </w:rPr>
              <w:t>Slovenská republika</w:t>
            </w:r>
          </w:p>
          <w:p w14:paraId="773B29D4"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0412ED8" w14:textId="45314F4A" w:rsidR="00BC6B5C" w:rsidRPr="00C35766" w:rsidRDefault="00BC6B5C" w:rsidP="00F35EB0">
            <w:pPr>
              <w:rPr>
                <w:rFonts w:ascii="Times New Roman" w:eastAsia="맑은 고딕" w:hAnsi="Times New Roman" w:cs="Times New Roman"/>
                <w:b/>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26EF2613" w14:textId="77777777" w:rsidR="00D84998" w:rsidRPr="00C35766" w:rsidRDefault="00D84998" w:rsidP="00A96C58">
            <w:pPr>
              <w:rPr>
                <w:rFonts w:ascii="Times New Roman" w:eastAsia="맑은 고딕" w:hAnsi="Times New Roman" w:cs="Times New Roman"/>
                <w:b/>
                <w:noProof/>
                <w:lang w:eastAsia="fr-FR"/>
              </w:rPr>
            </w:pPr>
          </w:p>
        </w:tc>
      </w:tr>
      <w:tr w:rsidR="00D84998" w:rsidRPr="00C35766" w14:paraId="164D0A64" w14:textId="77777777" w:rsidTr="00A96C58">
        <w:tc>
          <w:tcPr>
            <w:tcW w:w="2500" w:type="pct"/>
          </w:tcPr>
          <w:p w14:paraId="399B4A11"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Italia</w:t>
            </w:r>
          </w:p>
          <w:p w14:paraId="157539A2" w14:textId="7599E24C"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Italy S.</w:t>
            </w:r>
            <w:r w:rsidR="00B5072D">
              <w:rPr>
                <w:rFonts w:ascii="Times New Roman" w:eastAsia="맑은 고딕" w:hAnsi="Times New Roman" w:cs="Times New Roman"/>
                <w:noProof/>
                <w:lang w:eastAsia="fr-FR"/>
              </w:rPr>
              <w:t>r</w:t>
            </w:r>
            <w:r w:rsidRPr="00C35766">
              <w:rPr>
                <w:rFonts w:ascii="Times New Roman" w:eastAsia="맑은 고딕" w:hAnsi="Times New Roman" w:cs="Times New Roman"/>
                <w:noProof/>
                <w:lang w:eastAsia="fr-FR"/>
              </w:rPr>
              <w:t>.</w:t>
            </w:r>
            <w:r w:rsidR="00B5072D">
              <w:rPr>
                <w:rFonts w:ascii="Times New Roman" w:eastAsia="맑은 고딕" w:hAnsi="Times New Roman" w:cs="Times New Roman"/>
                <w:noProof/>
                <w:lang w:eastAsia="fr-FR"/>
              </w:rPr>
              <w:t>l</w:t>
            </w:r>
            <w:r w:rsidRPr="00C35766">
              <w:rPr>
                <w:rFonts w:ascii="Times New Roman" w:eastAsia="맑은 고딕" w:hAnsi="Times New Roman" w:cs="Times New Roman"/>
                <w:noProof/>
                <w:lang w:eastAsia="fr-FR"/>
              </w:rPr>
              <w:t>.</w:t>
            </w:r>
          </w:p>
          <w:p w14:paraId="4D30ABF4" w14:textId="7978F62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+39 </w:t>
            </w:r>
            <w:r w:rsidR="00B5072D" w:rsidRPr="00B5072D">
              <w:rPr>
                <w:rFonts w:ascii="Times New Roman" w:eastAsia="맑은 고딕" w:hAnsi="Times New Roman" w:cs="Times New Roman"/>
                <w:noProof/>
                <w:lang w:eastAsia="fr-FR"/>
              </w:rPr>
              <w:t>02</w:t>
            </w:r>
            <w:r w:rsidR="00471BD2">
              <w:rPr>
                <w:rFonts w:ascii="Times New Roman" w:eastAsia="맑은 고딕" w:hAnsi="Times New Roman" w:cs="Times New Roman"/>
                <w:noProof/>
                <w:lang w:eastAsia="fr-FR"/>
              </w:rPr>
              <w:t xml:space="preserve"> </w:t>
            </w:r>
            <w:r w:rsidR="00B5072D" w:rsidRPr="00B5072D">
              <w:rPr>
                <w:rFonts w:ascii="Times New Roman" w:eastAsia="맑은 고딕" w:hAnsi="Times New Roman" w:cs="Times New Roman"/>
                <w:noProof/>
                <w:lang w:eastAsia="fr-FR"/>
              </w:rPr>
              <w:t>47927040</w:t>
            </w:r>
          </w:p>
          <w:p w14:paraId="5F41A101"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73CA9CBF"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Suomi/Finland</w:t>
            </w:r>
          </w:p>
          <w:p w14:paraId="423811A8" w14:textId="77777777" w:rsidR="00471BD2" w:rsidRDefault="00471BD2" w:rsidP="00471BD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Finland Oy. </w:t>
            </w:r>
          </w:p>
          <w:p w14:paraId="595112DA" w14:textId="30A3BA4A" w:rsidR="00D84998" w:rsidRPr="00471BD2" w:rsidRDefault="00471BD2" w:rsidP="00A96C58">
            <w:pPr>
              <w:autoSpaceDE w:val="0"/>
              <w:autoSpaceDN w:val="0"/>
              <w:adjustRightInd w:val="0"/>
              <w:rPr>
                <w:rFonts w:ascii="Times New Roman" w:eastAsia="맑은 고딕" w:hAnsi="Times New Roman" w:cs="Times New Roman"/>
                <w:noProof/>
                <w:lang w:val="sv-SE" w:eastAsia="ko-KR"/>
              </w:rPr>
            </w:pPr>
            <w:r>
              <w:rPr>
                <w:rFonts w:ascii="Times New Roman" w:eastAsia="맑은 고딕" w:hAnsi="Times New Roman" w:cs="Times New Roman"/>
                <w:noProof/>
                <w:lang w:eastAsia="fr-FR"/>
              </w:rPr>
              <w:t>Puh/Tel: +358 29 170 7755</w:t>
            </w:r>
          </w:p>
        </w:tc>
      </w:tr>
      <w:tr w:rsidR="00B71A1B" w:rsidRPr="00C35766" w14:paraId="62A69299" w14:textId="77777777" w:rsidTr="00A96C58">
        <w:tc>
          <w:tcPr>
            <w:tcW w:w="2500" w:type="pct"/>
          </w:tcPr>
          <w:p w14:paraId="249465F6" w14:textId="77777777" w:rsidR="00B71A1B" w:rsidRPr="00C35766" w:rsidRDefault="00B71A1B" w:rsidP="00B71A1B">
            <w:pPr>
              <w:tabs>
                <w:tab w:val="left" w:pos="-720"/>
              </w:tabs>
              <w:suppressAutoHyphens/>
              <w:rPr>
                <w:rFonts w:ascii="Times New Roman" w:hAnsi="Times New Roman" w:cs="Times New Roman"/>
                <w:b/>
                <w:bCs/>
                <w:noProof/>
                <w:lang w:eastAsia="fr-FR"/>
              </w:rPr>
            </w:pPr>
            <w:r w:rsidRPr="00C35766">
              <w:rPr>
                <w:rFonts w:ascii="Times New Roman" w:hAnsi="Times New Roman" w:cs="Times New Roman"/>
                <w:b/>
                <w:noProof/>
              </w:rPr>
              <w:t>Κύπρος</w:t>
            </w:r>
          </w:p>
          <w:p w14:paraId="6C185AB7" w14:textId="77777777" w:rsidR="00B71A1B" w:rsidRPr="00C35766" w:rsidRDefault="00B71A1B" w:rsidP="00B71A1B">
            <w:pPr>
              <w:tabs>
                <w:tab w:val="left" w:pos="-720"/>
              </w:tabs>
              <w:suppressAutoHyphen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C.A. Papaellinas Ltd</w:t>
            </w:r>
          </w:p>
          <w:p w14:paraId="7D5D2233"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hAnsi="Times New Roman" w:cs="Times New Roman"/>
                <w:noProof/>
              </w:rPr>
              <w:t xml:space="preserve">Τηλ: </w:t>
            </w:r>
            <w:r w:rsidRPr="00C35766">
              <w:rPr>
                <w:rFonts w:ascii="Times New Roman" w:eastAsia="맑은 고딕" w:hAnsi="Times New Roman" w:cs="Times New Roman"/>
                <w:noProof/>
                <w:lang w:eastAsia="fr-FR"/>
              </w:rPr>
              <w:t>+357 22741741</w:t>
            </w:r>
          </w:p>
          <w:p w14:paraId="78F60B51" w14:textId="77777777" w:rsidR="00B71A1B" w:rsidRPr="00C35766" w:rsidRDefault="00B71A1B" w:rsidP="00B71A1B">
            <w:pPr>
              <w:autoSpaceDE w:val="0"/>
              <w:autoSpaceDN w:val="0"/>
              <w:adjustRightInd w:val="0"/>
              <w:rPr>
                <w:rFonts w:ascii="Times New Roman" w:eastAsia="맑은 고딕" w:hAnsi="Times New Roman" w:cs="Times New Roman"/>
                <w:b/>
                <w:noProof/>
                <w:lang w:eastAsia="fr-FR"/>
              </w:rPr>
            </w:pPr>
          </w:p>
        </w:tc>
        <w:tc>
          <w:tcPr>
            <w:tcW w:w="2500" w:type="pct"/>
          </w:tcPr>
          <w:p w14:paraId="5129C267" w14:textId="77777777" w:rsidR="00B71A1B" w:rsidRPr="00D86615" w:rsidRDefault="00B71A1B" w:rsidP="00B71A1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68F261B" w14:textId="386DEE03" w:rsidR="00B71A1B" w:rsidRPr="002A7E72" w:rsidRDefault="00B71A1B" w:rsidP="00B71A1B">
            <w:pPr>
              <w:tabs>
                <w:tab w:val="left" w:pos="-720"/>
              </w:tabs>
              <w:suppressAutoHyphens/>
              <w:rPr>
                <w:rFonts w:ascii="Times New Roman" w:eastAsia="맑은 고딕" w:hAnsi="Times New Roman" w:cs="Times New Roman"/>
                <w:noProof/>
                <w:lang w:eastAsia="ko-KR"/>
              </w:rPr>
            </w:pPr>
            <w:r w:rsidRPr="002A7E72">
              <w:rPr>
                <w:rFonts w:ascii="Times New Roman" w:eastAsia="맑은 고딕" w:hAnsi="Times New Roman" w:cs="Times New Roman"/>
                <w:noProof/>
                <w:lang w:eastAsia="ko-KR"/>
              </w:rPr>
              <w:t>Celltrion Sweden AB</w:t>
            </w:r>
          </w:p>
          <w:p w14:paraId="6CB5D91C" w14:textId="77777777" w:rsidR="00B71A1B" w:rsidRPr="002A7E72" w:rsidRDefault="00B71A1B" w:rsidP="00B71A1B">
            <w:pPr>
              <w:tabs>
                <w:tab w:val="left" w:pos="-720"/>
              </w:tabs>
              <w:suppressAutoHyphens/>
              <w:rPr>
                <w:rFonts w:ascii="Times New Roman" w:eastAsia="맑은 고딕" w:hAnsi="Times New Roman" w:cs="Times New Roman"/>
                <w:bCs/>
                <w:noProof/>
                <w:u w:val="single"/>
                <w:lang w:eastAsia="ko-KR"/>
              </w:rPr>
            </w:pPr>
            <w:hyperlink r:id="rId34" w:history="1">
              <w:r w:rsidRPr="002A7E72">
                <w:rPr>
                  <w:rStyle w:val="ad"/>
                  <w:rFonts w:ascii="Times New Roman" w:eastAsia="맑은 고딕" w:hAnsi="Times New Roman" w:cs="Times New Roman"/>
                  <w:noProof/>
                  <w:lang w:eastAsia="ko-KR"/>
                </w:rPr>
                <w:t>contact_se@celltrionhc.com</w:t>
              </w:r>
            </w:hyperlink>
          </w:p>
          <w:p w14:paraId="327C3914" w14:textId="3CACEDC0"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r w:rsidR="00B71A1B" w:rsidRPr="00C35766" w14:paraId="46051646" w14:textId="77777777" w:rsidTr="00A96C58">
        <w:tc>
          <w:tcPr>
            <w:tcW w:w="2500" w:type="pct"/>
          </w:tcPr>
          <w:p w14:paraId="2B52EBB9" w14:textId="77777777" w:rsidR="00B71A1B" w:rsidRPr="00C35766" w:rsidRDefault="00B71A1B" w:rsidP="00B71A1B">
            <w:pPr>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Latvija</w:t>
            </w:r>
          </w:p>
          <w:p w14:paraId="48AFB203" w14:textId="77777777" w:rsidR="00B71A1B" w:rsidRPr="00C35766" w:rsidRDefault="00B71A1B" w:rsidP="00B71A1B">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40DA9E2" w14:textId="20270D70"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eastAsia="맑은 고딕" w:hAnsi="Times New Roman" w:cs="Times New Roman"/>
                <w:noProof/>
                <w:lang w:eastAsia="fr-FR"/>
              </w:rPr>
              <w:t>Tālr.: +36 1 231 0493</w:t>
            </w:r>
          </w:p>
        </w:tc>
        <w:tc>
          <w:tcPr>
            <w:tcW w:w="2500" w:type="pct"/>
          </w:tcPr>
          <w:p w14:paraId="62DCA725" w14:textId="77777777"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bl>
    <w:p w14:paraId="4C34617B" w14:textId="77777777" w:rsidR="00953B2E" w:rsidRPr="00C35766" w:rsidRDefault="00953B2E">
      <w:pPr>
        <w:numPr>
          <w:ilvl w:val="12"/>
          <w:numId w:val="0"/>
        </w:numPr>
        <w:rPr>
          <w:rFonts w:ascii="Times New Roman" w:hAnsi="Times New Roman" w:cs="Times New Roman"/>
          <w:b/>
          <w:noProof/>
        </w:rPr>
      </w:pPr>
    </w:p>
    <w:p w14:paraId="108C94A9" w14:textId="77777777" w:rsidR="00953B2E" w:rsidRPr="00C35766" w:rsidRDefault="00953B2E">
      <w:pPr>
        <w:numPr>
          <w:ilvl w:val="12"/>
          <w:numId w:val="0"/>
        </w:numPr>
        <w:rPr>
          <w:rFonts w:ascii="Times New Roman" w:hAnsi="Times New Roman" w:cs="Times New Roman"/>
          <w:b/>
          <w:noProof/>
        </w:rPr>
      </w:pPr>
    </w:p>
    <w:p w14:paraId="7C2FDD39" w14:textId="77777777" w:rsidR="00953B2E" w:rsidRPr="00C35766" w:rsidRDefault="005F0C19">
      <w:pPr>
        <w:numPr>
          <w:ilvl w:val="12"/>
          <w:numId w:val="0"/>
        </w:numPr>
        <w:rPr>
          <w:rFonts w:ascii="Times New Roman" w:eastAsia="맑은 고딕" w:hAnsi="Times New Roman" w:cs="Times New Roman"/>
          <w:noProof/>
          <w:lang w:val="pt-BR" w:eastAsia="ko-KR"/>
        </w:rPr>
      </w:pPr>
      <w:r w:rsidRPr="00C35766">
        <w:rPr>
          <w:rFonts w:ascii="Times New Roman" w:eastAsia="Times New Roman" w:hAnsi="Times New Roman" w:cs="Times New Roman"/>
          <w:b/>
          <w:bCs/>
          <w:noProof/>
          <w:lang w:val="it-IT"/>
        </w:rPr>
        <w:t xml:space="preserve">Questo foglio illustrativo è stato aggiornato il </w:t>
      </w:r>
      <w:r w:rsidRPr="00C35766">
        <w:rPr>
          <w:rFonts w:ascii="Times New Roman" w:eastAsia="Times New Roman" w:hAnsi="Times New Roman" w:cs="Times New Roman"/>
          <w:noProof/>
          <w:lang w:val="it-IT"/>
        </w:rPr>
        <w:t>.</w:t>
      </w:r>
    </w:p>
    <w:p w14:paraId="5346DEFF" w14:textId="77777777" w:rsidR="00953B2E" w:rsidRPr="00C35766" w:rsidRDefault="00953B2E">
      <w:pPr>
        <w:numPr>
          <w:ilvl w:val="12"/>
          <w:numId w:val="0"/>
        </w:numPr>
        <w:rPr>
          <w:rFonts w:ascii="Times New Roman" w:hAnsi="Times New Roman" w:cs="Times New Roman"/>
          <w:noProof/>
          <w:lang w:val="pt-BR"/>
        </w:rPr>
      </w:pPr>
    </w:p>
    <w:p w14:paraId="60E5D040" w14:textId="77777777" w:rsidR="00953B2E" w:rsidRPr="00C35766" w:rsidRDefault="005F0C19">
      <w:pPr>
        <w:numPr>
          <w:ilvl w:val="12"/>
          <w:numId w:val="0"/>
        </w:numPr>
        <w:rPr>
          <w:rFonts w:ascii="Times New Roman" w:hAnsi="Times New Roman" w:cs="Times New Roman"/>
          <w:b/>
          <w:noProof/>
          <w:lang w:val="pt-BR"/>
        </w:rPr>
      </w:pPr>
      <w:r w:rsidRPr="00C35766">
        <w:rPr>
          <w:rFonts w:ascii="Times New Roman" w:eastAsia="Times New Roman" w:hAnsi="Times New Roman" w:cs="Times New Roman"/>
          <w:b/>
          <w:bCs/>
          <w:noProof/>
          <w:lang w:val="it-IT"/>
        </w:rPr>
        <w:t>Altre fonti d’informazioni</w:t>
      </w:r>
    </w:p>
    <w:p w14:paraId="6B730B80" w14:textId="77777777" w:rsidR="00953B2E" w:rsidRPr="00C35766" w:rsidRDefault="00953B2E">
      <w:pPr>
        <w:pStyle w:val="a3"/>
        <w:rPr>
          <w:lang w:val="pt-BR"/>
        </w:rPr>
      </w:pPr>
    </w:p>
    <w:p w14:paraId="378D2F0D" w14:textId="77777777" w:rsidR="00953B2E" w:rsidRPr="00C35766" w:rsidRDefault="005F0C19">
      <w:pPr>
        <w:numPr>
          <w:ilvl w:val="12"/>
          <w:numId w:val="0"/>
        </w:numPr>
        <w:rPr>
          <w:rFonts w:ascii="Times New Roman" w:eastAsia="Times New Roman" w:hAnsi="Times New Roman" w:cs="Times New Roman"/>
          <w:color w:val="0000FF"/>
          <w:u w:val="single"/>
          <w:lang w:val="it-IT"/>
        </w:rPr>
      </w:pPr>
      <w:r w:rsidRPr="00C35766">
        <w:rPr>
          <w:rFonts w:ascii="Times New Roman" w:eastAsia="Times New Roman" w:hAnsi="Times New Roman" w:cs="Times New Roman"/>
          <w:lang w:val="it-IT"/>
        </w:rPr>
        <w:t xml:space="preserve">Informazioni più dettagliate su questo medicinale sono disponibili sul sito web dell’Agenzia europea per i medicinali, </w:t>
      </w:r>
      <w:hyperlink r:id="rId35" w:history="1">
        <w:r w:rsidR="00D84998" w:rsidRPr="00C35766">
          <w:rPr>
            <w:rStyle w:val="ad"/>
            <w:rFonts w:ascii="Times New Roman" w:eastAsia="Times New Roman" w:hAnsi="Times New Roman" w:cs="Times New Roman"/>
            <w:lang w:val="it-IT"/>
          </w:rPr>
          <w:t>http://www.ema.europa.eu</w:t>
        </w:r>
      </w:hyperlink>
    </w:p>
    <w:p w14:paraId="3E52E1CF" w14:textId="77777777" w:rsidR="00953B2E" w:rsidRPr="00C35766" w:rsidRDefault="00953B2E">
      <w:pPr>
        <w:spacing w:line="200" w:lineRule="exact"/>
        <w:rPr>
          <w:rFonts w:ascii="Times New Roman" w:hAnsi="Times New Roman" w:cs="Times New Roman"/>
          <w:b/>
          <w:sz w:val="20"/>
          <w:szCs w:val="20"/>
          <w:lang w:val="pt-BR"/>
        </w:rPr>
      </w:pPr>
    </w:p>
    <w:p w14:paraId="0CADA51C" w14:textId="77777777" w:rsidR="00953B2E" w:rsidRPr="00C35766" w:rsidRDefault="00953B2E">
      <w:pPr>
        <w:spacing w:line="200" w:lineRule="exact"/>
        <w:rPr>
          <w:rFonts w:ascii="Times New Roman" w:hAnsi="Times New Roman" w:cs="Times New Roman"/>
          <w:b/>
          <w:sz w:val="20"/>
          <w:szCs w:val="20"/>
          <w:lang w:val="pt-BR"/>
        </w:rPr>
      </w:pPr>
    </w:p>
    <w:p w14:paraId="7CA3CDA7" w14:textId="77777777" w:rsidR="00953B2E" w:rsidRPr="00C35766" w:rsidRDefault="005F0C19" w:rsidP="00787805">
      <w:pPr>
        <w:pStyle w:val="a4"/>
        <w:numPr>
          <w:ilvl w:val="0"/>
          <w:numId w:val="32"/>
        </w:numPr>
        <w:spacing w:before="18" w:line="240" w:lineRule="exact"/>
        <w:ind w:hanging="468"/>
        <w:rPr>
          <w:rFonts w:ascii="Times New Roman" w:eastAsia="Times New Roman" w:hAnsi="Times New Roman" w:cs="Times New Roman"/>
          <w:b/>
        </w:rPr>
      </w:pPr>
      <w:r w:rsidRPr="00C35766">
        <w:rPr>
          <w:rFonts w:ascii="Times New Roman" w:eastAsia="Times New Roman" w:hAnsi="Times New Roman" w:cs="Times New Roman"/>
          <w:b/>
          <w:bCs/>
          <w:spacing w:val="-1"/>
          <w:lang w:val="it-IT"/>
        </w:rPr>
        <w:t>Istruzioni per l’uso</w:t>
      </w:r>
    </w:p>
    <w:p w14:paraId="33157F7F" w14:textId="77777777" w:rsidR="00953B2E" w:rsidRPr="00C35766" w:rsidRDefault="00953B2E">
      <w:pPr>
        <w:spacing w:before="9" w:line="260" w:lineRule="exact"/>
        <w:rPr>
          <w:rFonts w:ascii="Times New Roman" w:hAnsi="Times New Roman" w:cs="Times New Roman"/>
          <w:b/>
          <w:sz w:val="26"/>
          <w:szCs w:val="26"/>
        </w:rPr>
      </w:pPr>
    </w:p>
    <w:p w14:paraId="5AC9007B" w14:textId="2C0C2960" w:rsidR="00953B2E" w:rsidRPr="00C35766" w:rsidRDefault="005F0C19">
      <w:pPr>
        <w:pStyle w:val="a3"/>
        <w:numPr>
          <w:ilvl w:val="1"/>
          <w:numId w:val="4"/>
        </w:numPr>
        <w:ind w:left="660" w:hanging="660"/>
        <w:rPr>
          <w:lang w:val="pt-BR"/>
        </w:rPr>
      </w:pPr>
      <w:r w:rsidRPr="00C35766">
        <w:rPr>
          <w:rFonts w:eastAsia="Times New Roman"/>
          <w:lang w:val="it-IT"/>
        </w:rPr>
        <w:t xml:space="preserve">Le seguenti istruzioni spiegano come effettuare l’autoiniezione sottocutanea di Yuflyma utilizzando la siringa </w:t>
      </w:r>
      <w:r w:rsidR="0092097A" w:rsidRPr="00C35766">
        <w:rPr>
          <w:rFonts w:eastAsia="Times New Roman"/>
          <w:lang w:val="it-IT"/>
        </w:rPr>
        <w:t>pre-riempita</w:t>
      </w:r>
      <w:r w:rsidRPr="00C35766">
        <w:rPr>
          <w:rFonts w:eastAsia="Times New Roman"/>
          <w:lang w:val="it-IT"/>
        </w:rPr>
        <w:t>. Prima di tutto legga attentamente le istruzioni e le segua passo dopo passo.</w:t>
      </w:r>
    </w:p>
    <w:p w14:paraId="6C244440" w14:textId="77777777" w:rsidR="00953B2E" w:rsidRPr="00C35766" w:rsidRDefault="00953B2E">
      <w:pPr>
        <w:pStyle w:val="a3"/>
        <w:rPr>
          <w:lang w:val="pt-BR"/>
        </w:rPr>
      </w:pPr>
    </w:p>
    <w:p w14:paraId="465B35B9" w14:textId="77777777" w:rsidR="00953B2E" w:rsidRPr="00C35766" w:rsidRDefault="005F0C19">
      <w:pPr>
        <w:pStyle w:val="a3"/>
        <w:numPr>
          <w:ilvl w:val="1"/>
          <w:numId w:val="4"/>
        </w:numPr>
        <w:ind w:left="660" w:hanging="660"/>
        <w:rPr>
          <w:lang w:val="it-IT"/>
        </w:rPr>
      </w:pPr>
      <w:r w:rsidRPr="00C35766">
        <w:rPr>
          <w:rFonts w:eastAsia="Times New Roman"/>
          <w:lang w:val="it-IT"/>
        </w:rPr>
        <w:lastRenderedPageBreak/>
        <w:t>Riceverà istruzioni dal medico, dall’infermiere o dal farmacista sulla tecnica dell’autoiniezione.</w:t>
      </w:r>
    </w:p>
    <w:p w14:paraId="3428D865" w14:textId="77777777" w:rsidR="00953B2E" w:rsidRPr="00C35766" w:rsidRDefault="00953B2E">
      <w:pPr>
        <w:pStyle w:val="a3"/>
        <w:rPr>
          <w:lang w:val="it-IT"/>
        </w:rPr>
      </w:pPr>
    </w:p>
    <w:p w14:paraId="1E025A88" w14:textId="77777777" w:rsidR="00953B2E" w:rsidRPr="00C35766" w:rsidRDefault="005F0C19">
      <w:pPr>
        <w:pStyle w:val="a3"/>
        <w:numPr>
          <w:ilvl w:val="1"/>
          <w:numId w:val="4"/>
        </w:numPr>
        <w:ind w:left="660" w:hanging="660"/>
        <w:rPr>
          <w:lang w:val="it-IT"/>
        </w:rPr>
      </w:pPr>
      <w:r w:rsidRPr="00C35766">
        <w:rPr>
          <w:rFonts w:eastAsia="Times New Roman"/>
          <w:b/>
          <w:bCs/>
          <w:lang w:val="it-IT"/>
        </w:rPr>
        <w:t>Non</w:t>
      </w:r>
      <w:r w:rsidRPr="00C35766">
        <w:rPr>
          <w:rFonts w:eastAsia="Times New Roman"/>
          <w:lang w:val="it-IT"/>
        </w:rPr>
        <w:t xml:space="preserve"> proceda all’iniezione da solo finché non è sicuro di aver capito come preparare ed eseguire l’iniezione.</w:t>
      </w:r>
    </w:p>
    <w:p w14:paraId="5B57E3F4" w14:textId="77777777" w:rsidR="00953B2E" w:rsidRPr="00C35766" w:rsidRDefault="00953B2E">
      <w:pPr>
        <w:pStyle w:val="a3"/>
        <w:rPr>
          <w:lang w:val="it-IT"/>
        </w:rPr>
      </w:pPr>
    </w:p>
    <w:p w14:paraId="55D0EB98" w14:textId="77777777" w:rsidR="00953B2E" w:rsidRPr="00C35766" w:rsidRDefault="005F0C19">
      <w:pPr>
        <w:pStyle w:val="a3"/>
        <w:numPr>
          <w:ilvl w:val="1"/>
          <w:numId w:val="4"/>
        </w:numPr>
        <w:ind w:left="660" w:hanging="660"/>
        <w:rPr>
          <w:lang w:val="it-IT"/>
        </w:rPr>
      </w:pPr>
      <w:r w:rsidRPr="00C35766">
        <w:rPr>
          <w:rFonts w:eastAsia="Times New Roman"/>
          <w:lang w:val="it-IT"/>
        </w:rPr>
        <w:t>Dopo adeguate istruzioni l’iniezione può essere eseguita da lei o da altre persone quali, ad esempio, un familiare o un amico.</w:t>
      </w:r>
    </w:p>
    <w:p w14:paraId="4AEB0BE5" w14:textId="77777777" w:rsidR="00953B2E" w:rsidRPr="00C35766" w:rsidRDefault="00953B2E">
      <w:pPr>
        <w:pStyle w:val="a3"/>
        <w:rPr>
          <w:lang w:val="it-IT"/>
        </w:rPr>
      </w:pPr>
    </w:p>
    <w:p w14:paraId="36343CB0" w14:textId="699C1AAB" w:rsidR="00953B2E" w:rsidRPr="00C35766" w:rsidRDefault="005F0C19">
      <w:pPr>
        <w:pStyle w:val="a3"/>
        <w:numPr>
          <w:ilvl w:val="1"/>
          <w:numId w:val="4"/>
        </w:numPr>
        <w:ind w:left="660" w:hanging="660"/>
        <w:rPr>
          <w:lang w:val="es-ES"/>
        </w:rPr>
      </w:pPr>
      <w:r w:rsidRPr="00C35766">
        <w:rPr>
          <w:rFonts w:eastAsia="Times New Roman"/>
          <w:lang w:val="it-IT"/>
        </w:rPr>
        <w:t xml:space="preserve">Usi ciascuna siringa </w:t>
      </w:r>
      <w:r w:rsidR="0092097A" w:rsidRPr="00C35766">
        <w:rPr>
          <w:rFonts w:eastAsia="Times New Roman"/>
          <w:lang w:val="it-IT"/>
        </w:rPr>
        <w:t>pre-riempita</w:t>
      </w:r>
      <w:r w:rsidRPr="00C35766">
        <w:rPr>
          <w:rFonts w:eastAsia="Times New Roman"/>
          <w:lang w:val="it-IT"/>
        </w:rPr>
        <w:t xml:space="preserve"> esclusivamente per una sola iniezione.</w:t>
      </w:r>
    </w:p>
    <w:p w14:paraId="0D090661" w14:textId="77777777" w:rsidR="00953B2E" w:rsidRPr="00C35766" w:rsidRDefault="00953B2E">
      <w:pPr>
        <w:rPr>
          <w:rFonts w:ascii="Times New Roman" w:hAnsi="Times New Roman" w:cs="Times New Roman"/>
          <w:lang w:val="es-ES"/>
        </w:rPr>
      </w:pPr>
    </w:p>
    <w:p w14:paraId="2E4673EE" w14:textId="77777777" w:rsidR="00953B2E" w:rsidRPr="00C35766" w:rsidRDefault="005F0C19">
      <w:pPr>
        <w:rPr>
          <w:rFonts w:ascii="Times New Roman" w:hAnsi="Times New Roman" w:cs="Times New Roman"/>
          <w:lang w:val="es-ES"/>
        </w:rPr>
      </w:pPr>
      <w:r w:rsidRPr="00C35766">
        <w:rPr>
          <w:rFonts w:ascii="Times New Roman" w:hAnsi="Times New Roman" w:cs="Times New Roman"/>
          <w:lang w:val="es-ES"/>
        </w:rPr>
        <w:br w:type="page"/>
      </w:r>
    </w:p>
    <w:p w14:paraId="5545521C" w14:textId="24B80750" w:rsidR="00953B2E" w:rsidRPr="00C35766" w:rsidRDefault="005F0C19">
      <w:pPr>
        <w:pStyle w:val="a3"/>
        <w:rPr>
          <w:b/>
        </w:rPr>
      </w:pPr>
      <w:r w:rsidRPr="00C35766">
        <w:rPr>
          <w:rFonts w:eastAsia="Times New Roman"/>
          <w:b/>
          <w:bCs/>
          <w:lang w:val="it-IT"/>
        </w:rPr>
        <w:lastRenderedPageBreak/>
        <w:t xml:space="preserve">Yuflyma Siringa </w:t>
      </w:r>
      <w:r w:rsidR="0092097A" w:rsidRPr="00C35766">
        <w:rPr>
          <w:rFonts w:eastAsia="Times New Roman"/>
          <w:b/>
          <w:bCs/>
          <w:lang w:val="it-IT"/>
        </w:rPr>
        <w:t>pre-riempita</w:t>
      </w:r>
    </w:p>
    <w:p w14:paraId="5F6BD21D" w14:textId="77777777" w:rsidR="00953B2E" w:rsidRPr="00C35766" w:rsidRDefault="00953B2E">
      <w:pPr>
        <w:spacing w:before="13" w:line="240" w:lineRule="exact"/>
        <w:rPr>
          <w:rFonts w:ascii="Times New Roman" w:hAnsi="Times New Roman" w:cs="Times New Roman"/>
          <w:sz w:val="24"/>
          <w:szCs w:val="24"/>
        </w:rPr>
      </w:pPr>
    </w:p>
    <w:p w14:paraId="4668897D" w14:textId="77777777" w:rsidR="00953B2E" w:rsidRPr="00C35766" w:rsidRDefault="005F0C19">
      <w:pPr>
        <w:spacing w:before="3"/>
        <w:ind w:left="1786" w:right="10920"/>
        <w:rPr>
          <w:rFonts w:ascii="Times New Roman" w:eastAsia="Times New Roman" w:hAnsi="Times New Roman" w:cs="Times New Roman"/>
          <w:sz w:val="20"/>
          <w:szCs w:val="20"/>
        </w:rPr>
      </w:pP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71" behindDoc="0" locked="0" layoutInCell="1" allowOverlap="1" wp14:anchorId="42DA7F8E" wp14:editId="72933F9F">
                <wp:simplePos x="0" y="0"/>
                <wp:positionH relativeFrom="column">
                  <wp:posOffset>3335752</wp:posOffset>
                </wp:positionH>
                <wp:positionV relativeFrom="paragraph">
                  <wp:posOffset>3079579</wp:posOffset>
                </wp:positionV>
                <wp:extent cx="665979" cy="375858"/>
                <wp:effectExtent l="0" t="0" r="1270" b="5715"/>
                <wp:wrapNone/>
                <wp:docPr id="109" name="Text Box 109"/>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89C30" w14:textId="77777777" w:rsidR="00D97785" w:rsidRDefault="00D97785">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Dopo l’uso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2DA7F8E" id="Text Box 109" o:spid="_x0000_s1050" type="#_x0000_t202" style="position:absolute;left:0;text-align:left;margin-left:262.65pt;margin-top:242.5pt;width:52.45pt;height:29.6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" fillcolor="white [3212]" stroked="f" strokeweight=".5pt">
                <v:textbox inset="0,0,0,0">
                  <w:txbxContent>
                    <w:p w14:paraId="3EA89C30" w14:textId="77777777" w:rsidR="00D97785" w:rsidRDefault="00D97785">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Dopo l’uso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70" behindDoc="0" locked="0" layoutInCell="1" allowOverlap="1" wp14:anchorId="14A307D1" wp14:editId="15FCB9D0">
                <wp:simplePos x="0" y="0"/>
                <wp:positionH relativeFrom="column">
                  <wp:posOffset>2004792</wp:posOffset>
                </wp:positionH>
                <wp:positionV relativeFrom="paragraph">
                  <wp:posOffset>3082123</wp:posOffset>
                </wp:positionV>
                <wp:extent cx="665979" cy="375858"/>
                <wp:effectExtent l="0" t="0" r="1270" b="5715"/>
                <wp:wrapNone/>
                <wp:docPr id="108" name="Text Box 108"/>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367D73" w14:textId="77777777" w:rsidR="00D97785" w:rsidRDefault="00D97785">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Prima dell’uso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4A307D1" id="Text Box 108" o:spid="_x0000_s1051" type="#_x0000_t202" style="position:absolute;left:0;text-align:left;margin-left:157.85pt;margin-top:242.7pt;width:52.45pt;height:29.6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" fillcolor="white [3212]" stroked="f" strokeweight=".5pt">
                <v:textbox inset="0,0,0,0">
                  <w:txbxContent>
                    <w:p w14:paraId="7E367D73" w14:textId="77777777" w:rsidR="00D97785" w:rsidRDefault="00D97785">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Prima dell’uso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9" behindDoc="0" locked="0" layoutInCell="1" allowOverlap="1" wp14:anchorId="4E5C560F" wp14:editId="1B712E91">
                <wp:simplePos x="0" y="0"/>
                <wp:positionH relativeFrom="column">
                  <wp:posOffset>2697464</wp:posOffset>
                </wp:positionH>
                <wp:positionV relativeFrom="paragraph">
                  <wp:posOffset>2777417</wp:posOffset>
                </wp:positionV>
                <wp:extent cx="665979" cy="375858"/>
                <wp:effectExtent l="0" t="0" r="1270" b="5715"/>
                <wp:wrapNone/>
                <wp:docPr id="107" name="Text Box 107"/>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355C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Cappuccio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E5C560F" id="Text Box 107" o:spid="_x0000_s1052" type="#_x0000_t202" style="position:absolute;left:0;text-align:left;margin-left:212.4pt;margin-top:218.7pt;width:52.45pt;height:29.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" fillcolor="white [3212]" stroked="f" strokeweight=".5pt">
                <v:textbox inset="0,0,0,0">
                  <w:txbxContent>
                    <w:p w14:paraId="092355C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Cappuccio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8" behindDoc="0" locked="0" layoutInCell="1" allowOverlap="1" wp14:anchorId="0C5DFFFE" wp14:editId="60142786">
                <wp:simplePos x="0" y="0"/>
                <wp:positionH relativeFrom="column">
                  <wp:posOffset>2697024</wp:posOffset>
                </wp:positionH>
                <wp:positionV relativeFrom="paragraph">
                  <wp:posOffset>2188144</wp:posOffset>
                </wp:positionV>
                <wp:extent cx="665979" cy="468172"/>
                <wp:effectExtent l="0" t="0" r="1270" b="8255"/>
                <wp:wrapNone/>
                <wp:docPr id="106" name="Text Box 106"/>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430F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Ago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C5DFFFE" id="Text Box 106" o:spid="_x0000_s1053" type="#_x0000_t202" style="position:absolute;left:0;text-align:left;margin-left:212.35pt;margin-top:172.3pt;width:52.45pt;height:36.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" fillcolor="white [3212]" stroked="f" strokeweight=".5pt">
                <v:textbox inset="0,0,0,0">
                  <w:txbxContent>
                    <w:p w14:paraId="146430F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Ago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7" behindDoc="0" locked="0" layoutInCell="1" allowOverlap="1" wp14:anchorId="642EE7CE" wp14:editId="003D1806">
                <wp:simplePos x="0" y="0"/>
                <wp:positionH relativeFrom="column">
                  <wp:posOffset>2697024</wp:posOffset>
                </wp:positionH>
                <wp:positionV relativeFrom="paragraph">
                  <wp:posOffset>1430819</wp:posOffset>
                </wp:positionV>
                <wp:extent cx="665979" cy="468172"/>
                <wp:effectExtent l="0" t="0" r="1270" b="8255"/>
                <wp:wrapNone/>
                <wp:docPr id="105" name="Text Box 105"/>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A6AED"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Corpo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42EE7CE" id="Text Box 105" o:spid="_x0000_s1054" type="#_x0000_t202" style="position:absolute;left:0;text-align:left;margin-left:212.35pt;margin-top:112.65pt;width:52.45pt;height:36.8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" fillcolor="white [3212]" stroked="f" strokeweight=".5pt">
                <v:textbox inset="0,0,0,0">
                  <w:txbxContent>
                    <w:p w14:paraId="463A6AED"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Corpo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6" behindDoc="0" locked="0" layoutInCell="1" allowOverlap="1" wp14:anchorId="1BF2FBC9" wp14:editId="42CF5793">
                <wp:simplePos x="0" y="0"/>
                <wp:positionH relativeFrom="column">
                  <wp:posOffset>2670810</wp:posOffset>
                </wp:positionH>
                <wp:positionV relativeFrom="paragraph">
                  <wp:posOffset>903710</wp:posOffset>
                </wp:positionV>
                <wp:extent cx="665979" cy="468172"/>
                <wp:effectExtent l="0" t="0" r="1270" b="8255"/>
                <wp:wrapNone/>
                <wp:docPr id="104" name="Text Box 104"/>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9643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Flangia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BF2FBC9" id="Text Box 104" o:spid="_x0000_s1055" type="#_x0000_t202" style="position:absolute;left:0;text-align:left;margin-left:210.3pt;margin-top:71.15pt;width:52.45pt;height:36.8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" fillcolor="white [3212]" stroked="f" strokeweight=".5pt">
                <v:textbox inset="0,0,0,0">
                  <w:txbxContent>
                    <w:p w14:paraId="0459643C"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Flangia</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5" behindDoc="0" locked="0" layoutInCell="1" allowOverlap="1" wp14:anchorId="7276CE33" wp14:editId="275F817D">
                <wp:simplePos x="0" y="0"/>
                <wp:positionH relativeFrom="column">
                  <wp:posOffset>2699842</wp:posOffset>
                </wp:positionH>
                <wp:positionV relativeFrom="paragraph">
                  <wp:posOffset>424561</wp:posOffset>
                </wp:positionV>
                <wp:extent cx="665979" cy="365760"/>
                <wp:effectExtent l="0" t="0" r="1270" b="0"/>
                <wp:wrapNone/>
                <wp:docPr id="103" name="Text Box 103"/>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F9741"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Stantuffo</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276CE33" id="Text Box 103" o:spid="_x0000_s1056" type="#_x0000_t202" style="position:absolute;left:0;text-align:left;margin-left:212.6pt;margin-top:33.45pt;width:52.45pt;height:28.8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" fillcolor="white [3212]" stroked="f" strokeweight=".5pt">
                <v:textbox inset="0,0,0,0">
                  <w:txbxContent>
                    <w:p w14:paraId="2D3F9741"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Stantuffo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264" behindDoc="0" locked="0" layoutInCell="1" allowOverlap="1" wp14:anchorId="4519DAD3" wp14:editId="15F76D88">
                <wp:simplePos x="0" y="0"/>
                <wp:positionH relativeFrom="column">
                  <wp:posOffset>1295908</wp:posOffset>
                </wp:positionH>
                <wp:positionV relativeFrom="paragraph">
                  <wp:posOffset>1727124</wp:posOffset>
                </wp:positionV>
                <wp:extent cx="665979" cy="365760"/>
                <wp:effectExtent l="0" t="0" r="1270" b="0"/>
                <wp:wrapNone/>
                <wp:docPr id="98" name="Text Box 98"/>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A7D18A"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Medicinale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519DAD3" id="Text Box 98" o:spid="_x0000_s1057" type="#_x0000_t202" style="position:absolute;left:0;text-align:left;margin-left:102.05pt;margin-top:136pt;width:52.45pt;height:28.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" fillcolor="white [3212]" stroked="f" strokeweight=".5pt">
                <v:textbox inset="0,0,0,0">
                  <w:txbxContent>
                    <w:p w14:paraId="6AA7D18A" w14:textId="77777777" w:rsidR="00D97785" w:rsidRDefault="00D97785">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Medicinale</w:t>
                      </w:r>
                    </w:p>
                  </w:txbxContent>
                </v:textbox>
              </v:shape>
            </w:pict>
          </mc:Fallback>
        </mc:AlternateContent>
      </w:r>
      <w:r w:rsidRPr="00C35766">
        <w:rPr>
          <w:rFonts w:ascii="Times New Roman" w:hAnsi="Times New Roman" w:cs="Times New Roman"/>
          <w:noProof/>
          <w:lang w:eastAsia="ko-KR"/>
        </w:rPr>
        <w:drawing>
          <wp:inline distT="0" distB="0" distL="0" distR="0" wp14:anchorId="11471618" wp14:editId="5031BB12">
            <wp:extent cx="3131820" cy="3451860"/>
            <wp:effectExtent l="19050" t="19050" r="11430" b="1524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2744" name="Picture 2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131820" cy="3451860"/>
                    </a:xfrm>
                    <a:prstGeom prst="rect">
                      <a:avLst/>
                    </a:prstGeom>
                    <a:noFill/>
                    <a:ln w="12700">
                      <a:solidFill>
                        <a:schemeClr val="tx1"/>
                      </a:solidFill>
                    </a:ln>
                  </pic:spPr>
                </pic:pic>
              </a:graphicData>
            </a:graphic>
          </wp:inline>
        </w:drawing>
      </w:r>
    </w:p>
    <w:p w14:paraId="336F49EA" w14:textId="77777777" w:rsidR="00953B2E" w:rsidRPr="00C35766" w:rsidRDefault="005F0C19">
      <w:pPr>
        <w:spacing w:before="10" w:line="240" w:lineRule="exact"/>
        <w:ind w:left="5040" w:firstLineChars="450" w:firstLine="901"/>
        <w:rPr>
          <w:rFonts w:ascii="Times New Roman" w:hAnsi="Times New Roman" w:cs="Times New Roman"/>
          <w:b/>
          <w:sz w:val="20"/>
          <w:szCs w:val="24"/>
          <w:lang w:val="es-ES" w:eastAsia="ko-KR"/>
        </w:rPr>
      </w:pPr>
      <w:r w:rsidRPr="00C35766">
        <w:rPr>
          <w:rFonts w:ascii="Times New Roman" w:eastAsia="Times New Roman" w:hAnsi="Times New Roman" w:cs="Times New Roman"/>
          <w:b/>
          <w:bCs/>
          <w:sz w:val="20"/>
          <w:szCs w:val="20"/>
          <w:lang w:val="it-IT" w:eastAsia="ko-KR"/>
        </w:rPr>
        <w:t>Figura A</w:t>
      </w:r>
    </w:p>
    <w:p w14:paraId="4F73771D" w14:textId="77777777" w:rsidR="00953B2E" w:rsidRPr="00C35766" w:rsidRDefault="00953B2E">
      <w:pPr>
        <w:spacing w:before="10" w:line="240" w:lineRule="exact"/>
        <w:rPr>
          <w:rFonts w:ascii="Times New Roman" w:hAnsi="Times New Roman" w:cs="Times New Roman"/>
          <w:sz w:val="24"/>
          <w:szCs w:val="24"/>
          <w:lang w:val="es-ES"/>
        </w:rPr>
      </w:pPr>
    </w:p>
    <w:p w14:paraId="1BAD7CF6" w14:textId="42FD3ED6" w:rsidR="00953B2E" w:rsidRPr="00C35766" w:rsidRDefault="005F0C19">
      <w:pPr>
        <w:pStyle w:val="a3"/>
        <w:rPr>
          <w:b/>
          <w:lang w:val="es-ES"/>
        </w:rPr>
      </w:pPr>
      <w:r w:rsidRPr="00C35766">
        <w:rPr>
          <w:rFonts w:eastAsia="Times New Roman"/>
          <w:b/>
          <w:bCs/>
          <w:lang w:val="it-IT"/>
        </w:rPr>
        <w:t xml:space="preserve">Non usi la siringa </w:t>
      </w:r>
      <w:r w:rsidR="0092097A" w:rsidRPr="00C35766">
        <w:rPr>
          <w:rFonts w:eastAsia="Times New Roman"/>
          <w:b/>
          <w:bCs/>
          <w:lang w:val="it-IT"/>
        </w:rPr>
        <w:t>pre-riempita</w:t>
      </w:r>
      <w:r w:rsidRPr="00C35766">
        <w:rPr>
          <w:rFonts w:eastAsia="Times New Roman"/>
          <w:b/>
          <w:bCs/>
          <w:lang w:val="it-IT"/>
        </w:rPr>
        <w:t xml:space="preserve"> se:</w:t>
      </w:r>
    </w:p>
    <w:p w14:paraId="699FB2A5" w14:textId="77777777" w:rsidR="00953B2E" w:rsidRPr="00C35766" w:rsidRDefault="005F0C19">
      <w:pPr>
        <w:pStyle w:val="a3"/>
        <w:numPr>
          <w:ilvl w:val="1"/>
          <w:numId w:val="3"/>
        </w:numPr>
        <w:ind w:left="660" w:hanging="660"/>
      </w:pPr>
      <w:r w:rsidRPr="00C35766">
        <w:rPr>
          <w:rFonts w:eastAsia="Times New Roman"/>
          <w:lang w:val="it-IT"/>
        </w:rPr>
        <w:t xml:space="preserve">è incrinata o danneggiata. </w:t>
      </w:r>
    </w:p>
    <w:p w14:paraId="2E955682" w14:textId="77777777" w:rsidR="00953B2E" w:rsidRPr="00613304" w:rsidRDefault="005F0C19">
      <w:pPr>
        <w:pStyle w:val="a3"/>
        <w:numPr>
          <w:ilvl w:val="1"/>
          <w:numId w:val="3"/>
        </w:numPr>
        <w:ind w:left="660" w:hanging="660"/>
        <w:rPr>
          <w:lang w:val="es-ES"/>
        </w:rPr>
      </w:pPr>
      <w:r w:rsidRPr="00C35766">
        <w:rPr>
          <w:rFonts w:eastAsia="Times New Roman"/>
          <w:lang w:val="it-IT"/>
        </w:rPr>
        <w:t xml:space="preserve">è stata superata la data di scadenza. </w:t>
      </w:r>
    </w:p>
    <w:p w14:paraId="3AF54199" w14:textId="493E444B" w:rsidR="00F21E03" w:rsidRPr="00C35766" w:rsidRDefault="00F21E03">
      <w:pPr>
        <w:pStyle w:val="a3"/>
        <w:numPr>
          <w:ilvl w:val="1"/>
          <w:numId w:val="3"/>
        </w:numPr>
        <w:ind w:left="660" w:hanging="660"/>
        <w:rPr>
          <w:lang w:val="es-ES"/>
        </w:rPr>
      </w:pPr>
      <w:r w:rsidRPr="00F21E03">
        <w:rPr>
          <w:rFonts w:hint="eastAsia"/>
          <w:lang w:val="es-ES"/>
        </w:rPr>
        <w:t>è</w:t>
      </w:r>
      <w:r w:rsidRPr="00F21E03">
        <w:rPr>
          <w:lang w:val="es-ES"/>
        </w:rPr>
        <w:t xml:space="preserve"> caduta su una superficie dura</w:t>
      </w:r>
      <w:r>
        <w:rPr>
          <w:lang w:val="es-ES"/>
        </w:rPr>
        <w:t>.</w:t>
      </w:r>
    </w:p>
    <w:p w14:paraId="322488A7" w14:textId="77777777" w:rsidR="00953B2E" w:rsidRPr="00C35766" w:rsidRDefault="00953B2E" w:rsidP="00787805">
      <w:pPr>
        <w:pStyle w:val="Default"/>
        <w:numPr>
          <w:ilvl w:val="2"/>
          <w:numId w:val="20"/>
        </w:numPr>
        <w:ind w:left="360"/>
        <w:rPr>
          <w:rFonts w:ascii="Times New Roman" w:hAnsi="Times New Roman" w:cs="Times New Roman"/>
          <w:color w:val="211D1E"/>
          <w:sz w:val="20"/>
          <w:szCs w:val="20"/>
          <w:lang w:val="es-ES"/>
        </w:rPr>
      </w:pPr>
    </w:p>
    <w:p w14:paraId="3E9B36D3" w14:textId="77777777" w:rsidR="00953B2E" w:rsidRPr="00C35766" w:rsidRDefault="005F0C19">
      <w:pPr>
        <w:pStyle w:val="a3"/>
        <w:rPr>
          <w:b/>
          <w:lang w:val="it-IT"/>
        </w:rPr>
      </w:pPr>
      <w:r w:rsidRPr="00C35766">
        <w:rPr>
          <w:rFonts w:eastAsia="Times New Roman"/>
          <w:b/>
          <w:bCs/>
          <w:lang w:val="it-IT"/>
        </w:rPr>
        <w:t>Rimuova il tappo dell’ago solo immediatamente prima dell’iniezione. Tenga Yuflyma fuori dalla vista e dalla portata dei bambini.</w:t>
      </w:r>
    </w:p>
    <w:p w14:paraId="6393136B" w14:textId="317CEABF" w:rsidR="00953B2E" w:rsidRPr="00C35766" w:rsidRDefault="00953B2E">
      <w:pPr>
        <w:rPr>
          <w:rFonts w:ascii="Times New Roman" w:hAnsi="Times New Roman" w:cs="Times New Roman"/>
          <w:lang w:val="it-IT"/>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953B2E" w:rsidRPr="00494E69" w14:paraId="7EFB2557" w14:textId="77777777" w:rsidTr="00752AA4">
        <w:trPr>
          <w:trHeight w:val="2684"/>
        </w:trPr>
        <w:tc>
          <w:tcPr>
            <w:tcW w:w="9634" w:type="dxa"/>
          </w:tcPr>
          <w:p w14:paraId="1C5CD6C0" w14:textId="77777777" w:rsidR="00953B2E" w:rsidRPr="00C35766" w:rsidRDefault="00953B2E" w:rsidP="00752AA4">
            <w:pPr>
              <w:pStyle w:val="a3"/>
              <w:numPr>
                <w:ilvl w:val="0"/>
                <w:numId w:val="0"/>
              </w:numPr>
              <w:ind w:left="580"/>
              <w:rPr>
                <w:lang w:val="it-IT"/>
              </w:rPr>
            </w:pPr>
          </w:p>
          <w:p w14:paraId="30A7464A" w14:textId="77777777" w:rsidR="00953B2E" w:rsidRPr="00C35766" w:rsidRDefault="005F0C19" w:rsidP="00752AA4">
            <w:pPr>
              <w:pStyle w:val="a3"/>
              <w:numPr>
                <w:ilvl w:val="0"/>
                <w:numId w:val="21"/>
              </w:numPr>
              <w:ind w:leftChars="100" w:left="580"/>
            </w:pPr>
            <w:r w:rsidRPr="00C35766">
              <w:rPr>
                <w:rFonts w:eastAsia="Times New Roman"/>
                <w:b/>
                <w:bCs/>
                <w:lang w:val="it-IT"/>
              </w:rPr>
              <w:t>Prepari i materiali per l’iniezione</w:t>
            </w:r>
          </w:p>
          <w:p w14:paraId="1C4043C0" w14:textId="77777777" w:rsidR="00953B2E" w:rsidRPr="00C35766" w:rsidRDefault="00953B2E" w:rsidP="00752AA4">
            <w:pPr>
              <w:pStyle w:val="a3"/>
              <w:numPr>
                <w:ilvl w:val="0"/>
                <w:numId w:val="0"/>
              </w:numPr>
              <w:ind w:left="580"/>
            </w:pPr>
          </w:p>
          <w:p w14:paraId="6873DF6F" w14:textId="77777777" w:rsidR="00953B2E" w:rsidRPr="00C35766" w:rsidRDefault="005F0C19" w:rsidP="00752AA4">
            <w:pPr>
              <w:pStyle w:val="AAAA"/>
              <w:framePr w:hSpace="0" w:wrap="auto" w:vAnchor="margin" w:hAnchor="text" w:yAlign="inline"/>
              <w:rPr>
                <w:lang w:val="es-ES"/>
              </w:rPr>
            </w:pPr>
            <w:r w:rsidRPr="00C35766">
              <w:rPr>
                <w:b/>
                <w:bCs/>
              </w:rPr>
              <w:t>a.</w:t>
            </w:r>
            <w:r w:rsidRPr="00C35766">
              <w:tab/>
              <w:t>Prepari una superficie piana pulita, ad esempio un tavolo o ripiano, in un luogo ben illuminato.</w:t>
            </w:r>
          </w:p>
          <w:p w14:paraId="404F987D" w14:textId="0860691E" w:rsidR="00953B2E" w:rsidRPr="00C35766" w:rsidRDefault="005F0C19" w:rsidP="00752AA4">
            <w:pPr>
              <w:pStyle w:val="a3"/>
              <w:ind w:left="720" w:hanging="360"/>
              <w:rPr>
                <w:lang w:val="pt-BR" w:eastAsia="ko-KR"/>
              </w:rPr>
            </w:pPr>
            <w:r w:rsidRPr="00C35766">
              <w:rPr>
                <w:rFonts w:eastAsia="Times New Roman"/>
                <w:b/>
                <w:bCs/>
                <w:lang w:val="it-IT" w:eastAsia="ko-KR"/>
              </w:rPr>
              <w:t>b.</w:t>
            </w:r>
            <w:r w:rsidRPr="00C35766">
              <w:rPr>
                <w:rFonts w:eastAsia="Times New Roman"/>
                <w:lang w:val="it-IT" w:eastAsia="ko-KR"/>
              </w:rPr>
              <w:t xml:space="preserve"> </w:t>
            </w:r>
            <w:r w:rsidRPr="00C35766">
              <w:rPr>
                <w:rFonts w:eastAsia="Times New Roman"/>
                <w:lang w:val="it-IT" w:eastAsia="ko-KR"/>
              </w:rPr>
              <w:tab/>
              <w:t xml:space="preserve">Rimuova 1 siringa </w:t>
            </w:r>
            <w:r w:rsidR="0092097A" w:rsidRPr="00C35766">
              <w:rPr>
                <w:rFonts w:eastAsia="Times New Roman"/>
                <w:lang w:val="it-IT" w:eastAsia="ko-KR"/>
              </w:rPr>
              <w:t>pre-riempita</w:t>
            </w:r>
            <w:r w:rsidRPr="00C35766">
              <w:rPr>
                <w:rFonts w:eastAsia="Times New Roman"/>
                <w:lang w:val="it-IT" w:eastAsia="ko-KR"/>
              </w:rPr>
              <w:t xml:space="preserve"> dalla scatola conservata in frigorifero.</w:t>
            </w:r>
          </w:p>
          <w:p w14:paraId="4899D438" w14:textId="75AD6169" w:rsidR="00953B2E" w:rsidRPr="00C35766" w:rsidRDefault="005F0C19" w:rsidP="00752AA4">
            <w:pPr>
              <w:pStyle w:val="a3"/>
              <w:ind w:left="1080" w:rightChars="100" w:right="220" w:hanging="360"/>
              <w:jc w:val="both"/>
              <w:rPr>
                <w:lang w:val="es-ES" w:eastAsia="ko-KR"/>
              </w:rPr>
            </w:pPr>
            <w:r w:rsidRPr="00C35766">
              <w:rPr>
                <w:rFonts w:eastAsia="맑은 고딕"/>
                <w:lang w:val="it-IT" w:eastAsia="ko-KR"/>
              </w:rPr>
              <w:t>•</w:t>
            </w:r>
            <w:r w:rsidRPr="00C35766">
              <w:rPr>
                <w:rFonts w:eastAsia="Times New Roman"/>
                <w:lang w:val="it-IT" w:eastAsia="ko-KR"/>
              </w:rPr>
              <w:tab/>
              <w:t xml:space="preserve">Quando rimuove la siringa </w:t>
            </w:r>
            <w:r w:rsidR="0092097A" w:rsidRPr="00C35766">
              <w:rPr>
                <w:rFonts w:eastAsia="Times New Roman"/>
                <w:lang w:val="it-IT" w:eastAsia="ko-KR"/>
              </w:rPr>
              <w:t>pre-riempita</w:t>
            </w:r>
            <w:r w:rsidRPr="00C35766">
              <w:rPr>
                <w:rFonts w:eastAsia="Times New Roman"/>
                <w:lang w:val="it-IT" w:eastAsia="ko-KR"/>
              </w:rPr>
              <w:t xml:space="preserve"> dalla scatola la tenga per il corpo.</w:t>
            </w:r>
            <w:r w:rsidRPr="00C35766">
              <w:rPr>
                <w:rFonts w:eastAsia="Times New Roman"/>
                <w:b/>
                <w:bCs/>
                <w:lang w:val="it-IT" w:eastAsia="ko-KR"/>
              </w:rPr>
              <w:t xml:space="preserve"> Non</w:t>
            </w:r>
            <w:r w:rsidR="0016259F" w:rsidRPr="00C35766">
              <w:rPr>
                <w:rFonts w:eastAsia="Times New Roman"/>
                <w:b/>
                <w:bCs/>
                <w:lang w:val="it-IT" w:eastAsia="ko-KR"/>
              </w:rPr>
              <w:t xml:space="preserve"> </w:t>
            </w:r>
            <w:r w:rsidRPr="00C35766">
              <w:rPr>
                <w:rFonts w:eastAsia="Times New Roman"/>
                <w:lang w:val="it-IT" w:eastAsia="ko-KR"/>
              </w:rPr>
              <w:t>tocchi lo stantuffo.</w:t>
            </w:r>
          </w:p>
          <w:p w14:paraId="506F35E5" w14:textId="77777777" w:rsidR="00953B2E" w:rsidRPr="00C35766" w:rsidRDefault="005F0C19" w:rsidP="00752AA4">
            <w:pPr>
              <w:pStyle w:val="a3"/>
              <w:ind w:left="720" w:hanging="360"/>
              <w:rPr>
                <w:lang w:val="pt-BR" w:eastAsia="ko-KR"/>
              </w:rPr>
            </w:pPr>
            <w:r w:rsidRPr="00C35766">
              <w:rPr>
                <w:rFonts w:eastAsia="Times New Roman"/>
                <w:b/>
                <w:bCs/>
                <w:lang w:val="it-IT" w:eastAsia="ko-KR"/>
              </w:rPr>
              <w:t>c.</w:t>
            </w:r>
            <w:r w:rsidRPr="00C35766">
              <w:rPr>
                <w:rFonts w:eastAsia="Times New Roman"/>
                <w:lang w:val="it-IT" w:eastAsia="ko-KR"/>
              </w:rPr>
              <w:t xml:space="preserve"> </w:t>
            </w:r>
            <w:r w:rsidRPr="00C35766">
              <w:rPr>
                <w:rFonts w:eastAsia="Times New Roman"/>
                <w:lang w:val="it-IT" w:eastAsia="ko-KR"/>
              </w:rPr>
              <w:tab/>
              <w:t>Si assicuri di avere i seguenti materiali:</w:t>
            </w:r>
          </w:p>
          <w:p w14:paraId="55736BF4" w14:textId="177EFE38" w:rsidR="00953B2E" w:rsidRPr="00C35766" w:rsidRDefault="005F0C19" w:rsidP="00752AA4">
            <w:pPr>
              <w:pStyle w:val="a3"/>
              <w:ind w:left="720"/>
              <w:rPr>
                <w:lang w:val="pt-BR" w:eastAsia="ko-KR"/>
              </w:rPr>
            </w:pPr>
            <w:r w:rsidRPr="00C35766">
              <w:rPr>
                <w:rFonts w:eastAsia="Times New Roman"/>
                <w:lang w:val="it-IT" w:eastAsia="ko-KR"/>
              </w:rPr>
              <w:t xml:space="preserve">- Siringa </w:t>
            </w:r>
            <w:r w:rsidR="0092097A" w:rsidRPr="00C35766">
              <w:rPr>
                <w:rFonts w:eastAsia="Times New Roman"/>
                <w:lang w:val="it-IT" w:eastAsia="ko-KR"/>
              </w:rPr>
              <w:t>pre-riempita</w:t>
            </w:r>
          </w:p>
          <w:p w14:paraId="480160B5" w14:textId="7DEB7498" w:rsidR="00953B2E" w:rsidRPr="00C35766" w:rsidRDefault="005F0C19" w:rsidP="00752AA4">
            <w:pPr>
              <w:pStyle w:val="a3"/>
              <w:spacing w:after="120"/>
              <w:ind w:left="720"/>
              <w:rPr>
                <w:lang w:val="pt-BR" w:eastAsia="ko-KR"/>
              </w:rPr>
            </w:pPr>
            <w:r w:rsidRPr="00C35766">
              <w:rPr>
                <w:rFonts w:eastAsia="Times New Roman"/>
                <w:lang w:val="it-IT" w:eastAsia="ko-KR"/>
              </w:rPr>
              <w:t xml:space="preserve">- </w:t>
            </w:r>
            <w:r w:rsidR="0016259F" w:rsidRPr="00C35766">
              <w:rPr>
                <w:rFonts w:eastAsia="Times New Roman"/>
                <w:lang w:val="it-IT" w:eastAsia="ko-KR"/>
              </w:rPr>
              <w:t xml:space="preserve">tampone </w:t>
            </w:r>
            <w:r w:rsidRPr="00C35766">
              <w:rPr>
                <w:rFonts w:eastAsia="Times New Roman"/>
                <w:lang w:val="it-IT" w:eastAsia="ko-KR"/>
              </w:rPr>
              <w:t>imbevuto di alcol</w:t>
            </w:r>
          </w:p>
          <w:p w14:paraId="77E7DD43" w14:textId="77777777" w:rsidR="00953B2E" w:rsidRPr="00C35766" w:rsidRDefault="005F0C19" w:rsidP="00752AA4">
            <w:pPr>
              <w:pStyle w:val="a3"/>
              <w:ind w:left="720"/>
              <w:rPr>
                <w:b/>
                <w:lang w:val="pt-BR" w:eastAsia="ko-KR"/>
              </w:rPr>
            </w:pPr>
            <w:r w:rsidRPr="00C35766">
              <w:rPr>
                <w:rFonts w:eastAsia="Times New Roman"/>
                <w:b/>
                <w:bCs/>
                <w:lang w:val="it-IT" w:eastAsia="ko-KR"/>
              </w:rPr>
              <w:t>Non compreso nella scatola:</w:t>
            </w:r>
          </w:p>
          <w:p w14:paraId="1520478E" w14:textId="77777777" w:rsidR="00953B2E" w:rsidRPr="00C35766" w:rsidRDefault="005F0C19" w:rsidP="00752AA4">
            <w:pPr>
              <w:pStyle w:val="a3"/>
              <w:ind w:left="720"/>
              <w:rPr>
                <w:lang w:val="pt-BR" w:eastAsia="ko-KR"/>
              </w:rPr>
            </w:pPr>
            <w:r w:rsidRPr="00C35766">
              <w:rPr>
                <w:rFonts w:eastAsia="Times New Roman"/>
                <w:lang w:val="it-IT" w:eastAsia="ko-KR"/>
              </w:rPr>
              <w:t>- batuffolo di cotone idrofilo o garza</w:t>
            </w:r>
          </w:p>
          <w:p w14:paraId="1265E1F0" w14:textId="77777777" w:rsidR="00953B2E" w:rsidRPr="00C35766" w:rsidRDefault="005F0C19" w:rsidP="00752AA4">
            <w:pPr>
              <w:pStyle w:val="a3"/>
              <w:ind w:left="720"/>
              <w:rPr>
                <w:lang w:val="pt-BR" w:eastAsia="ko-KR"/>
              </w:rPr>
            </w:pPr>
            <w:r w:rsidRPr="00C35766">
              <w:rPr>
                <w:rFonts w:eastAsia="Times New Roman"/>
                <w:lang w:val="it-IT" w:eastAsia="ko-KR"/>
              </w:rPr>
              <w:t>- cerotto adesivo</w:t>
            </w:r>
          </w:p>
          <w:p w14:paraId="6999755F" w14:textId="77777777" w:rsidR="00953B2E" w:rsidRPr="00C35766" w:rsidRDefault="005F0C19" w:rsidP="00752AA4">
            <w:pPr>
              <w:pStyle w:val="a3"/>
              <w:ind w:left="720"/>
              <w:rPr>
                <w:lang w:val="pt-BR" w:eastAsia="ko-KR"/>
              </w:rPr>
            </w:pPr>
            <w:r w:rsidRPr="00C35766">
              <w:rPr>
                <w:rFonts w:eastAsia="Times New Roman"/>
                <w:lang w:val="it-IT" w:eastAsia="ko-KR"/>
              </w:rPr>
              <w:t>- contenitore per smaltimento di materiale tagliente</w:t>
            </w:r>
          </w:p>
          <w:p w14:paraId="3F38BEC3" w14:textId="77777777" w:rsidR="00953B2E" w:rsidRPr="00C35766" w:rsidRDefault="00953B2E" w:rsidP="00752AA4">
            <w:pPr>
              <w:ind w:left="224" w:right="1248"/>
              <w:rPr>
                <w:rFonts w:ascii="Times New Roman" w:eastAsia="Times New Roman" w:hAnsi="Times New Roman" w:cs="Times New Roman"/>
                <w:b/>
                <w:bCs/>
                <w:spacing w:val="-1"/>
                <w:lang w:val="pt-BR"/>
              </w:rPr>
            </w:pPr>
          </w:p>
        </w:tc>
      </w:tr>
      <w:tr w:rsidR="00953B2E" w:rsidRPr="006501B3" w14:paraId="11A0DAC8" w14:textId="77777777" w:rsidTr="00752AA4">
        <w:trPr>
          <w:trHeight w:val="3969"/>
        </w:trPr>
        <w:tc>
          <w:tcPr>
            <w:tcW w:w="9634" w:type="dxa"/>
          </w:tcPr>
          <w:p w14:paraId="03D46708" w14:textId="28EED469" w:rsidR="00953B2E" w:rsidRPr="00C35766" w:rsidRDefault="007F20E6" w:rsidP="00752AA4">
            <w:pPr>
              <w:ind w:left="224" w:right="1248"/>
              <w:rPr>
                <w:rFonts w:ascii="Times New Roman" w:hAnsi="Times New Roman" w:cs="Times New Roman"/>
                <w:lang w:val="pt-BR"/>
              </w:rPr>
            </w:pPr>
            <w:r w:rsidRPr="00C35766">
              <w:rPr>
                <w:rFonts w:ascii="Times New Roman" w:hAnsi="Times New Roman" w:cs="Times New Roman"/>
                <w:noProof/>
                <w:lang w:eastAsia="ko-KR"/>
              </w:rPr>
              <w:lastRenderedPageBreak/>
              <mc:AlternateContent>
                <mc:Choice Requires="wpg">
                  <w:drawing>
                    <wp:anchor distT="0" distB="0" distL="114300" distR="114300" simplePos="0" relativeHeight="251658272" behindDoc="0" locked="0" layoutInCell="1" allowOverlap="1" wp14:anchorId="6D5779E9" wp14:editId="1EE27204">
                      <wp:simplePos x="0" y="0"/>
                      <wp:positionH relativeFrom="column">
                        <wp:posOffset>1905</wp:posOffset>
                      </wp:positionH>
                      <wp:positionV relativeFrom="paragraph">
                        <wp:posOffset>168910</wp:posOffset>
                      </wp:positionV>
                      <wp:extent cx="2113915" cy="2647950"/>
                      <wp:effectExtent l="0" t="0" r="635" b="0"/>
                      <wp:wrapSquare wrapText="bothSides"/>
                      <wp:docPr id="78" name="그룹 78"/>
                      <wp:cNvGraphicFramePr/>
                      <a:graphic xmlns:a="http://schemas.openxmlformats.org/drawingml/2006/main">
                        <a:graphicData uri="http://schemas.microsoft.com/office/word/2010/wordprocessingGroup">
                          <wpg:wgp>
                            <wpg:cNvGrpSpPr/>
                            <wpg:grpSpPr>
                              <a:xfrm>
                                <a:off x="0" y="0"/>
                                <a:ext cx="2113915" cy="2647950"/>
                                <a:chOff x="0" y="0"/>
                                <a:chExt cx="1659255" cy="2203450"/>
                              </a:xfrm>
                            </wpg:grpSpPr>
                            <wpg:grpSp>
                              <wpg:cNvPr id="39" name="그룹 39"/>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08008681"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0" name="Text Box 110"/>
                              <wps:cNvSpPr txBox="1"/>
                              <wps:spPr>
                                <a:xfrm>
                                  <a:off x="762000" y="1059180"/>
                                  <a:ext cx="73355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D3039" w14:textId="77777777" w:rsidR="00D97785" w:rsidRPr="004F566E" w:rsidRDefault="00D97785">
                                    <w:pPr>
                                      <w:rPr>
                                        <w:rFonts w:asciiTheme="majorBidi" w:hAnsiTheme="majorBidi" w:cstheme="majorBidi"/>
                                        <w:b/>
                                        <w:bCs/>
                                        <w:sz w:val="13"/>
                                        <w:szCs w:val="13"/>
                                      </w:rPr>
                                    </w:pPr>
                                    <w:r w:rsidRPr="004F566E">
                                      <w:rPr>
                                        <w:rFonts w:ascii="Times New Roman" w:eastAsia="Times New Roman" w:hAnsi="Times New Roman" w:cs="Times New Roman"/>
                                        <w:b/>
                                        <w:bCs/>
                                        <w:sz w:val="13"/>
                                        <w:szCs w:val="13"/>
                                        <w:lang w:val="it-IT"/>
                                      </w:rPr>
                                      <w:t xml:space="preserve">Scad. </w:t>
                                    </w:r>
                                    <w:r w:rsidRPr="004F566E">
                                      <w:rPr>
                                        <w:rFonts w:ascii="Times New Roman" w:eastAsia="Times New Roman" w:hAnsi="Times New Roman" w:cs="Times New Roman"/>
                                        <w:sz w:val="13"/>
                                        <w:szCs w:val="13"/>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5779E9" id="그룹 78" o:spid="_x0000_s1058" style="position:absolute;left:0;text-align:left;margin-left:.15pt;margin-top:13.3pt;width:166.45pt;height:208.5pt;z-index:251658272;mso-width-relative:margin;mso-height-relative:margin"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">
                      <v:group id="그룹 39" o:spid="_x0000_s1059"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그림 10" o:spid="_x0000_s1060"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8" o:title=""/>
                        </v:shape>
                        <v:shape id="Text Box 38" o:spid="_x0000_s1061"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08008681"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v:textbox>
                        </v:shape>
                      </v:group>
                      <v:shape id="Text Box 110" o:spid="_x0000_s1062" type="#_x0000_t202" style="position:absolute;left:7620;top:10591;width:7335;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" fillcolor="white [3212]" stroked="f" strokeweight=".5pt">
                        <v:textbox inset="0,0,0,0">
                          <w:txbxContent>
                            <w:p w14:paraId="5D0D3039" w14:textId="77777777" w:rsidR="00D97785" w:rsidRPr="004F566E" w:rsidRDefault="00D97785">
                              <w:pPr>
                                <w:rPr>
                                  <w:rFonts w:asciiTheme="majorBidi" w:hAnsiTheme="majorBidi" w:cstheme="majorBidi"/>
                                  <w:b/>
                                  <w:bCs/>
                                  <w:sz w:val="13"/>
                                  <w:szCs w:val="13"/>
                                </w:rPr>
                              </w:pPr>
                              <w:r w:rsidRPr="004F566E">
                                <w:rPr>
                                  <w:rFonts w:ascii="Times New Roman" w:eastAsia="Times New Roman" w:hAnsi="Times New Roman" w:cs="Times New Roman"/>
                                  <w:b/>
                                  <w:bCs/>
                                  <w:sz w:val="13"/>
                                  <w:szCs w:val="13"/>
                                  <w:lang w:val="it-IT"/>
                                </w:rPr>
                                <w:t xml:space="preserve">Scad. </w:t>
                              </w:r>
                              <w:r w:rsidRPr="004F566E">
                                <w:rPr>
                                  <w:rFonts w:ascii="Times New Roman" w:eastAsia="Times New Roman" w:hAnsi="Times New Roman" w:cs="Times New Roman"/>
                                  <w:sz w:val="13"/>
                                  <w:szCs w:val="13"/>
                                  <w:lang w:val="it-IT"/>
                                </w:rPr>
                                <w:t>MESE/ANNO</w:t>
                              </w:r>
                            </w:p>
                          </w:txbxContent>
                        </v:textbox>
                      </v:shape>
                      <w10:wrap type="square"/>
                    </v:group>
                  </w:pict>
                </mc:Fallback>
              </mc:AlternateContent>
            </w:r>
          </w:p>
          <w:p w14:paraId="06814B18" w14:textId="6EC61240" w:rsidR="00953B2E" w:rsidRPr="00C35766" w:rsidRDefault="00953B2E" w:rsidP="00752AA4">
            <w:pPr>
              <w:pStyle w:val="a3"/>
              <w:rPr>
                <w:lang w:val="pt-BR"/>
              </w:rPr>
            </w:pPr>
          </w:p>
          <w:p w14:paraId="292A7923" w14:textId="4CE4EBA5" w:rsidR="00953B2E" w:rsidRPr="00C35766" w:rsidRDefault="005F0C19" w:rsidP="00752AA4">
            <w:pPr>
              <w:pStyle w:val="a3"/>
              <w:numPr>
                <w:ilvl w:val="0"/>
                <w:numId w:val="21"/>
              </w:numPr>
              <w:tabs>
                <w:tab w:val="left" w:pos="2519"/>
                <w:tab w:val="left" w:pos="3217"/>
              </w:tabs>
              <w:ind w:leftChars="235" w:left="1174" w:hanging="657"/>
              <w:rPr>
                <w:b/>
              </w:rPr>
            </w:pPr>
            <w:r w:rsidRPr="00C35766">
              <w:rPr>
                <w:rFonts w:eastAsia="Times New Roman"/>
                <w:b/>
                <w:bCs/>
                <w:lang w:val="it-IT"/>
              </w:rPr>
              <w:t xml:space="preserve">Ispezioni la siringa </w:t>
            </w:r>
            <w:r w:rsidR="0092097A" w:rsidRPr="00C35766">
              <w:rPr>
                <w:rFonts w:eastAsia="Times New Roman"/>
                <w:b/>
                <w:bCs/>
                <w:lang w:val="it-IT"/>
              </w:rPr>
              <w:t>pre-riempita</w:t>
            </w:r>
          </w:p>
          <w:p w14:paraId="5D760E01" w14:textId="77777777" w:rsidR="00953B2E" w:rsidRPr="00C35766" w:rsidRDefault="00953B2E" w:rsidP="00752AA4">
            <w:pPr>
              <w:pStyle w:val="a3"/>
              <w:numPr>
                <w:ilvl w:val="0"/>
                <w:numId w:val="0"/>
              </w:numPr>
              <w:ind w:left="580"/>
            </w:pPr>
          </w:p>
          <w:p w14:paraId="1504117C" w14:textId="3699CBA0" w:rsidR="00953B2E" w:rsidRPr="00C35766" w:rsidRDefault="005F0C19" w:rsidP="00752AA4">
            <w:pPr>
              <w:pStyle w:val="AAAA"/>
              <w:framePr w:hSpace="0" w:wrap="auto" w:vAnchor="margin" w:hAnchor="text" w:yAlign="inline"/>
              <w:ind w:left="3487"/>
              <w:rPr>
                <w:lang w:val="pt-BR"/>
              </w:rPr>
            </w:pPr>
            <w:r w:rsidRPr="00C35766">
              <w:rPr>
                <w:b/>
                <w:bCs/>
              </w:rPr>
              <w:t>a</w:t>
            </w:r>
            <w:r w:rsidRPr="00C35766">
              <w:t>.</w:t>
            </w:r>
            <w:r w:rsidRPr="00C35766">
              <w:tab/>
            </w:r>
            <w:r w:rsidR="00DC38E1">
              <w:t>Si a</w:t>
            </w:r>
            <w:r w:rsidR="00DC38E1" w:rsidRPr="00C35766">
              <w:t xml:space="preserve">ssicuri </w:t>
            </w:r>
            <w:r w:rsidRPr="00C35766">
              <w:t xml:space="preserve">di avere il medicinale (Yuflyma) e il dosaggio corretti. </w:t>
            </w:r>
          </w:p>
          <w:p w14:paraId="581F82B5" w14:textId="0530FFAC" w:rsidR="00953B2E" w:rsidRPr="00C35766" w:rsidRDefault="005F0C19" w:rsidP="00752AA4">
            <w:pPr>
              <w:pStyle w:val="AAAA"/>
              <w:framePr w:hSpace="0" w:wrap="auto" w:vAnchor="margin" w:hAnchor="text" w:yAlign="inline"/>
              <w:ind w:left="3487"/>
            </w:pPr>
            <w:r w:rsidRPr="00C35766">
              <w:rPr>
                <w:b/>
                <w:bCs/>
              </w:rPr>
              <w:t>b</w:t>
            </w:r>
            <w:r w:rsidRPr="00C35766">
              <w:t xml:space="preserve">. </w:t>
            </w:r>
            <w:r w:rsidRPr="00C35766">
              <w:tab/>
              <w:t xml:space="preserve">Guardi la siringa </w:t>
            </w:r>
            <w:r w:rsidR="0092097A" w:rsidRPr="00C35766">
              <w:t>pre-riempita</w:t>
            </w:r>
            <w:r w:rsidRPr="00C35766">
              <w:t xml:space="preserve"> e si accerti che non sia incrinata  o danneggiata. </w:t>
            </w:r>
          </w:p>
          <w:p w14:paraId="4BE65097" w14:textId="2F07F91A" w:rsidR="00953B2E" w:rsidRPr="00C35766" w:rsidRDefault="005F0C19" w:rsidP="00752AA4">
            <w:pPr>
              <w:pStyle w:val="AAAA"/>
              <w:framePr w:hSpace="0" w:wrap="auto" w:vAnchor="margin" w:hAnchor="text" w:yAlign="inline"/>
              <w:ind w:left="3487"/>
            </w:pPr>
            <w:r w:rsidRPr="00C35766">
              <w:rPr>
                <w:b/>
                <w:bCs/>
              </w:rPr>
              <w:t>c</w:t>
            </w:r>
            <w:r w:rsidRPr="00C35766">
              <w:t>.</w:t>
            </w:r>
            <w:r w:rsidRPr="00C35766">
              <w:tab/>
              <w:t>Controlli la data di scadenza sull</w:t>
            </w:r>
            <w:r w:rsidR="0016259F" w:rsidRPr="00C35766">
              <w:t>’</w:t>
            </w:r>
            <w:r w:rsidRPr="00C35766">
              <w:t xml:space="preserve">etichetta della siringa </w:t>
            </w:r>
            <w:r w:rsidR="0092097A" w:rsidRPr="00C35766">
              <w:t>pre-riempita</w:t>
            </w:r>
            <w:r w:rsidRPr="00C35766">
              <w:t xml:space="preserve">. </w:t>
            </w:r>
          </w:p>
          <w:p w14:paraId="5DAE8DD7" w14:textId="77777777" w:rsidR="00953B2E" w:rsidRPr="00C35766" w:rsidRDefault="005F0C19" w:rsidP="00752AA4">
            <w:pPr>
              <w:pStyle w:val="Default"/>
              <w:rPr>
                <w:rFonts w:ascii="Times New Roman" w:hAnsi="Times New Roman" w:cs="Times New Roman"/>
                <w:lang w:val="it-IT"/>
              </w:rPr>
            </w:pPr>
            <w:r w:rsidRPr="00C35766">
              <w:rPr>
                <w:rFonts w:ascii="Times New Roman" w:hAnsi="Times New Roman" w:cs="Times New Roman"/>
                <w:lang w:val="it-IT"/>
              </w:rPr>
              <w:t xml:space="preserve"> </w:t>
            </w:r>
          </w:p>
          <w:p w14:paraId="0C845AE8" w14:textId="77777777" w:rsidR="00953B2E" w:rsidRPr="00C35766" w:rsidRDefault="00953B2E" w:rsidP="00752AA4">
            <w:pPr>
              <w:pStyle w:val="a3"/>
              <w:numPr>
                <w:ilvl w:val="0"/>
                <w:numId w:val="0"/>
              </w:numPr>
              <w:rPr>
                <w:b/>
                <w:lang w:val="it-IT" w:eastAsia="ko-KR"/>
              </w:rPr>
            </w:pPr>
          </w:p>
          <w:p w14:paraId="4CA03C0A" w14:textId="5FEC1C61" w:rsidR="00953B2E" w:rsidRPr="00C35766" w:rsidRDefault="005F0C19" w:rsidP="00752AA4">
            <w:pPr>
              <w:pStyle w:val="a3"/>
              <w:numPr>
                <w:ilvl w:val="0"/>
                <w:numId w:val="0"/>
              </w:numPr>
              <w:rPr>
                <w:lang w:val="es-ES" w:eastAsia="ko-KR"/>
              </w:rPr>
            </w:pPr>
            <w:r w:rsidRPr="00C35766">
              <w:rPr>
                <w:rFonts w:eastAsia="Times New Roman"/>
                <w:b/>
                <w:bCs/>
                <w:lang w:val="it-IT" w:eastAsia="ko-KR"/>
              </w:rPr>
              <w:t>Non</w:t>
            </w:r>
            <w:r w:rsidRPr="00C35766">
              <w:rPr>
                <w:rFonts w:eastAsia="Times New Roman"/>
                <w:lang w:val="it-IT" w:eastAsia="ko-KR"/>
              </w:rPr>
              <w:t xml:space="preserve"> usi la siringa </w:t>
            </w:r>
            <w:r w:rsidR="0092097A" w:rsidRPr="00C35766">
              <w:rPr>
                <w:rFonts w:eastAsia="Times New Roman"/>
                <w:lang w:val="it-IT" w:eastAsia="ko-KR"/>
              </w:rPr>
              <w:t>pre-riempita</w:t>
            </w:r>
            <w:r w:rsidRPr="00C35766">
              <w:rPr>
                <w:rFonts w:eastAsia="Times New Roman"/>
                <w:lang w:val="it-IT" w:eastAsia="ko-KR"/>
              </w:rPr>
              <w:t xml:space="preserve"> se:</w:t>
            </w:r>
          </w:p>
          <w:p w14:paraId="3A2C2998" w14:textId="1F91EF25" w:rsidR="00953B2E" w:rsidRPr="00C35766" w:rsidRDefault="005F0C19" w:rsidP="00752AA4">
            <w:pPr>
              <w:pStyle w:val="a3"/>
              <w:numPr>
                <w:ilvl w:val="2"/>
                <w:numId w:val="38"/>
              </w:numPr>
              <w:ind w:left="3127" w:hanging="3127"/>
              <w:rPr>
                <w:lang w:eastAsia="ko-KR"/>
              </w:rPr>
            </w:pPr>
            <w:r w:rsidRPr="00C35766">
              <w:rPr>
                <w:rFonts w:eastAsia="Times New Roman"/>
                <w:lang w:val="it-IT" w:eastAsia="ko-KR"/>
              </w:rPr>
              <w:t xml:space="preserve">è incrinata o danneggiata </w:t>
            </w:r>
          </w:p>
          <w:p w14:paraId="4B447D84" w14:textId="77777777" w:rsidR="00953B2E" w:rsidRPr="00613304" w:rsidRDefault="005F0C19" w:rsidP="00752AA4">
            <w:pPr>
              <w:pStyle w:val="a3"/>
              <w:numPr>
                <w:ilvl w:val="2"/>
                <w:numId w:val="38"/>
              </w:numPr>
              <w:ind w:left="3127" w:hanging="3127"/>
              <w:rPr>
                <w:lang w:val="es-ES" w:eastAsia="ko-KR"/>
              </w:rPr>
            </w:pPr>
            <w:r w:rsidRPr="00C35766">
              <w:rPr>
                <w:rFonts w:eastAsia="Times New Roman"/>
                <w:lang w:val="it-IT" w:eastAsia="ko-KR"/>
              </w:rPr>
              <w:t xml:space="preserve">è stata superata la data di scadenza. </w:t>
            </w:r>
          </w:p>
          <w:p w14:paraId="1F12E28E" w14:textId="328A1344" w:rsidR="00F21E03" w:rsidRPr="00C35766" w:rsidRDefault="00F21E03" w:rsidP="00752AA4">
            <w:pPr>
              <w:pStyle w:val="a3"/>
              <w:numPr>
                <w:ilvl w:val="2"/>
                <w:numId w:val="38"/>
              </w:numPr>
              <w:ind w:left="3127" w:hanging="3127"/>
              <w:rPr>
                <w:lang w:val="es-ES" w:eastAsia="ko-KR"/>
              </w:rPr>
            </w:pPr>
            <w:r w:rsidRPr="00F21E03">
              <w:rPr>
                <w:rFonts w:hint="eastAsia"/>
                <w:lang w:val="es-ES"/>
              </w:rPr>
              <w:t>è</w:t>
            </w:r>
            <w:r w:rsidRPr="00F21E03">
              <w:rPr>
                <w:lang w:val="es-ES"/>
              </w:rPr>
              <w:t xml:space="preserve"> caduta su una superficie dura</w:t>
            </w:r>
            <w:r>
              <w:rPr>
                <w:lang w:val="es-ES"/>
              </w:rPr>
              <w:t>.</w:t>
            </w:r>
          </w:p>
          <w:p w14:paraId="1D900DDE" w14:textId="77777777" w:rsidR="00953B2E" w:rsidRPr="00C35766" w:rsidRDefault="00953B2E" w:rsidP="00752AA4">
            <w:pPr>
              <w:pStyle w:val="Default"/>
              <w:rPr>
                <w:rFonts w:ascii="Times New Roman" w:hAnsi="Times New Roman" w:cs="Times New Roman"/>
                <w:color w:val="211D1E"/>
                <w:sz w:val="20"/>
                <w:szCs w:val="20"/>
                <w:lang w:val="es-ES"/>
              </w:rPr>
            </w:pPr>
          </w:p>
          <w:p w14:paraId="3A70BA1E" w14:textId="77777777" w:rsidR="00953B2E" w:rsidRPr="00C35766" w:rsidRDefault="00953B2E" w:rsidP="00752AA4">
            <w:pPr>
              <w:ind w:right="1248"/>
              <w:rPr>
                <w:rFonts w:ascii="Times New Roman" w:eastAsia="Times New Roman" w:hAnsi="Times New Roman" w:cs="Times New Roman"/>
                <w:b/>
                <w:bCs/>
                <w:lang w:val="es-ES"/>
              </w:rPr>
            </w:pPr>
          </w:p>
        </w:tc>
      </w:tr>
      <w:tr w:rsidR="00953B2E" w:rsidRPr="00C35766" w14:paraId="44C07C5D" w14:textId="77777777" w:rsidTr="00752AA4">
        <w:trPr>
          <w:trHeight w:val="4535"/>
        </w:trPr>
        <w:tc>
          <w:tcPr>
            <w:tcW w:w="9634" w:type="dxa"/>
          </w:tcPr>
          <w:p w14:paraId="62F5E1E0" w14:textId="74B55EBD" w:rsidR="00953B2E" w:rsidRPr="00C35766" w:rsidRDefault="00752AA4" w:rsidP="00752AA4">
            <w:pPr>
              <w:pStyle w:val="a3"/>
              <w:rPr>
                <w:lang w:val="es-ES" w:eastAsia="ko-KR"/>
              </w:rPr>
            </w:pPr>
            <w:r w:rsidRPr="00C35766">
              <w:rPr>
                <w:rFonts w:eastAsia="Times New Roman"/>
                <w:b/>
                <w:bCs/>
                <w:noProof/>
                <w:lang w:eastAsia="ko-KR"/>
              </w:rPr>
              <mc:AlternateContent>
                <mc:Choice Requires="wpg">
                  <w:drawing>
                    <wp:anchor distT="0" distB="0" distL="114300" distR="114300" simplePos="0" relativeHeight="251658251" behindDoc="0" locked="0" layoutInCell="1" allowOverlap="1" wp14:anchorId="55F4FB54" wp14:editId="703CBA13">
                      <wp:simplePos x="0" y="0"/>
                      <wp:positionH relativeFrom="column">
                        <wp:posOffset>60960</wp:posOffset>
                      </wp:positionH>
                      <wp:positionV relativeFrom="paragraph">
                        <wp:posOffset>161925</wp:posOffset>
                      </wp:positionV>
                      <wp:extent cx="2054860" cy="2698750"/>
                      <wp:effectExtent l="0" t="0" r="2540" b="6350"/>
                      <wp:wrapSquare wrapText="bothSides"/>
                      <wp:docPr id="42" name="그룹 42"/>
                      <wp:cNvGraphicFramePr/>
                      <a:graphic xmlns:a="http://schemas.openxmlformats.org/drawingml/2006/main">
                        <a:graphicData uri="http://schemas.microsoft.com/office/word/2010/wordprocessingGroup">
                          <wpg:wgp>
                            <wpg:cNvGrpSpPr/>
                            <wpg:grpSpPr>
                              <a:xfrm>
                                <a:off x="0" y="0"/>
                                <a:ext cx="2054860" cy="2698750"/>
                                <a:chOff x="0" y="0"/>
                                <a:chExt cx="2171700" cy="2848036"/>
                              </a:xfrm>
                            </wpg:grpSpPr>
                            <pic:pic xmlns:pic="http://schemas.openxmlformats.org/drawingml/2006/picture">
                              <pic:nvPicPr>
                                <pic:cNvPr id="3964" name="그림 3964"/>
                                <pic:cNvPicPr>
                                  <a:picLocks noChangeAspect="1"/>
                                </pic:cNvPicPr>
                              </pic:nvPicPr>
                              <pic:blipFill>
                                <a:blip r:embed="rId39"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385952" y="2647797"/>
                                  <a:ext cx="719758" cy="200239"/>
                                </a:xfrm>
                                <a:prstGeom prst="rect">
                                  <a:avLst/>
                                </a:prstGeom>
                                <a:solidFill>
                                  <a:prstClr val="white"/>
                                </a:solidFill>
                                <a:ln>
                                  <a:noFill/>
                                </a:ln>
                              </wps:spPr>
                              <wps:txbx>
                                <w:txbxContent>
                                  <w:p w14:paraId="3D3BB17E"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4FB54" id="그룹 42" o:spid="_x0000_s1063" style="position:absolute;margin-left:4.8pt;margin-top:12.75pt;width:161.8pt;height:212.5pt;z-index:251658251;mso-width-relative:margin;mso-height-relative:margin" coordsize="21717,28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">
                      <v:shape id="그림 3964" o:spid="_x0000_s1064"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40" o:title="" cropleft="-1f" cropright="570f"/>
                      </v:shape>
                      <v:shape id="Text Box 41" o:spid="_x0000_s1065" type="#_x0000_t202" style="position:absolute;left:13859;top:26477;width:7198;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3D3BB17E"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v:textbox>
                      </v:shape>
                      <w10:wrap type="square"/>
                    </v:group>
                  </w:pict>
                </mc:Fallback>
              </mc:AlternateContent>
            </w:r>
          </w:p>
          <w:p w14:paraId="0DE7498F" w14:textId="74199C36" w:rsidR="00953B2E" w:rsidRPr="00C35766" w:rsidRDefault="00953B2E" w:rsidP="00752AA4">
            <w:pPr>
              <w:pStyle w:val="a3"/>
              <w:rPr>
                <w:lang w:val="es-ES"/>
              </w:rPr>
            </w:pPr>
          </w:p>
          <w:p w14:paraId="7CFDBE19" w14:textId="4B89DA49" w:rsidR="00953B2E" w:rsidRPr="00C35766" w:rsidRDefault="005F0C19" w:rsidP="00752AA4">
            <w:pPr>
              <w:pStyle w:val="a3"/>
              <w:numPr>
                <w:ilvl w:val="0"/>
                <w:numId w:val="21"/>
              </w:numPr>
              <w:rPr>
                <w:b/>
              </w:rPr>
            </w:pPr>
            <w:r w:rsidRPr="00C35766">
              <w:rPr>
                <w:rFonts w:eastAsia="Times New Roman"/>
                <w:b/>
                <w:bCs/>
                <w:lang w:val="it-IT"/>
              </w:rPr>
              <w:t>Ispezioni il farmaco</w:t>
            </w:r>
          </w:p>
          <w:p w14:paraId="2D72CC67" w14:textId="2FA8AB03" w:rsidR="00953B2E" w:rsidRPr="00C35766" w:rsidRDefault="00953B2E" w:rsidP="00752AA4">
            <w:pPr>
              <w:ind w:right="1248"/>
              <w:rPr>
                <w:rFonts w:ascii="Times New Roman" w:eastAsia="Times New Roman" w:hAnsi="Times New Roman" w:cs="Times New Roman"/>
                <w:b/>
                <w:bCs/>
              </w:rPr>
            </w:pPr>
          </w:p>
          <w:p w14:paraId="2818670F" w14:textId="77777777" w:rsidR="00953B2E" w:rsidRPr="00C35766" w:rsidRDefault="005F0C19" w:rsidP="00752AA4">
            <w:pPr>
              <w:pStyle w:val="AAAA"/>
              <w:framePr w:hSpace="0" w:wrap="auto" w:vAnchor="margin" w:hAnchor="text" w:yAlign="inline"/>
              <w:ind w:left="4207" w:hanging="3847"/>
              <w:rPr>
                <w:lang w:val="pt-BR"/>
              </w:rPr>
            </w:pPr>
            <w:r w:rsidRPr="00C35766">
              <w:rPr>
                <w:b/>
                <w:bCs/>
              </w:rPr>
              <w:t>a</w:t>
            </w:r>
            <w:r w:rsidRPr="00C35766">
              <w:t>.</w:t>
            </w:r>
            <w:r w:rsidRPr="00C35766">
              <w:tab/>
              <w:t>Guardi il farmaco per confermare che il liquido sia  limpido, da incolore a marrone chiaro e privo di particelle.</w:t>
            </w:r>
          </w:p>
          <w:p w14:paraId="4B36638B" w14:textId="77777777" w:rsidR="00953B2E" w:rsidRPr="00C35766" w:rsidRDefault="00953B2E" w:rsidP="00752AA4">
            <w:pPr>
              <w:pStyle w:val="a3"/>
              <w:numPr>
                <w:ilvl w:val="0"/>
                <w:numId w:val="0"/>
              </w:numPr>
              <w:tabs>
                <w:tab w:val="left" w:pos="3861"/>
              </w:tabs>
              <w:rPr>
                <w:lang w:val="pt-BR"/>
              </w:rPr>
            </w:pPr>
          </w:p>
          <w:p w14:paraId="0095B513" w14:textId="0009AF73" w:rsidR="00953B2E" w:rsidRPr="00C35766" w:rsidRDefault="005F0C19" w:rsidP="00752AA4">
            <w:pPr>
              <w:pStyle w:val="a3"/>
              <w:numPr>
                <w:ilvl w:val="0"/>
                <w:numId w:val="16"/>
              </w:numPr>
              <w:ind w:left="4207" w:hanging="3223"/>
              <w:rPr>
                <w:lang w:val="pt-BR"/>
              </w:rPr>
            </w:pPr>
            <w:r w:rsidRPr="00C35766">
              <w:rPr>
                <w:rFonts w:eastAsia="Times New Roman"/>
                <w:b/>
                <w:bCs/>
                <w:lang w:val="it-IT"/>
              </w:rPr>
              <w:t>Non</w:t>
            </w:r>
            <w:r w:rsidRPr="00C35766">
              <w:rPr>
                <w:rFonts w:eastAsia="Times New Roman"/>
                <w:lang w:val="it-IT"/>
              </w:rPr>
              <w:t xml:space="preserve"> usi la siringa </w:t>
            </w:r>
            <w:r w:rsidR="0092097A" w:rsidRPr="00C35766">
              <w:rPr>
                <w:rFonts w:eastAsia="Times New Roman"/>
                <w:lang w:val="it-IT"/>
              </w:rPr>
              <w:t>pre-riempita</w:t>
            </w:r>
            <w:r w:rsidRPr="00C35766">
              <w:rPr>
                <w:rFonts w:eastAsia="Times New Roman"/>
                <w:lang w:val="it-IT"/>
              </w:rPr>
              <w:t xml:space="preserve"> se il liquido è: </w:t>
            </w:r>
            <w:r w:rsidRPr="00C35766">
              <w:rPr>
                <w:rFonts w:eastAsia="Times New Roman"/>
                <w:lang w:val="it-IT"/>
              </w:rPr>
              <w:br/>
              <w:t>di colore alterato (giallo o marrone scuro), torbido o contiene particelle.</w:t>
            </w:r>
          </w:p>
          <w:p w14:paraId="0A504AC2" w14:textId="77777777" w:rsidR="00953B2E" w:rsidRPr="00C35766" w:rsidRDefault="00953B2E" w:rsidP="00752AA4">
            <w:pPr>
              <w:pStyle w:val="a3"/>
              <w:numPr>
                <w:ilvl w:val="0"/>
                <w:numId w:val="0"/>
              </w:numPr>
              <w:ind w:left="4207" w:hanging="3223"/>
              <w:rPr>
                <w:lang w:val="pt-BR"/>
              </w:rPr>
            </w:pPr>
          </w:p>
          <w:p w14:paraId="4550B870" w14:textId="77777777" w:rsidR="00953B2E" w:rsidRPr="00C35766" w:rsidRDefault="005F0C19" w:rsidP="00752AA4">
            <w:pPr>
              <w:pStyle w:val="a3"/>
              <w:numPr>
                <w:ilvl w:val="0"/>
                <w:numId w:val="16"/>
              </w:numPr>
              <w:ind w:left="4207" w:hanging="3223"/>
              <w:rPr>
                <w:b/>
                <w:bCs/>
              </w:rPr>
            </w:pPr>
            <w:r w:rsidRPr="00C35766">
              <w:rPr>
                <w:rFonts w:eastAsia="Times New Roman"/>
                <w:lang w:val="it-IT"/>
              </w:rPr>
              <w:t>Potrebbe vedere bolle d’aria nel liquido. Questo è normale.</w:t>
            </w:r>
          </w:p>
        </w:tc>
      </w:tr>
      <w:tr w:rsidR="00953B2E" w:rsidRPr="006501B3" w14:paraId="6341EF6A" w14:textId="77777777" w:rsidTr="00752AA4">
        <w:trPr>
          <w:trHeight w:val="4819"/>
        </w:trPr>
        <w:tc>
          <w:tcPr>
            <w:tcW w:w="9634" w:type="dxa"/>
          </w:tcPr>
          <w:p w14:paraId="276FCB83" w14:textId="77777777" w:rsidR="00953B2E" w:rsidRPr="00C35766" w:rsidRDefault="00953B2E" w:rsidP="00752AA4">
            <w:pPr>
              <w:ind w:right="1248"/>
              <w:rPr>
                <w:rFonts w:ascii="Times New Roman" w:eastAsia="Times New Roman" w:hAnsi="Times New Roman" w:cs="Times New Roman"/>
                <w:b/>
                <w:bCs/>
                <w:spacing w:val="-1"/>
              </w:rPr>
            </w:pPr>
          </w:p>
          <w:p w14:paraId="06DF1E42" w14:textId="301B67AA" w:rsidR="00953B2E" w:rsidRPr="00C35766" w:rsidRDefault="00752AA4" w:rsidP="00752AA4">
            <w:pPr>
              <w:ind w:right="1248"/>
              <w:rPr>
                <w:rFonts w:ascii="Times New Roman" w:eastAsia="Times New Roman" w:hAnsi="Times New Roman" w:cs="Times New Roman"/>
                <w:bCs/>
              </w:rPr>
            </w:pPr>
            <w:r w:rsidRPr="00C35766">
              <w:rPr>
                <w:rFonts w:ascii="Times New Roman" w:eastAsia="Times New Roman" w:hAnsi="Times New Roman" w:cs="Times New Roman"/>
                <w:bCs/>
                <w:noProof/>
                <w:lang w:eastAsia="ko-KR"/>
              </w:rPr>
              <mc:AlternateContent>
                <mc:Choice Requires="wpg">
                  <w:drawing>
                    <wp:anchor distT="0" distB="0" distL="114300" distR="114300" simplePos="0" relativeHeight="251658273" behindDoc="0" locked="0" layoutInCell="1" allowOverlap="1" wp14:anchorId="73F0C6C4" wp14:editId="64BB54B3">
                      <wp:simplePos x="0" y="0"/>
                      <wp:positionH relativeFrom="column">
                        <wp:posOffset>98187</wp:posOffset>
                      </wp:positionH>
                      <wp:positionV relativeFrom="paragraph">
                        <wp:posOffset>72695</wp:posOffset>
                      </wp:positionV>
                      <wp:extent cx="2134235" cy="2749550"/>
                      <wp:effectExtent l="0" t="0" r="0" b="0"/>
                      <wp:wrapSquare wrapText="bothSides"/>
                      <wp:docPr id="86" name="그룹 86"/>
                      <wp:cNvGraphicFramePr/>
                      <a:graphic xmlns:a="http://schemas.openxmlformats.org/drawingml/2006/main">
                        <a:graphicData uri="http://schemas.microsoft.com/office/word/2010/wordprocessingGroup">
                          <wpg:wgp>
                            <wpg:cNvGrpSpPr/>
                            <wpg:grpSpPr>
                              <a:xfrm>
                                <a:off x="0" y="0"/>
                                <a:ext cx="2134235" cy="2749550"/>
                                <a:chOff x="0" y="0"/>
                                <a:chExt cx="2134235" cy="2749550"/>
                              </a:xfrm>
                            </wpg:grpSpPr>
                            <wpg:grpSp>
                              <wpg:cNvPr id="44" name="그룹 44"/>
                              <wpg:cNvGrpSpPr/>
                              <wpg:grpSpPr>
                                <a:xfrm>
                                  <a:off x="0" y="0"/>
                                  <a:ext cx="2134235" cy="2749550"/>
                                  <a:chOff x="0" y="0"/>
                                  <a:chExt cx="2134235" cy="2749550"/>
                                </a:xfrm>
                              </wpg:grpSpPr>
                              <pic:pic xmlns:pic="http://schemas.openxmlformats.org/drawingml/2006/picture">
                                <pic:nvPicPr>
                                  <pic:cNvPr id="25" name="그림 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43" name="Text Box 43"/>
                                <wps:cNvSpPr txBox="1"/>
                                <wps:spPr>
                                  <a:xfrm>
                                    <a:off x="1371600" y="2603500"/>
                                    <a:ext cx="719758" cy="146050"/>
                                  </a:xfrm>
                                  <a:prstGeom prst="rect">
                                    <a:avLst/>
                                  </a:prstGeom>
                                  <a:solidFill>
                                    <a:prstClr val="white"/>
                                  </a:solidFill>
                                  <a:ln>
                                    <a:noFill/>
                                  </a:ln>
                                </wps:spPr>
                                <wps:txbx>
                                  <w:txbxContent>
                                    <w:p w14:paraId="6128F2FF"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0" name="Text Box 120"/>
                              <wps:cNvSpPr txBox="1"/>
                              <wps:spPr>
                                <a:xfrm>
                                  <a:off x="1165860" y="8382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14429" w14:textId="77777777" w:rsidR="00D97785" w:rsidRDefault="00D97785">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3F0C6C4" id="그룹 86" o:spid="_x0000_s1066" style="position:absolute;margin-left:7.75pt;margin-top:5.7pt;width:168.05pt;height:216.5pt;z-index:251658273"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">
                      <v:group id="그룹 44" o:spid="_x0000_s1067" style="position:absolute;width:21342;height:27495" coordsize="2134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068"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42" o:title=""/>
                        </v:shape>
                        <v:shape id="Text Box 43" o:spid="_x0000_s1069"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6128F2FF"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v:textbox>
                        </v:shape>
                      </v:group>
                      <v:shape id="Text Box 120" o:spid="_x0000_s1070" type="#_x0000_t202" style="position:absolute;left:11658;top:838;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26514429" w14:textId="77777777" w:rsidR="00D97785" w:rsidRDefault="00D97785">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v:textbox>
                      </v:shape>
                      <w10:wrap type="square"/>
                    </v:group>
                  </w:pict>
                </mc:Fallback>
              </mc:AlternateContent>
            </w:r>
          </w:p>
          <w:p w14:paraId="38989043" w14:textId="61D7D536" w:rsidR="00953B2E" w:rsidRPr="00C35766" w:rsidRDefault="00953B2E" w:rsidP="00752AA4">
            <w:pPr>
              <w:ind w:right="1248"/>
              <w:rPr>
                <w:rFonts w:ascii="Times New Roman" w:eastAsia="Times New Roman" w:hAnsi="Times New Roman" w:cs="Times New Roman"/>
                <w:bCs/>
              </w:rPr>
            </w:pPr>
          </w:p>
          <w:p w14:paraId="4FE31C5A" w14:textId="61C51560" w:rsidR="00953B2E" w:rsidRPr="00C35766" w:rsidRDefault="005F0C19" w:rsidP="00752AA4">
            <w:pPr>
              <w:pStyle w:val="a3"/>
              <w:numPr>
                <w:ilvl w:val="0"/>
                <w:numId w:val="21"/>
              </w:numPr>
              <w:ind w:left="4117" w:hanging="4006"/>
              <w:rPr>
                <w:b/>
              </w:rPr>
            </w:pPr>
            <w:r w:rsidRPr="00C35766">
              <w:rPr>
                <w:rFonts w:eastAsia="Times New Roman"/>
                <w:b/>
                <w:bCs/>
                <w:lang w:val="it-IT"/>
              </w:rPr>
              <w:t xml:space="preserve">Attenda 15-30 minuti </w:t>
            </w:r>
          </w:p>
          <w:p w14:paraId="56C38382" w14:textId="77777777" w:rsidR="00953B2E" w:rsidRPr="00C35766" w:rsidRDefault="00953B2E" w:rsidP="00752AA4">
            <w:pPr>
              <w:pStyle w:val="a3"/>
              <w:numPr>
                <w:ilvl w:val="0"/>
                <w:numId w:val="0"/>
              </w:numPr>
              <w:ind w:left="471"/>
              <w:rPr>
                <w:b/>
              </w:rPr>
            </w:pPr>
          </w:p>
          <w:p w14:paraId="2598F1C3" w14:textId="0E9C8C12" w:rsidR="00953B2E" w:rsidRPr="00C35766" w:rsidRDefault="005F0C19" w:rsidP="00752AA4">
            <w:pPr>
              <w:pStyle w:val="AAAA"/>
              <w:framePr w:hSpace="0" w:wrap="auto" w:vAnchor="margin" w:hAnchor="text" w:yAlign="inline"/>
              <w:ind w:left="4477" w:hanging="270"/>
              <w:rPr>
                <w:lang w:val="pt-BR"/>
              </w:rPr>
            </w:pPr>
            <w:r w:rsidRPr="00C35766">
              <w:rPr>
                <w:b/>
                <w:bCs/>
              </w:rPr>
              <w:t>a</w:t>
            </w:r>
            <w:r w:rsidRPr="00C35766">
              <w:t>.</w:t>
            </w:r>
            <w:r w:rsidRPr="00C35766">
              <w:tab/>
              <w:t xml:space="preserve">Lasci la siringa </w:t>
            </w:r>
            <w:r w:rsidR="0092097A" w:rsidRPr="00C35766">
              <w:t>pre-riempita</w:t>
            </w:r>
            <w:r w:rsidRPr="00C35766">
              <w:t xml:space="preserve"> a temperatura ambiente per 15-30 minuti in modo che si possa scaldare.</w:t>
            </w:r>
          </w:p>
          <w:p w14:paraId="777F9004" w14:textId="77777777" w:rsidR="00953B2E" w:rsidRPr="00C35766" w:rsidRDefault="00953B2E" w:rsidP="00752AA4">
            <w:pPr>
              <w:pStyle w:val="Default"/>
              <w:ind w:left="4117" w:hanging="3757"/>
              <w:rPr>
                <w:rFonts w:ascii="Times New Roman" w:hAnsi="Times New Roman" w:cs="Times New Roman"/>
                <w:color w:val="211D1E"/>
                <w:sz w:val="20"/>
                <w:szCs w:val="20"/>
                <w:lang w:val="pt-BR"/>
              </w:rPr>
            </w:pPr>
          </w:p>
          <w:p w14:paraId="73C4E2E9" w14:textId="26B65859" w:rsidR="00953B2E" w:rsidRPr="00C35766" w:rsidRDefault="005F0C19" w:rsidP="00752AA4">
            <w:pPr>
              <w:pStyle w:val="a3"/>
              <w:numPr>
                <w:ilvl w:val="0"/>
                <w:numId w:val="39"/>
              </w:numPr>
              <w:ind w:left="4117" w:hanging="3757"/>
              <w:rPr>
                <w:rFonts w:eastAsia="Times New Roman"/>
                <w:lang w:val="pt-BR"/>
              </w:rPr>
            </w:pPr>
            <w:r w:rsidRPr="00C35766">
              <w:rPr>
                <w:rFonts w:eastAsia="Times New Roman"/>
                <w:b/>
                <w:bCs/>
                <w:lang w:val="it-IT"/>
              </w:rPr>
              <w:t>Non</w:t>
            </w:r>
            <w:r w:rsidRPr="00C35766">
              <w:rPr>
                <w:rFonts w:eastAsia="Times New Roman"/>
                <w:lang w:val="it-IT"/>
              </w:rPr>
              <w:t xml:space="preserve"> riscaldi la siringa </w:t>
            </w:r>
            <w:r w:rsidR="0092097A" w:rsidRPr="00C35766">
              <w:rPr>
                <w:rFonts w:eastAsia="Times New Roman"/>
                <w:lang w:val="it-IT"/>
              </w:rPr>
              <w:t>pre-riempita</w:t>
            </w:r>
            <w:r w:rsidRPr="00C35766">
              <w:rPr>
                <w:rFonts w:eastAsia="Times New Roman"/>
                <w:lang w:val="it-IT"/>
              </w:rPr>
              <w:t xml:space="preserve"> utilizzando fonti di calore come acqua calda o microonde.</w:t>
            </w:r>
          </w:p>
        </w:tc>
      </w:tr>
    </w:tbl>
    <w:tbl>
      <w:tblPr>
        <w:tblStyle w:val="ac"/>
        <w:tblW w:w="0" w:type="auto"/>
        <w:tblLook w:val="04A0" w:firstRow="1" w:lastRow="0" w:firstColumn="1" w:lastColumn="0" w:noHBand="0" w:noVBand="1"/>
      </w:tblPr>
      <w:tblGrid>
        <w:gridCol w:w="9550"/>
      </w:tblGrid>
      <w:tr w:rsidR="00953B2E" w:rsidRPr="00494E69" w14:paraId="3C4ACAEC" w14:textId="77777777">
        <w:trPr>
          <w:trHeight w:val="5933"/>
        </w:trPr>
        <w:tc>
          <w:tcPr>
            <w:tcW w:w="9550" w:type="dxa"/>
          </w:tcPr>
          <w:p w14:paraId="738AAF90" w14:textId="77777777" w:rsidR="00953B2E" w:rsidRPr="00C35766" w:rsidRDefault="00953B2E">
            <w:pPr>
              <w:ind w:left="224" w:right="1248"/>
              <w:rPr>
                <w:rFonts w:ascii="Times New Roman" w:eastAsia="Times New Roman" w:hAnsi="Times New Roman" w:cs="Times New Roman"/>
                <w:b/>
                <w:bCs/>
                <w:spacing w:val="-1"/>
                <w:lang w:val="pt-BR"/>
              </w:rPr>
            </w:pPr>
          </w:p>
          <w:p w14:paraId="2A7E2365" w14:textId="77777777" w:rsidR="00953B2E" w:rsidRPr="00C35766" w:rsidRDefault="00953B2E">
            <w:pPr>
              <w:ind w:right="1248"/>
              <w:rPr>
                <w:rFonts w:ascii="Times New Roman" w:hAnsi="Times New Roman" w:cs="Times New Roman"/>
                <w:lang w:val="pt-BR"/>
              </w:rPr>
            </w:pPr>
          </w:p>
          <w:p w14:paraId="4420ABBD" w14:textId="4F794181" w:rsidR="00953B2E" w:rsidRPr="00C35766" w:rsidRDefault="007F20E6">
            <w:pPr>
              <w:ind w:right="1248"/>
              <w:rPr>
                <w:rFonts w:ascii="Times New Roman" w:hAnsi="Times New Roman" w:cs="Times New Roman"/>
                <w:lang w:val="pt-BR"/>
              </w:rPr>
            </w:pPr>
            <w:r w:rsidRPr="00C35766">
              <w:rPr>
                <w:rFonts w:ascii="Times New Roman" w:hAnsi="Times New Roman" w:cs="Times New Roman"/>
                <w:noProof/>
                <w:lang w:eastAsia="ko-KR"/>
              </w:rPr>
              <mc:AlternateContent>
                <mc:Choice Requires="wpg">
                  <w:drawing>
                    <wp:anchor distT="0" distB="0" distL="114300" distR="114300" simplePos="0" relativeHeight="251658277" behindDoc="0" locked="0" layoutInCell="1" allowOverlap="1" wp14:anchorId="79D2C2C8" wp14:editId="01AD4327">
                      <wp:simplePos x="0" y="0"/>
                      <wp:positionH relativeFrom="column">
                        <wp:posOffset>38735</wp:posOffset>
                      </wp:positionH>
                      <wp:positionV relativeFrom="paragraph">
                        <wp:posOffset>49530</wp:posOffset>
                      </wp:positionV>
                      <wp:extent cx="2097405" cy="3554730"/>
                      <wp:effectExtent l="0" t="0" r="0" b="7620"/>
                      <wp:wrapSquare wrapText="bothSides"/>
                      <wp:docPr id="89" name="그룹 89"/>
                      <wp:cNvGraphicFramePr/>
                      <a:graphic xmlns:a="http://schemas.openxmlformats.org/drawingml/2006/main">
                        <a:graphicData uri="http://schemas.microsoft.com/office/word/2010/wordprocessingGroup">
                          <wpg:wgp>
                            <wpg:cNvGrpSpPr/>
                            <wpg:grpSpPr>
                              <a:xfrm>
                                <a:off x="0" y="0"/>
                                <a:ext cx="2097405" cy="355473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133BAE2E"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5" name="Text Box 125"/>
                              <wps:cNvSpPr txBox="1"/>
                              <wps:spPr>
                                <a:xfrm>
                                  <a:off x="518160" y="2254250"/>
                                  <a:ext cx="1233377" cy="782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E88F8A" w14:textId="77777777" w:rsidR="00D97785" w:rsidRPr="00824699" w:rsidRDefault="00D97785">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55D77C78" w14:textId="77777777" w:rsidR="00D97785" w:rsidRPr="00824699" w:rsidRDefault="00D97785">
                                    <w:pPr>
                                      <w:rPr>
                                        <w:rFonts w:asciiTheme="majorBidi" w:hAnsiTheme="majorBidi"/>
                                        <w:b/>
                                        <w:sz w:val="6"/>
                                        <w:lang w:val="it-IT"/>
                                      </w:rPr>
                                    </w:pPr>
                                  </w:p>
                                  <w:p w14:paraId="46CEF18B" w14:textId="77777777" w:rsidR="00D97785" w:rsidRPr="002062B2" w:rsidRDefault="00D97785">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9D2C2C8" id="그룹 89" o:spid="_x0000_s1071" style="position:absolute;margin-left:3.05pt;margin-top:3.9pt;width:165.15pt;height:279.9pt;z-index:251658277;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">
                      <v:group id="그룹 46" o:spid="_x0000_s1072"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73"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44" o:title=""/>
                        </v:shape>
                        <v:shape id="Text Box 45" o:spid="_x0000_s1074"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133BAE2E"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v:textbox>
                        </v:shape>
                      </v:group>
                      <v:shape id="Text Box 125" o:spid="_x0000_s1075" type="#_x0000_t202" style="position:absolute;left:5181;top:22542;width:12334;height:7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55E88F8A" w14:textId="77777777" w:rsidR="00D97785" w:rsidRPr="00824699" w:rsidRDefault="00D97785">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55D77C78" w14:textId="77777777" w:rsidR="00D97785" w:rsidRPr="00824699" w:rsidRDefault="00D97785">
                              <w:pPr>
                                <w:rPr>
                                  <w:rFonts w:asciiTheme="majorBidi" w:hAnsiTheme="majorBidi"/>
                                  <w:b/>
                                  <w:sz w:val="6"/>
                                  <w:lang w:val="it-IT"/>
                                </w:rPr>
                              </w:pPr>
                            </w:p>
                            <w:p w14:paraId="46CEF18B" w14:textId="77777777" w:rsidR="00D97785" w:rsidRPr="002062B2" w:rsidRDefault="00D97785">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v:textbox>
                      </v:shape>
                      <w10:wrap type="square"/>
                    </v:group>
                  </w:pict>
                </mc:Fallback>
              </mc:AlternateContent>
            </w:r>
          </w:p>
          <w:p w14:paraId="34694787" w14:textId="77777777" w:rsidR="00953B2E" w:rsidRPr="00C35766" w:rsidRDefault="005F0C19" w:rsidP="00787805">
            <w:pPr>
              <w:pStyle w:val="a3"/>
              <w:numPr>
                <w:ilvl w:val="0"/>
                <w:numId w:val="21"/>
              </w:numPr>
              <w:rPr>
                <w:b/>
              </w:rPr>
            </w:pPr>
            <w:r w:rsidRPr="00C35766">
              <w:rPr>
                <w:rFonts w:eastAsia="Times New Roman"/>
                <w:b/>
                <w:bCs/>
                <w:lang w:val="it-IT"/>
              </w:rPr>
              <w:t>Scelga un sito d’iniezione appropriato</w:t>
            </w:r>
          </w:p>
          <w:p w14:paraId="45E9E607" w14:textId="77777777" w:rsidR="00953B2E" w:rsidRPr="00C35766" w:rsidRDefault="00953B2E">
            <w:pPr>
              <w:pStyle w:val="a3"/>
            </w:pPr>
          </w:p>
          <w:p w14:paraId="392A682B" w14:textId="77777777" w:rsidR="00953B2E" w:rsidRPr="00C35766" w:rsidRDefault="005F0C19">
            <w:pPr>
              <w:pStyle w:val="a3"/>
              <w:ind w:left="3847" w:hanging="360"/>
            </w:pPr>
            <w:r w:rsidRPr="00C35766">
              <w:rPr>
                <w:rFonts w:eastAsia="Times New Roman"/>
                <w:b/>
                <w:bCs/>
                <w:lang w:val="it-IT"/>
              </w:rPr>
              <w:t>a.</w:t>
            </w:r>
            <w:r w:rsidRPr="00C35766">
              <w:rPr>
                <w:rFonts w:eastAsia="Times New Roman"/>
                <w:lang w:val="it-IT"/>
              </w:rPr>
              <w:tab/>
              <w:t>Può eseguire l’iniezione:</w:t>
            </w:r>
          </w:p>
          <w:p w14:paraId="2AEB1A5B" w14:textId="3C901EE1" w:rsidR="00953B2E" w:rsidRPr="00C35766" w:rsidRDefault="005F0C19">
            <w:pPr>
              <w:pStyle w:val="a3"/>
              <w:ind w:left="4297" w:hanging="450"/>
              <w:rPr>
                <w:lang w:val="es-ES"/>
              </w:rPr>
            </w:pPr>
            <w:r w:rsidRPr="00C35766">
              <w:rPr>
                <w:rFonts w:eastAsia="Times New Roman"/>
                <w:lang w:val="it-IT"/>
              </w:rPr>
              <w:t xml:space="preserve"> - </w:t>
            </w:r>
            <w:r w:rsidRPr="00C35766">
              <w:rPr>
                <w:rFonts w:eastAsia="Times New Roman"/>
                <w:lang w:val="it-IT"/>
              </w:rPr>
              <w:tab/>
              <w:t>nella parte anteriore della coscia</w:t>
            </w:r>
          </w:p>
          <w:p w14:paraId="185EDBA5" w14:textId="7FFD7FAA" w:rsidR="00953B2E" w:rsidRPr="00C35766" w:rsidRDefault="005F0C19">
            <w:pPr>
              <w:pStyle w:val="a3"/>
              <w:ind w:left="4297" w:hanging="450"/>
              <w:rPr>
                <w:lang w:val="es-ES"/>
              </w:rPr>
            </w:pPr>
            <w:r w:rsidRPr="00C35766">
              <w:rPr>
                <w:rFonts w:eastAsia="Times New Roman"/>
                <w:lang w:val="it-IT"/>
              </w:rPr>
              <w:t xml:space="preserve"> - </w:t>
            </w:r>
            <w:r w:rsidRPr="00C35766">
              <w:rPr>
                <w:rFonts w:eastAsia="Times New Roman"/>
                <w:lang w:val="it-IT"/>
              </w:rPr>
              <w:tab/>
              <w:t>nell’addome, ad eccezione dell'area di 5 cm intorno  all'ombelico</w:t>
            </w:r>
          </w:p>
          <w:p w14:paraId="0A1D0078" w14:textId="77777777" w:rsidR="00953B2E" w:rsidRPr="00C35766" w:rsidRDefault="005F0C19">
            <w:pPr>
              <w:pStyle w:val="a3"/>
              <w:ind w:left="4297" w:hanging="450"/>
              <w:rPr>
                <w:lang w:val="es-ES"/>
              </w:rPr>
            </w:pPr>
            <w:r w:rsidRPr="00C35766">
              <w:rPr>
                <w:rFonts w:eastAsia="Times New Roman"/>
                <w:lang w:val="it-IT"/>
              </w:rPr>
              <w:t xml:space="preserve"> - </w:t>
            </w:r>
            <w:r w:rsidRPr="00C35766">
              <w:rPr>
                <w:rFonts w:eastAsia="Times New Roman"/>
                <w:lang w:val="it-IT"/>
              </w:rPr>
              <w:tab/>
              <w:t xml:space="preserve">nella zona esterna della parte superiore del braccio (SOLO se Lei è una  persona che assiste il paziente). </w:t>
            </w:r>
          </w:p>
          <w:p w14:paraId="15A79F90" w14:textId="77777777" w:rsidR="00953B2E" w:rsidRPr="00C35766" w:rsidRDefault="00953B2E">
            <w:pPr>
              <w:pStyle w:val="a3"/>
              <w:ind w:left="4297" w:hanging="450"/>
              <w:rPr>
                <w:lang w:val="es-ES"/>
              </w:rPr>
            </w:pPr>
          </w:p>
          <w:p w14:paraId="5AA111FB" w14:textId="7EAA79D7" w:rsidR="00953B2E" w:rsidRPr="00C35766" w:rsidRDefault="005F0C19" w:rsidP="00787805">
            <w:pPr>
              <w:pStyle w:val="a3"/>
              <w:framePr w:hSpace="142" w:wrap="around" w:vAnchor="text" w:hAnchor="margin" w:y="67"/>
              <w:numPr>
                <w:ilvl w:val="0"/>
                <w:numId w:val="17"/>
              </w:numPr>
              <w:ind w:left="4297" w:hanging="450"/>
              <w:rPr>
                <w:lang w:val="es-ES"/>
              </w:rPr>
            </w:pPr>
            <w:r w:rsidRPr="00C35766">
              <w:rPr>
                <w:b/>
                <w:bCs/>
                <w:lang w:val="es-ES"/>
              </w:rPr>
              <w:t>Non</w:t>
            </w:r>
            <w:r w:rsidRPr="00C35766">
              <w:rPr>
                <w:lang w:val="es-ES"/>
              </w:rPr>
              <w:t xml:space="preserve"> esegua </w:t>
            </w:r>
            <w:r w:rsidRPr="00C35766">
              <w:rPr>
                <w:rFonts w:eastAsia="Times New Roman"/>
                <w:lang w:val="it-IT"/>
              </w:rPr>
              <w:t>l’iniezione</w:t>
            </w:r>
            <w:r w:rsidRPr="00C35766">
              <w:rPr>
                <w:lang w:val="es-ES"/>
              </w:rPr>
              <w:t xml:space="preserve"> in aree cutanee entro 5 cm </w:t>
            </w:r>
            <w:r w:rsidRPr="00C35766">
              <w:rPr>
                <w:rFonts w:eastAsia="Times New Roman"/>
                <w:lang w:val="it-IT"/>
              </w:rPr>
              <w:t xml:space="preserve"> dal Suo ombelico o in un’area arrossata, dura, dolorante, danneggiat</w:t>
            </w:r>
            <w:r w:rsidR="00A768E5" w:rsidRPr="00C35766">
              <w:rPr>
                <w:rFonts w:eastAsia="Times New Roman"/>
                <w:lang w:val="it-IT"/>
              </w:rPr>
              <w:t>a</w:t>
            </w:r>
            <w:r w:rsidRPr="00C35766">
              <w:rPr>
                <w:rFonts w:eastAsia="Times New Roman"/>
                <w:lang w:val="it-IT"/>
              </w:rPr>
              <w:t xml:space="preserve">, livida, o  che presenta cicatrici. </w:t>
            </w:r>
          </w:p>
          <w:p w14:paraId="703BACA3" w14:textId="789BE57E" w:rsidR="00953B2E" w:rsidRPr="00C35766" w:rsidRDefault="005F0C19" w:rsidP="00787805">
            <w:pPr>
              <w:pStyle w:val="a3"/>
              <w:numPr>
                <w:ilvl w:val="0"/>
                <w:numId w:val="17"/>
              </w:numPr>
              <w:ind w:left="4297" w:hanging="450"/>
              <w:rPr>
                <w:lang w:val="es-ES"/>
              </w:rPr>
            </w:pPr>
            <w:r w:rsidRPr="00C35766">
              <w:rPr>
                <w:rFonts w:eastAsia="Times New Roman"/>
                <w:lang w:val="it-IT"/>
              </w:rPr>
              <w:t xml:space="preserve">Se ha la psoriasi, </w:t>
            </w:r>
            <w:r w:rsidRPr="00C35766">
              <w:rPr>
                <w:rFonts w:eastAsia="Times New Roman"/>
                <w:b/>
                <w:bCs/>
                <w:lang w:val="it-IT"/>
              </w:rPr>
              <w:t>non</w:t>
            </w:r>
            <w:r w:rsidRPr="00C35766">
              <w:rPr>
                <w:rFonts w:eastAsia="Times New Roman"/>
                <w:lang w:val="it-IT"/>
              </w:rPr>
              <w:t xml:space="preserve"> esegua l’iniezione su nessuna macchia in rilievo,  ispessita, arrossata o squamosa né su nessuna lesione cutanea. </w:t>
            </w:r>
          </w:p>
          <w:p w14:paraId="3C5ADCFB" w14:textId="77777777" w:rsidR="00953B2E" w:rsidRPr="00C35766" w:rsidRDefault="005F0C19" w:rsidP="00787805">
            <w:pPr>
              <w:pStyle w:val="a3"/>
              <w:numPr>
                <w:ilvl w:val="0"/>
                <w:numId w:val="17"/>
              </w:numPr>
              <w:ind w:left="4297" w:hanging="450"/>
              <w:rPr>
                <w:lang w:val="fr-FR"/>
              </w:rPr>
            </w:pPr>
            <w:r w:rsidRPr="00C35766">
              <w:rPr>
                <w:rFonts w:eastAsia="Times New Roman"/>
                <w:b/>
                <w:bCs/>
                <w:lang w:val="it-IT"/>
              </w:rPr>
              <w:t xml:space="preserve">Non </w:t>
            </w:r>
            <w:r w:rsidRPr="00C35766">
              <w:rPr>
                <w:rFonts w:eastAsia="Times New Roman"/>
                <w:lang w:val="it-IT"/>
              </w:rPr>
              <w:t>esegua l’iniezione attraverso gli indumenti.</w:t>
            </w:r>
          </w:p>
          <w:p w14:paraId="04DC5517" w14:textId="77777777" w:rsidR="00953B2E" w:rsidRPr="00C35766" w:rsidRDefault="00953B2E">
            <w:pPr>
              <w:pStyle w:val="a3"/>
              <w:rPr>
                <w:lang w:val="fr-FR"/>
              </w:rPr>
            </w:pPr>
          </w:p>
          <w:p w14:paraId="13B906E9" w14:textId="77777777" w:rsidR="00953B2E" w:rsidRPr="00BD232C" w:rsidRDefault="005F0C19">
            <w:pPr>
              <w:pStyle w:val="a3"/>
              <w:ind w:left="3847" w:hanging="360"/>
            </w:pPr>
            <w:r w:rsidRPr="00C35766">
              <w:rPr>
                <w:rFonts w:eastAsia="Times New Roman"/>
                <w:b/>
                <w:bCs/>
                <w:lang w:val="it-IT"/>
              </w:rPr>
              <w:t>b.</w:t>
            </w:r>
            <w:r w:rsidRPr="00C35766">
              <w:rPr>
                <w:rFonts w:eastAsia="Times New Roman"/>
                <w:lang w:val="it-IT"/>
              </w:rPr>
              <w:t xml:space="preserve"> </w:t>
            </w:r>
            <w:r w:rsidRPr="00C35766">
              <w:rPr>
                <w:rFonts w:eastAsia="Times New Roman"/>
                <w:lang w:val="it-IT"/>
              </w:rPr>
              <w:tab/>
              <w:t>Esegua una rotazione del sito d’iniezione ogni volta che somministra un iniezione. Ogni nuovo sito d’iniezione deve essere ad almeno 3 cm di distanza dal sito d’iniezione utilizzato in precedenza.</w:t>
            </w:r>
          </w:p>
        </w:tc>
      </w:tr>
      <w:tr w:rsidR="00953B2E" w:rsidRPr="006501B3" w14:paraId="24DC2F13" w14:textId="77777777">
        <w:trPr>
          <w:trHeight w:val="5945"/>
        </w:trPr>
        <w:tc>
          <w:tcPr>
            <w:tcW w:w="9550" w:type="dxa"/>
          </w:tcPr>
          <w:p w14:paraId="1C579501" w14:textId="77777777" w:rsidR="00953B2E" w:rsidRPr="00BD232C" w:rsidRDefault="00953B2E">
            <w:pPr>
              <w:pStyle w:val="1"/>
              <w:spacing w:before="76"/>
              <w:ind w:left="0" w:right="2736"/>
              <w:rPr>
                <w:rFonts w:eastAsiaTheme="minorEastAsia" w:cs="Times New Roman"/>
                <w:lang w:eastAsia="ko-KR"/>
              </w:rPr>
            </w:pPr>
          </w:p>
          <w:p w14:paraId="66FC15F6" w14:textId="77777777" w:rsidR="00953B2E" w:rsidRPr="00BD232C" w:rsidRDefault="005F0C19">
            <w:pPr>
              <w:pStyle w:val="1"/>
              <w:spacing w:before="76"/>
              <w:ind w:left="0" w:right="2736"/>
              <w:rPr>
                <w:rFonts w:eastAsiaTheme="minorEastAsia" w:cs="Times New Roman"/>
                <w:lang w:eastAsia="ko-KR"/>
              </w:rPr>
            </w:pPr>
            <w:r w:rsidRPr="00C35766">
              <w:rPr>
                <w:rFonts w:eastAsiaTheme="minorEastAsia" w:cs="Times New Roman"/>
                <w:noProof/>
                <w:lang w:eastAsia="ko-KR"/>
              </w:rPr>
              <mc:AlternateContent>
                <mc:Choice Requires="wpg">
                  <w:drawing>
                    <wp:anchor distT="0" distB="0" distL="114300" distR="114300" simplePos="0" relativeHeight="251658252" behindDoc="0" locked="0" layoutInCell="1" allowOverlap="1" wp14:anchorId="72BDD341" wp14:editId="6EF5E6C3">
                      <wp:simplePos x="0" y="0"/>
                      <wp:positionH relativeFrom="column">
                        <wp:posOffset>-19685</wp:posOffset>
                      </wp:positionH>
                      <wp:positionV relativeFrom="paragraph">
                        <wp:posOffset>101600</wp:posOffset>
                      </wp:positionV>
                      <wp:extent cx="2172335" cy="2787015"/>
                      <wp:effectExtent l="0" t="0" r="0" b="0"/>
                      <wp:wrapSquare wrapText="bothSides"/>
                      <wp:docPr id="48" name="그룹 48"/>
                      <wp:cNvGraphicFramePr/>
                      <a:graphic xmlns:a="http://schemas.openxmlformats.org/drawingml/2006/main">
                        <a:graphicData uri="http://schemas.microsoft.com/office/word/2010/wordprocessingGroup">
                          <wpg:wgp>
                            <wpg:cNvGrpSpPr/>
                            <wpg:grpSpPr>
                              <a:xfrm>
                                <a:off x="0" y="0"/>
                                <a:ext cx="2172335" cy="2787015"/>
                                <a:chOff x="0" y="0"/>
                                <a:chExt cx="2407920" cy="3092450"/>
                              </a:xfrm>
                            </wpg:grpSpPr>
                            <pic:pic xmlns:pic="http://schemas.openxmlformats.org/drawingml/2006/picture">
                              <pic:nvPicPr>
                                <pic:cNvPr id="59" name="그림 5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24A66E85"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BDD341" id="그룹 48" o:spid="_x0000_s1076" style="position:absolute;margin-left:-1.55pt;margin-top:8pt;width:171.05pt;height:219.45pt;z-index:251658252;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">
                      <v:shape id="그림 59" o:spid="_x0000_s107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46" o:title=""/>
                      </v:shape>
                      <v:shape id="Text Box 47" o:spid="_x0000_s1078"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24A66E85"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v:textbox>
                      </v:shape>
                      <w10:wrap type="square"/>
                    </v:group>
                  </w:pict>
                </mc:Fallback>
              </mc:AlternateContent>
            </w:r>
          </w:p>
          <w:p w14:paraId="6FE36CF5" w14:textId="77777777" w:rsidR="00953B2E" w:rsidRPr="00C35766" w:rsidRDefault="005F0C19" w:rsidP="00787805">
            <w:pPr>
              <w:pStyle w:val="a3"/>
              <w:numPr>
                <w:ilvl w:val="0"/>
                <w:numId w:val="21"/>
              </w:numPr>
            </w:pPr>
            <w:r w:rsidRPr="00C35766">
              <w:rPr>
                <w:rFonts w:eastAsia="Times New Roman"/>
                <w:b/>
                <w:bCs/>
                <w:lang w:val="it-IT"/>
              </w:rPr>
              <w:t>Si lavi le mani.</w:t>
            </w:r>
          </w:p>
          <w:p w14:paraId="02D7F71B" w14:textId="77777777" w:rsidR="00953B2E" w:rsidRPr="00C35766" w:rsidRDefault="00953B2E">
            <w:pPr>
              <w:pStyle w:val="a3"/>
              <w:numPr>
                <w:ilvl w:val="0"/>
                <w:numId w:val="0"/>
              </w:numPr>
              <w:ind w:left="471"/>
            </w:pPr>
          </w:p>
          <w:p w14:paraId="322F8347" w14:textId="77777777" w:rsidR="00953B2E" w:rsidRPr="00C35766" w:rsidRDefault="005F0C19">
            <w:pPr>
              <w:pStyle w:val="a3"/>
              <w:ind w:left="465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 xml:space="preserve">Si lavi le mani con acqua e sapone e le asciughi  accuratamente. </w:t>
            </w:r>
          </w:p>
          <w:p w14:paraId="63CC04AC" w14:textId="77777777" w:rsidR="00953B2E" w:rsidRPr="00C35766" w:rsidRDefault="00953B2E">
            <w:pPr>
              <w:spacing w:line="252" w:lineRule="exact"/>
              <w:rPr>
                <w:rFonts w:ascii="Times New Roman" w:hAnsi="Times New Roman" w:cs="Times New Roman"/>
                <w:lang w:val="es-ES"/>
              </w:rPr>
            </w:pPr>
          </w:p>
        </w:tc>
      </w:tr>
      <w:tr w:rsidR="00953B2E" w:rsidRPr="006501B3" w14:paraId="079414E0" w14:textId="77777777" w:rsidTr="00752AA4">
        <w:trPr>
          <w:trHeight w:val="5499"/>
        </w:trPr>
        <w:tc>
          <w:tcPr>
            <w:tcW w:w="9550" w:type="dxa"/>
          </w:tcPr>
          <w:p w14:paraId="2E06B7A8" w14:textId="77777777" w:rsidR="00953B2E" w:rsidRPr="00C35766" w:rsidRDefault="00953B2E">
            <w:pPr>
              <w:ind w:left="104"/>
              <w:rPr>
                <w:rFonts w:ascii="Times New Roman" w:eastAsia="Times New Roman" w:hAnsi="Times New Roman" w:cs="Times New Roman"/>
                <w:b/>
                <w:bCs/>
                <w:spacing w:val="-1"/>
                <w:lang w:val="es-ES"/>
              </w:rPr>
            </w:pPr>
          </w:p>
          <w:p w14:paraId="52C07402" w14:textId="77777777" w:rsidR="00953B2E" w:rsidRPr="00C35766" w:rsidRDefault="00953B2E">
            <w:pPr>
              <w:pStyle w:val="a3"/>
              <w:rPr>
                <w:lang w:val="es-ES"/>
              </w:rPr>
            </w:pPr>
          </w:p>
          <w:p w14:paraId="3C2F519C" w14:textId="77777777" w:rsidR="00953B2E" w:rsidRPr="00C35766" w:rsidRDefault="005F0C19">
            <w:pPr>
              <w:pStyle w:val="a3"/>
              <w:rPr>
                <w:lang w:val="es-ES"/>
              </w:rPr>
            </w:pPr>
            <w:r w:rsidRPr="00C35766">
              <w:rPr>
                <w:noProof/>
                <w:lang w:eastAsia="ko-KR"/>
              </w:rPr>
              <mc:AlternateContent>
                <mc:Choice Requires="wpg">
                  <w:drawing>
                    <wp:anchor distT="0" distB="0" distL="114300" distR="114300" simplePos="0" relativeHeight="251658253" behindDoc="0" locked="0" layoutInCell="1" allowOverlap="1" wp14:anchorId="7A1DC561" wp14:editId="6AA2BE80">
                      <wp:simplePos x="0" y="0"/>
                      <wp:positionH relativeFrom="column">
                        <wp:posOffset>72390</wp:posOffset>
                      </wp:positionH>
                      <wp:positionV relativeFrom="paragraph">
                        <wp:posOffset>135890</wp:posOffset>
                      </wp:positionV>
                      <wp:extent cx="2346325" cy="3005455"/>
                      <wp:effectExtent l="0" t="0" r="0" b="4445"/>
                      <wp:wrapSquare wrapText="bothSides"/>
                      <wp:docPr id="51" name="그룹 51"/>
                      <wp:cNvGraphicFramePr/>
                      <a:graphic xmlns:a="http://schemas.openxmlformats.org/drawingml/2006/main">
                        <a:graphicData uri="http://schemas.microsoft.com/office/word/2010/wordprocessingGroup">
                          <wpg:wgp>
                            <wpg:cNvGrpSpPr/>
                            <wpg:grpSpPr>
                              <a:xfrm>
                                <a:off x="0" y="0"/>
                                <a:ext cx="2346325" cy="3005455"/>
                                <a:chOff x="0" y="0"/>
                                <a:chExt cx="2256458" cy="2921000"/>
                              </a:xfrm>
                            </wpg:grpSpPr>
                            <pic:pic xmlns:pic="http://schemas.openxmlformats.org/drawingml/2006/picture">
                              <pic:nvPicPr>
                                <pic:cNvPr id="13" name="그림 13"/>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0A62E3A8"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1DC561" id="그룹 51" o:spid="_x0000_s1079" style="position:absolute;margin-left:5.7pt;margin-top:10.7pt;width:184.75pt;height:236.65pt;z-index:251658253;mso-width-relative:margin;mso-height-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">
                      <v:shape id="그림 13" o:spid="_x0000_s1080"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8" o:title=""/>
                      </v:shape>
                      <v:shape id="Text Box 49" o:spid="_x0000_s1081"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0A62E3A8"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v:textbox>
                      </v:shape>
                      <w10:wrap type="square"/>
                    </v:group>
                  </w:pict>
                </mc:Fallback>
              </mc:AlternateContent>
            </w:r>
          </w:p>
          <w:p w14:paraId="7E5AA230" w14:textId="77777777" w:rsidR="00953B2E" w:rsidRPr="00C35766" w:rsidRDefault="00953B2E">
            <w:pPr>
              <w:pStyle w:val="a3"/>
              <w:rPr>
                <w:lang w:val="es-ES"/>
              </w:rPr>
            </w:pPr>
          </w:p>
          <w:p w14:paraId="760D0771" w14:textId="77777777" w:rsidR="00953B2E" w:rsidRPr="00C35766" w:rsidRDefault="005F0C19" w:rsidP="00787805">
            <w:pPr>
              <w:pStyle w:val="a3"/>
              <w:numPr>
                <w:ilvl w:val="0"/>
                <w:numId w:val="21"/>
              </w:numPr>
              <w:rPr>
                <w:b/>
              </w:rPr>
            </w:pPr>
            <w:r w:rsidRPr="00C35766">
              <w:rPr>
                <w:rFonts w:eastAsia="Times New Roman"/>
                <w:b/>
                <w:bCs/>
                <w:lang w:val="it-IT"/>
              </w:rPr>
              <w:t>Pulisca il sito d’iniezione</w:t>
            </w:r>
          </w:p>
          <w:p w14:paraId="6CE36B91" w14:textId="77777777" w:rsidR="00953B2E" w:rsidRPr="00C35766" w:rsidRDefault="00953B2E">
            <w:pPr>
              <w:pStyle w:val="a3"/>
            </w:pPr>
          </w:p>
          <w:p w14:paraId="6BA27AB5" w14:textId="77777777" w:rsidR="00953B2E" w:rsidRPr="00C35766" w:rsidRDefault="005F0C19">
            <w:pPr>
              <w:pStyle w:val="a3"/>
              <w:ind w:left="456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Pulisca il sito d’iniezione con un tampone imbevuto di alcol eseguendo un movimento circolare.</w:t>
            </w:r>
          </w:p>
          <w:p w14:paraId="534A5449" w14:textId="77777777" w:rsidR="00953B2E" w:rsidRPr="00C35766" w:rsidRDefault="005F0C19">
            <w:pPr>
              <w:pStyle w:val="a3"/>
              <w:ind w:left="4567" w:hanging="360"/>
              <w:rPr>
                <w:lang w:val="es-ES"/>
              </w:rPr>
            </w:pPr>
            <w:r w:rsidRPr="00C35766">
              <w:rPr>
                <w:rFonts w:eastAsia="Times New Roman"/>
                <w:b/>
                <w:bCs/>
                <w:lang w:val="it-IT"/>
              </w:rPr>
              <w:t>b.</w:t>
            </w:r>
            <w:r w:rsidRPr="00C35766">
              <w:rPr>
                <w:rFonts w:eastAsia="Times New Roman"/>
                <w:lang w:val="it-IT"/>
              </w:rPr>
              <w:t xml:space="preserve"> </w:t>
            </w:r>
            <w:r w:rsidRPr="00C35766">
              <w:rPr>
                <w:rFonts w:eastAsia="Times New Roman"/>
                <w:lang w:val="it-IT"/>
              </w:rPr>
              <w:tab/>
              <w:t>Lasci asciugare la pelle prima dell’iniezione.</w:t>
            </w:r>
          </w:p>
          <w:p w14:paraId="659048F6" w14:textId="77777777" w:rsidR="00953B2E" w:rsidRPr="00C35766" w:rsidRDefault="00953B2E">
            <w:pPr>
              <w:pStyle w:val="a3"/>
              <w:rPr>
                <w:lang w:val="es-ES"/>
              </w:rPr>
            </w:pPr>
          </w:p>
          <w:p w14:paraId="6B4BFA67" w14:textId="77777777" w:rsidR="00953B2E" w:rsidRPr="00C35766" w:rsidRDefault="00953B2E">
            <w:pPr>
              <w:pStyle w:val="a3"/>
              <w:rPr>
                <w:lang w:val="es-ES"/>
              </w:rPr>
            </w:pPr>
          </w:p>
          <w:p w14:paraId="5CD236FB" w14:textId="77777777" w:rsidR="00953B2E" w:rsidRPr="00C35766" w:rsidRDefault="005F0C19">
            <w:pPr>
              <w:ind w:left="4117" w:hanging="4117"/>
              <w:rPr>
                <w:rFonts w:ascii="Times New Roman" w:hAnsi="Times New Roman" w:cs="Times New Roman"/>
                <w:lang w:val="it-IT"/>
              </w:rPr>
            </w:pPr>
            <w:r w:rsidRPr="00C35766">
              <w:rPr>
                <w:rFonts w:ascii="Times New Roman" w:eastAsia="맑은 고딕" w:hAnsi="Times New Roman" w:cs="Times New Roman"/>
                <w:lang w:val="it-IT"/>
              </w:rPr>
              <w:t>•</w:t>
            </w:r>
            <w:r w:rsidRPr="00C35766">
              <w:rPr>
                <w:rFonts w:ascii="Times New Roman" w:eastAsia="Calibri" w:hAnsi="Times New Roman" w:cs="Times New Roman"/>
                <w:lang w:val="it-IT"/>
              </w:rPr>
              <w:tab/>
            </w:r>
            <w:r w:rsidRPr="00C35766">
              <w:rPr>
                <w:rFonts w:ascii="Times New Roman" w:eastAsia="Times New Roman" w:hAnsi="Times New Roman" w:cs="Times New Roman"/>
                <w:b/>
                <w:bCs/>
                <w:lang w:val="it-IT"/>
              </w:rPr>
              <w:t>Non</w:t>
            </w:r>
            <w:r w:rsidRPr="00C35766">
              <w:rPr>
                <w:rFonts w:ascii="Times New Roman" w:eastAsia="Times New Roman" w:hAnsi="Times New Roman" w:cs="Times New Roman"/>
                <w:lang w:val="it-IT"/>
              </w:rPr>
              <w:t xml:space="preserve"> soffi sul sito d’iniezione né lo tocchi nuovamente prima di eseguire l’iniezione.</w:t>
            </w:r>
          </w:p>
        </w:tc>
      </w:tr>
      <w:tr w:rsidR="00953B2E" w:rsidRPr="00494E69" w14:paraId="2507CACD" w14:textId="77777777" w:rsidTr="00752AA4">
        <w:trPr>
          <w:trHeight w:val="5669"/>
        </w:trPr>
        <w:tc>
          <w:tcPr>
            <w:tcW w:w="9550" w:type="dxa"/>
          </w:tcPr>
          <w:p w14:paraId="41D7B450" w14:textId="1B19F656" w:rsidR="00953B2E" w:rsidRPr="00C35766" w:rsidRDefault="00752AA4">
            <w:pPr>
              <w:ind w:left="104"/>
              <w:rPr>
                <w:rFonts w:ascii="Times New Roman" w:hAnsi="Times New Roman" w:cs="Times New Roman"/>
                <w:b/>
                <w:spacing w:val="-1"/>
                <w:lang w:val="it-IT"/>
              </w:rPr>
            </w:pPr>
            <w:r w:rsidRPr="00C35766">
              <w:rPr>
                <w:rFonts w:ascii="Times New Roman" w:hAnsi="Times New Roman" w:cs="Times New Roman"/>
                <w:noProof/>
                <w:lang w:eastAsia="ko-KR"/>
              </w:rPr>
              <w:lastRenderedPageBreak/>
              <mc:AlternateContent>
                <mc:Choice Requires="wpg">
                  <w:drawing>
                    <wp:anchor distT="0" distB="0" distL="114300" distR="114300" simplePos="0" relativeHeight="251658254" behindDoc="0" locked="0" layoutInCell="1" allowOverlap="1" wp14:anchorId="5EBB9006" wp14:editId="0073286B">
                      <wp:simplePos x="0" y="0"/>
                      <wp:positionH relativeFrom="column">
                        <wp:posOffset>48895</wp:posOffset>
                      </wp:positionH>
                      <wp:positionV relativeFrom="paragraph">
                        <wp:posOffset>165735</wp:posOffset>
                      </wp:positionV>
                      <wp:extent cx="2370455" cy="3054350"/>
                      <wp:effectExtent l="0" t="0" r="0" b="0"/>
                      <wp:wrapSquare wrapText="bothSides"/>
                      <wp:docPr id="53" name="그룹 53"/>
                      <wp:cNvGraphicFramePr/>
                      <a:graphic xmlns:a="http://schemas.openxmlformats.org/drawingml/2006/main">
                        <a:graphicData uri="http://schemas.microsoft.com/office/word/2010/wordprocessingGroup">
                          <wpg:wgp>
                            <wpg:cNvGrpSpPr/>
                            <wpg:grpSpPr>
                              <a:xfrm>
                                <a:off x="0" y="0"/>
                                <a:ext cx="2370455" cy="3054350"/>
                                <a:chOff x="0" y="0"/>
                                <a:chExt cx="2370455" cy="3054350"/>
                              </a:xfrm>
                            </wpg:grpSpPr>
                            <pic:pic xmlns:pic="http://schemas.openxmlformats.org/drawingml/2006/picture">
                              <pic:nvPicPr>
                                <pic:cNvPr id="61" name="그림 6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52" name="Text Box 52"/>
                              <wps:cNvSpPr txBox="1"/>
                              <wps:spPr>
                                <a:xfrm>
                                  <a:off x="1612900" y="2908300"/>
                                  <a:ext cx="719758" cy="146050"/>
                                </a:xfrm>
                                <a:prstGeom prst="rect">
                                  <a:avLst/>
                                </a:prstGeom>
                                <a:solidFill>
                                  <a:prstClr val="white"/>
                                </a:solidFill>
                                <a:ln>
                                  <a:noFill/>
                                </a:ln>
                              </wps:spPr>
                              <wps:txbx>
                                <w:txbxContent>
                                  <w:p w14:paraId="1E499D4C"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BB9006" id="그룹 53" o:spid="_x0000_s1082" style="position:absolute;left:0;text-align:left;margin-left:3.85pt;margin-top:13.05pt;width:186.65pt;height:240.5pt;z-index:251658254"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">
                      <v:shape id="그림 61" o:spid="_x0000_s1083"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50" o:title=""/>
                      </v:shape>
                      <v:shape id="Text Box 52" o:spid="_x0000_s1084"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1E499D4C"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v:textbox>
                      </v:shape>
                      <w10:wrap type="square"/>
                    </v:group>
                  </w:pict>
                </mc:Fallback>
              </mc:AlternateContent>
            </w:r>
          </w:p>
          <w:p w14:paraId="0B2D33DD" w14:textId="5A36B253" w:rsidR="00953B2E" w:rsidRPr="00C35766" w:rsidRDefault="00953B2E">
            <w:pPr>
              <w:pStyle w:val="Default"/>
              <w:rPr>
                <w:rFonts w:ascii="Times New Roman" w:hAnsi="Times New Roman" w:cs="Times New Roman"/>
                <w:lang w:val="it-IT"/>
              </w:rPr>
            </w:pPr>
          </w:p>
          <w:p w14:paraId="602B4DBF" w14:textId="4C7762E6" w:rsidR="00953B2E" w:rsidRPr="00C35766" w:rsidRDefault="00953B2E">
            <w:pPr>
              <w:pStyle w:val="Default"/>
              <w:rPr>
                <w:rFonts w:ascii="Times New Roman" w:hAnsi="Times New Roman" w:cs="Times New Roman"/>
                <w:lang w:val="it-IT"/>
              </w:rPr>
            </w:pPr>
          </w:p>
          <w:p w14:paraId="78527585" w14:textId="77777777" w:rsidR="00953B2E" w:rsidRPr="00C35766" w:rsidRDefault="005F0C19" w:rsidP="00787805">
            <w:pPr>
              <w:pStyle w:val="a3"/>
              <w:numPr>
                <w:ilvl w:val="0"/>
                <w:numId w:val="21"/>
              </w:numPr>
            </w:pPr>
            <w:r w:rsidRPr="00C35766">
              <w:rPr>
                <w:rFonts w:eastAsia="Times New Roman"/>
                <w:b/>
                <w:bCs/>
                <w:lang w:val="it-IT"/>
              </w:rPr>
              <w:t>Rimuova il cappuccio</w:t>
            </w:r>
          </w:p>
          <w:p w14:paraId="0E73670E" w14:textId="77777777" w:rsidR="00953B2E" w:rsidRPr="00C35766" w:rsidRDefault="00953B2E">
            <w:pPr>
              <w:pStyle w:val="a3"/>
              <w:numPr>
                <w:ilvl w:val="0"/>
                <w:numId w:val="0"/>
              </w:numPr>
              <w:ind w:left="471"/>
            </w:pPr>
          </w:p>
          <w:p w14:paraId="7C4541C0" w14:textId="46ED027B" w:rsidR="00953B2E" w:rsidRPr="00C35766" w:rsidRDefault="005F0C19">
            <w:pPr>
              <w:pStyle w:val="a3"/>
              <w:ind w:left="4657" w:hanging="360"/>
            </w:pPr>
            <w:r w:rsidRPr="00C35766">
              <w:rPr>
                <w:rFonts w:eastAsia="Times New Roman"/>
                <w:b/>
                <w:bCs/>
                <w:lang w:val="it-IT"/>
              </w:rPr>
              <w:t>a</w:t>
            </w:r>
            <w:r w:rsidRPr="00C35766">
              <w:rPr>
                <w:rFonts w:eastAsia="Times New Roman"/>
                <w:lang w:val="it-IT"/>
              </w:rPr>
              <w:t>.</w:t>
            </w:r>
            <w:r w:rsidRPr="00C35766">
              <w:rPr>
                <w:rFonts w:eastAsia="Times New Roman"/>
                <w:lang w:val="it-IT"/>
              </w:rPr>
              <w:tab/>
              <w:t xml:space="preserve">Rimuova il cappuccio tenendo il corpo della siringa </w:t>
            </w:r>
            <w:r w:rsidR="0092097A" w:rsidRPr="00C35766">
              <w:rPr>
                <w:rFonts w:eastAsia="Times New Roman"/>
                <w:lang w:val="it-IT"/>
              </w:rPr>
              <w:t>pre-riempita</w:t>
            </w:r>
            <w:r w:rsidRPr="00C35766">
              <w:rPr>
                <w:rFonts w:eastAsia="Times New Roman"/>
                <w:lang w:val="it-IT"/>
              </w:rPr>
              <w:t xml:space="preserve"> con una mano. Tiri delicatamente il cappuccio con l'altra mano. </w:t>
            </w:r>
          </w:p>
          <w:p w14:paraId="07F84F66" w14:textId="77777777" w:rsidR="00953B2E" w:rsidRPr="00C35766" w:rsidRDefault="00953B2E">
            <w:pPr>
              <w:pStyle w:val="a3"/>
            </w:pPr>
          </w:p>
          <w:p w14:paraId="5C0ABE37" w14:textId="77777777" w:rsidR="00953B2E" w:rsidRPr="00C35766" w:rsidRDefault="005F0C19" w:rsidP="00787805">
            <w:pPr>
              <w:pStyle w:val="a3"/>
              <w:numPr>
                <w:ilvl w:val="0"/>
                <w:numId w:val="18"/>
              </w:numPr>
              <w:ind w:left="4297" w:hanging="3313"/>
              <w:rPr>
                <w:lang w:val="fr-FR"/>
              </w:rPr>
            </w:pPr>
            <w:r w:rsidRPr="00C35766">
              <w:rPr>
                <w:rFonts w:eastAsia="Times New Roman"/>
                <w:b/>
                <w:bCs/>
                <w:lang w:val="it-IT"/>
              </w:rPr>
              <w:t>Non</w:t>
            </w:r>
            <w:r w:rsidRPr="00C35766">
              <w:rPr>
                <w:rFonts w:eastAsia="Times New Roman"/>
                <w:lang w:val="it-IT"/>
              </w:rPr>
              <w:t xml:space="preserve"> rimuova il cappuccio fino a quando non è pronto per effettuare l'iniezione </w:t>
            </w:r>
          </w:p>
          <w:p w14:paraId="23302CBB" w14:textId="77777777" w:rsidR="00953B2E" w:rsidRPr="00C35766" w:rsidRDefault="00953B2E">
            <w:pPr>
              <w:pStyle w:val="a3"/>
              <w:numPr>
                <w:ilvl w:val="0"/>
                <w:numId w:val="0"/>
              </w:numPr>
              <w:ind w:left="4297" w:hanging="3313"/>
              <w:rPr>
                <w:lang w:val="fr-FR"/>
              </w:rPr>
            </w:pPr>
          </w:p>
          <w:p w14:paraId="0A30D93B" w14:textId="77777777" w:rsidR="00953B2E" w:rsidRPr="00C35766" w:rsidRDefault="005F0C19" w:rsidP="00787805">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tocchi l’ago. Ciò potrebbe comportare una lesione da puntura da ago.</w:t>
            </w:r>
            <w:r w:rsidRPr="00C35766">
              <w:rPr>
                <w:rFonts w:eastAsia="Times New Roman"/>
                <w:b/>
                <w:bCs/>
                <w:lang w:val="it-IT"/>
              </w:rPr>
              <w:t xml:space="preserve"> </w:t>
            </w:r>
          </w:p>
          <w:p w14:paraId="0F0A5100" w14:textId="77777777" w:rsidR="00953B2E" w:rsidRPr="00C35766" w:rsidRDefault="00953B2E">
            <w:pPr>
              <w:pStyle w:val="a4"/>
              <w:ind w:left="4297" w:hanging="3313"/>
              <w:rPr>
                <w:rFonts w:ascii="Times New Roman" w:hAnsi="Times New Roman" w:cs="Times New Roman"/>
                <w:lang w:val="it-IT"/>
              </w:rPr>
            </w:pPr>
          </w:p>
          <w:p w14:paraId="19D2390E" w14:textId="3C2681F5" w:rsidR="00953B2E" w:rsidRPr="00AF25F1" w:rsidRDefault="005F0C19" w:rsidP="00787805">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riposizioni il cappuccio sulla siringa </w:t>
            </w:r>
            <w:r w:rsidR="0092097A" w:rsidRPr="00C35766">
              <w:rPr>
                <w:rFonts w:eastAsia="Times New Roman"/>
                <w:lang w:val="it-IT"/>
              </w:rPr>
              <w:t>pre-riempita</w:t>
            </w:r>
            <w:r w:rsidRPr="00C35766">
              <w:rPr>
                <w:rFonts w:eastAsia="Times New Roman"/>
                <w:lang w:val="it-IT"/>
              </w:rPr>
              <w:t>. Smaltisca immediatamente il cappuccio nel contenitore per lo smaltimento di oggetti taglienti.</w:t>
            </w:r>
          </w:p>
          <w:p w14:paraId="51B24978" w14:textId="77777777" w:rsidR="00471BD2" w:rsidRDefault="00471BD2" w:rsidP="00AF25F1">
            <w:pPr>
              <w:pStyle w:val="a4"/>
              <w:rPr>
                <w:lang w:val="it-IT"/>
              </w:rPr>
            </w:pPr>
          </w:p>
          <w:p w14:paraId="2C5468D3" w14:textId="3D37D492" w:rsidR="00471BD2" w:rsidRPr="00C35766" w:rsidRDefault="00471BD2" w:rsidP="00787805">
            <w:pPr>
              <w:pStyle w:val="a3"/>
              <w:numPr>
                <w:ilvl w:val="0"/>
                <w:numId w:val="18"/>
              </w:numPr>
              <w:ind w:left="4297" w:hanging="3313"/>
              <w:rPr>
                <w:lang w:val="it-IT"/>
              </w:rPr>
            </w:pPr>
            <w:r>
              <w:rPr>
                <w:rFonts w:eastAsia="Times New Roman"/>
                <w:lang w:val="it-IT"/>
              </w:rPr>
              <w:t>È normale vedere fuoriuscire alcune gocce di liquido dall'ago.</w:t>
            </w:r>
          </w:p>
          <w:p w14:paraId="30E38F93" w14:textId="77777777" w:rsidR="00953B2E" w:rsidRPr="00C35766" w:rsidRDefault="00953B2E">
            <w:pPr>
              <w:pStyle w:val="a3"/>
              <w:numPr>
                <w:ilvl w:val="0"/>
                <w:numId w:val="0"/>
              </w:numPr>
              <w:ind w:left="1384"/>
              <w:rPr>
                <w:lang w:val="it-IT"/>
              </w:rPr>
            </w:pPr>
          </w:p>
        </w:tc>
      </w:tr>
      <w:tr w:rsidR="00953B2E" w:rsidRPr="006501B3" w14:paraId="5949FB59" w14:textId="77777777" w:rsidTr="00752AA4">
        <w:trPr>
          <w:trHeight w:val="6650"/>
        </w:trPr>
        <w:tc>
          <w:tcPr>
            <w:tcW w:w="9550" w:type="dxa"/>
          </w:tcPr>
          <w:p w14:paraId="36FBF07E" w14:textId="77777777" w:rsidR="00953B2E" w:rsidRPr="00C35766" w:rsidRDefault="00953B2E">
            <w:pPr>
              <w:ind w:left="104"/>
              <w:rPr>
                <w:rFonts w:ascii="Times New Roman" w:hAnsi="Times New Roman" w:cs="Times New Roman"/>
                <w:b/>
                <w:spacing w:val="-1"/>
                <w:lang w:val="it-IT"/>
              </w:rPr>
            </w:pPr>
          </w:p>
          <w:p w14:paraId="7A45D954" w14:textId="0F15EECA" w:rsidR="00953B2E" w:rsidRPr="00C35766" w:rsidRDefault="00752AA4">
            <w:pPr>
              <w:ind w:left="104"/>
              <w:rPr>
                <w:rFonts w:ascii="Times New Roman" w:hAnsi="Times New Roman" w:cs="Times New Roman"/>
                <w:lang w:val="it-IT"/>
              </w:rPr>
            </w:pPr>
            <w:r w:rsidRPr="00C35766">
              <w:rPr>
                <w:rFonts w:ascii="Times New Roman" w:hAnsi="Times New Roman" w:cs="Times New Roman"/>
                <w:noProof/>
                <w:lang w:eastAsia="ko-KR"/>
              </w:rPr>
              <mc:AlternateContent>
                <mc:Choice Requires="wpg">
                  <w:drawing>
                    <wp:anchor distT="0" distB="0" distL="114300" distR="114300" simplePos="0" relativeHeight="251658278" behindDoc="0" locked="0" layoutInCell="1" allowOverlap="1" wp14:anchorId="3A48B499" wp14:editId="5CE24445">
                      <wp:simplePos x="0" y="0"/>
                      <wp:positionH relativeFrom="column">
                        <wp:posOffset>72915</wp:posOffset>
                      </wp:positionH>
                      <wp:positionV relativeFrom="paragraph">
                        <wp:posOffset>63141</wp:posOffset>
                      </wp:positionV>
                      <wp:extent cx="2181225" cy="3752850"/>
                      <wp:effectExtent l="0" t="0" r="9525" b="0"/>
                      <wp:wrapSquare wrapText="bothSides"/>
                      <wp:docPr id="115" name="그룹 115"/>
                      <wp:cNvGraphicFramePr/>
                      <a:graphic xmlns:a="http://schemas.openxmlformats.org/drawingml/2006/main">
                        <a:graphicData uri="http://schemas.microsoft.com/office/word/2010/wordprocessingGroup">
                          <wpg:wgp>
                            <wpg:cNvGrpSpPr/>
                            <wpg:grpSpPr>
                              <a:xfrm>
                                <a:off x="0" y="0"/>
                                <a:ext cx="2181225" cy="3752850"/>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4AF831C4"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5" name="Text Box 1025"/>
                              <wps:cNvSpPr txBox="1"/>
                              <wps:spPr>
                                <a:xfrm>
                                  <a:off x="22860" y="1715771"/>
                                  <a:ext cx="2111375" cy="2463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1DEAF"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A48B499" id="그룹 115" o:spid="_x0000_s1085" style="position:absolute;left:0;text-align:left;margin-left:5.75pt;margin-top:4.95pt;width:171.75pt;height:295.5pt;z-index:251658278"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">
                      <v:group id="그룹 57" o:spid="_x0000_s1086"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87"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52" o:title=""/>
                        </v:shape>
                        <v:shape id="Text Box 55" o:spid="_x0000_s1088"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4AF831C4"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v:textbox>
                        </v:shape>
                      </v:group>
                      <v:shape id="Text Box 1025" o:spid="_x0000_s1089" type="#_x0000_t202" style="position:absolute;left:228;top:17157;width:2111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6681DEAF"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64AF5743" w14:textId="600731FF" w:rsidR="00953B2E" w:rsidRPr="00C35766" w:rsidRDefault="00953B2E">
            <w:pPr>
              <w:pStyle w:val="1"/>
              <w:spacing w:before="76"/>
              <w:ind w:left="0" w:right="2736"/>
              <w:rPr>
                <w:rFonts w:eastAsiaTheme="minorEastAsia" w:cs="Times New Roman"/>
                <w:lang w:val="it-IT"/>
              </w:rPr>
            </w:pPr>
          </w:p>
          <w:p w14:paraId="35B386F9" w14:textId="42EC9E48" w:rsidR="00953B2E" w:rsidRPr="00C35766" w:rsidRDefault="005F0C19" w:rsidP="00787805">
            <w:pPr>
              <w:pStyle w:val="a3"/>
              <w:numPr>
                <w:ilvl w:val="0"/>
                <w:numId w:val="21"/>
              </w:numPr>
              <w:ind w:left="4207" w:hanging="4096"/>
              <w:rPr>
                <w:b/>
                <w:lang w:val="es-ES"/>
              </w:rPr>
            </w:pPr>
            <w:r w:rsidRPr="00C35766">
              <w:rPr>
                <w:rFonts w:eastAsia="Times New Roman"/>
                <w:b/>
                <w:bCs/>
                <w:lang w:val="it-IT"/>
              </w:rPr>
              <w:t xml:space="preserve">Inserisca la siringa </w:t>
            </w:r>
            <w:r w:rsidR="0092097A" w:rsidRPr="00C35766">
              <w:rPr>
                <w:rFonts w:eastAsia="Times New Roman"/>
                <w:b/>
                <w:bCs/>
                <w:lang w:val="it-IT"/>
              </w:rPr>
              <w:t>pre-riempita</w:t>
            </w:r>
            <w:r w:rsidRPr="00C35766">
              <w:rPr>
                <w:rFonts w:eastAsia="Times New Roman"/>
                <w:b/>
                <w:bCs/>
                <w:lang w:val="it-IT"/>
              </w:rPr>
              <w:t xml:space="preserve"> nel sito d’iniezione </w:t>
            </w:r>
          </w:p>
          <w:p w14:paraId="434DCBEF" w14:textId="0A811457" w:rsidR="00953B2E" w:rsidRPr="00C35766" w:rsidRDefault="00953B2E">
            <w:pPr>
              <w:pStyle w:val="a3"/>
              <w:numPr>
                <w:ilvl w:val="0"/>
                <w:numId w:val="0"/>
              </w:numPr>
              <w:ind w:left="111"/>
              <w:rPr>
                <w:b/>
                <w:lang w:val="es-ES"/>
              </w:rPr>
            </w:pPr>
          </w:p>
          <w:p w14:paraId="1A95629F" w14:textId="77777777" w:rsidR="00953B2E" w:rsidRPr="00C35766" w:rsidRDefault="00953B2E">
            <w:pPr>
              <w:pStyle w:val="a3"/>
              <w:numPr>
                <w:ilvl w:val="0"/>
                <w:numId w:val="0"/>
              </w:numPr>
              <w:ind w:left="111"/>
              <w:rPr>
                <w:b/>
                <w:lang w:val="es-ES"/>
              </w:rPr>
            </w:pPr>
          </w:p>
          <w:p w14:paraId="6FF53C95" w14:textId="77777777" w:rsidR="00953B2E" w:rsidRPr="00C35766" w:rsidRDefault="005F0C19">
            <w:pPr>
              <w:pStyle w:val="a3"/>
              <w:ind w:left="4477" w:hanging="270"/>
              <w:rPr>
                <w:lang w:val="es-ES"/>
              </w:rPr>
            </w:pPr>
            <w:r w:rsidRPr="00C35766">
              <w:rPr>
                <w:rFonts w:eastAsia="Times New Roman"/>
                <w:b/>
                <w:bCs/>
                <w:lang w:val="it-IT"/>
              </w:rPr>
              <w:t>a.</w:t>
            </w:r>
            <w:r w:rsidRPr="00C35766">
              <w:rPr>
                <w:rFonts w:eastAsia="Times New Roman"/>
                <w:lang w:val="it-IT"/>
              </w:rPr>
              <w:tab/>
              <w:t xml:space="preserve">Con una mano stringa delicatamente la pelle per creare una piega nel sito d’iniezione </w:t>
            </w:r>
          </w:p>
          <w:p w14:paraId="2E2223A1" w14:textId="77777777" w:rsidR="00953B2E" w:rsidRPr="00C35766" w:rsidRDefault="005F0C19">
            <w:pPr>
              <w:pStyle w:val="a3"/>
              <w:ind w:left="4477" w:hanging="270"/>
              <w:rPr>
                <w:lang w:val="es-ES"/>
              </w:rPr>
            </w:pPr>
            <w:r w:rsidRPr="00C35766">
              <w:rPr>
                <w:rFonts w:eastAsia="Times New Roman"/>
                <w:lang w:val="it-IT"/>
              </w:rPr>
              <w:t xml:space="preserve"> .</w:t>
            </w:r>
          </w:p>
          <w:p w14:paraId="6EBDA8EF" w14:textId="77777777" w:rsidR="00953B2E" w:rsidRPr="00C35766" w:rsidRDefault="00953B2E">
            <w:pPr>
              <w:pStyle w:val="a3"/>
              <w:ind w:left="4477" w:hanging="270"/>
              <w:rPr>
                <w:lang w:val="es-ES"/>
              </w:rPr>
            </w:pPr>
          </w:p>
          <w:p w14:paraId="7D06C3AB" w14:textId="14F5FB77" w:rsidR="00953B2E" w:rsidRPr="00C35766" w:rsidRDefault="005F0C19">
            <w:pPr>
              <w:pStyle w:val="a3"/>
              <w:ind w:left="4477" w:hanging="270"/>
              <w:rPr>
                <w:lang w:val="es-ES"/>
              </w:rPr>
            </w:pPr>
            <w:r w:rsidRPr="00C35766">
              <w:rPr>
                <w:rFonts w:eastAsia="Times New Roman"/>
                <w:b/>
                <w:bCs/>
                <w:lang w:val="it-IT"/>
              </w:rPr>
              <w:t>b</w:t>
            </w:r>
            <w:r w:rsidRPr="00C35766">
              <w:rPr>
                <w:rFonts w:eastAsia="Times New Roman"/>
                <w:lang w:val="it-IT"/>
              </w:rPr>
              <w:t>.</w:t>
            </w:r>
            <w:r w:rsidRPr="00C35766">
              <w:rPr>
                <w:rFonts w:eastAsia="Times New Roman"/>
                <w:lang w:val="it-IT"/>
              </w:rPr>
              <w:tab/>
              <w:t xml:space="preserve">Tenendo la siringa </w:t>
            </w:r>
            <w:r w:rsidR="0092097A" w:rsidRPr="00C35766">
              <w:rPr>
                <w:rFonts w:eastAsia="Times New Roman"/>
                <w:lang w:val="it-IT"/>
              </w:rPr>
              <w:t>pre-riempita</w:t>
            </w:r>
            <w:r w:rsidRPr="00C35766">
              <w:rPr>
                <w:rFonts w:eastAsia="Times New Roman"/>
                <w:lang w:val="it-IT"/>
              </w:rPr>
              <w:t xml:space="preserve"> dal corpo, inserisca  l'ago completamente nella piega della pelle con un’angolatura di 45  gradi con un movimento rapido, come quando si lancia una freccetta.</w:t>
            </w:r>
          </w:p>
          <w:p w14:paraId="078D783A" w14:textId="77777777" w:rsidR="00953B2E" w:rsidRPr="00C35766" w:rsidRDefault="00953B2E">
            <w:pPr>
              <w:pStyle w:val="a3"/>
              <w:rPr>
                <w:lang w:val="es-ES"/>
              </w:rPr>
            </w:pPr>
          </w:p>
        </w:tc>
      </w:tr>
      <w:tr w:rsidR="00953B2E" w:rsidRPr="006501B3" w14:paraId="33804F10" w14:textId="77777777" w:rsidTr="00752AA4">
        <w:trPr>
          <w:trHeight w:val="4819"/>
        </w:trPr>
        <w:tc>
          <w:tcPr>
            <w:tcW w:w="9550" w:type="dxa"/>
          </w:tcPr>
          <w:p w14:paraId="063C5A9B" w14:textId="77777777" w:rsidR="00953B2E" w:rsidRPr="00C35766" w:rsidRDefault="00953B2E">
            <w:pPr>
              <w:ind w:left="104"/>
              <w:rPr>
                <w:rFonts w:ascii="Times New Roman" w:eastAsia="Times New Roman" w:hAnsi="Times New Roman" w:cs="Times New Roman"/>
                <w:b/>
                <w:bCs/>
                <w:spacing w:val="-1"/>
                <w:lang w:val="es-ES"/>
              </w:rPr>
            </w:pPr>
          </w:p>
          <w:p w14:paraId="648B8717" w14:textId="23CCC9E5" w:rsidR="00953B2E" w:rsidRPr="00C35766" w:rsidRDefault="00752AA4" w:rsidP="00752AA4">
            <w:pPr>
              <w:ind w:left="104"/>
              <w:rPr>
                <w:rFonts w:ascii="Times New Roman" w:hAnsi="Times New Roman" w:cs="Times New Roman"/>
                <w:lang w:val="es-ES" w:eastAsia="ko-KR"/>
              </w:rPr>
            </w:pPr>
            <w:r w:rsidRPr="00C35766">
              <w:rPr>
                <w:rFonts w:ascii="Times New Roman" w:hAnsi="Times New Roman" w:cs="Times New Roman"/>
                <w:noProof/>
                <w:lang w:eastAsia="ko-KR"/>
              </w:rPr>
              <mc:AlternateContent>
                <mc:Choice Requires="wpg">
                  <w:drawing>
                    <wp:anchor distT="0" distB="0" distL="114300" distR="114300" simplePos="0" relativeHeight="251658255" behindDoc="0" locked="0" layoutInCell="1" allowOverlap="1" wp14:anchorId="034B4F36" wp14:editId="6F61FC22">
                      <wp:simplePos x="0" y="0"/>
                      <wp:positionH relativeFrom="column">
                        <wp:posOffset>66372</wp:posOffset>
                      </wp:positionH>
                      <wp:positionV relativeFrom="paragraph">
                        <wp:posOffset>35642</wp:posOffset>
                      </wp:positionV>
                      <wp:extent cx="2186608"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76" name="그림 7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4511DCC4"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4B4F36" id="그룹 60" o:spid="_x0000_s1090" style="position:absolute;left:0;text-align:left;margin-left:5.25pt;margin-top:2.8pt;width:172.15pt;height:214.5pt;z-index:251658255"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">
                      <v:shape id="그림 76" o:spid="_x0000_s1091"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54" o:title=""/>
                      </v:shape>
                      <v:shape id="Text Box 58" o:spid="_x0000_s1092"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4511DCC4"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v:textbox>
                      </v:shape>
                      <w10:wrap type="square"/>
                    </v:group>
                  </w:pict>
                </mc:Fallback>
              </mc:AlternateContent>
            </w:r>
          </w:p>
          <w:p w14:paraId="57CA5B17" w14:textId="77777777" w:rsidR="00953B2E" w:rsidRPr="00C35766" w:rsidRDefault="00953B2E">
            <w:pPr>
              <w:pStyle w:val="Default"/>
              <w:rPr>
                <w:rFonts w:ascii="Times New Roman" w:hAnsi="Times New Roman" w:cs="Times New Roman"/>
                <w:lang w:val="es-ES"/>
              </w:rPr>
            </w:pPr>
          </w:p>
          <w:p w14:paraId="0915641D" w14:textId="77777777" w:rsidR="00953B2E" w:rsidRPr="00C35766" w:rsidRDefault="005F0C19" w:rsidP="00787805">
            <w:pPr>
              <w:pStyle w:val="a3"/>
              <w:numPr>
                <w:ilvl w:val="0"/>
                <w:numId w:val="21"/>
              </w:numPr>
            </w:pPr>
            <w:r w:rsidRPr="00C35766">
              <w:rPr>
                <w:rFonts w:eastAsia="Times New Roman"/>
                <w:b/>
                <w:bCs/>
                <w:lang w:val="it-IT"/>
              </w:rPr>
              <w:t>Esegua l’iniezione</w:t>
            </w:r>
          </w:p>
          <w:p w14:paraId="14AE6F73" w14:textId="77777777" w:rsidR="00953B2E" w:rsidRPr="00C35766" w:rsidRDefault="00953B2E">
            <w:pPr>
              <w:pStyle w:val="a3"/>
            </w:pPr>
          </w:p>
          <w:p w14:paraId="02F64A20" w14:textId="45257751" w:rsidR="00953B2E" w:rsidRPr="00C35766" w:rsidRDefault="005F0C19">
            <w:pPr>
              <w:pStyle w:val="a3"/>
              <w:ind w:left="4387" w:hanging="270"/>
              <w:rPr>
                <w:lang w:val="it-IT"/>
              </w:rPr>
            </w:pPr>
            <w:r w:rsidRPr="00C35766">
              <w:rPr>
                <w:rFonts w:eastAsia="Times New Roman"/>
                <w:b/>
                <w:bCs/>
                <w:lang w:val="it-IT"/>
              </w:rPr>
              <w:t>a.</w:t>
            </w:r>
            <w:r w:rsidRPr="00C35766">
              <w:rPr>
                <w:rFonts w:eastAsia="Times New Roman"/>
                <w:lang w:val="it-IT"/>
              </w:rPr>
              <w:tab/>
              <w:t>Una volta inserito l'ago, lasci andare la  pelle pizzicata.</w:t>
            </w:r>
          </w:p>
          <w:p w14:paraId="3D865BB5" w14:textId="6557765D" w:rsidR="00953B2E" w:rsidRPr="00C35766" w:rsidRDefault="005F0C19">
            <w:pPr>
              <w:pStyle w:val="a3"/>
              <w:ind w:left="4387" w:hanging="270"/>
              <w:rPr>
                <w:lang w:val="it-IT"/>
              </w:rPr>
            </w:pPr>
            <w:r w:rsidRPr="00C35766">
              <w:rPr>
                <w:rFonts w:eastAsia="Times New Roman"/>
                <w:b/>
                <w:bCs/>
                <w:lang w:val="it-IT"/>
              </w:rPr>
              <w:t>b.</w:t>
            </w:r>
            <w:r w:rsidRPr="00C35766">
              <w:rPr>
                <w:rFonts w:eastAsia="Times New Roman"/>
                <w:lang w:val="it-IT"/>
              </w:rPr>
              <w:tab/>
            </w:r>
            <w:r w:rsidR="00A67D26" w:rsidRPr="00C35766">
              <w:rPr>
                <w:rFonts w:eastAsia="Times New Roman"/>
                <w:lang w:val="it-IT"/>
              </w:rPr>
              <w:t>Sping</w:t>
            </w:r>
            <w:r w:rsidR="00A67D26">
              <w:rPr>
                <w:rFonts w:eastAsia="Times New Roman"/>
                <w:lang w:val="it-IT"/>
              </w:rPr>
              <w:t>a</w:t>
            </w:r>
            <w:r w:rsidR="00A67D26" w:rsidRPr="00C35766">
              <w:rPr>
                <w:rFonts w:eastAsia="Times New Roman"/>
                <w:lang w:val="it-IT"/>
              </w:rPr>
              <w:t xml:space="preserve"> </w:t>
            </w:r>
            <w:r w:rsidRPr="00C35766">
              <w:rPr>
                <w:rFonts w:eastAsia="Times New Roman"/>
                <w:lang w:val="it-IT"/>
              </w:rPr>
              <w:t xml:space="preserve">lentamente e completamente lo stantuffo verso il basso fino </w:t>
            </w:r>
            <w:r w:rsidR="001E26DC" w:rsidRPr="00C35766">
              <w:rPr>
                <w:rFonts w:eastAsia="Times New Roman"/>
                <w:lang w:val="it-IT"/>
              </w:rPr>
              <w:t>a</w:t>
            </w:r>
            <w:r w:rsidR="001E26DC">
              <w:rPr>
                <w:rFonts w:eastAsia="Times New Roman"/>
                <w:lang w:val="it-IT"/>
              </w:rPr>
              <w:t>d</w:t>
            </w:r>
            <w:r w:rsidR="001E26DC" w:rsidRPr="00C35766">
              <w:rPr>
                <w:rFonts w:eastAsia="Times New Roman"/>
                <w:lang w:val="it-IT"/>
              </w:rPr>
              <w:t xml:space="preserve"> </w:t>
            </w:r>
            <w:r w:rsidRPr="00C35766">
              <w:rPr>
                <w:rFonts w:eastAsia="Times New Roman"/>
                <w:lang w:val="it-IT"/>
              </w:rPr>
              <w:t>iniettare tutto il liquido e a svuotare la siringa.</w:t>
            </w:r>
          </w:p>
          <w:p w14:paraId="6678FD6E" w14:textId="77777777" w:rsidR="00953B2E" w:rsidRPr="00C35766" w:rsidRDefault="00953B2E">
            <w:pPr>
              <w:pStyle w:val="a3"/>
              <w:rPr>
                <w:lang w:val="it-IT"/>
              </w:rPr>
            </w:pPr>
          </w:p>
          <w:p w14:paraId="4A9F4B2A" w14:textId="77777777" w:rsidR="00953B2E" w:rsidRPr="00C35766" w:rsidRDefault="00953B2E">
            <w:pPr>
              <w:pStyle w:val="a3"/>
              <w:rPr>
                <w:lang w:val="it-IT"/>
              </w:rPr>
            </w:pPr>
          </w:p>
          <w:p w14:paraId="5C135ACE" w14:textId="3BBCBE00" w:rsidR="00953B2E" w:rsidRPr="00C35766" w:rsidRDefault="005F0C19">
            <w:pPr>
              <w:pStyle w:val="a3"/>
              <w:ind w:left="4027" w:hanging="4027"/>
              <w:rPr>
                <w:lang w:val="es-ES"/>
              </w:rPr>
            </w:pPr>
            <w:r w:rsidRPr="00C35766">
              <w:rPr>
                <w:rFonts w:eastAsia="맑은 고딕"/>
                <w:lang w:val="it-IT"/>
              </w:rPr>
              <w:t>•</w:t>
            </w:r>
            <w:r w:rsidRPr="00C35766">
              <w:rPr>
                <w:rFonts w:eastAsia="Times New Roman"/>
                <w:lang w:val="it-IT"/>
              </w:rPr>
              <w:tab/>
            </w:r>
            <w:r w:rsidRPr="00C35766">
              <w:rPr>
                <w:rFonts w:eastAsia="Times New Roman"/>
                <w:b/>
                <w:bCs/>
                <w:lang w:val="it-IT"/>
              </w:rPr>
              <w:t>Non</w:t>
            </w:r>
            <w:r w:rsidRPr="00C35766">
              <w:rPr>
                <w:rFonts w:eastAsia="Times New Roman"/>
                <w:lang w:val="it-IT"/>
              </w:rPr>
              <w:t xml:space="preserve"> cambi la posizione della siringa </w:t>
            </w:r>
            <w:r w:rsidR="0092097A" w:rsidRPr="00C35766">
              <w:rPr>
                <w:rFonts w:eastAsia="Times New Roman"/>
                <w:lang w:val="it-IT"/>
              </w:rPr>
              <w:t>pre-riempita</w:t>
            </w:r>
            <w:r w:rsidRPr="00C35766">
              <w:rPr>
                <w:rFonts w:eastAsia="Times New Roman"/>
                <w:lang w:val="it-IT"/>
              </w:rPr>
              <w:t xml:space="preserve"> una volta iniziata l’iniezione.</w:t>
            </w:r>
          </w:p>
          <w:p w14:paraId="6D8F74CA" w14:textId="77777777" w:rsidR="00953B2E" w:rsidRPr="00C35766" w:rsidRDefault="005F0C19">
            <w:pPr>
              <w:pStyle w:val="a3"/>
              <w:rPr>
                <w:lang w:val="es-ES" w:eastAsia="ko-KR"/>
              </w:rPr>
            </w:pPr>
            <w:r w:rsidRPr="00C35766">
              <w:rPr>
                <w:color w:val="211D1E"/>
                <w:sz w:val="20"/>
                <w:szCs w:val="20"/>
                <w:lang w:val="es-ES"/>
              </w:rPr>
              <w:t xml:space="preserve"> </w:t>
            </w:r>
          </w:p>
        </w:tc>
      </w:tr>
      <w:tr w:rsidR="00953B2E" w:rsidRPr="006501B3" w14:paraId="37EE4F9D" w14:textId="77777777" w:rsidTr="00752AA4">
        <w:trPr>
          <w:trHeight w:val="5374"/>
        </w:trPr>
        <w:tc>
          <w:tcPr>
            <w:tcW w:w="9550" w:type="dxa"/>
          </w:tcPr>
          <w:p w14:paraId="5C65DF05" w14:textId="77777777" w:rsidR="00953B2E" w:rsidRPr="00C35766" w:rsidRDefault="00953B2E">
            <w:pPr>
              <w:ind w:left="104"/>
              <w:rPr>
                <w:rFonts w:ascii="Times New Roman" w:eastAsia="Times New Roman" w:hAnsi="Times New Roman" w:cs="Times New Roman"/>
                <w:b/>
                <w:bCs/>
                <w:spacing w:val="-1"/>
                <w:lang w:val="es-ES"/>
              </w:rPr>
            </w:pPr>
          </w:p>
          <w:p w14:paraId="4B29A439" w14:textId="079D390F" w:rsidR="00953B2E" w:rsidRPr="00C35766" w:rsidRDefault="00DA0ECF">
            <w:pPr>
              <w:rPr>
                <w:rFonts w:ascii="Times New Roman" w:eastAsia="Times New Roman" w:hAnsi="Times New Roman" w:cs="Times New Roman"/>
                <w:lang w:val="es-ES"/>
              </w:rPr>
            </w:pPr>
            <w:r>
              <w:rPr>
                <w:rFonts w:ascii="Times New Roman" w:eastAsia="Times New Roman" w:hAnsi="Times New Roman" w:cs="Times New Roman"/>
                <w:noProof/>
                <w:lang w:eastAsia="ko-KR"/>
              </w:rPr>
              <mc:AlternateContent>
                <mc:Choice Requires="wpg">
                  <w:drawing>
                    <wp:anchor distT="0" distB="0" distL="114300" distR="114300" simplePos="0" relativeHeight="251658351" behindDoc="1" locked="0" layoutInCell="1" allowOverlap="1" wp14:anchorId="35A2B184" wp14:editId="4F6A2854">
                      <wp:simplePos x="0" y="0"/>
                      <wp:positionH relativeFrom="column">
                        <wp:posOffset>64770</wp:posOffset>
                      </wp:positionH>
                      <wp:positionV relativeFrom="paragraph">
                        <wp:posOffset>132080</wp:posOffset>
                      </wp:positionV>
                      <wp:extent cx="2186305" cy="2851150"/>
                      <wp:effectExtent l="19050" t="19050" r="4445" b="6350"/>
                      <wp:wrapSquare wrapText="bothSides"/>
                      <wp:docPr id="112" name="그룹 112"/>
                      <wp:cNvGraphicFramePr/>
                      <a:graphic xmlns:a="http://schemas.openxmlformats.org/drawingml/2006/main">
                        <a:graphicData uri="http://schemas.microsoft.com/office/word/2010/wordprocessingGroup">
                          <wpg:wgp>
                            <wpg:cNvGrpSpPr/>
                            <wpg:grpSpPr>
                              <a:xfrm>
                                <a:off x="0" y="0"/>
                                <a:ext cx="2186305" cy="2851150"/>
                                <a:chOff x="0" y="0"/>
                                <a:chExt cx="2186508" cy="2851150"/>
                              </a:xfrm>
                            </wpg:grpSpPr>
                            <pic:pic xmlns:pic="http://schemas.openxmlformats.org/drawingml/2006/picture">
                              <pic:nvPicPr>
                                <pic:cNvPr id="50" name="그림 5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59635" cy="2636520"/>
                                </a:xfrm>
                                <a:prstGeom prst="rect">
                                  <a:avLst/>
                                </a:prstGeom>
                                <a:ln w="12700">
                                  <a:solidFill>
                                    <a:schemeClr val="tx1">
                                      <a:lumMod val="65000"/>
                                      <a:lumOff val="35000"/>
                                    </a:schemeClr>
                                  </a:solidFill>
                                </a:ln>
                              </pic:spPr>
                            </pic:pic>
                            <wps:wsp>
                              <wps:cNvPr id="87" name="Text Box 87"/>
                              <wps:cNvSpPr txBox="1"/>
                              <wps:spPr>
                                <a:xfrm>
                                  <a:off x="1466850" y="2705100"/>
                                  <a:ext cx="719658" cy="146050"/>
                                </a:xfrm>
                                <a:prstGeom prst="rect">
                                  <a:avLst/>
                                </a:prstGeom>
                                <a:solidFill>
                                  <a:prstClr val="white"/>
                                </a:solidFill>
                                <a:ln>
                                  <a:noFill/>
                                </a:ln>
                              </wps:spPr>
                              <wps:txbx>
                                <w:txbxContent>
                                  <w:p w14:paraId="2561FA0C" w14:textId="626E2239" w:rsidR="00D97785" w:rsidRPr="00DA0ECF" w:rsidRDefault="00D97785" w:rsidP="00DA0ECF">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A2B184" id="그룹 112" o:spid="_x0000_s1093" style="position:absolute;margin-left:5.1pt;margin-top:10.4pt;width:172.15pt;height:224.5pt;z-index:-251658129" coordsize="21865,28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">
                      <v:shape id="그림 50" o:spid="_x0000_s1094" type="#_x0000_t75" style="position:absolute;width:21596;height:26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" stroked="t" strokecolor="#5a5a5a [2109]" strokeweight="1pt">
                        <v:imagedata r:id="rId56" o:title=""/>
                        <v:path arrowok="t"/>
                      </v:shape>
                      <v:shape id="Text Box 87" o:spid="_x0000_s1095" type="#_x0000_t202" style="position:absolute;left:14668;top:27051;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2561FA0C" w14:textId="626E2239" w:rsidR="00D97785" w:rsidRPr="00DA0ECF" w:rsidRDefault="00D97785" w:rsidP="00DA0ECF">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K</w:t>
                              </w:r>
                            </w:p>
                          </w:txbxContent>
                        </v:textbox>
                      </v:shape>
                      <w10:wrap type="square"/>
                    </v:group>
                  </w:pict>
                </mc:Fallback>
              </mc:AlternateContent>
            </w:r>
          </w:p>
          <w:p w14:paraId="178DFDA5" w14:textId="77777777" w:rsidR="00953B2E" w:rsidRPr="00C35766" w:rsidRDefault="00953B2E">
            <w:pPr>
              <w:pStyle w:val="a3"/>
              <w:rPr>
                <w:lang w:val="es-ES"/>
              </w:rPr>
            </w:pPr>
          </w:p>
          <w:p w14:paraId="3D485BBD" w14:textId="14122EEE" w:rsidR="00953B2E" w:rsidRPr="00C35766" w:rsidRDefault="005F0C19" w:rsidP="00787805">
            <w:pPr>
              <w:pStyle w:val="a3"/>
              <w:numPr>
                <w:ilvl w:val="0"/>
                <w:numId w:val="21"/>
              </w:numPr>
              <w:ind w:left="4207" w:hanging="4096"/>
              <w:rPr>
                <w:b/>
                <w:lang w:val="es-ES"/>
              </w:rPr>
            </w:pPr>
            <w:r w:rsidRPr="00C35766">
              <w:rPr>
                <w:rFonts w:eastAsia="Times New Roman"/>
                <w:b/>
                <w:bCs/>
                <w:lang w:val="it-IT"/>
              </w:rPr>
              <w:t xml:space="preserve">Rimuova la siringa </w:t>
            </w:r>
            <w:r w:rsidR="0092097A" w:rsidRPr="00C35766">
              <w:rPr>
                <w:rFonts w:eastAsia="Times New Roman"/>
                <w:b/>
                <w:bCs/>
                <w:lang w:val="it-IT"/>
              </w:rPr>
              <w:t>pre-riempita</w:t>
            </w:r>
            <w:r w:rsidRPr="00C35766">
              <w:rPr>
                <w:rFonts w:eastAsia="Times New Roman"/>
                <w:b/>
                <w:bCs/>
                <w:lang w:val="it-IT"/>
              </w:rPr>
              <w:t xml:space="preserve"> dal </w:t>
            </w:r>
            <w:r w:rsidRPr="00C35766">
              <w:rPr>
                <w:b/>
                <w:lang w:val="it-IT"/>
              </w:rPr>
              <w:t>sito d’</w:t>
            </w:r>
            <w:r w:rsidRPr="00C35766">
              <w:rPr>
                <w:rFonts w:eastAsia="Times New Roman"/>
                <w:b/>
                <w:bCs/>
                <w:lang w:val="it-IT"/>
              </w:rPr>
              <w:t xml:space="preserve">iniezione </w:t>
            </w:r>
            <w:r w:rsidR="006C14E6">
              <w:rPr>
                <w:rFonts w:eastAsia="Times New Roman"/>
                <w:b/>
                <w:bCs/>
                <w:lang w:val="it-IT"/>
              </w:rPr>
              <w:t xml:space="preserve">e </w:t>
            </w:r>
            <w:r w:rsidRPr="00C35766">
              <w:rPr>
                <w:rFonts w:eastAsia="Times New Roman"/>
                <w:b/>
                <w:bCs/>
                <w:lang w:val="it-IT"/>
              </w:rPr>
              <w:t>si occupi del sito d’iniezione</w:t>
            </w:r>
          </w:p>
          <w:p w14:paraId="1BF42F5D" w14:textId="77777777" w:rsidR="00953B2E" w:rsidRPr="00C35766" w:rsidRDefault="00953B2E">
            <w:pPr>
              <w:pStyle w:val="a3"/>
              <w:numPr>
                <w:ilvl w:val="0"/>
                <w:numId w:val="0"/>
              </w:numPr>
              <w:ind w:left="471"/>
              <w:rPr>
                <w:b/>
                <w:lang w:val="es-ES"/>
              </w:rPr>
            </w:pPr>
          </w:p>
          <w:p w14:paraId="01C9C420" w14:textId="58C729CD" w:rsidR="00953B2E" w:rsidRPr="00C35766" w:rsidRDefault="005F0C19">
            <w:pPr>
              <w:pStyle w:val="a3"/>
              <w:ind w:left="438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 xml:space="preserve">Una volta svuotata la siringa </w:t>
            </w:r>
            <w:r w:rsidR="0092097A" w:rsidRPr="00C35766">
              <w:rPr>
                <w:rFonts w:eastAsia="Times New Roman"/>
                <w:lang w:val="it-IT"/>
              </w:rPr>
              <w:t>pre-riempita</w:t>
            </w:r>
            <w:r w:rsidRPr="00C35766">
              <w:rPr>
                <w:rFonts w:eastAsia="Times New Roman"/>
                <w:lang w:val="it-IT"/>
              </w:rPr>
              <w:t>, la rimuova  dalla pelle con la stessa angolazione con cui l’ha inserita.</w:t>
            </w:r>
          </w:p>
          <w:p w14:paraId="3475C216" w14:textId="6B9B8B2A" w:rsidR="00953B2E" w:rsidRPr="00C35766" w:rsidRDefault="005F0C19">
            <w:pPr>
              <w:pStyle w:val="a3"/>
              <w:ind w:left="4387" w:hanging="360"/>
              <w:rPr>
                <w:rFonts w:eastAsia="Times New Roman"/>
                <w:lang w:val="es-ES"/>
              </w:rPr>
            </w:pPr>
            <w:r w:rsidRPr="00C35766">
              <w:rPr>
                <w:rFonts w:eastAsia="Times New Roman"/>
                <w:b/>
                <w:bCs/>
                <w:lang w:val="it-IT"/>
              </w:rPr>
              <w:t>b.</w:t>
            </w:r>
            <w:r w:rsidRPr="00C35766">
              <w:rPr>
                <w:rFonts w:eastAsia="Times New Roman"/>
                <w:b/>
                <w:bCs/>
                <w:lang w:val="it-IT"/>
              </w:rPr>
              <w:tab/>
            </w:r>
            <w:r w:rsidRPr="00C35766">
              <w:rPr>
                <w:rFonts w:eastAsia="Times New Roman"/>
                <w:lang w:val="it-IT"/>
              </w:rPr>
              <w:t>Medichi il sito d’iniezione premendo delicatamente  su di esso, senza strofinare, un batuffolo di cotone idrofilo o una garza e,  se necessario, applichi un cerotto. Può verificarsi un sanguinamento.</w:t>
            </w:r>
          </w:p>
          <w:p w14:paraId="24A3A442" w14:textId="77777777" w:rsidR="00953B2E" w:rsidRPr="00C35766" w:rsidRDefault="005F0C19">
            <w:pPr>
              <w:pStyle w:val="a3"/>
              <w:rPr>
                <w:lang w:val="es-ES"/>
              </w:rPr>
            </w:pPr>
            <w:r w:rsidRPr="00C35766">
              <w:rPr>
                <w:lang w:val="es-ES"/>
              </w:rPr>
              <w:t xml:space="preserve"> </w:t>
            </w:r>
          </w:p>
          <w:p w14:paraId="34E12F6D" w14:textId="4936C776" w:rsidR="00953B2E" w:rsidRPr="00C35766" w:rsidRDefault="005F0C19">
            <w:pPr>
              <w:pStyle w:val="a3"/>
              <w:rPr>
                <w:lang w:val="es-ES"/>
              </w:rPr>
            </w:pPr>
            <w:r w:rsidRPr="00C35766">
              <w:rPr>
                <w:rFonts w:eastAsia="맑은 고딕"/>
                <w:lang w:val="it-IT"/>
              </w:rPr>
              <w:t>•</w:t>
            </w:r>
            <w:r w:rsidRPr="00C35766">
              <w:rPr>
                <w:rFonts w:eastAsia="Times New Roman"/>
                <w:lang w:val="it-IT"/>
              </w:rPr>
              <w:t xml:space="preserve"> </w:t>
            </w:r>
            <w:r w:rsidRPr="00C35766">
              <w:rPr>
                <w:rFonts w:eastAsia="Times New Roman"/>
                <w:b/>
                <w:bCs/>
                <w:lang w:val="it-IT"/>
              </w:rPr>
              <w:t>Non</w:t>
            </w:r>
            <w:r w:rsidRPr="00C35766">
              <w:rPr>
                <w:rFonts w:eastAsia="Times New Roman"/>
                <w:lang w:val="it-IT"/>
              </w:rPr>
              <w:t xml:space="preserve"> riutilizzi la siringa </w:t>
            </w:r>
            <w:r w:rsidR="0092097A" w:rsidRPr="00C35766">
              <w:rPr>
                <w:rFonts w:eastAsia="Times New Roman"/>
                <w:lang w:val="it-IT"/>
              </w:rPr>
              <w:t>pre-riempita</w:t>
            </w:r>
            <w:r w:rsidRPr="00C35766">
              <w:rPr>
                <w:rFonts w:eastAsia="Times New Roman"/>
                <w:lang w:val="it-IT"/>
              </w:rPr>
              <w:t>.</w:t>
            </w:r>
          </w:p>
          <w:p w14:paraId="3DE52BF5" w14:textId="77777777" w:rsidR="00953B2E" w:rsidRPr="00C35766" w:rsidRDefault="005F0C19">
            <w:pPr>
              <w:pStyle w:val="a3"/>
              <w:rPr>
                <w:lang w:val="es-ES"/>
              </w:rPr>
            </w:pPr>
            <w:r w:rsidRPr="00C35766">
              <w:rPr>
                <w:rFonts w:eastAsia="맑은 고딕"/>
                <w:lang w:val="it-IT"/>
              </w:rPr>
              <w:t>•</w:t>
            </w:r>
            <w:r w:rsidRPr="00C35766">
              <w:rPr>
                <w:rFonts w:eastAsia="Times New Roman"/>
                <w:lang w:val="it-IT"/>
              </w:rPr>
              <w:t xml:space="preserve"> </w:t>
            </w:r>
            <w:r w:rsidRPr="00C35766">
              <w:rPr>
                <w:rFonts w:eastAsia="Times New Roman"/>
                <w:b/>
                <w:bCs/>
                <w:lang w:val="it-IT"/>
              </w:rPr>
              <w:t>Non</w:t>
            </w:r>
            <w:r w:rsidRPr="00C35766">
              <w:rPr>
                <w:rFonts w:eastAsia="Times New Roman"/>
                <w:lang w:val="it-IT"/>
              </w:rPr>
              <w:t xml:space="preserve"> tocchi l'ago e non lo copra col cappuccio. </w:t>
            </w:r>
          </w:p>
          <w:p w14:paraId="1BD43B29" w14:textId="194299A1" w:rsidR="00953B2E" w:rsidRPr="00C35766" w:rsidRDefault="005F0C19">
            <w:pPr>
              <w:pStyle w:val="a3"/>
              <w:rPr>
                <w:lang w:val="fr-FR"/>
              </w:rPr>
            </w:pPr>
            <w:r w:rsidRPr="00C35766">
              <w:rPr>
                <w:noProof/>
                <w:lang w:eastAsia="ko-KR"/>
              </w:rPr>
              <mc:AlternateContent>
                <mc:Choice Requires="wps">
                  <w:drawing>
                    <wp:anchor distT="0" distB="0" distL="114300" distR="114300" simplePos="0" relativeHeight="251658256" behindDoc="0" locked="0" layoutInCell="1" allowOverlap="1" wp14:anchorId="6DCCB05B" wp14:editId="6BC4956C">
                      <wp:simplePos x="0" y="0"/>
                      <wp:positionH relativeFrom="column">
                        <wp:posOffset>1509395</wp:posOffset>
                      </wp:positionH>
                      <wp:positionV relativeFrom="paragraph">
                        <wp:posOffset>189230</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4A6FBE23"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CCB05B" id="Text Box 62" o:spid="_x0000_s1096" type="#_x0000_t202" style="position:absolute;margin-left:118.85pt;margin-top:14.9pt;width:56.65pt;height:11.5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" stroked="f">
                      <v:textbox style="mso-fit-shape-to-text:t" inset="0,0,0,0">
                        <w:txbxContent>
                          <w:p w14:paraId="4A6FBE23"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K</w:t>
                            </w:r>
                          </w:p>
                        </w:txbxContent>
                      </v:textbox>
                      <w10:wrap type="square"/>
                    </v:shape>
                  </w:pict>
                </mc:Fallback>
              </mc:AlternateContent>
            </w:r>
            <w:r w:rsidRPr="00C35766">
              <w:rPr>
                <w:rFonts w:eastAsia="맑은 고딕"/>
                <w:lang w:val="it-IT"/>
              </w:rPr>
              <w:t>•</w:t>
            </w:r>
            <w:r w:rsidRPr="00C35766">
              <w:rPr>
                <w:rFonts w:eastAsia="Times New Roman"/>
                <w:lang w:val="it-IT"/>
              </w:rPr>
              <w:t xml:space="preserve"> </w:t>
            </w:r>
            <w:r w:rsidRPr="00C35766">
              <w:rPr>
                <w:rFonts w:eastAsia="Times New Roman"/>
                <w:b/>
                <w:bCs/>
                <w:lang w:val="it-IT"/>
              </w:rPr>
              <w:t>Non</w:t>
            </w:r>
            <w:r w:rsidRPr="00C35766">
              <w:rPr>
                <w:rFonts w:eastAsia="Times New Roman"/>
                <w:lang w:val="it-IT"/>
              </w:rPr>
              <w:t xml:space="preserve"> strofini il sito d’iniezione.</w:t>
            </w:r>
            <w:r w:rsidR="00DA0ECF" w:rsidRPr="00824699">
              <w:rPr>
                <w:noProof/>
                <w:lang w:val="it-IT"/>
              </w:rPr>
              <w:t xml:space="preserve"> </w:t>
            </w:r>
          </w:p>
        </w:tc>
      </w:tr>
      <w:tr w:rsidR="00953B2E" w:rsidRPr="006501B3" w14:paraId="1C95FC7B" w14:textId="77777777" w:rsidTr="00752AA4">
        <w:trPr>
          <w:trHeight w:val="5380"/>
        </w:trPr>
        <w:tc>
          <w:tcPr>
            <w:tcW w:w="9550" w:type="dxa"/>
          </w:tcPr>
          <w:p w14:paraId="4C710AF5" w14:textId="2F8FA54C" w:rsidR="00953B2E" w:rsidRPr="00C35766" w:rsidRDefault="00DA0ECF">
            <w:pPr>
              <w:ind w:left="104"/>
              <w:rPr>
                <w:rFonts w:ascii="Times New Roman" w:eastAsia="Times New Roman" w:hAnsi="Times New Roman" w:cs="Times New Roman"/>
                <w:b/>
                <w:bCs/>
                <w:spacing w:val="-1"/>
                <w:lang w:val="fr-FR"/>
              </w:rPr>
            </w:pPr>
            <w:r>
              <w:rPr>
                <w:rFonts w:ascii="Times New Roman" w:eastAsia="Times New Roman" w:hAnsi="Times New Roman" w:cs="Times New Roman"/>
                <w:b/>
                <w:bCs/>
                <w:noProof/>
                <w:spacing w:val="-1"/>
                <w:lang w:eastAsia="ko-KR"/>
              </w:rPr>
              <w:lastRenderedPageBreak/>
              <mc:AlternateContent>
                <mc:Choice Requires="wpg">
                  <w:drawing>
                    <wp:anchor distT="0" distB="0" distL="114300" distR="114300" simplePos="0" relativeHeight="251658352" behindDoc="0" locked="0" layoutInCell="1" allowOverlap="1" wp14:anchorId="34C52695" wp14:editId="22C6CF36">
                      <wp:simplePos x="0" y="0"/>
                      <wp:positionH relativeFrom="column">
                        <wp:posOffset>-1905</wp:posOffset>
                      </wp:positionH>
                      <wp:positionV relativeFrom="paragraph">
                        <wp:posOffset>177800</wp:posOffset>
                      </wp:positionV>
                      <wp:extent cx="2234066" cy="2994025"/>
                      <wp:effectExtent l="19050" t="19050" r="13970" b="0"/>
                      <wp:wrapSquare wrapText="bothSides"/>
                      <wp:docPr id="114" name="그룹 114"/>
                      <wp:cNvGraphicFramePr/>
                      <a:graphic xmlns:a="http://schemas.openxmlformats.org/drawingml/2006/main">
                        <a:graphicData uri="http://schemas.microsoft.com/office/word/2010/wordprocessingGroup">
                          <wpg:wgp>
                            <wpg:cNvGrpSpPr/>
                            <wpg:grpSpPr>
                              <a:xfrm>
                                <a:off x="0" y="0"/>
                                <a:ext cx="2234066" cy="2994025"/>
                                <a:chOff x="0" y="0"/>
                                <a:chExt cx="2234066" cy="2994025"/>
                              </a:xfrm>
                            </wpg:grpSpPr>
                            <pic:pic xmlns:pic="http://schemas.openxmlformats.org/drawingml/2006/picture">
                              <pic:nvPicPr>
                                <pic:cNvPr id="2" name="그림 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33295" cy="2741295"/>
                                </a:xfrm>
                                <a:prstGeom prst="rect">
                                  <a:avLst/>
                                </a:prstGeom>
                                <a:ln w="12700">
                                  <a:solidFill>
                                    <a:schemeClr val="tx1">
                                      <a:lumMod val="65000"/>
                                      <a:lumOff val="35000"/>
                                    </a:schemeClr>
                                  </a:solidFill>
                                </a:ln>
                              </pic:spPr>
                            </pic:pic>
                            <wps:wsp>
                              <wps:cNvPr id="113" name="Text Box 113"/>
                              <wps:cNvSpPr txBox="1"/>
                              <wps:spPr>
                                <a:xfrm>
                                  <a:off x="1514475" y="2847975"/>
                                  <a:ext cx="719591" cy="146050"/>
                                </a:xfrm>
                                <a:prstGeom prst="rect">
                                  <a:avLst/>
                                </a:prstGeom>
                                <a:solidFill>
                                  <a:prstClr val="white"/>
                                </a:solidFill>
                                <a:ln>
                                  <a:noFill/>
                                </a:ln>
                              </wps:spPr>
                              <wps:txbx>
                                <w:txbxContent>
                                  <w:p w14:paraId="69497459" w14:textId="626D5D6B" w:rsidR="00D97785" w:rsidRPr="00DA0ECF" w:rsidRDefault="00D97785" w:rsidP="00DA0ECF">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C52695" id="그룹 114" o:spid="_x0000_s1097" style="position:absolute;left:0;text-align:left;margin-left:-.15pt;margin-top:14pt;width:175.9pt;height:235.75pt;z-index:251658352" coordsize="22340,29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">
                      <v:shape id="그림 2" o:spid="_x0000_s1098" type="#_x0000_t75" style="position:absolute;width:22332;height:27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" stroked="t" strokecolor="#5a5a5a [2109]" strokeweight="1pt">
                        <v:imagedata r:id="rId58" o:title=""/>
                        <v:path arrowok="t"/>
                      </v:shape>
                      <v:shape id="Text Box 113" o:spid="_x0000_s1099" type="#_x0000_t202" style="position:absolute;left:15144;top:28479;width:719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" stroked="f">
                        <v:textbox style="mso-fit-shape-to-text:t" inset="0,0,0,0">
                          <w:txbxContent>
                            <w:p w14:paraId="69497459" w14:textId="626D5D6B" w:rsidR="00D97785" w:rsidRPr="00DA0ECF" w:rsidRDefault="00D97785" w:rsidP="00DA0ECF">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L</w:t>
                              </w:r>
                            </w:p>
                          </w:txbxContent>
                        </v:textbox>
                      </v:shape>
                      <w10:wrap type="square"/>
                    </v:group>
                  </w:pict>
                </mc:Fallback>
              </mc:AlternateContent>
            </w:r>
          </w:p>
          <w:p w14:paraId="47AE4EC3" w14:textId="59BCA93D" w:rsidR="00953B2E" w:rsidRPr="00C35766" w:rsidRDefault="00953B2E">
            <w:pPr>
              <w:pStyle w:val="a3"/>
              <w:rPr>
                <w:lang w:val="fr-FR"/>
              </w:rPr>
            </w:pPr>
          </w:p>
          <w:p w14:paraId="051056DA" w14:textId="558EE7C9" w:rsidR="00953B2E" w:rsidRPr="00C35766" w:rsidRDefault="005F0C19" w:rsidP="00787805">
            <w:pPr>
              <w:pStyle w:val="a3"/>
              <w:numPr>
                <w:ilvl w:val="0"/>
                <w:numId w:val="21"/>
              </w:numPr>
              <w:ind w:left="3937" w:hanging="3826"/>
              <w:rPr>
                <w:b/>
              </w:rPr>
            </w:pPr>
            <w:r w:rsidRPr="00C35766">
              <w:rPr>
                <w:rFonts w:eastAsia="Times New Roman"/>
                <w:b/>
                <w:bCs/>
                <w:lang w:val="it-IT"/>
              </w:rPr>
              <w:t xml:space="preserve">Smaltisca la siringa </w:t>
            </w:r>
            <w:r w:rsidR="0092097A" w:rsidRPr="00C35766">
              <w:rPr>
                <w:rFonts w:eastAsia="Times New Roman"/>
                <w:b/>
                <w:bCs/>
                <w:lang w:val="it-IT"/>
              </w:rPr>
              <w:t>pre-riempita</w:t>
            </w:r>
          </w:p>
          <w:p w14:paraId="5EE08BA9" w14:textId="665EF5C4" w:rsidR="00953B2E" w:rsidRPr="00C35766" w:rsidRDefault="005F0C19">
            <w:pPr>
              <w:pStyle w:val="a3"/>
              <w:ind w:left="3937" w:hanging="3937"/>
              <w:rPr>
                <w:b/>
                <w:lang w:val="es-ES"/>
              </w:rPr>
            </w:pPr>
            <w:r w:rsidRPr="00C35766">
              <w:rPr>
                <w:rFonts w:eastAsia="맑은 고딕"/>
                <w:lang w:val="it-IT"/>
              </w:rPr>
              <w:t>•</w:t>
            </w:r>
            <w:r w:rsidRPr="00C35766">
              <w:rPr>
                <w:rFonts w:eastAsia="Times New Roman"/>
                <w:lang w:val="it-IT"/>
              </w:rPr>
              <w:tab/>
            </w:r>
            <w:r w:rsidRPr="00C35766">
              <w:rPr>
                <w:rFonts w:eastAsia="Times New Roman"/>
                <w:b/>
                <w:bCs/>
                <w:lang w:val="it-IT"/>
              </w:rPr>
              <w:t>Non</w:t>
            </w:r>
            <w:r w:rsidRPr="00C35766">
              <w:rPr>
                <w:rFonts w:eastAsia="Times New Roman"/>
                <w:lang w:val="it-IT"/>
              </w:rPr>
              <w:t xml:space="preserve"> riposizioni il cappuccio sulla siringa </w:t>
            </w:r>
            <w:r w:rsidR="0092097A" w:rsidRPr="00C35766">
              <w:rPr>
                <w:rFonts w:eastAsia="Times New Roman"/>
                <w:lang w:val="it-IT"/>
              </w:rPr>
              <w:t>pre-riempita</w:t>
            </w:r>
            <w:r w:rsidRPr="00C35766">
              <w:rPr>
                <w:rFonts w:eastAsia="Times New Roman"/>
                <w:lang w:val="it-IT"/>
              </w:rPr>
              <w:t>.</w:t>
            </w:r>
          </w:p>
          <w:p w14:paraId="675AC183" w14:textId="640741AF" w:rsidR="00953B2E" w:rsidRPr="00C35766" w:rsidRDefault="005F0C19">
            <w:pPr>
              <w:pStyle w:val="a3"/>
              <w:ind w:left="4387" w:hanging="450"/>
              <w:rPr>
                <w:lang w:val="it-IT"/>
              </w:rPr>
            </w:pPr>
            <w:r w:rsidRPr="00C35766">
              <w:rPr>
                <w:rFonts w:eastAsia="Times New Roman"/>
                <w:b/>
                <w:bCs/>
                <w:lang w:val="it-IT"/>
              </w:rPr>
              <w:t>a.</w:t>
            </w:r>
            <w:r w:rsidRPr="00C35766">
              <w:rPr>
                <w:rFonts w:eastAsia="Times New Roman"/>
                <w:lang w:val="it-IT"/>
              </w:rPr>
              <w:tab/>
              <w:t xml:space="preserve">Getti via la siringa </w:t>
            </w:r>
            <w:r w:rsidR="0092097A" w:rsidRPr="00C35766">
              <w:rPr>
                <w:rFonts w:eastAsia="Times New Roman"/>
                <w:lang w:val="it-IT"/>
              </w:rPr>
              <w:t>pre-riempita</w:t>
            </w:r>
            <w:r w:rsidRPr="00C35766">
              <w:rPr>
                <w:rFonts w:eastAsia="Times New Roman"/>
                <w:lang w:val="it-IT"/>
              </w:rPr>
              <w:t xml:space="preserve"> usata in un  contenitore speciale per lo smaltimento di oggetti taglienti, come da istruzioni  del medico, del farmacista o dell’infermiere.</w:t>
            </w:r>
          </w:p>
          <w:p w14:paraId="1FBEA6BE" w14:textId="056FBC7B" w:rsidR="00953B2E" w:rsidRPr="00C35766" w:rsidRDefault="005F0C19">
            <w:pPr>
              <w:pStyle w:val="a3"/>
              <w:ind w:left="4387" w:hanging="450"/>
              <w:rPr>
                <w:lang w:val="pt-BR"/>
              </w:rPr>
            </w:pPr>
            <w:r w:rsidRPr="00C35766">
              <w:rPr>
                <w:rFonts w:eastAsia="Times New Roman"/>
                <w:b/>
                <w:bCs/>
                <w:lang w:val="it-IT"/>
              </w:rPr>
              <w:t>b.</w:t>
            </w:r>
            <w:r w:rsidRPr="00C35766">
              <w:rPr>
                <w:rFonts w:eastAsia="Times New Roman"/>
                <w:lang w:val="it-IT"/>
              </w:rPr>
              <w:tab/>
              <w:t>Il tampone imbevuto di alcol e l’imballaggio possono essere messi nei rifiuti domestici.</w:t>
            </w:r>
          </w:p>
          <w:p w14:paraId="700F8CEE" w14:textId="3362F91B" w:rsidR="00953B2E" w:rsidRPr="00C35766" w:rsidRDefault="005F0C19">
            <w:pPr>
              <w:pStyle w:val="a3"/>
              <w:ind w:left="3937" w:hanging="3937"/>
              <w:rPr>
                <w:lang w:val="pt-BR"/>
              </w:rPr>
            </w:pPr>
            <w:r w:rsidRPr="00C35766">
              <w:rPr>
                <w:rFonts w:eastAsia="맑은 고딕"/>
                <w:lang w:val="it-IT"/>
              </w:rPr>
              <w:t>•</w:t>
            </w:r>
            <w:r w:rsidRPr="00C35766">
              <w:rPr>
                <w:rFonts w:eastAsia="Times New Roman"/>
                <w:lang w:val="it-IT"/>
              </w:rPr>
              <w:tab/>
              <w:t xml:space="preserve">Tenga sempre le siringa </w:t>
            </w:r>
            <w:r w:rsidR="0092097A" w:rsidRPr="00C35766">
              <w:rPr>
                <w:rFonts w:eastAsia="Times New Roman"/>
                <w:lang w:val="it-IT"/>
              </w:rPr>
              <w:t>pre-riempita</w:t>
            </w:r>
            <w:r w:rsidRPr="00C35766">
              <w:rPr>
                <w:rFonts w:eastAsia="Times New Roman"/>
                <w:lang w:val="it-IT"/>
              </w:rPr>
              <w:t xml:space="preserve"> e il contenitore speciale per rifiuti taglienti fuori </w:t>
            </w:r>
            <w:r w:rsidR="00A768E5" w:rsidRPr="00C35766">
              <w:rPr>
                <w:rFonts w:eastAsia="Times New Roman"/>
                <w:lang w:val="it-IT"/>
              </w:rPr>
              <w:t xml:space="preserve">dalla vista e </w:t>
            </w:r>
            <w:r w:rsidRPr="00C35766">
              <w:rPr>
                <w:rFonts w:eastAsia="Times New Roman"/>
                <w:lang w:val="it-IT"/>
              </w:rPr>
              <w:t>dalla portata dei bambini.</w:t>
            </w:r>
            <w:r w:rsidR="00DA0ECF" w:rsidRPr="00824699">
              <w:rPr>
                <w:noProof/>
                <w:lang w:val="it-IT"/>
              </w:rPr>
              <w:t xml:space="preserve"> </w:t>
            </w:r>
          </w:p>
          <w:p w14:paraId="1F9E725C" w14:textId="2B4B2228" w:rsidR="00953B2E" w:rsidRPr="00C35766" w:rsidRDefault="005F0C19">
            <w:pPr>
              <w:pStyle w:val="a3"/>
              <w:rPr>
                <w:spacing w:val="-1"/>
                <w:lang w:val="pt-BR"/>
              </w:rPr>
            </w:pPr>
            <w:r w:rsidRPr="00C35766">
              <w:rPr>
                <w:noProof/>
                <w:lang w:eastAsia="ko-KR"/>
              </w:rPr>
              <mc:AlternateContent>
                <mc:Choice Requires="wps">
                  <w:drawing>
                    <wp:anchor distT="0" distB="0" distL="114300" distR="114300" simplePos="0" relativeHeight="251658257" behindDoc="0" locked="0" layoutInCell="1" allowOverlap="1" wp14:anchorId="1E27D3FF" wp14:editId="53FA3B74">
                      <wp:simplePos x="0" y="0"/>
                      <wp:positionH relativeFrom="column">
                        <wp:posOffset>1424940</wp:posOffset>
                      </wp:positionH>
                      <wp:positionV relativeFrom="paragraph">
                        <wp:posOffset>535940</wp:posOffset>
                      </wp:positionV>
                      <wp:extent cx="719758" cy="146050"/>
                      <wp:effectExtent l="0" t="0" r="4445" b="6350"/>
                      <wp:wrapSquare wrapText="bothSides"/>
                      <wp:docPr id="64" name="Text Box 6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523E8B28"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27D3FF" id="Text Box 64" o:spid="_x0000_s1100" type="#_x0000_t202" style="position:absolute;margin-left:112.2pt;margin-top:42.2pt;width:56.65pt;height:11.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" stroked="f">
                      <v:textbox style="mso-fit-shape-to-text:t" inset="0,0,0,0">
                        <w:txbxContent>
                          <w:p w14:paraId="523E8B28"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v:textbox>
                      <w10:wrap type="square"/>
                    </v:shape>
                  </w:pict>
                </mc:Fallback>
              </mc:AlternateContent>
            </w:r>
          </w:p>
        </w:tc>
      </w:tr>
    </w:tbl>
    <w:p w14:paraId="4EEAA87D" w14:textId="77777777" w:rsidR="00953B2E" w:rsidRPr="00C35766" w:rsidRDefault="00953B2E">
      <w:pPr>
        <w:spacing w:line="241" w:lineRule="auto"/>
        <w:rPr>
          <w:rFonts w:ascii="Times New Roman" w:hAnsi="Times New Roman" w:cs="Times New Roman"/>
          <w:lang w:val="pt-BR"/>
        </w:rPr>
      </w:pPr>
    </w:p>
    <w:p w14:paraId="1B4EA4BF" w14:textId="77777777" w:rsidR="00953B2E" w:rsidRPr="00C35766" w:rsidRDefault="005F0C19">
      <w:pPr>
        <w:rPr>
          <w:rFonts w:ascii="Times New Roman" w:hAnsi="Times New Roman" w:cs="Times New Roman"/>
          <w:lang w:val="pt-BR"/>
        </w:rPr>
      </w:pPr>
      <w:r w:rsidRPr="00C35766">
        <w:rPr>
          <w:rFonts w:ascii="Times New Roman" w:hAnsi="Times New Roman" w:cs="Times New Roman"/>
          <w:lang w:val="pt-BR"/>
        </w:rPr>
        <w:br w:type="page"/>
      </w:r>
    </w:p>
    <w:p w14:paraId="76E7A130" w14:textId="77777777" w:rsidR="00953B2E" w:rsidRPr="00C35766" w:rsidRDefault="00953B2E">
      <w:pPr>
        <w:spacing w:before="17" w:line="240" w:lineRule="exact"/>
        <w:rPr>
          <w:rFonts w:ascii="Times New Roman" w:hAnsi="Times New Roman" w:cs="Times New Roman"/>
          <w:sz w:val="24"/>
          <w:szCs w:val="24"/>
          <w:lang w:val="pt-BR"/>
        </w:rPr>
      </w:pPr>
    </w:p>
    <w:p w14:paraId="2871A366" w14:textId="258AEE51" w:rsidR="00953B2E" w:rsidRPr="00C35766" w:rsidRDefault="005F0C19" w:rsidP="00F816D0">
      <w:pPr>
        <w:pStyle w:val="a3"/>
        <w:rPr>
          <w:b/>
          <w:lang w:val="es-ES"/>
        </w:rPr>
      </w:pPr>
      <w:r w:rsidRPr="00C35766">
        <w:rPr>
          <w:rFonts w:eastAsia="Times New Roman"/>
          <w:b/>
          <w:bCs/>
          <w:highlight w:val="lightGray"/>
          <w:lang w:val="it-IT"/>
        </w:rPr>
        <w:t xml:space="preserve">Yuflyma siringa </w:t>
      </w:r>
      <w:r w:rsidR="0092097A" w:rsidRPr="00C35766">
        <w:rPr>
          <w:rFonts w:eastAsia="Times New Roman"/>
          <w:b/>
          <w:bCs/>
          <w:highlight w:val="lightGray"/>
          <w:lang w:val="it-IT"/>
        </w:rPr>
        <w:t>pre-riempita</w:t>
      </w:r>
      <w:r w:rsidRPr="00C35766">
        <w:rPr>
          <w:rFonts w:eastAsia="Times New Roman"/>
          <w:b/>
          <w:bCs/>
          <w:highlight w:val="lightGray"/>
          <w:lang w:val="it-IT"/>
        </w:rPr>
        <w:t xml:space="preserve"> con dispositivo di sicurezza per l’ago</w:t>
      </w:r>
    </w:p>
    <w:p w14:paraId="4A10ABE6" w14:textId="3792CA6C" w:rsidR="00953B2E" w:rsidRPr="00C35766" w:rsidRDefault="00CD2A6C">
      <w:pPr>
        <w:spacing w:before="3"/>
        <w:ind w:left="1786" w:right="10920"/>
        <w:rPr>
          <w:rFonts w:ascii="Times New Roman" w:eastAsia="Times New Roman" w:hAnsi="Times New Roman" w:cs="Times New Roman"/>
          <w:sz w:val="20"/>
          <w:szCs w:val="20"/>
        </w:rPr>
      </w:pPr>
      <w:r w:rsidRPr="00C35766">
        <w:rPr>
          <w:rFonts w:ascii="Times New Roman" w:hAnsi="Times New Roman" w:cs="Times New Roman"/>
          <w:noProof/>
          <w:lang w:eastAsia="ko-KR"/>
        </w:rPr>
        <w:drawing>
          <wp:inline distT="0" distB="0" distL="0" distR="0" wp14:anchorId="68D4BD29" wp14:editId="02094C85">
            <wp:extent cx="4139543" cy="3792041"/>
            <wp:effectExtent l="0" t="0" r="0" b="0"/>
            <wp:docPr id="126"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그림2.png"/>
                    <pic:cNvPicPr/>
                  </pic:nvPicPr>
                  <pic:blipFill>
                    <a:blip r:embed="rId59">
                      <a:extLst>
                        <a:ext uri="{28A0092B-C50C-407E-A947-70E740481C1C}">
                          <a14:useLocalDpi xmlns:a14="http://schemas.microsoft.com/office/drawing/2010/main" val="0"/>
                        </a:ext>
                      </a:extLst>
                    </a:blip>
                    <a:stretch>
                      <a:fillRect/>
                    </a:stretch>
                  </pic:blipFill>
                  <pic:spPr>
                    <a:xfrm>
                      <a:off x="0" y="0"/>
                      <a:ext cx="4139543" cy="3792041"/>
                    </a:xfrm>
                    <a:prstGeom prst="rect">
                      <a:avLst/>
                    </a:prstGeom>
                  </pic:spPr>
                </pic:pic>
              </a:graphicData>
            </a:graphic>
          </wp:inline>
        </w:drawing>
      </w:r>
    </w:p>
    <w:p w14:paraId="7C9F7316" w14:textId="77777777" w:rsidR="00953B2E" w:rsidRPr="00C35766" w:rsidRDefault="005F0C19">
      <w:pPr>
        <w:spacing w:before="10" w:line="240" w:lineRule="exact"/>
        <w:ind w:left="6480" w:firstLineChars="500" w:firstLine="1001"/>
        <w:rPr>
          <w:rFonts w:ascii="Times New Roman" w:hAnsi="Times New Roman" w:cs="Times New Roman"/>
          <w:b/>
          <w:sz w:val="20"/>
          <w:szCs w:val="24"/>
          <w:lang w:val="es-ES" w:eastAsia="ko-KR"/>
        </w:rPr>
      </w:pPr>
      <w:r w:rsidRPr="00C35766">
        <w:rPr>
          <w:rFonts w:ascii="Times New Roman" w:eastAsia="Times New Roman" w:hAnsi="Times New Roman" w:cs="Times New Roman"/>
          <w:b/>
          <w:bCs/>
          <w:sz w:val="20"/>
          <w:szCs w:val="20"/>
          <w:highlight w:val="lightGray"/>
          <w:lang w:val="it-IT" w:eastAsia="ko-KR"/>
        </w:rPr>
        <w:t>Figura A</w:t>
      </w:r>
    </w:p>
    <w:p w14:paraId="0C0F1FB6" w14:textId="77777777" w:rsidR="00953B2E" w:rsidRPr="00C35766" w:rsidRDefault="00953B2E">
      <w:pPr>
        <w:spacing w:before="10" w:line="240" w:lineRule="exact"/>
        <w:rPr>
          <w:rFonts w:ascii="Times New Roman" w:hAnsi="Times New Roman" w:cs="Times New Roman"/>
          <w:sz w:val="24"/>
          <w:szCs w:val="24"/>
          <w:lang w:val="es-ES"/>
        </w:rPr>
      </w:pPr>
    </w:p>
    <w:p w14:paraId="3B404164" w14:textId="156C624F" w:rsidR="00953B2E" w:rsidRPr="00C35766" w:rsidRDefault="005F0C19">
      <w:pPr>
        <w:pStyle w:val="a3"/>
        <w:rPr>
          <w:b/>
          <w:highlight w:val="lightGray"/>
          <w:lang w:val="es-ES"/>
        </w:rPr>
      </w:pPr>
      <w:r w:rsidRPr="00C35766">
        <w:rPr>
          <w:rFonts w:eastAsia="Times New Roman"/>
          <w:b/>
          <w:bCs/>
          <w:highlight w:val="lightGray"/>
          <w:lang w:val="it-IT"/>
        </w:rPr>
        <w:t xml:space="preserve">Non usi la siringa </w:t>
      </w:r>
      <w:r w:rsidR="0092097A" w:rsidRPr="00C35766">
        <w:rPr>
          <w:rFonts w:eastAsia="Times New Roman"/>
          <w:b/>
          <w:bCs/>
          <w:highlight w:val="lightGray"/>
          <w:lang w:val="it-IT"/>
        </w:rPr>
        <w:t>pre-riempita</w:t>
      </w:r>
      <w:r w:rsidRPr="00C35766">
        <w:rPr>
          <w:rFonts w:eastAsia="Times New Roman"/>
          <w:b/>
          <w:bCs/>
          <w:highlight w:val="lightGray"/>
          <w:lang w:val="it-IT"/>
        </w:rPr>
        <w:t xml:space="preserve"> se:</w:t>
      </w:r>
    </w:p>
    <w:p w14:paraId="2B195C9E" w14:textId="77777777" w:rsidR="00953B2E" w:rsidRPr="00C35766" w:rsidRDefault="005F0C19" w:rsidP="00787805">
      <w:pPr>
        <w:pStyle w:val="a3"/>
        <w:numPr>
          <w:ilvl w:val="1"/>
          <w:numId w:val="23"/>
        </w:numPr>
        <w:ind w:left="660" w:hanging="660"/>
        <w:rPr>
          <w:highlight w:val="lightGray"/>
        </w:rPr>
      </w:pPr>
      <w:r w:rsidRPr="00C35766">
        <w:rPr>
          <w:rFonts w:eastAsia="Times New Roman"/>
          <w:highlight w:val="lightGray"/>
          <w:lang w:val="it-IT"/>
        </w:rPr>
        <w:t xml:space="preserve">è incrinata o danneggiata. </w:t>
      </w:r>
    </w:p>
    <w:p w14:paraId="0702D139" w14:textId="77777777" w:rsidR="00953B2E" w:rsidRPr="00F21E03" w:rsidRDefault="005F0C19" w:rsidP="00787805">
      <w:pPr>
        <w:pStyle w:val="a3"/>
        <w:numPr>
          <w:ilvl w:val="1"/>
          <w:numId w:val="23"/>
        </w:numPr>
        <w:ind w:left="660" w:hanging="660"/>
        <w:rPr>
          <w:rFonts w:eastAsia="Times New Roman"/>
          <w:highlight w:val="lightGray"/>
          <w:lang w:val="it-IT"/>
        </w:rPr>
      </w:pPr>
      <w:r w:rsidRPr="00C35766">
        <w:rPr>
          <w:rFonts w:eastAsia="Times New Roman"/>
          <w:highlight w:val="lightGray"/>
          <w:lang w:val="it-IT"/>
        </w:rPr>
        <w:t xml:space="preserve">è stata superata la data di scadenza. </w:t>
      </w:r>
    </w:p>
    <w:p w14:paraId="2621F910" w14:textId="07B78754" w:rsidR="00F21E03" w:rsidRPr="00C35766" w:rsidRDefault="00F21E03" w:rsidP="00787805">
      <w:pPr>
        <w:pStyle w:val="a3"/>
        <w:numPr>
          <w:ilvl w:val="1"/>
          <w:numId w:val="23"/>
        </w:numPr>
        <w:ind w:left="660" w:hanging="660"/>
        <w:rPr>
          <w:highlight w:val="lightGray"/>
          <w:lang w:val="es-ES"/>
        </w:rPr>
      </w:pPr>
      <w:r w:rsidRPr="00613304">
        <w:rPr>
          <w:rFonts w:eastAsia="Times New Roman" w:hint="eastAsia"/>
          <w:highlight w:val="lightGray"/>
          <w:lang w:val="it-IT"/>
        </w:rPr>
        <w:t>è</w:t>
      </w:r>
      <w:r w:rsidRPr="00613304">
        <w:rPr>
          <w:rFonts w:eastAsia="Times New Roman"/>
          <w:highlight w:val="lightGray"/>
          <w:lang w:val="it-IT"/>
        </w:rPr>
        <w:t xml:space="preserve"> caduta su una superficie dura.</w:t>
      </w:r>
    </w:p>
    <w:p w14:paraId="1221378D" w14:textId="77777777" w:rsidR="00953B2E" w:rsidRPr="00C35766" w:rsidRDefault="00953B2E" w:rsidP="00787805">
      <w:pPr>
        <w:pStyle w:val="Default"/>
        <w:numPr>
          <w:ilvl w:val="2"/>
          <w:numId w:val="20"/>
        </w:numPr>
        <w:ind w:left="360"/>
        <w:rPr>
          <w:rFonts w:ascii="Times New Roman" w:hAnsi="Times New Roman" w:cs="Times New Roman"/>
          <w:color w:val="211D1E"/>
          <w:sz w:val="20"/>
          <w:szCs w:val="20"/>
          <w:highlight w:val="lightGray"/>
          <w:lang w:val="es-ES"/>
        </w:rPr>
      </w:pPr>
    </w:p>
    <w:p w14:paraId="1F5CC669" w14:textId="77777777" w:rsidR="00953B2E" w:rsidRPr="00C35766" w:rsidRDefault="005F0C19">
      <w:pPr>
        <w:pStyle w:val="a3"/>
        <w:rPr>
          <w:b/>
          <w:lang w:val="it-IT"/>
        </w:rPr>
      </w:pPr>
      <w:r w:rsidRPr="00C35766">
        <w:rPr>
          <w:rFonts w:eastAsia="Times New Roman"/>
          <w:b/>
          <w:bCs/>
          <w:highlight w:val="lightGray"/>
          <w:lang w:val="it-IT"/>
        </w:rPr>
        <w:t>Rimuova il tappo dell’ago solo immediatamente prima dell’iniezione. Tenga Yuflyma fuori dalla vista e dalla portata dei bambini.</w:t>
      </w:r>
    </w:p>
    <w:p w14:paraId="453467BC" w14:textId="62BE3E1B" w:rsidR="00953B2E" w:rsidRPr="00C35766" w:rsidRDefault="00953B2E">
      <w:pPr>
        <w:rPr>
          <w:rFonts w:ascii="Times New Roman" w:hAnsi="Times New Roman" w:cs="Times New Roman"/>
          <w:b/>
          <w:spacing w:val="-1"/>
          <w:lang w:val="it-IT"/>
        </w:rPr>
      </w:pPr>
    </w:p>
    <w:tbl>
      <w:tblPr>
        <w:tblStyle w:val="ac"/>
        <w:tblW w:w="0" w:type="auto"/>
        <w:tblLook w:val="04A0" w:firstRow="1" w:lastRow="0" w:firstColumn="1" w:lastColumn="0" w:noHBand="0" w:noVBand="1"/>
      </w:tblPr>
      <w:tblGrid>
        <w:gridCol w:w="9550"/>
      </w:tblGrid>
      <w:tr w:rsidR="00F816D0" w:rsidRPr="00494E69" w14:paraId="52A8D009" w14:textId="77777777" w:rsidTr="00F816D0">
        <w:trPr>
          <w:trHeight w:val="2545"/>
        </w:trPr>
        <w:tc>
          <w:tcPr>
            <w:tcW w:w="9550" w:type="dxa"/>
          </w:tcPr>
          <w:p w14:paraId="3CFECEA9" w14:textId="77777777" w:rsidR="00F816D0" w:rsidRPr="00C35766" w:rsidRDefault="00F816D0" w:rsidP="00130A90">
            <w:pPr>
              <w:ind w:left="224" w:right="1248"/>
              <w:rPr>
                <w:rFonts w:ascii="Times New Roman" w:eastAsia="Times New Roman" w:hAnsi="Times New Roman" w:cs="Times New Roman"/>
                <w:b/>
                <w:bCs/>
                <w:spacing w:val="-1"/>
                <w:lang w:val="es-ES"/>
              </w:rPr>
            </w:pPr>
          </w:p>
          <w:p w14:paraId="164AF034" w14:textId="77777777" w:rsidR="00F816D0" w:rsidRPr="00C35766" w:rsidRDefault="00F816D0" w:rsidP="00130A90">
            <w:pPr>
              <w:spacing w:before="9" w:line="240" w:lineRule="exact"/>
              <w:rPr>
                <w:rFonts w:ascii="Times New Roman" w:hAnsi="Times New Roman" w:cs="Times New Roman"/>
                <w:sz w:val="24"/>
                <w:szCs w:val="24"/>
                <w:lang w:val="es-ES"/>
              </w:rPr>
            </w:pPr>
          </w:p>
          <w:p w14:paraId="53EDC751" w14:textId="77777777" w:rsidR="00F816D0" w:rsidRPr="00C35766" w:rsidRDefault="00F816D0" w:rsidP="00787805">
            <w:pPr>
              <w:pStyle w:val="a3"/>
              <w:numPr>
                <w:ilvl w:val="0"/>
                <w:numId w:val="22"/>
              </w:numPr>
              <w:ind w:leftChars="100" w:left="580"/>
              <w:rPr>
                <w:b/>
                <w:highlight w:val="lightGray"/>
              </w:rPr>
            </w:pPr>
            <w:r w:rsidRPr="00C35766">
              <w:rPr>
                <w:rFonts w:eastAsia="Times New Roman"/>
                <w:b/>
                <w:bCs/>
                <w:highlight w:val="lightGray"/>
                <w:lang w:val="it-IT"/>
              </w:rPr>
              <w:t>Prepari i materiali per l’iniezione</w:t>
            </w:r>
          </w:p>
          <w:p w14:paraId="640452C1" w14:textId="77777777" w:rsidR="00F816D0" w:rsidRPr="00C35766" w:rsidRDefault="00F816D0" w:rsidP="00130A90">
            <w:pPr>
              <w:pStyle w:val="a3"/>
              <w:numPr>
                <w:ilvl w:val="0"/>
                <w:numId w:val="0"/>
              </w:numPr>
              <w:ind w:left="580"/>
              <w:rPr>
                <w:b/>
                <w:highlight w:val="lightGray"/>
              </w:rPr>
            </w:pPr>
          </w:p>
          <w:p w14:paraId="14E79846" w14:textId="77777777" w:rsidR="00F816D0" w:rsidRPr="00C35766" w:rsidRDefault="00F816D0" w:rsidP="00130A90">
            <w:pPr>
              <w:pStyle w:val="a3"/>
              <w:ind w:leftChars="100" w:left="220"/>
              <w:rPr>
                <w:highlight w:val="lightGray"/>
                <w:lang w:val="es-ES"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Prepari una superficie piana pulita, ad esempio un tavolo o ripiano, in un luogo ben illuminato.</w:t>
            </w:r>
          </w:p>
          <w:p w14:paraId="13C966F6" w14:textId="7A0438B4" w:rsidR="00F816D0" w:rsidRPr="00C35766" w:rsidRDefault="00F816D0" w:rsidP="00130A90">
            <w:pPr>
              <w:pStyle w:val="a3"/>
              <w:ind w:leftChars="100" w:left="220"/>
              <w:rPr>
                <w:highlight w:val="lightGray"/>
                <w:lang w:val="pt-BR" w:eastAsia="ko-KR"/>
              </w:rPr>
            </w:pPr>
            <w:r w:rsidRPr="00C35766">
              <w:rPr>
                <w:rFonts w:eastAsia="Times New Roman"/>
                <w:b/>
                <w:bCs/>
                <w:highlight w:val="lightGray"/>
                <w:lang w:val="it-IT" w:eastAsia="ko-KR"/>
              </w:rPr>
              <w:t xml:space="preserve"> b.</w:t>
            </w:r>
            <w:r w:rsidRPr="00C35766">
              <w:rPr>
                <w:rFonts w:eastAsia="Times New Roman"/>
                <w:highlight w:val="lightGray"/>
                <w:lang w:val="it-IT" w:eastAsia="ko-KR"/>
              </w:rPr>
              <w:t xml:space="preserve"> Rimuova 1 siringa </w:t>
            </w:r>
            <w:r w:rsidR="0092097A" w:rsidRPr="00C35766">
              <w:rPr>
                <w:rFonts w:eastAsia="Times New Roman"/>
                <w:highlight w:val="lightGray"/>
                <w:lang w:val="it-IT" w:eastAsia="ko-KR"/>
              </w:rPr>
              <w:t>pre-riempita</w:t>
            </w:r>
            <w:r w:rsidRPr="00C35766">
              <w:rPr>
                <w:rFonts w:eastAsia="Times New Roman"/>
                <w:highlight w:val="lightGray"/>
                <w:lang w:val="it-IT" w:eastAsia="ko-KR"/>
              </w:rPr>
              <w:t xml:space="preserve"> dalla scatola conservata in frigorifero.</w:t>
            </w:r>
          </w:p>
          <w:p w14:paraId="307FA151" w14:textId="0F004096" w:rsidR="00F816D0" w:rsidRPr="00C35766" w:rsidRDefault="00F816D0" w:rsidP="00130A90">
            <w:pPr>
              <w:pStyle w:val="a3"/>
              <w:ind w:leftChars="300" w:left="660" w:rightChars="100" w:right="220"/>
              <w:rPr>
                <w:highlight w:val="lightGray"/>
                <w:lang w:val="es-ES" w:eastAsia="ko-KR"/>
              </w:rPr>
            </w:pPr>
            <w:r w:rsidRPr="00C35766">
              <w:rPr>
                <w:rFonts w:eastAsia="맑은 고딕"/>
                <w:highlight w:val="lightGray"/>
                <w:lang w:val="it-IT" w:eastAsia="ko-KR"/>
              </w:rPr>
              <w:t>•</w:t>
            </w:r>
            <w:r w:rsidRPr="00C35766">
              <w:rPr>
                <w:rFonts w:eastAsia="Times New Roman"/>
                <w:highlight w:val="lightGray"/>
                <w:lang w:val="it-IT" w:eastAsia="ko-KR"/>
              </w:rPr>
              <w:t xml:space="preserve"> Quando rimuove la siringa </w:t>
            </w:r>
            <w:r w:rsidR="0092097A" w:rsidRPr="00C35766">
              <w:rPr>
                <w:rFonts w:eastAsia="Times New Roman"/>
                <w:highlight w:val="lightGray"/>
                <w:lang w:val="it-IT" w:eastAsia="ko-KR"/>
              </w:rPr>
              <w:t>pre-riempita</w:t>
            </w:r>
            <w:r w:rsidRPr="00C35766">
              <w:rPr>
                <w:rFonts w:eastAsia="Times New Roman"/>
                <w:highlight w:val="lightGray"/>
                <w:lang w:val="it-IT" w:eastAsia="ko-KR"/>
              </w:rPr>
              <w:t xml:space="preserve"> dalla scatola la tenga per il corpo.</w:t>
            </w:r>
            <w:r w:rsidRPr="00C35766">
              <w:rPr>
                <w:rFonts w:eastAsia="Times New Roman"/>
                <w:b/>
                <w:bCs/>
                <w:highlight w:val="lightGray"/>
                <w:lang w:val="it-IT" w:eastAsia="ko-KR"/>
              </w:rPr>
              <w:t xml:space="preserve"> Non </w:t>
            </w:r>
            <w:r w:rsidRPr="00C35766">
              <w:rPr>
                <w:rFonts w:eastAsia="Times New Roman"/>
                <w:highlight w:val="lightGray"/>
                <w:lang w:val="it-IT" w:eastAsia="ko-KR"/>
              </w:rPr>
              <w:t>tocchi lo stantuffo.</w:t>
            </w:r>
          </w:p>
          <w:p w14:paraId="2B5C71E0" w14:textId="77777777" w:rsidR="00F816D0" w:rsidRPr="00C35766" w:rsidRDefault="00F816D0" w:rsidP="00130A90">
            <w:pPr>
              <w:pStyle w:val="a3"/>
              <w:ind w:leftChars="100" w:left="220"/>
              <w:rPr>
                <w:highlight w:val="lightGray"/>
                <w:lang w:val="pt-BR" w:eastAsia="ko-KR"/>
              </w:rPr>
            </w:pPr>
            <w:r w:rsidRPr="00C35766">
              <w:rPr>
                <w:rFonts w:eastAsia="Times New Roman"/>
                <w:b/>
                <w:bCs/>
                <w:highlight w:val="lightGray"/>
                <w:lang w:val="it-IT" w:eastAsia="ko-KR"/>
              </w:rPr>
              <w:t xml:space="preserve"> c.</w:t>
            </w:r>
            <w:r w:rsidRPr="00C35766">
              <w:rPr>
                <w:rFonts w:eastAsia="Times New Roman"/>
                <w:highlight w:val="lightGray"/>
                <w:lang w:val="it-IT" w:eastAsia="ko-KR"/>
              </w:rPr>
              <w:t xml:space="preserve"> Si assicuri di avere i seguenti materiali:</w:t>
            </w:r>
          </w:p>
          <w:p w14:paraId="148962DD" w14:textId="17BA8340" w:rsidR="00F816D0" w:rsidRPr="00C35766" w:rsidRDefault="00F816D0" w:rsidP="00130A90">
            <w:pPr>
              <w:pStyle w:val="a3"/>
              <w:ind w:leftChars="337" w:left="741"/>
              <w:rPr>
                <w:highlight w:val="lightGray"/>
                <w:lang w:val="pt-BR" w:eastAsia="ko-KR"/>
              </w:rPr>
            </w:pPr>
            <w:r w:rsidRPr="00C35766">
              <w:rPr>
                <w:rFonts w:eastAsia="Times New Roman"/>
                <w:highlight w:val="lightGray"/>
                <w:lang w:val="it-IT" w:eastAsia="ko-KR"/>
              </w:rPr>
              <w:t xml:space="preserve">- Siringa </w:t>
            </w:r>
            <w:r w:rsidR="0092097A" w:rsidRPr="00C35766">
              <w:rPr>
                <w:rFonts w:eastAsia="Times New Roman"/>
                <w:highlight w:val="lightGray"/>
                <w:lang w:val="it-IT" w:eastAsia="ko-KR"/>
              </w:rPr>
              <w:t>pre-riempita</w:t>
            </w:r>
          </w:p>
          <w:p w14:paraId="75A26C82" w14:textId="6949F009" w:rsidR="00F816D0" w:rsidRPr="00C35766" w:rsidRDefault="00F816D0" w:rsidP="00130A90">
            <w:pPr>
              <w:pStyle w:val="a3"/>
              <w:ind w:leftChars="337" w:left="1264" w:hanging="523"/>
              <w:rPr>
                <w:highlight w:val="lightGray"/>
                <w:lang w:val="pt-BR" w:eastAsia="ko-KR"/>
              </w:rPr>
            </w:pPr>
            <w:r w:rsidRPr="00C35766">
              <w:rPr>
                <w:rFonts w:eastAsia="Times New Roman"/>
                <w:highlight w:val="lightGray"/>
                <w:lang w:val="it-IT" w:eastAsia="ko-KR"/>
              </w:rPr>
              <w:t>- tampone imbevuto di alcol</w:t>
            </w:r>
          </w:p>
          <w:p w14:paraId="7329A837" w14:textId="77777777" w:rsidR="00F816D0" w:rsidRPr="00C35766" w:rsidRDefault="00F816D0" w:rsidP="00130A90">
            <w:pPr>
              <w:pStyle w:val="a3"/>
              <w:ind w:leftChars="337" w:left="1264" w:hanging="523"/>
              <w:rPr>
                <w:highlight w:val="lightGray"/>
                <w:lang w:val="pt-BR" w:eastAsia="ko-KR"/>
              </w:rPr>
            </w:pPr>
          </w:p>
          <w:p w14:paraId="202742E3" w14:textId="77777777" w:rsidR="00F816D0" w:rsidRPr="00C35766" w:rsidRDefault="00F816D0" w:rsidP="00130A90">
            <w:pPr>
              <w:pStyle w:val="a3"/>
              <w:ind w:left="720"/>
              <w:rPr>
                <w:b/>
                <w:highlight w:val="lightGray"/>
                <w:lang w:val="pt-BR" w:eastAsia="ko-KR"/>
              </w:rPr>
            </w:pPr>
            <w:r w:rsidRPr="00C35766">
              <w:rPr>
                <w:rFonts w:eastAsia="Times New Roman"/>
                <w:b/>
                <w:bCs/>
                <w:highlight w:val="lightGray"/>
                <w:lang w:val="it-IT" w:eastAsia="ko-KR"/>
              </w:rPr>
              <w:t>Non compreso nella scatola:</w:t>
            </w:r>
          </w:p>
          <w:p w14:paraId="1D3DD084" w14:textId="77777777" w:rsidR="00F816D0" w:rsidRPr="00C35766" w:rsidRDefault="00F816D0" w:rsidP="00130A90">
            <w:pPr>
              <w:pStyle w:val="a3"/>
              <w:ind w:left="720"/>
              <w:rPr>
                <w:highlight w:val="lightGray"/>
                <w:lang w:val="pt-BR" w:eastAsia="ko-KR"/>
              </w:rPr>
            </w:pPr>
            <w:r w:rsidRPr="00C35766">
              <w:rPr>
                <w:rFonts w:eastAsia="Times New Roman"/>
                <w:highlight w:val="lightGray"/>
                <w:lang w:val="it-IT" w:eastAsia="ko-KR"/>
              </w:rPr>
              <w:t>- batuffolo di cotone idrofilo o garza</w:t>
            </w:r>
          </w:p>
          <w:p w14:paraId="67750775" w14:textId="77777777" w:rsidR="00F816D0" w:rsidRPr="00C35766" w:rsidRDefault="00F816D0" w:rsidP="00130A90">
            <w:pPr>
              <w:pStyle w:val="a3"/>
              <w:ind w:left="720"/>
              <w:rPr>
                <w:highlight w:val="lightGray"/>
                <w:lang w:val="pt-BR" w:eastAsia="ko-KR"/>
              </w:rPr>
            </w:pPr>
            <w:r w:rsidRPr="00C35766">
              <w:rPr>
                <w:rFonts w:eastAsia="Times New Roman"/>
                <w:highlight w:val="lightGray"/>
                <w:lang w:val="it-IT" w:eastAsia="ko-KR"/>
              </w:rPr>
              <w:t>- cerotto adesivo</w:t>
            </w:r>
          </w:p>
          <w:p w14:paraId="0FABF37E" w14:textId="77777777" w:rsidR="00F816D0" w:rsidRPr="00C35766" w:rsidRDefault="00F816D0" w:rsidP="00130A90">
            <w:pPr>
              <w:pStyle w:val="a3"/>
              <w:ind w:left="720"/>
              <w:rPr>
                <w:lang w:val="pt-BR" w:eastAsia="ko-KR"/>
              </w:rPr>
            </w:pPr>
            <w:r w:rsidRPr="00C35766">
              <w:rPr>
                <w:rFonts w:eastAsia="Times New Roman"/>
                <w:highlight w:val="lightGray"/>
                <w:lang w:val="it-IT" w:eastAsia="ko-KR"/>
              </w:rPr>
              <w:t>- contenitore per smaltimento di materiale tagliente</w:t>
            </w:r>
          </w:p>
        </w:tc>
      </w:tr>
      <w:tr w:rsidR="00F816D0" w:rsidRPr="006501B3" w14:paraId="16872ED2" w14:textId="77777777" w:rsidTr="00752AA4">
        <w:trPr>
          <w:trHeight w:val="4706"/>
        </w:trPr>
        <w:tc>
          <w:tcPr>
            <w:tcW w:w="9550" w:type="dxa"/>
          </w:tcPr>
          <w:p w14:paraId="3141CA01" w14:textId="51C5B72E" w:rsidR="00F816D0" w:rsidRPr="00C35766" w:rsidRDefault="00752AA4" w:rsidP="00130A90">
            <w:pPr>
              <w:ind w:left="224" w:right="1248"/>
              <w:rPr>
                <w:rFonts w:ascii="Times New Roman" w:eastAsia="Times New Roman" w:hAnsi="Times New Roman" w:cs="Times New Roman"/>
                <w:b/>
                <w:bCs/>
                <w:spacing w:val="-1"/>
                <w:lang w:val="pt-BR"/>
              </w:rPr>
            </w:pPr>
            <w:r w:rsidRPr="00C35766">
              <w:rPr>
                <w:rFonts w:ascii="Times New Roman" w:hAnsi="Times New Roman" w:cs="Times New Roman"/>
                <w:noProof/>
                <w:lang w:eastAsia="ko-KR"/>
              </w:rPr>
              <w:lastRenderedPageBreak/>
              <mc:AlternateContent>
                <mc:Choice Requires="wpg">
                  <w:drawing>
                    <wp:anchor distT="0" distB="0" distL="114300" distR="114300" simplePos="0" relativeHeight="251658291" behindDoc="0" locked="0" layoutInCell="1" allowOverlap="1" wp14:anchorId="6162A683" wp14:editId="39C946B6">
                      <wp:simplePos x="0" y="0"/>
                      <wp:positionH relativeFrom="column">
                        <wp:posOffset>-6985</wp:posOffset>
                      </wp:positionH>
                      <wp:positionV relativeFrom="paragraph">
                        <wp:posOffset>163195</wp:posOffset>
                      </wp:positionV>
                      <wp:extent cx="2153285" cy="2783205"/>
                      <wp:effectExtent l="0" t="0" r="0" b="0"/>
                      <wp:wrapSquare wrapText="bothSides"/>
                      <wp:docPr id="1024" name="그룹 1024"/>
                      <wp:cNvGraphicFramePr/>
                      <a:graphic xmlns:a="http://schemas.openxmlformats.org/drawingml/2006/main">
                        <a:graphicData uri="http://schemas.microsoft.com/office/word/2010/wordprocessingGroup">
                          <wpg:wgp>
                            <wpg:cNvGrpSpPr/>
                            <wpg:grpSpPr>
                              <a:xfrm>
                                <a:off x="0" y="0"/>
                                <a:ext cx="2153285" cy="2783205"/>
                                <a:chOff x="0" y="1"/>
                                <a:chExt cx="2153925" cy="2784369"/>
                              </a:xfrm>
                            </wpg:grpSpPr>
                            <wpg:grpSp>
                              <wpg:cNvPr id="67" name="그룹 67"/>
                              <wpg:cNvGrpSpPr/>
                              <wpg:grpSpPr>
                                <a:xfrm>
                                  <a:off x="0" y="1"/>
                                  <a:ext cx="2153925" cy="2784369"/>
                                  <a:chOff x="0" y="1"/>
                                  <a:chExt cx="2153925" cy="2784369"/>
                                </a:xfrm>
                              </wpg:grpSpPr>
                              <pic:pic xmlns:pic="http://schemas.openxmlformats.org/drawingml/2006/picture">
                                <pic:nvPicPr>
                                  <pic:cNvPr id="91" name="그림 9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bwMode="auto">
                                  <a:xfrm>
                                    <a:off x="0" y="1"/>
                                    <a:ext cx="2153925" cy="2628448"/>
                                  </a:xfrm>
                                  <a:prstGeom prst="rect">
                                    <a:avLst/>
                                  </a:prstGeom>
                                  <a:noFill/>
                                  <a:ln>
                                    <a:noFill/>
                                  </a:ln>
                                </pic:spPr>
                              </pic:pic>
                              <wps:wsp>
                                <wps:cNvPr id="66" name="Text Box 66"/>
                                <wps:cNvSpPr txBox="1"/>
                                <wps:spPr>
                                  <a:xfrm>
                                    <a:off x="1434167" y="2638320"/>
                                    <a:ext cx="719758" cy="146050"/>
                                  </a:xfrm>
                                  <a:prstGeom prst="rect">
                                    <a:avLst/>
                                  </a:prstGeom>
                                  <a:solidFill>
                                    <a:prstClr val="white"/>
                                  </a:solidFill>
                                  <a:ln>
                                    <a:noFill/>
                                  </a:ln>
                                </wps:spPr>
                                <wps:txbx>
                                  <w:txbxContent>
                                    <w:p w14:paraId="0DD4C4A5"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1" name="Text Box 111"/>
                              <wps:cNvSpPr txBox="1"/>
                              <wps:spPr>
                                <a:xfrm>
                                  <a:off x="1076836" y="1521435"/>
                                  <a:ext cx="934566" cy="1193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8AF48" w14:textId="77777777" w:rsidR="00D97785" w:rsidRPr="004F566E" w:rsidRDefault="00D97785" w:rsidP="00F816D0">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62A683" id="그룹 1024" o:spid="_x0000_s1101" style="position:absolute;left:0;text-align:left;margin-left:-.55pt;margin-top:12.85pt;width:169.55pt;height:219.15pt;z-index:251658291;mso-width-relative:margin;mso-height-relative:margin" coordorigin="" coordsize="21539,278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">
                      <v:group id="그룹 67" o:spid="_x0000_s1102" style="position:absolute;width:21539;height:27843" coordorigin="" coordsize="21539,2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103" type="#_x0000_t75" style="position:absolute;width:21539;height:26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61" o:title=""/>
                        </v:shape>
                        <v:shape id="Text Box 66" o:spid="_x0000_s1104" type="#_x0000_t202" style="position:absolute;left:14341;top:26383;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0DD4C4A5"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B</w:t>
                                </w:r>
                              </w:p>
                            </w:txbxContent>
                          </v:textbox>
                        </v:shape>
                      </v:group>
                      <v:shape id="Text Box 111" o:spid="_x0000_s1105" type="#_x0000_t202" style="position:absolute;left:10768;top:15214;width:9346;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3688AF48" w14:textId="77777777" w:rsidR="00D97785" w:rsidRPr="004F566E" w:rsidRDefault="00D97785" w:rsidP="00F816D0">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v:textbox>
                      </v:shape>
                      <w10:wrap type="square"/>
                    </v:group>
                  </w:pict>
                </mc:Fallback>
              </mc:AlternateContent>
            </w:r>
          </w:p>
          <w:p w14:paraId="43EF4EF2" w14:textId="3B2CFD9A" w:rsidR="00F816D0" w:rsidRPr="00C35766" w:rsidRDefault="00F816D0" w:rsidP="00130A90">
            <w:pPr>
              <w:pStyle w:val="a3"/>
              <w:rPr>
                <w:lang w:val="pt-BR"/>
              </w:rPr>
            </w:pPr>
          </w:p>
          <w:p w14:paraId="4EB477CC" w14:textId="51916467" w:rsidR="00F816D0" w:rsidRPr="00C35766" w:rsidRDefault="00F816D0" w:rsidP="00130A90">
            <w:pPr>
              <w:pStyle w:val="a3"/>
              <w:rPr>
                <w:lang w:val="pt-BR"/>
              </w:rPr>
            </w:pPr>
          </w:p>
          <w:p w14:paraId="7C64BDCC" w14:textId="548A758A" w:rsidR="00F816D0" w:rsidRPr="00C35766" w:rsidRDefault="00F816D0" w:rsidP="00787805">
            <w:pPr>
              <w:pStyle w:val="a3"/>
              <w:numPr>
                <w:ilvl w:val="0"/>
                <w:numId w:val="22"/>
              </w:numPr>
              <w:rPr>
                <w:b/>
                <w:highlight w:val="lightGray"/>
              </w:rPr>
            </w:pPr>
            <w:r w:rsidRPr="00C35766">
              <w:rPr>
                <w:rFonts w:eastAsia="Times New Roman"/>
                <w:b/>
                <w:bCs/>
                <w:highlight w:val="lightGray"/>
                <w:lang w:val="it-IT"/>
              </w:rPr>
              <w:t xml:space="preserve">Ispezioni la siringa </w:t>
            </w:r>
            <w:r w:rsidR="0092097A" w:rsidRPr="00C35766">
              <w:rPr>
                <w:rFonts w:eastAsia="Times New Roman"/>
                <w:b/>
                <w:bCs/>
                <w:highlight w:val="lightGray"/>
                <w:lang w:val="it-IT"/>
              </w:rPr>
              <w:t>pre-riempita</w:t>
            </w:r>
          </w:p>
          <w:p w14:paraId="3FD24281" w14:textId="77777777" w:rsidR="00F816D0" w:rsidRPr="00C35766" w:rsidRDefault="00F816D0" w:rsidP="00130A90">
            <w:pPr>
              <w:pStyle w:val="a3"/>
              <w:numPr>
                <w:ilvl w:val="0"/>
                <w:numId w:val="0"/>
              </w:numPr>
              <w:ind w:left="471"/>
              <w:rPr>
                <w:b/>
                <w:highlight w:val="lightGray"/>
              </w:rPr>
            </w:pPr>
          </w:p>
          <w:p w14:paraId="52C9C40F" w14:textId="5735CAF6" w:rsidR="00F816D0" w:rsidRPr="00824699" w:rsidRDefault="00F816D0" w:rsidP="00130A90">
            <w:pPr>
              <w:pStyle w:val="a3"/>
              <w:rPr>
                <w:highlight w:val="lightGray"/>
                <w:lang w:val="it-IT"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Si assicuri di avere il medicinale (Yuflyma) e il dosaggio corretti </w:t>
            </w:r>
          </w:p>
          <w:p w14:paraId="21736186" w14:textId="45B81D07" w:rsidR="00F816D0" w:rsidRPr="00824699" w:rsidRDefault="00F816D0" w:rsidP="00130A90">
            <w:pPr>
              <w:pStyle w:val="a3"/>
              <w:rPr>
                <w:highlight w:val="lightGray"/>
                <w:lang w:val="it-IT" w:eastAsia="ko-KR"/>
              </w:rPr>
            </w:pPr>
            <w:r w:rsidRPr="00C35766">
              <w:rPr>
                <w:rFonts w:eastAsia="Times New Roman"/>
                <w:b/>
                <w:bCs/>
                <w:highlight w:val="lightGray"/>
                <w:lang w:val="it-IT" w:eastAsia="ko-KR"/>
              </w:rPr>
              <w:t xml:space="preserve"> b.</w:t>
            </w:r>
            <w:r w:rsidRPr="00C35766">
              <w:rPr>
                <w:rFonts w:eastAsia="Times New Roman"/>
                <w:highlight w:val="lightGray"/>
                <w:lang w:val="it-IT" w:eastAsia="ko-KR"/>
              </w:rPr>
              <w:t xml:space="preserve"> Guardi la siringa </w:t>
            </w:r>
            <w:r w:rsidR="0092097A" w:rsidRPr="00C35766">
              <w:rPr>
                <w:rFonts w:eastAsia="Times New Roman"/>
                <w:highlight w:val="lightGray"/>
                <w:lang w:val="it-IT" w:eastAsia="ko-KR"/>
              </w:rPr>
              <w:t>pre-riempita</w:t>
            </w:r>
            <w:r w:rsidRPr="00C35766">
              <w:rPr>
                <w:rFonts w:eastAsia="Times New Roman"/>
                <w:highlight w:val="lightGray"/>
                <w:lang w:val="it-IT" w:eastAsia="ko-KR"/>
              </w:rPr>
              <w:t xml:space="preserve"> e si accerti che non sia </w:t>
            </w:r>
          </w:p>
          <w:p w14:paraId="62710D05" w14:textId="77777777" w:rsidR="00F816D0" w:rsidRPr="00824699" w:rsidRDefault="00F816D0" w:rsidP="00130A90">
            <w:pPr>
              <w:pStyle w:val="a3"/>
              <w:rPr>
                <w:highlight w:val="lightGray"/>
                <w:lang w:val="it-IT" w:eastAsia="ko-KR"/>
              </w:rPr>
            </w:pPr>
            <w:r w:rsidRPr="00C35766">
              <w:rPr>
                <w:rFonts w:eastAsia="Times New Roman"/>
                <w:highlight w:val="lightGray"/>
                <w:lang w:val="it-IT" w:eastAsia="ko-KR"/>
              </w:rPr>
              <w:t xml:space="preserve"> incrinata o danneggiata. </w:t>
            </w:r>
          </w:p>
          <w:p w14:paraId="260D73A0" w14:textId="77777777" w:rsidR="00F816D0" w:rsidRPr="00C35766" w:rsidRDefault="00F816D0" w:rsidP="00130A90">
            <w:pPr>
              <w:pStyle w:val="a3"/>
              <w:ind w:firstLineChars="50" w:firstLine="110"/>
              <w:rPr>
                <w:highlight w:val="lightGray"/>
                <w:lang w:val="es-ES" w:eastAsia="ko-KR"/>
              </w:rPr>
            </w:pPr>
            <w:r w:rsidRPr="00C35766">
              <w:rPr>
                <w:rFonts w:eastAsia="Times New Roman"/>
                <w:b/>
                <w:bCs/>
                <w:highlight w:val="lightGray"/>
                <w:lang w:val="it-IT" w:eastAsia="ko-KR"/>
              </w:rPr>
              <w:t xml:space="preserve"> c.</w:t>
            </w:r>
            <w:r w:rsidRPr="00C35766">
              <w:rPr>
                <w:rFonts w:eastAsia="Times New Roman"/>
                <w:highlight w:val="lightGray"/>
                <w:lang w:val="it-IT" w:eastAsia="ko-KR"/>
              </w:rPr>
              <w:t xml:space="preserve"> Controlli la data di scadenza sull’etichetta della siringa </w:t>
            </w:r>
          </w:p>
          <w:p w14:paraId="6D198FCC" w14:textId="433E7155" w:rsidR="00F816D0" w:rsidRPr="00C35766" w:rsidRDefault="00F816D0" w:rsidP="00130A90">
            <w:pPr>
              <w:pStyle w:val="a3"/>
              <w:rPr>
                <w:highlight w:val="lightGray"/>
                <w:lang w:val="es-ES" w:eastAsia="ko-KR"/>
              </w:rPr>
            </w:pPr>
            <w:r w:rsidRPr="00C35766">
              <w:rPr>
                <w:rFonts w:eastAsia="Times New Roman"/>
                <w:highlight w:val="lightGray"/>
                <w:lang w:val="it-IT" w:eastAsia="ko-KR"/>
              </w:rPr>
              <w:t xml:space="preserve"> </w:t>
            </w:r>
            <w:r w:rsidR="0092097A" w:rsidRPr="00C35766">
              <w:rPr>
                <w:rFonts w:eastAsia="Times New Roman"/>
                <w:highlight w:val="lightGray"/>
                <w:lang w:val="it-IT" w:eastAsia="ko-KR"/>
              </w:rPr>
              <w:t>pre-riempita</w:t>
            </w:r>
            <w:r w:rsidRPr="00C35766">
              <w:rPr>
                <w:rFonts w:eastAsia="Times New Roman"/>
                <w:highlight w:val="lightGray"/>
                <w:lang w:val="it-IT" w:eastAsia="ko-KR"/>
              </w:rPr>
              <w:t xml:space="preserve">. </w:t>
            </w:r>
          </w:p>
          <w:p w14:paraId="08AE7AAD" w14:textId="0C50489F" w:rsidR="00F816D0" w:rsidRPr="00C35766" w:rsidRDefault="00F816D0" w:rsidP="00130A90">
            <w:pPr>
              <w:spacing w:line="260" w:lineRule="exact"/>
              <w:rPr>
                <w:rFonts w:ascii="Times New Roman" w:hAnsi="Times New Roman" w:cs="Times New Roman"/>
                <w:sz w:val="26"/>
                <w:szCs w:val="26"/>
                <w:highlight w:val="lightGray"/>
                <w:lang w:val="es-ES"/>
              </w:rPr>
            </w:pPr>
          </w:p>
          <w:p w14:paraId="28A4F22D" w14:textId="4D8E90E9" w:rsidR="00F816D0" w:rsidRPr="00C35766" w:rsidRDefault="00F816D0" w:rsidP="00130A90">
            <w:pPr>
              <w:pStyle w:val="a3"/>
              <w:numPr>
                <w:ilvl w:val="0"/>
                <w:numId w:val="0"/>
              </w:numPr>
              <w:rPr>
                <w:highlight w:val="lightGray"/>
                <w:lang w:val="es-ES" w:eastAsia="ko-KR"/>
              </w:rPr>
            </w:pPr>
            <w:r w:rsidRPr="00C35766">
              <w:rPr>
                <w:rFonts w:eastAsia="Times New Roman"/>
                <w:b/>
                <w:bCs/>
                <w:highlight w:val="lightGray"/>
                <w:lang w:val="it-IT" w:eastAsia="ko-KR"/>
              </w:rPr>
              <w:t>Non</w:t>
            </w:r>
            <w:r w:rsidRPr="00C35766">
              <w:rPr>
                <w:rFonts w:eastAsia="Times New Roman"/>
                <w:highlight w:val="lightGray"/>
                <w:lang w:val="it-IT" w:eastAsia="ko-KR"/>
              </w:rPr>
              <w:t xml:space="preserve"> usi la siringa </w:t>
            </w:r>
            <w:r w:rsidR="0092097A" w:rsidRPr="00C35766">
              <w:rPr>
                <w:rFonts w:eastAsia="Times New Roman"/>
                <w:highlight w:val="lightGray"/>
                <w:lang w:val="it-IT" w:eastAsia="ko-KR"/>
              </w:rPr>
              <w:t>pre-riempita</w:t>
            </w:r>
            <w:r w:rsidRPr="00C35766">
              <w:rPr>
                <w:rFonts w:eastAsia="Times New Roman"/>
                <w:highlight w:val="lightGray"/>
                <w:lang w:val="it-IT" w:eastAsia="ko-KR"/>
              </w:rPr>
              <w:t xml:space="preserve"> se:</w:t>
            </w:r>
          </w:p>
          <w:p w14:paraId="5AEB6C15" w14:textId="3B17AC79" w:rsidR="00F816D0" w:rsidRPr="00C35766" w:rsidRDefault="00F816D0" w:rsidP="00787805">
            <w:pPr>
              <w:pStyle w:val="a3"/>
              <w:numPr>
                <w:ilvl w:val="2"/>
                <w:numId w:val="38"/>
              </w:numPr>
              <w:rPr>
                <w:sz w:val="26"/>
                <w:szCs w:val="26"/>
                <w:highlight w:val="lightGray"/>
              </w:rPr>
            </w:pPr>
            <w:r w:rsidRPr="00C35766">
              <w:rPr>
                <w:rFonts w:eastAsia="Times New Roman"/>
                <w:highlight w:val="lightGray"/>
                <w:lang w:val="it-IT" w:eastAsia="ko-KR"/>
              </w:rPr>
              <w:t xml:space="preserve">è incrinata o danneggiata </w:t>
            </w:r>
          </w:p>
          <w:p w14:paraId="669FD02C" w14:textId="77777777" w:rsidR="00F816D0" w:rsidRPr="00613304" w:rsidRDefault="00F816D0" w:rsidP="00787805">
            <w:pPr>
              <w:pStyle w:val="a3"/>
              <w:numPr>
                <w:ilvl w:val="2"/>
                <w:numId w:val="38"/>
              </w:numPr>
              <w:rPr>
                <w:rFonts w:eastAsia="Times New Roman"/>
                <w:highlight w:val="lightGray"/>
                <w:lang w:val="it-IT" w:eastAsia="ko-KR"/>
              </w:rPr>
            </w:pPr>
            <w:r w:rsidRPr="00C35766">
              <w:rPr>
                <w:rFonts w:eastAsia="Times New Roman"/>
                <w:highlight w:val="lightGray"/>
                <w:lang w:val="it-IT" w:eastAsia="ko-KR"/>
              </w:rPr>
              <w:t>la data di scadenza è stata superata.</w:t>
            </w:r>
            <w:r w:rsidRPr="00C35766">
              <w:rPr>
                <w:rFonts w:eastAsia="Times New Roman"/>
                <w:lang w:val="it-IT" w:eastAsia="ko-KR"/>
              </w:rPr>
              <w:t xml:space="preserve"> </w:t>
            </w:r>
          </w:p>
          <w:p w14:paraId="149E4343" w14:textId="1C020858" w:rsidR="00F21E03" w:rsidRPr="00824699" w:rsidRDefault="00F21E03" w:rsidP="00787805">
            <w:pPr>
              <w:pStyle w:val="a3"/>
              <w:numPr>
                <w:ilvl w:val="2"/>
                <w:numId w:val="38"/>
              </w:numPr>
              <w:rPr>
                <w:sz w:val="26"/>
                <w:szCs w:val="26"/>
                <w:lang w:val="it-IT"/>
              </w:rPr>
            </w:pPr>
            <w:r w:rsidRPr="00613304">
              <w:rPr>
                <w:rFonts w:eastAsia="Times New Roman" w:hint="eastAsia"/>
                <w:highlight w:val="lightGray"/>
                <w:lang w:val="it-IT" w:eastAsia="ko-KR"/>
              </w:rPr>
              <w:t>è</w:t>
            </w:r>
            <w:r w:rsidRPr="00613304">
              <w:rPr>
                <w:rFonts w:eastAsia="Times New Roman"/>
                <w:highlight w:val="lightGray"/>
                <w:lang w:val="it-IT" w:eastAsia="ko-KR"/>
              </w:rPr>
              <w:t xml:space="preserve"> caduta su una superficie dura.</w:t>
            </w:r>
          </w:p>
        </w:tc>
      </w:tr>
      <w:tr w:rsidR="00F816D0" w:rsidRPr="00C35766" w14:paraId="6F32352E" w14:textId="77777777" w:rsidTr="00752AA4">
        <w:trPr>
          <w:trHeight w:val="4479"/>
        </w:trPr>
        <w:tc>
          <w:tcPr>
            <w:tcW w:w="9550" w:type="dxa"/>
          </w:tcPr>
          <w:p w14:paraId="5B1BDAB8" w14:textId="3F071056" w:rsidR="00F816D0" w:rsidRPr="00824699" w:rsidRDefault="00752AA4" w:rsidP="00130A90">
            <w:pPr>
              <w:spacing w:line="260" w:lineRule="exact"/>
              <w:rPr>
                <w:rFonts w:ascii="Times New Roman" w:hAnsi="Times New Roman" w:cs="Times New Roman"/>
                <w:sz w:val="26"/>
                <w:szCs w:val="26"/>
                <w:lang w:val="it-IT"/>
              </w:rPr>
            </w:pPr>
            <w:r w:rsidRPr="00C35766">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290" behindDoc="0" locked="0" layoutInCell="1" allowOverlap="1" wp14:anchorId="501C3A45" wp14:editId="79AA7707">
                      <wp:simplePos x="0" y="0"/>
                      <wp:positionH relativeFrom="column">
                        <wp:posOffset>5080</wp:posOffset>
                      </wp:positionH>
                      <wp:positionV relativeFrom="paragraph">
                        <wp:posOffset>113030</wp:posOffset>
                      </wp:positionV>
                      <wp:extent cx="2141220" cy="2627630"/>
                      <wp:effectExtent l="0" t="0" r="0" b="1270"/>
                      <wp:wrapSquare wrapText="bothSides"/>
                      <wp:docPr id="69" name="그룹 69"/>
                      <wp:cNvGraphicFramePr/>
                      <a:graphic xmlns:a="http://schemas.openxmlformats.org/drawingml/2006/main">
                        <a:graphicData uri="http://schemas.microsoft.com/office/word/2010/wordprocessingGroup">
                          <wpg:wgp>
                            <wpg:cNvGrpSpPr/>
                            <wpg:grpSpPr>
                              <a:xfrm>
                                <a:off x="0" y="0"/>
                                <a:ext cx="2141220" cy="2627630"/>
                                <a:chOff x="-1" y="1"/>
                                <a:chExt cx="2141700" cy="2629017"/>
                              </a:xfrm>
                            </wpg:grpSpPr>
                            <pic:pic xmlns:pic="http://schemas.openxmlformats.org/drawingml/2006/picture">
                              <pic:nvPicPr>
                                <pic:cNvPr id="92" name="그림 9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1" y="1"/>
                                  <a:ext cx="2141700" cy="2482967"/>
                                </a:xfrm>
                                <a:prstGeom prst="rect">
                                  <a:avLst/>
                                </a:prstGeom>
                                <a:noFill/>
                                <a:ln>
                                  <a:noFill/>
                                </a:ln>
                              </pic:spPr>
                            </pic:pic>
                            <wps:wsp>
                              <wps:cNvPr id="68" name="Text Box 68"/>
                              <wps:cNvSpPr txBox="1"/>
                              <wps:spPr>
                                <a:xfrm>
                                  <a:off x="1421941" y="2482968"/>
                                  <a:ext cx="719758" cy="146050"/>
                                </a:xfrm>
                                <a:prstGeom prst="rect">
                                  <a:avLst/>
                                </a:prstGeom>
                                <a:solidFill>
                                  <a:prstClr val="white"/>
                                </a:solidFill>
                                <a:ln>
                                  <a:noFill/>
                                </a:ln>
                              </wps:spPr>
                              <wps:txbx>
                                <w:txbxContent>
                                  <w:p w14:paraId="34B91F9E"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01C3A45" id="그룹 69" o:spid="_x0000_s1106" style="position:absolute;margin-left:.4pt;margin-top:8.9pt;width:168.6pt;height:206.9pt;z-index:251658290;mso-width-relative:margin;mso-height-relative:margin" coordorigin="" coordsize="21417,262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">
                      <v:shape id="그림 92" o:spid="_x0000_s1107" type="#_x0000_t75" style="position:absolute;width:21416;height:2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63" o:title=""/>
                      </v:shape>
                      <v:shape id="Text Box 68" o:spid="_x0000_s1108" type="#_x0000_t202" style="position:absolute;left:14219;top:2482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34B91F9E"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C</w:t>
                              </w:r>
                            </w:p>
                          </w:txbxContent>
                        </v:textbox>
                      </v:shape>
                      <w10:wrap type="square"/>
                    </v:group>
                  </w:pict>
                </mc:Fallback>
              </mc:AlternateContent>
            </w:r>
          </w:p>
          <w:p w14:paraId="74A0515E" w14:textId="2074E1CC" w:rsidR="00F816D0" w:rsidRPr="00824699" w:rsidRDefault="00F816D0" w:rsidP="00130A90">
            <w:pPr>
              <w:spacing w:line="260" w:lineRule="exact"/>
              <w:rPr>
                <w:rFonts w:ascii="Times New Roman" w:hAnsi="Times New Roman" w:cs="Times New Roman"/>
                <w:sz w:val="26"/>
                <w:szCs w:val="26"/>
                <w:highlight w:val="lightGray"/>
                <w:lang w:val="it-IT"/>
              </w:rPr>
            </w:pPr>
          </w:p>
          <w:p w14:paraId="455E6707" w14:textId="77777777" w:rsidR="00F816D0" w:rsidRPr="00C35766" w:rsidRDefault="00F816D0" w:rsidP="00787805">
            <w:pPr>
              <w:pStyle w:val="a3"/>
              <w:numPr>
                <w:ilvl w:val="0"/>
                <w:numId w:val="22"/>
              </w:numPr>
              <w:rPr>
                <w:b/>
                <w:highlight w:val="lightGray"/>
                <w:lang w:eastAsia="ko-KR"/>
              </w:rPr>
            </w:pPr>
            <w:r w:rsidRPr="00C35766">
              <w:rPr>
                <w:rFonts w:eastAsia="Times New Roman"/>
                <w:b/>
                <w:bCs/>
                <w:highlight w:val="lightGray"/>
                <w:lang w:val="it-IT"/>
              </w:rPr>
              <w:t>Ispezioni il farmaco</w:t>
            </w:r>
          </w:p>
          <w:p w14:paraId="51A35654" w14:textId="77777777" w:rsidR="00F816D0" w:rsidRPr="00C35766" w:rsidRDefault="00F816D0" w:rsidP="00130A90">
            <w:pPr>
              <w:pStyle w:val="a3"/>
              <w:rPr>
                <w:b/>
                <w:highlight w:val="lightGray"/>
                <w:lang w:eastAsia="ko-KR"/>
              </w:rPr>
            </w:pPr>
          </w:p>
          <w:p w14:paraId="0233A5BE" w14:textId="77777777" w:rsidR="00F816D0" w:rsidRPr="00824699" w:rsidRDefault="00F816D0" w:rsidP="00130A90">
            <w:pPr>
              <w:pStyle w:val="a3"/>
              <w:rPr>
                <w:highlight w:val="lightGray"/>
                <w:lang w:val="it-IT"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Guardi il farmaco per confermare che il liquido sia </w:t>
            </w:r>
          </w:p>
          <w:p w14:paraId="126A199B" w14:textId="77777777" w:rsidR="00F816D0" w:rsidRPr="00C35766" w:rsidRDefault="00F816D0" w:rsidP="00130A90">
            <w:pPr>
              <w:pStyle w:val="a3"/>
              <w:rPr>
                <w:highlight w:val="lightGray"/>
                <w:lang w:val="pt-BR" w:eastAsia="ko-KR"/>
              </w:rPr>
            </w:pPr>
            <w:r w:rsidRPr="00C35766">
              <w:rPr>
                <w:rFonts w:eastAsia="Times New Roman"/>
                <w:highlight w:val="lightGray"/>
                <w:lang w:val="it-IT" w:eastAsia="ko-KR"/>
              </w:rPr>
              <w:t xml:space="preserve"> limpido, da incolore a marrone chiaro e privo di particelle.</w:t>
            </w:r>
          </w:p>
          <w:p w14:paraId="0B650FE7" w14:textId="715A1BF9" w:rsidR="00F816D0" w:rsidRPr="00824699" w:rsidRDefault="00F816D0" w:rsidP="00130A90">
            <w:pPr>
              <w:pStyle w:val="a3"/>
              <w:rPr>
                <w:sz w:val="26"/>
                <w:szCs w:val="26"/>
                <w:highlight w:val="lightGray"/>
                <w:lang w:val="it-IT"/>
              </w:rPr>
            </w:pPr>
          </w:p>
          <w:p w14:paraId="3F1FCB10" w14:textId="28F01DCA" w:rsidR="00F816D0" w:rsidRPr="00824699" w:rsidRDefault="00F816D0" w:rsidP="00787805">
            <w:pPr>
              <w:pStyle w:val="a3"/>
              <w:numPr>
                <w:ilvl w:val="0"/>
                <w:numId w:val="16"/>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usi la siringa </w:t>
            </w:r>
            <w:r w:rsidR="0092097A" w:rsidRPr="00C35766">
              <w:rPr>
                <w:rFonts w:eastAsia="Times New Roman"/>
                <w:highlight w:val="lightGray"/>
                <w:lang w:val="it-IT"/>
              </w:rPr>
              <w:t>pre-riempita</w:t>
            </w:r>
            <w:r w:rsidRPr="00C35766">
              <w:rPr>
                <w:rFonts w:eastAsia="Times New Roman"/>
                <w:highlight w:val="lightGray"/>
                <w:lang w:val="it-IT"/>
              </w:rPr>
              <w:t xml:space="preserve"> se il liquido è: </w:t>
            </w:r>
          </w:p>
          <w:p w14:paraId="0815BD8D" w14:textId="77777777" w:rsidR="007F20E6" w:rsidRPr="00C35766" w:rsidRDefault="00F816D0" w:rsidP="00130A90">
            <w:pPr>
              <w:pStyle w:val="a3"/>
              <w:numPr>
                <w:ilvl w:val="0"/>
                <w:numId w:val="0"/>
              </w:numPr>
              <w:ind w:firstLineChars="250" w:firstLine="550"/>
              <w:rPr>
                <w:rFonts w:eastAsia="Times New Roman"/>
                <w:highlight w:val="lightGray"/>
                <w:lang w:val="it-IT"/>
              </w:rPr>
            </w:pPr>
            <w:r w:rsidRPr="00C35766">
              <w:rPr>
                <w:rFonts w:eastAsia="Times New Roman"/>
                <w:highlight w:val="lightGray"/>
                <w:lang w:val="it-IT"/>
              </w:rPr>
              <w:t xml:space="preserve">di colore alterato (giallo o marrone scuro), torbido o </w:t>
            </w:r>
          </w:p>
          <w:p w14:paraId="309A2172" w14:textId="1EB38B74" w:rsidR="00F816D0" w:rsidRPr="00C35766" w:rsidRDefault="00F816D0" w:rsidP="00130A90">
            <w:pPr>
              <w:pStyle w:val="a3"/>
              <w:numPr>
                <w:ilvl w:val="0"/>
                <w:numId w:val="0"/>
              </w:numPr>
              <w:ind w:firstLineChars="250" w:firstLine="550"/>
              <w:rPr>
                <w:highlight w:val="lightGray"/>
              </w:rPr>
            </w:pPr>
            <w:r w:rsidRPr="00C35766">
              <w:rPr>
                <w:rFonts w:eastAsia="Times New Roman"/>
                <w:highlight w:val="lightGray"/>
                <w:lang w:val="it-IT"/>
              </w:rPr>
              <w:t>contiene particelle.</w:t>
            </w:r>
          </w:p>
          <w:p w14:paraId="2401DB9F" w14:textId="77777777" w:rsidR="00F816D0" w:rsidRPr="00C35766" w:rsidRDefault="00F816D0" w:rsidP="00130A90">
            <w:pPr>
              <w:pStyle w:val="a3"/>
              <w:numPr>
                <w:ilvl w:val="0"/>
                <w:numId w:val="0"/>
              </w:numPr>
              <w:rPr>
                <w:highlight w:val="lightGray"/>
              </w:rPr>
            </w:pPr>
          </w:p>
          <w:p w14:paraId="3EE284A9" w14:textId="77777777" w:rsidR="007F20E6" w:rsidRPr="00C35766" w:rsidRDefault="00F816D0" w:rsidP="00787805">
            <w:pPr>
              <w:pStyle w:val="a3"/>
              <w:numPr>
                <w:ilvl w:val="0"/>
                <w:numId w:val="16"/>
              </w:numPr>
              <w:rPr>
                <w:sz w:val="26"/>
                <w:szCs w:val="26"/>
                <w:highlight w:val="lightGray"/>
              </w:rPr>
            </w:pPr>
            <w:r w:rsidRPr="00C35766">
              <w:rPr>
                <w:rFonts w:eastAsia="Times New Roman"/>
                <w:highlight w:val="lightGray"/>
                <w:lang w:val="it-IT"/>
              </w:rPr>
              <w:t xml:space="preserve">Potrebbe vedere bolle d’aria nel liquido. Questo è </w:t>
            </w:r>
          </w:p>
          <w:p w14:paraId="765327FE" w14:textId="299B1E34" w:rsidR="00F816D0" w:rsidRPr="00C35766" w:rsidRDefault="00F816D0" w:rsidP="00C7325A">
            <w:pPr>
              <w:pStyle w:val="a3"/>
              <w:numPr>
                <w:ilvl w:val="0"/>
                <w:numId w:val="0"/>
              </w:numPr>
              <w:ind w:left="1384" w:firstLineChars="200" w:firstLine="440"/>
              <w:rPr>
                <w:sz w:val="26"/>
                <w:szCs w:val="26"/>
              </w:rPr>
            </w:pPr>
            <w:r w:rsidRPr="00C35766">
              <w:rPr>
                <w:rFonts w:eastAsia="Times New Roman"/>
                <w:highlight w:val="lightGray"/>
                <w:lang w:val="it-IT"/>
              </w:rPr>
              <w:t>normale.</w:t>
            </w:r>
          </w:p>
        </w:tc>
      </w:tr>
      <w:tr w:rsidR="00953B2E" w:rsidRPr="006501B3" w14:paraId="654F671F" w14:textId="77777777" w:rsidTr="00752AA4">
        <w:trPr>
          <w:trHeight w:val="4592"/>
        </w:trPr>
        <w:tc>
          <w:tcPr>
            <w:tcW w:w="9550" w:type="dxa"/>
          </w:tcPr>
          <w:p w14:paraId="1B4CDBD3" w14:textId="17D45BC6" w:rsidR="00953B2E" w:rsidRPr="00C35766" w:rsidRDefault="00752AA4">
            <w:pPr>
              <w:ind w:left="224" w:right="1248"/>
              <w:rPr>
                <w:rFonts w:ascii="Times New Roman" w:eastAsia="Times New Roman" w:hAnsi="Times New Roman" w:cs="Times New Roman"/>
                <w:b/>
                <w:bCs/>
                <w:spacing w:val="-1"/>
              </w:rPr>
            </w:pPr>
            <w:r w:rsidRPr="00C35766">
              <w:rPr>
                <w:rFonts w:ascii="Times New Roman" w:hAnsi="Times New Roman" w:cs="Times New Roman"/>
                <w:noProof/>
                <w:sz w:val="26"/>
                <w:szCs w:val="26"/>
                <w:lang w:eastAsia="ko-KR"/>
              </w:rPr>
              <mc:AlternateContent>
                <mc:Choice Requires="wpg">
                  <w:drawing>
                    <wp:anchor distT="0" distB="0" distL="114300" distR="114300" simplePos="0" relativeHeight="251658274" behindDoc="0" locked="0" layoutInCell="1" allowOverlap="1" wp14:anchorId="45954B33" wp14:editId="1BA54041">
                      <wp:simplePos x="0" y="0"/>
                      <wp:positionH relativeFrom="column">
                        <wp:posOffset>40640</wp:posOffset>
                      </wp:positionH>
                      <wp:positionV relativeFrom="paragraph">
                        <wp:posOffset>41910</wp:posOffset>
                      </wp:positionV>
                      <wp:extent cx="2105025" cy="2733675"/>
                      <wp:effectExtent l="0" t="0" r="9525" b="9525"/>
                      <wp:wrapSquare wrapText="bothSides"/>
                      <wp:docPr id="1026" name="그룹 1026"/>
                      <wp:cNvGraphicFramePr/>
                      <a:graphic xmlns:a="http://schemas.openxmlformats.org/drawingml/2006/main">
                        <a:graphicData uri="http://schemas.microsoft.com/office/word/2010/wordprocessingGroup">
                          <wpg:wgp>
                            <wpg:cNvGrpSpPr/>
                            <wpg:grpSpPr>
                              <a:xfrm>
                                <a:off x="0" y="0"/>
                                <a:ext cx="2105025" cy="2733675"/>
                                <a:chOff x="1" y="1"/>
                                <a:chExt cx="2106948" cy="2734762"/>
                              </a:xfrm>
                            </wpg:grpSpPr>
                            <wpg:grpSp>
                              <wpg:cNvPr id="71" name="그룹 71"/>
                              <wpg:cNvGrpSpPr/>
                              <wpg:grpSpPr>
                                <a:xfrm>
                                  <a:off x="1" y="1"/>
                                  <a:ext cx="2106948" cy="2734762"/>
                                  <a:chOff x="1" y="1"/>
                                  <a:chExt cx="2106948" cy="2734762"/>
                                </a:xfrm>
                              </wpg:grpSpPr>
                              <pic:pic xmlns:pic="http://schemas.openxmlformats.org/drawingml/2006/picture">
                                <pic:nvPicPr>
                                  <pic:cNvPr id="176" name="그림 17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bwMode="auto">
                                  <a:xfrm>
                                    <a:off x="1" y="1"/>
                                    <a:ext cx="2106948" cy="2571263"/>
                                  </a:xfrm>
                                  <a:prstGeom prst="rect">
                                    <a:avLst/>
                                  </a:prstGeom>
                                  <a:noFill/>
                                  <a:ln>
                                    <a:noFill/>
                                  </a:ln>
                                </pic:spPr>
                              </pic:pic>
                              <wps:wsp>
                                <wps:cNvPr id="70" name="Text Box 70"/>
                                <wps:cNvSpPr txBox="1"/>
                                <wps:spPr>
                                  <a:xfrm>
                                    <a:off x="1345623" y="2588713"/>
                                    <a:ext cx="719455" cy="146050"/>
                                  </a:xfrm>
                                  <a:prstGeom prst="rect">
                                    <a:avLst/>
                                  </a:prstGeom>
                                  <a:solidFill>
                                    <a:prstClr val="white"/>
                                  </a:solidFill>
                                  <a:ln>
                                    <a:noFill/>
                                  </a:ln>
                                </wps:spPr>
                                <wps:txbx>
                                  <w:txbxContent>
                                    <w:p w14:paraId="1981E3B0"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1" name="Text Box 121"/>
                              <wps:cNvSpPr txBox="1"/>
                              <wps:spPr>
                                <a:xfrm>
                                  <a:off x="1067742" y="60960"/>
                                  <a:ext cx="858520" cy="90132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DD71A" w14:textId="77777777" w:rsidR="00D97785" w:rsidRDefault="00D97785">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5954B33" id="그룹 1026" o:spid="_x0000_s1109" style="position:absolute;left:0;text-align:left;margin-left:3.2pt;margin-top:3.3pt;width:165.75pt;height:215.25pt;z-index:251658274;mso-width-relative:margin;mso-height-relative:margin" coordorigin="" coordsize="21069,273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">
                      <v:group id="그룹 71" o:spid="_x0000_s1110" style="position:absolute;width:21069;height:27347" coordorigin="" coordsize="21069,27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111" type="#_x0000_t75" style="position:absolute;width:21069;height:25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65" o:title=""/>
                        </v:shape>
                        <v:shape id="Text Box 70" o:spid="_x0000_s1112" type="#_x0000_t202" style="position:absolute;left:13456;top:25887;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1981E3B0"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D</w:t>
                                </w:r>
                              </w:p>
                            </w:txbxContent>
                          </v:textbox>
                        </v:shape>
                      </v:group>
                      <v:shape id="Text Box 121" o:spid="_x0000_s1113" type="#_x0000_t202" style="position:absolute;left:10677;top:609;width:8585;height:9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0EDDD71A" w14:textId="77777777" w:rsidR="00D97785" w:rsidRDefault="00D97785">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v:textbox>
                      </v:shape>
                      <w10:wrap type="square"/>
                    </v:group>
                  </w:pict>
                </mc:Fallback>
              </mc:AlternateContent>
            </w:r>
          </w:p>
          <w:p w14:paraId="1CD9A5B5" w14:textId="63D43053" w:rsidR="00953B2E" w:rsidRPr="00C35766" w:rsidRDefault="00953B2E">
            <w:pPr>
              <w:spacing w:line="260" w:lineRule="exact"/>
              <w:rPr>
                <w:rFonts w:ascii="Times New Roman" w:hAnsi="Times New Roman" w:cs="Times New Roman"/>
                <w:sz w:val="26"/>
                <w:szCs w:val="26"/>
              </w:rPr>
            </w:pPr>
          </w:p>
          <w:p w14:paraId="64B6D922" w14:textId="77777777" w:rsidR="00953B2E" w:rsidRPr="00C35766" w:rsidRDefault="005F0C19" w:rsidP="00787805">
            <w:pPr>
              <w:pStyle w:val="a3"/>
              <w:numPr>
                <w:ilvl w:val="0"/>
                <w:numId w:val="22"/>
              </w:numPr>
              <w:rPr>
                <w:b/>
                <w:highlight w:val="lightGray"/>
              </w:rPr>
            </w:pPr>
            <w:r w:rsidRPr="00C35766">
              <w:rPr>
                <w:rFonts w:eastAsia="Times New Roman"/>
                <w:b/>
                <w:bCs/>
                <w:highlight w:val="lightGray"/>
                <w:lang w:val="it-IT"/>
              </w:rPr>
              <w:t xml:space="preserve">Attenda 15-30 minuti </w:t>
            </w:r>
          </w:p>
          <w:p w14:paraId="55B4D906" w14:textId="77777777" w:rsidR="00953B2E" w:rsidRPr="00C35766" w:rsidRDefault="005F0C19">
            <w:pPr>
              <w:pStyle w:val="Default"/>
              <w:rPr>
                <w:rFonts w:ascii="Times New Roman" w:hAnsi="Times New Roman" w:cs="Times New Roman"/>
                <w:highlight w:val="lightGray"/>
              </w:rPr>
            </w:pPr>
            <w:r w:rsidRPr="00C35766">
              <w:rPr>
                <w:rFonts w:ascii="Times New Roman" w:hAnsi="Times New Roman" w:cs="Times New Roman"/>
                <w:highlight w:val="lightGray"/>
              </w:rPr>
              <w:t xml:space="preserve"> </w:t>
            </w:r>
          </w:p>
          <w:p w14:paraId="15F695B2" w14:textId="68F9960A" w:rsidR="00953B2E" w:rsidRPr="00C35766" w:rsidRDefault="005F0C19">
            <w:pPr>
              <w:pStyle w:val="a3"/>
              <w:rPr>
                <w:highlight w:val="lightGray"/>
                <w:lang w:val="it-IT"/>
              </w:rPr>
            </w:pPr>
            <w:r w:rsidRPr="00C35766">
              <w:rPr>
                <w:rFonts w:eastAsia="Times New Roman"/>
                <w:b/>
                <w:bCs/>
                <w:highlight w:val="lightGray"/>
                <w:lang w:val="it-IT"/>
              </w:rPr>
              <w:t xml:space="preserve"> a.</w:t>
            </w:r>
            <w:r w:rsidRPr="00C35766">
              <w:rPr>
                <w:rFonts w:eastAsia="Times New Roman"/>
                <w:highlight w:val="lightGray"/>
                <w:lang w:val="it-IT"/>
              </w:rPr>
              <w:t xml:space="preserve"> Lasci la siringa </w:t>
            </w:r>
            <w:r w:rsidR="0092097A" w:rsidRPr="00C35766">
              <w:rPr>
                <w:rFonts w:eastAsia="Times New Roman"/>
                <w:highlight w:val="lightGray"/>
                <w:lang w:val="it-IT"/>
              </w:rPr>
              <w:t>pre-riempita</w:t>
            </w:r>
            <w:r w:rsidRPr="00C35766">
              <w:rPr>
                <w:rFonts w:eastAsia="Times New Roman"/>
                <w:highlight w:val="lightGray"/>
                <w:lang w:val="it-IT"/>
              </w:rPr>
              <w:t xml:space="preserve"> a temperatura ambiente per </w:t>
            </w:r>
          </w:p>
          <w:p w14:paraId="2FD99153" w14:textId="77777777" w:rsidR="00953B2E" w:rsidRPr="00C35766" w:rsidRDefault="005F0C19">
            <w:pPr>
              <w:pStyle w:val="a3"/>
              <w:rPr>
                <w:highlight w:val="lightGray"/>
                <w:lang w:val="pt-BR"/>
              </w:rPr>
            </w:pPr>
            <w:r w:rsidRPr="00C35766">
              <w:rPr>
                <w:rFonts w:eastAsia="Times New Roman"/>
                <w:highlight w:val="lightGray"/>
                <w:lang w:val="it-IT"/>
              </w:rPr>
              <w:t xml:space="preserve"> 15-30 minuti in modo che si possa scaldare.</w:t>
            </w:r>
          </w:p>
          <w:p w14:paraId="48A8F7D1" w14:textId="77777777" w:rsidR="00953B2E" w:rsidRPr="00C35766" w:rsidRDefault="00953B2E">
            <w:pPr>
              <w:pStyle w:val="Default"/>
              <w:rPr>
                <w:rFonts w:ascii="Times New Roman" w:hAnsi="Times New Roman" w:cs="Times New Roman"/>
                <w:color w:val="211D1E"/>
                <w:sz w:val="20"/>
                <w:szCs w:val="20"/>
                <w:highlight w:val="lightGray"/>
                <w:lang w:val="pt-BR"/>
              </w:rPr>
            </w:pPr>
          </w:p>
          <w:p w14:paraId="1537DE87" w14:textId="77777777" w:rsidR="00953B2E" w:rsidRPr="00C35766" w:rsidRDefault="00953B2E">
            <w:pPr>
              <w:pStyle w:val="a3"/>
              <w:numPr>
                <w:ilvl w:val="0"/>
                <w:numId w:val="0"/>
              </w:numPr>
              <w:tabs>
                <w:tab w:val="left" w:pos="3861"/>
              </w:tabs>
              <w:ind w:left="911"/>
              <w:rPr>
                <w:b/>
                <w:highlight w:val="lightGray"/>
                <w:lang w:val="pt-BR"/>
              </w:rPr>
            </w:pPr>
          </w:p>
          <w:p w14:paraId="6211F0CA" w14:textId="040C868B" w:rsidR="00953B2E" w:rsidRPr="00C35766" w:rsidRDefault="005F0C19" w:rsidP="00787805">
            <w:pPr>
              <w:pStyle w:val="a3"/>
              <w:numPr>
                <w:ilvl w:val="0"/>
                <w:numId w:val="39"/>
              </w:numPr>
              <w:rPr>
                <w:sz w:val="26"/>
                <w:lang w:val="pt-BR"/>
              </w:rPr>
            </w:pPr>
            <w:r w:rsidRPr="00C35766">
              <w:rPr>
                <w:rFonts w:eastAsia="Times New Roman"/>
                <w:b/>
                <w:bCs/>
                <w:highlight w:val="lightGray"/>
                <w:lang w:val="it-IT"/>
              </w:rPr>
              <w:t>Non</w:t>
            </w:r>
            <w:r w:rsidRPr="00C35766">
              <w:rPr>
                <w:rFonts w:eastAsia="Times New Roman"/>
                <w:highlight w:val="lightGray"/>
                <w:lang w:val="it-IT"/>
              </w:rPr>
              <w:t xml:space="preserve"> riscaldi la siringa </w:t>
            </w:r>
            <w:r w:rsidR="0092097A" w:rsidRPr="00C35766">
              <w:rPr>
                <w:rFonts w:eastAsia="Times New Roman"/>
                <w:highlight w:val="lightGray"/>
                <w:lang w:val="it-IT"/>
              </w:rPr>
              <w:t>pre-riempita</w:t>
            </w:r>
            <w:r w:rsidRPr="00C35766">
              <w:rPr>
                <w:rFonts w:eastAsia="Times New Roman"/>
                <w:highlight w:val="lightGray"/>
                <w:lang w:val="it-IT"/>
              </w:rPr>
              <w:t xml:space="preserve"> utilizzando fonti di </w:t>
            </w:r>
            <w:r w:rsidR="00CD2A6C" w:rsidRPr="00C35766">
              <w:rPr>
                <w:rFonts w:eastAsia="Times New Roman"/>
                <w:highlight w:val="lightGray"/>
                <w:lang w:val="it-IT"/>
              </w:rPr>
              <w:br/>
              <w:t xml:space="preserve">           </w:t>
            </w:r>
            <w:r w:rsidRPr="00C35766">
              <w:rPr>
                <w:rFonts w:eastAsia="Times New Roman"/>
                <w:highlight w:val="lightGray"/>
                <w:lang w:val="it-IT"/>
              </w:rPr>
              <w:t xml:space="preserve">calore </w:t>
            </w:r>
            <w:r w:rsidRPr="00C35766">
              <w:rPr>
                <w:highlight w:val="lightGray"/>
                <w:lang w:val="it-IT"/>
              </w:rPr>
              <w:t>come acqua calda o microonde.</w:t>
            </w:r>
            <w:r w:rsidRPr="00C35766">
              <w:rPr>
                <w:sz w:val="20"/>
                <w:lang w:val="it-IT"/>
              </w:rPr>
              <w:t xml:space="preserve"> </w:t>
            </w:r>
          </w:p>
        </w:tc>
      </w:tr>
      <w:tr w:rsidR="00953B2E" w:rsidRPr="00494E69" w14:paraId="00F78703" w14:textId="77777777">
        <w:trPr>
          <w:trHeight w:val="6517"/>
        </w:trPr>
        <w:tc>
          <w:tcPr>
            <w:tcW w:w="9550" w:type="dxa"/>
          </w:tcPr>
          <w:p w14:paraId="32340620" w14:textId="4F05D252" w:rsidR="00953B2E" w:rsidRPr="00C35766" w:rsidRDefault="00752AA4">
            <w:pPr>
              <w:ind w:left="224" w:right="1248"/>
              <w:rPr>
                <w:rFonts w:ascii="Times New Roman" w:eastAsia="Times New Roman" w:hAnsi="Times New Roman" w:cs="Times New Roman"/>
                <w:b/>
                <w:bCs/>
                <w:spacing w:val="-1"/>
                <w:lang w:val="pt-BR"/>
              </w:rPr>
            </w:pPr>
            <w:r w:rsidRPr="00C35766">
              <w:rPr>
                <w:rFonts w:ascii="Times New Roman" w:eastAsia="Times New Roman" w:hAnsi="Times New Roman" w:cs="Times New Roman"/>
                <w:noProof/>
                <w:spacing w:val="-1"/>
                <w:lang w:eastAsia="ko-KR"/>
              </w:rPr>
              <w:lastRenderedPageBreak/>
              <mc:AlternateContent>
                <mc:Choice Requires="wpg">
                  <w:drawing>
                    <wp:anchor distT="0" distB="0" distL="114300" distR="114300" simplePos="0" relativeHeight="251658289" behindDoc="0" locked="0" layoutInCell="1" allowOverlap="1" wp14:anchorId="45E63375" wp14:editId="2D9EC911">
                      <wp:simplePos x="0" y="0"/>
                      <wp:positionH relativeFrom="column">
                        <wp:posOffset>123825</wp:posOffset>
                      </wp:positionH>
                      <wp:positionV relativeFrom="paragraph">
                        <wp:posOffset>151765</wp:posOffset>
                      </wp:positionV>
                      <wp:extent cx="2294255" cy="4013835"/>
                      <wp:effectExtent l="0" t="0" r="0" b="5715"/>
                      <wp:wrapSquare wrapText="bothSides"/>
                      <wp:docPr id="1027" name="그룹 1027"/>
                      <wp:cNvGraphicFramePr/>
                      <a:graphic xmlns:a="http://schemas.openxmlformats.org/drawingml/2006/main">
                        <a:graphicData uri="http://schemas.microsoft.com/office/word/2010/wordprocessingGroup">
                          <wpg:wgp>
                            <wpg:cNvGrpSpPr/>
                            <wpg:grpSpPr>
                              <a:xfrm>
                                <a:off x="0" y="0"/>
                                <a:ext cx="2294255" cy="4013835"/>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1B37ADC3"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7" name="Text Box 127"/>
                              <wps:cNvSpPr txBox="1"/>
                              <wps:spPr>
                                <a:xfrm>
                                  <a:off x="593090" y="2620010"/>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1DFB1" w14:textId="77777777" w:rsidR="00D97785" w:rsidRPr="00824699" w:rsidRDefault="00D97785" w:rsidP="00F816D0">
                                    <w:pPr>
                                      <w:rPr>
                                        <w:rFonts w:asciiTheme="majorBidi" w:hAnsiTheme="majorBidi" w:cstheme="majorBidi"/>
                                        <w:b/>
                                        <w:bCs/>
                                        <w:sz w:val="20"/>
                                        <w:szCs w:val="20"/>
                                        <w:lang w:val="it-IT"/>
                                      </w:rPr>
                                    </w:pPr>
                                    <w:r>
                                      <w:rPr>
                                        <w:rFonts w:ascii="Times New Roman" w:eastAsia="Times New Roman" w:hAnsi="Times New Roman" w:cs="Times New Roman"/>
                                        <w:b/>
                                        <w:bCs/>
                                        <w:sz w:val="20"/>
                                        <w:szCs w:val="20"/>
                                        <w:lang w:val="it-IT"/>
                                      </w:rPr>
                                      <w:t xml:space="preserve">SOLO per la persona che assiste il paziente </w:t>
                                    </w:r>
                                  </w:p>
                                  <w:p w14:paraId="42BF5893" w14:textId="77777777" w:rsidR="00D97785" w:rsidRPr="00824699" w:rsidRDefault="00D97785" w:rsidP="00F816D0">
                                    <w:pPr>
                                      <w:rPr>
                                        <w:rFonts w:asciiTheme="majorBidi" w:hAnsiTheme="majorBidi" w:cstheme="majorBidi"/>
                                        <w:b/>
                                        <w:bCs/>
                                        <w:sz w:val="8"/>
                                        <w:szCs w:val="20"/>
                                        <w:lang w:val="it-IT"/>
                                      </w:rPr>
                                    </w:pPr>
                                  </w:p>
                                  <w:p w14:paraId="41B5DFFC" w14:textId="77777777" w:rsidR="00D97785" w:rsidRPr="002062B2" w:rsidRDefault="00D97785" w:rsidP="00F816D0">
                                    <w:pPr>
                                      <w:rPr>
                                        <w:rFonts w:asciiTheme="majorBidi" w:hAnsiTheme="majorBidi" w:cstheme="majorBidi"/>
                                        <w:b/>
                                        <w:bCs/>
                                        <w:sz w:val="20"/>
                                        <w:szCs w:val="20"/>
                                        <w:lang w:val="de-CH"/>
                                      </w:rPr>
                                    </w:pPr>
                                    <w:r>
                                      <w:rPr>
                                        <w:rFonts w:ascii="Times New Roman" w:eastAsia="Times New Roman" w:hAnsi="Times New Roman" w:cs="Times New Roman"/>
                                        <w:b/>
                                        <w:bCs/>
                                        <w:sz w:val="20"/>
                                        <w:szCs w:val="20"/>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5E63375" id="그룹 1027" o:spid="_x0000_s1114" style="position:absolute;left:0;text-align:left;margin-left:9.75pt;margin-top:11.95pt;width:180.65pt;height:316.05pt;z-index:251658289;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">
                      <v:group id="그룹 73" o:spid="_x0000_s1115"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116"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44" o:title=""/>
                        </v:shape>
                        <v:shape id="Text Box 72" o:spid="_x0000_s1117"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14:paraId="1B37ADC3" w14:textId="77777777" w:rsidR="00D97785" w:rsidRDefault="00D97785" w:rsidP="00F816D0">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E</w:t>
                                </w:r>
                              </w:p>
                            </w:txbxContent>
                          </v:textbox>
                        </v:shape>
                      </v:group>
                      <v:shape id="Text Box 127" o:spid="_x0000_s1118" type="#_x0000_t202" style="position:absolute;left:5930;top:26200;width:13921;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4211DFB1" w14:textId="77777777" w:rsidR="00D97785" w:rsidRPr="00824699" w:rsidRDefault="00D97785" w:rsidP="00F816D0">
                              <w:pPr>
                                <w:rPr>
                                  <w:rFonts w:asciiTheme="majorBidi" w:hAnsiTheme="majorBidi" w:cstheme="majorBidi"/>
                                  <w:b/>
                                  <w:bCs/>
                                  <w:sz w:val="20"/>
                                  <w:szCs w:val="20"/>
                                  <w:lang w:val="it-IT"/>
                                </w:rPr>
                              </w:pPr>
                              <w:r>
                                <w:rPr>
                                  <w:rFonts w:ascii="Times New Roman" w:eastAsia="Times New Roman" w:hAnsi="Times New Roman" w:cs="Times New Roman"/>
                                  <w:b/>
                                  <w:bCs/>
                                  <w:sz w:val="20"/>
                                  <w:szCs w:val="20"/>
                                  <w:lang w:val="it-IT"/>
                                </w:rPr>
                                <w:t xml:space="preserve">SOLO per la persona che assiste il paziente </w:t>
                              </w:r>
                            </w:p>
                            <w:p w14:paraId="42BF5893" w14:textId="77777777" w:rsidR="00D97785" w:rsidRPr="00824699" w:rsidRDefault="00D97785" w:rsidP="00F816D0">
                              <w:pPr>
                                <w:rPr>
                                  <w:rFonts w:asciiTheme="majorBidi" w:hAnsiTheme="majorBidi" w:cstheme="majorBidi"/>
                                  <w:b/>
                                  <w:bCs/>
                                  <w:sz w:val="8"/>
                                  <w:szCs w:val="20"/>
                                  <w:lang w:val="it-IT"/>
                                </w:rPr>
                              </w:pPr>
                            </w:p>
                            <w:p w14:paraId="41B5DFFC" w14:textId="77777777" w:rsidR="00D97785" w:rsidRPr="002062B2" w:rsidRDefault="00D97785" w:rsidP="00F816D0">
                              <w:pPr>
                                <w:rPr>
                                  <w:rFonts w:asciiTheme="majorBidi" w:hAnsiTheme="majorBidi" w:cstheme="majorBidi"/>
                                  <w:b/>
                                  <w:bCs/>
                                  <w:sz w:val="20"/>
                                  <w:szCs w:val="20"/>
                                  <w:lang w:val="de-CH"/>
                                </w:rPr>
                              </w:pPr>
                              <w:r>
                                <w:rPr>
                                  <w:rFonts w:ascii="Times New Roman" w:eastAsia="Times New Roman" w:hAnsi="Times New Roman" w:cs="Times New Roman"/>
                                  <w:b/>
                                  <w:bCs/>
                                  <w:sz w:val="20"/>
                                  <w:szCs w:val="20"/>
                                  <w:lang w:val="it-IT"/>
                                </w:rPr>
                                <w:t>Autoiniezione e iniezione da parte di un assistente</w:t>
                              </w:r>
                            </w:p>
                          </w:txbxContent>
                        </v:textbox>
                      </v:shape>
                      <w10:wrap type="square"/>
                    </v:group>
                  </w:pict>
                </mc:Fallback>
              </mc:AlternateContent>
            </w:r>
          </w:p>
          <w:p w14:paraId="795EA58E" w14:textId="48ADB8AE" w:rsidR="00F816D0" w:rsidRPr="00C35766" w:rsidRDefault="00F816D0" w:rsidP="00F816D0">
            <w:pPr>
              <w:spacing w:line="260" w:lineRule="exact"/>
              <w:rPr>
                <w:rFonts w:ascii="Times New Roman" w:hAnsi="Times New Roman" w:cs="Times New Roman"/>
                <w:lang w:val="pt-BR"/>
              </w:rPr>
            </w:pPr>
          </w:p>
          <w:p w14:paraId="3F021EB7" w14:textId="0F872792" w:rsidR="00F816D0" w:rsidRPr="00C35766" w:rsidRDefault="00F816D0" w:rsidP="00F816D0">
            <w:pPr>
              <w:pStyle w:val="a4"/>
              <w:ind w:left="471"/>
              <w:rPr>
                <w:rFonts w:ascii="Times New Roman" w:eastAsia="Times New Roman" w:hAnsi="Times New Roman" w:cs="Times New Roman"/>
                <w:spacing w:val="-1"/>
                <w:lang w:val="pt-BR"/>
              </w:rPr>
            </w:pPr>
          </w:p>
          <w:p w14:paraId="4F611C22" w14:textId="77777777" w:rsidR="00F816D0" w:rsidRPr="00C35766" w:rsidRDefault="00F816D0" w:rsidP="00787805">
            <w:pPr>
              <w:pStyle w:val="a4"/>
              <w:numPr>
                <w:ilvl w:val="0"/>
                <w:numId w:val="22"/>
              </w:numPr>
              <w:rPr>
                <w:rFonts w:ascii="Times New Roman" w:eastAsia="Times New Roman" w:hAnsi="Times New Roman" w:cs="Times New Roman"/>
                <w:b/>
                <w:spacing w:val="-1"/>
                <w:highlight w:val="lightGray"/>
              </w:rPr>
            </w:pPr>
            <w:r w:rsidRPr="00C35766">
              <w:rPr>
                <w:rFonts w:ascii="Times New Roman" w:eastAsia="Times New Roman" w:hAnsi="Times New Roman" w:cs="Times New Roman"/>
                <w:b/>
                <w:bCs/>
                <w:spacing w:val="-1"/>
                <w:highlight w:val="lightGray"/>
                <w:lang w:val="it-IT"/>
              </w:rPr>
              <w:t>Scelga un sito d’iniezione appropriato</w:t>
            </w:r>
          </w:p>
          <w:p w14:paraId="5B813365" w14:textId="77777777" w:rsidR="00F816D0" w:rsidRPr="00C35766" w:rsidRDefault="00F816D0" w:rsidP="00F816D0">
            <w:pPr>
              <w:pStyle w:val="a3"/>
              <w:rPr>
                <w:highlight w:val="lightGray"/>
              </w:rPr>
            </w:pPr>
          </w:p>
          <w:p w14:paraId="069D8AE1" w14:textId="77777777" w:rsidR="00F816D0" w:rsidRPr="00C35766" w:rsidRDefault="00F816D0" w:rsidP="00F816D0">
            <w:pPr>
              <w:pStyle w:val="a3"/>
              <w:rPr>
                <w:highlight w:val="lightGray"/>
              </w:rPr>
            </w:pPr>
            <w:r w:rsidRPr="00C35766">
              <w:rPr>
                <w:rFonts w:eastAsia="Times New Roman"/>
                <w:b/>
                <w:bCs/>
                <w:highlight w:val="lightGray"/>
                <w:lang w:val="it-IT"/>
              </w:rPr>
              <w:t xml:space="preserve"> a. </w:t>
            </w:r>
            <w:r w:rsidRPr="00C35766">
              <w:rPr>
                <w:rFonts w:eastAsia="Times New Roman"/>
                <w:highlight w:val="lightGray"/>
                <w:lang w:val="it-IT"/>
              </w:rPr>
              <w:t>Può eseguire l’iniezione:</w:t>
            </w:r>
          </w:p>
          <w:p w14:paraId="64E57D67" w14:textId="1640606C" w:rsidR="00F816D0" w:rsidRPr="00C35766" w:rsidRDefault="00F816D0" w:rsidP="00F816D0">
            <w:pPr>
              <w:pStyle w:val="a3"/>
              <w:rPr>
                <w:highlight w:val="lightGray"/>
                <w:lang w:val="es-ES"/>
              </w:rPr>
            </w:pPr>
            <w:r w:rsidRPr="00C35766">
              <w:rPr>
                <w:rFonts w:eastAsia="Times New Roman"/>
                <w:highlight w:val="lightGray"/>
                <w:lang w:val="it-IT"/>
              </w:rPr>
              <w:t xml:space="preserve"> - nella parte anteriore della coscia</w:t>
            </w:r>
          </w:p>
          <w:p w14:paraId="5308C3F0" w14:textId="77777777" w:rsidR="00F816D0" w:rsidRPr="00C35766" w:rsidRDefault="00F816D0" w:rsidP="00F816D0">
            <w:pPr>
              <w:pStyle w:val="a3"/>
              <w:rPr>
                <w:highlight w:val="lightGray"/>
                <w:lang w:val="es-ES"/>
              </w:rPr>
            </w:pPr>
            <w:r w:rsidRPr="00C35766">
              <w:rPr>
                <w:rFonts w:eastAsia="Times New Roman"/>
                <w:highlight w:val="lightGray"/>
                <w:lang w:val="it-IT"/>
              </w:rPr>
              <w:t xml:space="preserve"> - nell’addome, ad eccezione dell'area di 5 cm intorno </w:t>
            </w:r>
          </w:p>
          <w:p w14:paraId="1251C121" w14:textId="3EBFC722" w:rsidR="00F816D0" w:rsidRPr="00C35766" w:rsidRDefault="00F816D0" w:rsidP="00F816D0">
            <w:pPr>
              <w:pStyle w:val="a3"/>
              <w:rPr>
                <w:highlight w:val="lightGray"/>
                <w:lang w:val="es-ES"/>
              </w:rPr>
            </w:pPr>
            <w:r w:rsidRPr="00C35766">
              <w:rPr>
                <w:rFonts w:eastAsia="Times New Roman"/>
                <w:highlight w:val="lightGray"/>
                <w:lang w:val="it-IT"/>
              </w:rPr>
              <w:t xml:space="preserve"> all'ombelico</w:t>
            </w:r>
          </w:p>
          <w:p w14:paraId="4F5C36BE" w14:textId="56898A80" w:rsidR="00F816D0" w:rsidRPr="00824699" w:rsidRDefault="00F816D0" w:rsidP="00F816D0">
            <w:pPr>
              <w:pStyle w:val="a3"/>
              <w:rPr>
                <w:highlight w:val="lightGray"/>
                <w:lang w:val="it-IT"/>
              </w:rPr>
            </w:pPr>
            <w:r w:rsidRPr="00C35766">
              <w:rPr>
                <w:rFonts w:eastAsia="Times New Roman"/>
                <w:highlight w:val="lightGray"/>
                <w:lang w:val="it-IT"/>
              </w:rPr>
              <w:t xml:space="preserve"> - nella zona esterna della parte superiore del braccio (SOLO se Lei è una persona che assiste il paziente). </w:t>
            </w:r>
          </w:p>
          <w:p w14:paraId="1FACEFAA" w14:textId="77777777" w:rsidR="00F816D0" w:rsidRPr="00824699" w:rsidRDefault="00F816D0" w:rsidP="00F816D0">
            <w:pPr>
              <w:pStyle w:val="a3"/>
              <w:rPr>
                <w:highlight w:val="lightGray"/>
                <w:lang w:val="it-IT"/>
              </w:rPr>
            </w:pPr>
          </w:p>
          <w:p w14:paraId="48732207" w14:textId="77777777" w:rsidR="00F816D0" w:rsidRPr="00824699" w:rsidRDefault="00F816D0" w:rsidP="00787805">
            <w:pPr>
              <w:pStyle w:val="a3"/>
              <w:numPr>
                <w:ilvl w:val="0"/>
                <w:numId w:val="17"/>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esegua l’iniezione in aree cutanee entro 5 cm </w:t>
            </w:r>
          </w:p>
          <w:p w14:paraId="3E1C94AC" w14:textId="75932EAF" w:rsidR="00F816D0" w:rsidRPr="00C35766" w:rsidRDefault="00F816D0" w:rsidP="00F816D0">
            <w:pPr>
              <w:pStyle w:val="a3"/>
              <w:numPr>
                <w:ilvl w:val="0"/>
                <w:numId w:val="0"/>
              </w:numPr>
              <w:ind w:left="911" w:firstLineChars="300" w:firstLine="660"/>
              <w:rPr>
                <w:highlight w:val="lightGray"/>
                <w:lang w:val="pt-BR"/>
              </w:rPr>
            </w:pPr>
            <w:r w:rsidRPr="00C35766">
              <w:rPr>
                <w:rFonts w:eastAsia="Times New Roman"/>
                <w:highlight w:val="lightGray"/>
                <w:lang w:val="it-IT"/>
              </w:rPr>
              <w:t xml:space="preserve">dal Suo ombelico o in un’area arrossata, dura, dolorante, danneggiata, livida, o dove ci sono cicatrici. </w:t>
            </w:r>
          </w:p>
          <w:p w14:paraId="7E2B0F19" w14:textId="2A72D5C7" w:rsidR="00F816D0" w:rsidRPr="00C35766" w:rsidRDefault="00F816D0" w:rsidP="00787805">
            <w:pPr>
              <w:pStyle w:val="a3"/>
              <w:numPr>
                <w:ilvl w:val="0"/>
                <w:numId w:val="17"/>
              </w:numPr>
              <w:rPr>
                <w:highlight w:val="lightGray"/>
                <w:lang w:val="pt-BR"/>
              </w:rPr>
            </w:pPr>
            <w:r w:rsidRPr="00C35766">
              <w:rPr>
                <w:rFonts w:eastAsia="Times New Roman"/>
                <w:highlight w:val="lightGray"/>
                <w:lang w:val="it-IT"/>
              </w:rPr>
              <w:t xml:space="preserve">Se ha la psoriasi, </w:t>
            </w:r>
            <w:r w:rsidRPr="00C35766">
              <w:rPr>
                <w:rFonts w:eastAsia="Times New Roman"/>
                <w:b/>
                <w:bCs/>
                <w:highlight w:val="lightGray"/>
                <w:lang w:val="it-IT"/>
              </w:rPr>
              <w:t>non</w:t>
            </w:r>
            <w:r w:rsidRPr="00C35766">
              <w:rPr>
                <w:rFonts w:eastAsia="Times New Roman"/>
                <w:highlight w:val="lightGray"/>
                <w:lang w:val="it-IT"/>
              </w:rPr>
              <w:t xml:space="preserve"> esegua l’iniezione in nessuna macchia ispessita, arrossata o desquamata né su nessuna lesione </w:t>
            </w:r>
          </w:p>
          <w:p w14:paraId="54EF1B5B" w14:textId="18D68F8C" w:rsidR="00F816D0" w:rsidRPr="00C35766" w:rsidRDefault="00F816D0" w:rsidP="00F816D0">
            <w:pPr>
              <w:pStyle w:val="a3"/>
              <w:numPr>
                <w:ilvl w:val="0"/>
                <w:numId w:val="0"/>
              </w:numPr>
              <w:rPr>
                <w:highlight w:val="lightGray"/>
              </w:rPr>
            </w:pPr>
            <w:r w:rsidRPr="00C35766">
              <w:rPr>
                <w:rFonts w:eastAsia="Times New Roman"/>
                <w:highlight w:val="lightGray"/>
                <w:lang w:val="it-IT"/>
              </w:rPr>
              <w:t xml:space="preserve"> della pelle. </w:t>
            </w:r>
          </w:p>
          <w:p w14:paraId="73F953D6" w14:textId="2B32C062" w:rsidR="00F816D0" w:rsidRPr="00C35766" w:rsidRDefault="00F816D0" w:rsidP="00787805">
            <w:pPr>
              <w:pStyle w:val="a3"/>
              <w:numPr>
                <w:ilvl w:val="0"/>
                <w:numId w:val="17"/>
              </w:numPr>
              <w:rPr>
                <w:highlight w:val="lightGray"/>
                <w:lang w:val="fr-FR"/>
              </w:rPr>
            </w:pPr>
            <w:r w:rsidRPr="00C35766">
              <w:rPr>
                <w:rFonts w:eastAsia="Times New Roman"/>
                <w:b/>
                <w:bCs/>
                <w:highlight w:val="lightGray"/>
                <w:lang w:val="it-IT"/>
              </w:rPr>
              <w:t xml:space="preserve">Non </w:t>
            </w:r>
            <w:r w:rsidRPr="00C35766">
              <w:rPr>
                <w:rFonts w:eastAsia="Times New Roman"/>
                <w:highlight w:val="lightGray"/>
                <w:lang w:val="it-IT"/>
              </w:rPr>
              <w:t>esegua l’iniezione attraverso gli indumenti.</w:t>
            </w:r>
          </w:p>
          <w:p w14:paraId="3F123A85" w14:textId="34D271B9" w:rsidR="00F816D0" w:rsidRPr="00C35766" w:rsidRDefault="00F816D0" w:rsidP="00F816D0">
            <w:pPr>
              <w:pStyle w:val="a3"/>
              <w:numPr>
                <w:ilvl w:val="0"/>
                <w:numId w:val="0"/>
              </w:numPr>
              <w:ind w:left="911"/>
              <w:rPr>
                <w:highlight w:val="lightGray"/>
                <w:lang w:val="fr-FR"/>
              </w:rPr>
            </w:pPr>
          </w:p>
          <w:p w14:paraId="395BCADF" w14:textId="26900EBB" w:rsidR="00F816D0" w:rsidRPr="00C35766" w:rsidRDefault="00F816D0" w:rsidP="00F816D0">
            <w:pPr>
              <w:pStyle w:val="a3"/>
              <w:rPr>
                <w:highlight w:val="lightGray"/>
                <w:lang w:val="es-ES"/>
              </w:rPr>
            </w:pPr>
            <w:r w:rsidRPr="00C35766">
              <w:rPr>
                <w:rFonts w:eastAsia="Times New Roman"/>
                <w:b/>
                <w:bCs/>
                <w:highlight w:val="lightGray"/>
                <w:lang w:val="it-IT"/>
              </w:rPr>
              <w:t xml:space="preserve"> b.</w:t>
            </w:r>
            <w:r w:rsidRPr="00C35766">
              <w:rPr>
                <w:rFonts w:eastAsia="Times New Roman"/>
                <w:highlight w:val="lightGray"/>
                <w:lang w:val="it-IT"/>
              </w:rPr>
              <w:t xml:space="preserve"> Esegua una rotazione del sito d’iniezione ogni volta che somministra un iniezione. </w:t>
            </w:r>
          </w:p>
          <w:p w14:paraId="11829C97" w14:textId="128003D8" w:rsidR="00F816D0" w:rsidRPr="00C35766" w:rsidRDefault="00F816D0" w:rsidP="00F816D0">
            <w:pPr>
              <w:pStyle w:val="a3"/>
              <w:rPr>
                <w:rFonts w:eastAsia="Times New Roman"/>
                <w:highlight w:val="lightGray"/>
                <w:lang w:val="it-IT"/>
              </w:rPr>
            </w:pPr>
            <w:r w:rsidRPr="00C35766">
              <w:rPr>
                <w:rFonts w:eastAsia="Times New Roman"/>
                <w:highlight w:val="lightGray"/>
                <w:lang w:val="it-IT"/>
              </w:rPr>
              <w:t xml:space="preserve">Ogni nuovo sito d’iniezione deve essere ad almeno 3 cm di </w:t>
            </w:r>
          </w:p>
          <w:p w14:paraId="502D9D47" w14:textId="5420330F" w:rsidR="00953B2E" w:rsidRPr="00C35766" w:rsidRDefault="00F816D0" w:rsidP="00F816D0">
            <w:pPr>
              <w:pStyle w:val="a3"/>
              <w:rPr>
                <w:sz w:val="26"/>
                <w:lang w:val="it-IT"/>
              </w:rPr>
            </w:pPr>
            <w:r w:rsidRPr="00C35766">
              <w:rPr>
                <w:rFonts w:eastAsia="Times New Roman"/>
                <w:highlight w:val="lightGray"/>
                <w:lang w:val="it-IT"/>
              </w:rPr>
              <w:t>distanza dal  sito d’iniezione utilizzato in precedenza.</w:t>
            </w:r>
          </w:p>
        </w:tc>
      </w:tr>
      <w:tr w:rsidR="00953B2E" w:rsidRPr="00C35766" w14:paraId="711C9355" w14:textId="77777777" w:rsidTr="00752AA4">
        <w:trPr>
          <w:trHeight w:val="5805"/>
        </w:trPr>
        <w:tc>
          <w:tcPr>
            <w:tcW w:w="9550" w:type="dxa"/>
          </w:tcPr>
          <w:p w14:paraId="6E37E32C" w14:textId="10CA7AF3" w:rsidR="00953B2E" w:rsidRPr="00C35766" w:rsidRDefault="00D11674">
            <w:pPr>
              <w:pStyle w:val="1"/>
              <w:spacing w:before="76"/>
              <w:ind w:left="0" w:right="2736"/>
              <w:rPr>
                <w:rFonts w:eastAsiaTheme="minorEastAsia" w:cs="Times New Roman"/>
                <w:lang w:val="it-IT" w:eastAsia="ko-KR"/>
              </w:rPr>
            </w:pPr>
            <w:r w:rsidRPr="00C35766">
              <w:rPr>
                <w:rFonts w:eastAsiaTheme="minorEastAsia" w:cs="Times New Roman"/>
                <w:noProof/>
                <w:lang w:eastAsia="ko-KR"/>
              </w:rPr>
              <mc:AlternateContent>
                <mc:Choice Requires="wpg">
                  <w:drawing>
                    <wp:anchor distT="0" distB="0" distL="114300" distR="114300" simplePos="0" relativeHeight="251658282" behindDoc="0" locked="0" layoutInCell="1" allowOverlap="1" wp14:anchorId="7112F988" wp14:editId="3F9467A5">
                      <wp:simplePos x="0" y="0"/>
                      <wp:positionH relativeFrom="column">
                        <wp:posOffset>34290</wp:posOffset>
                      </wp:positionH>
                      <wp:positionV relativeFrom="paragraph">
                        <wp:posOffset>140335</wp:posOffset>
                      </wp:positionV>
                      <wp:extent cx="2407920" cy="3092450"/>
                      <wp:effectExtent l="0" t="0" r="0" b="0"/>
                      <wp:wrapSquare wrapText="bothSides"/>
                      <wp:docPr id="1039" name="그룹 1039"/>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41" name="그림 104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42" name="Text Box 1042"/>
                              <wps:cNvSpPr txBox="1"/>
                              <wps:spPr>
                                <a:xfrm>
                                  <a:off x="1670050" y="2946400"/>
                                  <a:ext cx="719758" cy="146050"/>
                                </a:xfrm>
                                <a:prstGeom prst="rect">
                                  <a:avLst/>
                                </a:prstGeom>
                                <a:solidFill>
                                  <a:prstClr val="white"/>
                                </a:solidFill>
                                <a:ln>
                                  <a:noFill/>
                                </a:ln>
                              </wps:spPr>
                              <wps:txbx>
                                <w:txbxContent>
                                  <w:p w14:paraId="7538BA80" w14:textId="77777777" w:rsidR="00D97785" w:rsidRDefault="00D97785" w:rsidP="00D022B9">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112F988" id="그룹 1039" o:spid="_x0000_s1119" style="position:absolute;margin-left:2.7pt;margin-top:11.05pt;width:189.6pt;height:243.5pt;z-index:251658282"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">
                      <v:shape id="그림 1041" o:spid="_x0000_s1120"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">
                        <v:imagedata r:id="rId46" o:title=""/>
                      </v:shape>
                      <v:shape id="Text Box 1042" o:spid="_x0000_s1121"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" stroked="f">
                        <v:textbox style="mso-fit-shape-to-text:t" inset="0,0,0,0">
                          <w:txbxContent>
                            <w:p w14:paraId="7538BA80" w14:textId="77777777" w:rsidR="00D97785" w:rsidRDefault="00D97785" w:rsidP="00D022B9">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F</w:t>
                              </w:r>
                            </w:p>
                          </w:txbxContent>
                        </v:textbox>
                      </v:shape>
                      <w10:wrap type="square"/>
                    </v:group>
                  </w:pict>
                </mc:Fallback>
              </mc:AlternateContent>
            </w:r>
          </w:p>
          <w:p w14:paraId="5C350947" w14:textId="77777777" w:rsidR="00953B2E" w:rsidRPr="00C35766" w:rsidRDefault="005F0C19" w:rsidP="00787805">
            <w:pPr>
              <w:pStyle w:val="a3"/>
              <w:numPr>
                <w:ilvl w:val="0"/>
                <w:numId w:val="22"/>
              </w:numPr>
              <w:rPr>
                <w:b/>
                <w:highlight w:val="lightGray"/>
              </w:rPr>
            </w:pPr>
            <w:r w:rsidRPr="00C35766">
              <w:rPr>
                <w:rFonts w:eastAsia="Times New Roman"/>
                <w:b/>
                <w:bCs/>
                <w:highlight w:val="lightGray"/>
                <w:lang w:val="it-IT"/>
              </w:rPr>
              <w:t>Si lavi le mani.</w:t>
            </w:r>
          </w:p>
          <w:p w14:paraId="79B1D7F2" w14:textId="2C7F31AB" w:rsidR="00953B2E" w:rsidRPr="00C35766" w:rsidRDefault="00953B2E">
            <w:pPr>
              <w:pStyle w:val="a3"/>
              <w:rPr>
                <w:highlight w:val="lightGray"/>
              </w:rPr>
            </w:pPr>
          </w:p>
          <w:p w14:paraId="36B65DB2" w14:textId="2D8289C0" w:rsidR="00953B2E" w:rsidRPr="00C35766" w:rsidRDefault="005F0C19">
            <w:pPr>
              <w:pStyle w:val="a3"/>
              <w:rPr>
                <w:highlight w:val="lightGray"/>
                <w:lang w:val="it-IT"/>
              </w:rPr>
            </w:pPr>
            <w:r w:rsidRPr="00C35766">
              <w:rPr>
                <w:rFonts w:eastAsia="Times New Roman"/>
                <w:highlight w:val="lightGray"/>
                <w:lang w:val="it-IT"/>
              </w:rPr>
              <w:t xml:space="preserve"> </w:t>
            </w:r>
            <w:r w:rsidRPr="00C35766">
              <w:rPr>
                <w:rFonts w:eastAsia="Times New Roman"/>
                <w:b/>
                <w:bCs/>
                <w:highlight w:val="lightGray"/>
                <w:lang w:val="it-IT"/>
              </w:rPr>
              <w:t xml:space="preserve">a. </w:t>
            </w:r>
            <w:r w:rsidRPr="00C35766">
              <w:rPr>
                <w:rFonts w:eastAsia="Times New Roman"/>
                <w:highlight w:val="lightGray"/>
                <w:lang w:val="it-IT"/>
              </w:rPr>
              <w:t xml:space="preserve">Si lavi le mani con acqua e sapone e le asciughi </w:t>
            </w:r>
          </w:p>
          <w:p w14:paraId="0D353608" w14:textId="77777777" w:rsidR="00953B2E" w:rsidRPr="00C35766" w:rsidRDefault="005F0C19">
            <w:pPr>
              <w:pStyle w:val="a3"/>
            </w:pPr>
            <w:r w:rsidRPr="00C35766">
              <w:rPr>
                <w:rFonts w:eastAsia="Times New Roman"/>
                <w:highlight w:val="lightGray"/>
                <w:lang w:val="it-IT"/>
              </w:rPr>
              <w:t xml:space="preserve"> accuratamente.</w:t>
            </w:r>
            <w:r w:rsidRPr="00C35766">
              <w:rPr>
                <w:rFonts w:eastAsia="Times New Roman"/>
                <w:lang w:val="it-IT"/>
              </w:rPr>
              <w:t xml:space="preserve"> </w:t>
            </w:r>
          </w:p>
          <w:p w14:paraId="4D668581" w14:textId="16367361" w:rsidR="00953B2E" w:rsidRPr="00C35766" w:rsidRDefault="00953B2E">
            <w:pPr>
              <w:pStyle w:val="1"/>
              <w:spacing w:before="76"/>
              <w:ind w:left="0" w:right="2736"/>
              <w:rPr>
                <w:rFonts w:eastAsiaTheme="minorEastAsia" w:cs="Times New Roman"/>
                <w:lang w:eastAsia="ko-KR"/>
              </w:rPr>
            </w:pPr>
          </w:p>
        </w:tc>
      </w:tr>
      <w:tr w:rsidR="00953B2E" w:rsidRPr="006501B3" w14:paraId="370E0BF0" w14:textId="77777777" w:rsidTr="00752AA4">
        <w:trPr>
          <w:trHeight w:val="5201"/>
        </w:trPr>
        <w:tc>
          <w:tcPr>
            <w:tcW w:w="9550" w:type="dxa"/>
          </w:tcPr>
          <w:p w14:paraId="134ECD7E" w14:textId="77777777" w:rsidR="00953B2E" w:rsidRPr="00C35766" w:rsidRDefault="00D022B9">
            <w:pPr>
              <w:ind w:left="104"/>
              <w:rPr>
                <w:rFonts w:ascii="Times New Roman" w:eastAsia="Times New Roman" w:hAnsi="Times New Roman" w:cs="Times New Roman"/>
              </w:rPr>
            </w:pPr>
            <w:r w:rsidRPr="00C35766">
              <w:rPr>
                <w:rFonts w:ascii="Times New Roman" w:hAnsi="Times New Roman" w:cs="Times New Roman"/>
                <w:noProof/>
                <w:spacing w:val="-1"/>
                <w:lang w:eastAsia="ko-KR"/>
              </w:rPr>
              <w:lastRenderedPageBreak/>
              <mc:AlternateContent>
                <mc:Choice Requires="wpg">
                  <w:drawing>
                    <wp:anchor distT="0" distB="0" distL="114300" distR="114300" simplePos="0" relativeHeight="251658283" behindDoc="0" locked="0" layoutInCell="1" allowOverlap="1" wp14:anchorId="512E052F" wp14:editId="3B58EFF2">
                      <wp:simplePos x="0" y="0"/>
                      <wp:positionH relativeFrom="column">
                        <wp:posOffset>-6350</wp:posOffset>
                      </wp:positionH>
                      <wp:positionV relativeFrom="paragraph">
                        <wp:posOffset>81280</wp:posOffset>
                      </wp:positionV>
                      <wp:extent cx="2408858" cy="3092450"/>
                      <wp:effectExtent l="0" t="0" r="0" b="0"/>
                      <wp:wrapSquare wrapText="bothSides"/>
                      <wp:docPr id="1043" name="그룹 1043"/>
                      <wp:cNvGraphicFramePr/>
                      <a:graphic xmlns:a="http://schemas.openxmlformats.org/drawingml/2006/main">
                        <a:graphicData uri="http://schemas.microsoft.com/office/word/2010/wordprocessingGroup">
                          <wpg:wgp>
                            <wpg:cNvGrpSpPr/>
                            <wpg:grpSpPr>
                              <a:xfrm>
                                <a:off x="0" y="0"/>
                                <a:ext cx="2408858" cy="3092450"/>
                                <a:chOff x="0" y="0"/>
                                <a:chExt cx="2408858" cy="3092450"/>
                              </a:xfrm>
                            </wpg:grpSpPr>
                            <pic:pic xmlns:pic="http://schemas.openxmlformats.org/drawingml/2006/picture">
                              <pic:nvPicPr>
                                <pic:cNvPr id="1044" name="그림 104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45" name="Text Box 1045"/>
                              <wps:cNvSpPr txBox="1"/>
                              <wps:spPr>
                                <a:xfrm>
                                  <a:off x="1689100" y="2946400"/>
                                  <a:ext cx="719758" cy="146050"/>
                                </a:xfrm>
                                <a:prstGeom prst="rect">
                                  <a:avLst/>
                                </a:prstGeom>
                                <a:solidFill>
                                  <a:prstClr val="white"/>
                                </a:solidFill>
                                <a:ln>
                                  <a:noFill/>
                                </a:ln>
                              </wps:spPr>
                              <wps:txbx>
                                <w:txbxContent>
                                  <w:p w14:paraId="775A1EF9" w14:textId="77777777" w:rsidR="00D97785" w:rsidRDefault="00D97785" w:rsidP="00D022B9">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12E052F" id="그룹 1043" o:spid="_x0000_s1122" style="position:absolute;left:0;text-align:left;margin-left:-.5pt;margin-top:6.4pt;width:189.65pt;height:243.5pt;z-index:251658283" coordsize="24088,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">
                      <v:shape id="그림 1044" o:spid="_x0000_s1123"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">
                        <v:imagedata r:id="rId48" o:title=""/>
                      </v:shape>
                      <v:shape id="Text Box 1045" o:spid="_x0000_s1124" type="#_x0000_t202" style="position:absolute;left:16891;top:2946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" stroked="f">
                        <v:textbox style="mso-fit-shape-to-text:t" inset="0,0,0,0">
                          <w:txbxContent>
                            <w:p w14:paraId="775A1EF9" w14:textId="77777777" w:rsidR="00D97785" w:rsidRDefault="00D97785" w:rsidP="00D022B9">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G</w:t>
                              </w:r>
                            </w:p>
                          </w:txbxContent>
                        </v:textbox>
                      </v:shape>
                      <w10:wrap type="square"/>
                    </v:group>
                  </w:pict>
                </mc:Fallback>
              </mc:AlternateContent>
            </w:r>
          </w:p>
          <w:p w14:paraId="56D9148E" w14:textId="0EFF3420" w:rsidR="00953B2E" w:rsidRPr="00C35766" w:rsidRDefault="005F0C19" w:rsidP="00787805">
            <w:pPr>
              <w:pStyle w:val="a3"/>
              <w:numPr>
                <w:ilvl w:val="0"/>
                <w:numId w:val="22"/>
              </w:numPr>
              <w:rPr>
                <w:b/>
                <w:highlight w:val="lightGray"/>
              </w:rPr>
            </w:pPr>
            <w:r w:rsidRPr="00C35766">
              <w:rPr>
                <w:rFonts w:eastAsia="Times New Roman"/>
                <w:b/>
                <w:bCs/>
                <w:highlight w:val="lightGray"/>
                <w:lang w:val="it-IT"/>
              </w:rPr>
              <w:t>Pulisca il sito d’iniezione</w:t>
            </w:r>
          </w:p>
          <w:p w14:paraId="60F66F50" w14:textId="77777777" w:rsidR="00953B2E" w:rsidRPr="00C35766" w:rsidRDefault="00953B2E">
            <w:pPr>
              <w:pStyle w:val="a3"/>
              <w:numPr>
                <w:ilvl w:val="0"/>
                <w:numId w:val="0"/>
              </w:numPr>
              <w:ind w:left="471"/>
              <w:rPr>
                <w:b/>
                <w:highlight w:val="lightGray"/>
              </w:rPr>
            </w:pPr>
          </w:p>
          <w:p w14:paraId="09CD4207" w14:textId="09ECBC7A" w:rsidR="00953B2E" w:rsidRPr="00C35766" w:rsidRDefault="005F0C19">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 xml:space="preserve">a. </w:t>
            </w:r>
            <w:r w:rsidRPr="00C35766">
              <w:rPr>
                <w:rFonts w:eastAsia="Times New Roman"/>
                <w:highlight w:val="lightGray"/>
                <w:lang w:val="it-IT"/>
              </w:rPr>
              <w:t>Pulisca il sito d’iniezione con un tampone imbevuto di alcol eseguendo un</w:t>
            </w:r>
            <w:r w:rsidR="00BE674C" w:rsidRPr="00C35766">
              <w:rPr>
                <w:rFonts w:eastAsia="Times New Roman"/>
                <w:highlight w:val="lightGray"/>
                <w:lang w:val="it-IT"/>
              </w:rPr>
              <w:t>movimento circolare.</w:t>
            </w:r>
          </w:p>
          <w:p w14:paraId="226AB97F" w14:textId="77777777" w:rsidR="00953B2E" w:rsidRPr="00C35766" w:rsidRDefault="005F0C19">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b.</w:t>
            </w:r>
            <w:r w:rsidRPr="00C35766">
              <w:rPr>
                <w:rFonts w:eastAsia="Times New Roman"/>
                <w:highlight w:val="lightGray"/>
                <w:lang w:val="it-IT"/>
              </w:rPr>
              <w:t xml:space="preserve"> Lasci asciugare la pelle prima dell’iniezione.</w:t>
            </w:r>
          </w:p>
          <w:p w14:paraId="735B0464" w14:textId="77777777" w:rsidR="00953B2E" w:rsidRPr="00C35766" w:rsidRDefault="00953B2E">
            <w:pPr>
              <w:pStyle w:val="a3"/>
              <w:rPr>
                <w:highlight w:val="lightGray"/>
                <w:lang w:val="es-ES"/>
              </w:rPr>
            </w:pPr>
          </w:p>
          <w:p w14:paraId="05C46692" w14:textId="77777777" w:rsidR="00953B2E" w:rsidRPr="00C35766" w:rsidRDefault="00953B2E">
            <w:pPr>
              <w:pStyle w:val="a3"/>
              <w:rPr>
                <w:highlight w:val="lightGray"/>
                <w:lang w:val="es-ES"/>
              </w:rPr>
            </w:pPr>
          </w:p>
          <w:p w14:paraId="5A9F946D" w14:textId="77777777" w:rsidR="00953B2E" w:rsidRPr="00C35766" w:rsidRDefault="005F0C19">
            <w:pPr>
              <w:pStyle w:val="a3"/>
              <w:rPr>
                <w:lang w:val="it-IT"/>
              </w:rPr>
            </w:pPr>
            <w:r w:rsidRPr="00C35766">
              <w:rPr>
                <w:rFonts w:eastAsia="맑은 고딕"/>
                <w:b/>
                <w:bCs/>
                <w:highlight w:val="lightGray"/>
                <w:lang w:val="it-IT"/>
              </w:rPr>
              <w:t>•</w:t>
            </w:r>
            <w:r w:rsidRPr="00C35766">
              <w:rPr>
                <w:rFonts w:eastAsia="Times New Roman"/>
                <w:b/>
                <w:bCs/>
                <w:highlight w:val="lightGray"/>
                <w:lang w:val="it-IT"/>
              </w:rPr>
              <w:t xml:space="preserve"> Non</w:t>
            </w:r>
            <w:r w:rsidRPr="00C35766">
              <w:rPr>
                <w:rFonts w:eastAsia="Times New Roman"/>
                <w:highlight w:val="lightGray"/>
                <w:lang w:val="it-IT"/>
              </w:rPr>
              <w:t xml:space="preserve"> soffi sul sito d’iniezione né lo tocchi nuovamente prima di eseguire l’iniezione.</w:t>
            </w:r>
          </w:p>
        </w:tc>
      </w:tr>
      <w:tr w:rsidR="00953B2E" w:rsidRPr="00494E69" w14:paraId="44DD059F" w14:textId="77777777" w:rsidTr="00752AA4">
        <w:trPr>
          <w:trHeight w:val="4941"/>
        </w:trPr>
        <w:tc>
          <w:tcPr>
            <w:tcW w:w="9550" w:type="dxa"/>
          </w:tcPr>
          <w:p w14:paraId="0EA08694" w14:textId="77777777" w:rsidR="00953B2E" w:rsidRPr="00C35766" w:rsidRDefault="00953B2E">
            <w:pPr>
              <w:pStyle w:val="Default"/>
              <w:rPr>
                <w:rFonts w:ascii="Times New Roman" w:hAnsi="Times New Roman" w:cs="Times New Roman"/>
                <w:lang w:val="it-IT"/>
              </w:rPr>
            </w:pPr>
          </w:p>
          <w:p w14:paraId="0903A210" w14:textId="628883BB" w:rsidR="00953B2E" w:rsidRPr="00C35766" w:rsidRDefault="00BE674C" w:rsidP="00787805">
            <w:pPr>
              <w:pStyle w:val="a3"/>
              <w:numPr>
                <w:ilvl w:val="0"/>
                <w:numId w:val="22"/>
              </w:numPr>
              <w:rPr>
                <w:b/>
                <w:highlight w:val="lightGray"/>
              </w:rPr>
            </w:pPr>
            <w:r w:rsidRPr="00C35766">
              <w:rPr>
                <w:noProof/>
                <w:color w:val="000000"/>
                <w:sz w:val="24"/>
                <w:szCs w:val="24"/>
                <w:lang w:eastAsia="ko-KR"/>
              </w:rPr>
              <mc:AlternateContent>
                <mc:Choice Requires="wpg">
                  <w:drawing>
                    <wp:anchor distT="0" distB="0" distL="114300" distR="114300" simplePos="0" relativeHeight="251658284" behindDoc="0" locked="0" layoutInCell="1" allowOverlap="1" wp14:anchorId="1EB45CF6" wp14:editId="5DF9E9EF">
                      <wp:simplePos x="0" y="0"/>
                      <wp:positionH relativeFrom="column">
                        <wp:posOffset>-6985</wp:posOffset>
                      </wp:positionH>
                      <wp:positionV relativeFrom="paragraph">
                        <wp:posOffset>40005</wp:posOffset>
                      </wp:positionV>
                      <wp:extent cx="2407285" cy="3122930"/>
                      <wp:effectExtent l="0" t="0" r="0" b="1270"/>
                      <wp:wrapSquare wrapText="bothSides"/>
                      <wp:docPr id="1046" name="그룹 1046"/>
                      <wp:cNvGraphicFramePr/>
                      <a:graphic xmlns:a="http://schemas.openxmlformats.org/drawingml/2006/main">
                        <a:graphicData uri="http://schemas.microsoft.com/office/word/2010/wordprocessingGroup">
                          <wpg:wgp>
                            <wpg:cNvGrpSpPr/>
                            <wpg:grpSpPr>
                              <a:xfrm>
                                <a:off x="0" y="0"/>
                                <a:ext cx="2407285" cy="3122930"/>
                                <a:chOff x="0" y="0"/>
                                <a:chExt cx="2161208" cy="2717800"/>
                              </a:xfrm>
                            </wpg:grpSpPr>
                            <pic:pic xmlns:pic="http://schemas.openxmlformats.org/drawingml/2006/picture">
                              <pic:nvPicPr>
                                <pic:cNvPr id="1047" name="그림 1047"/>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1048" name="Text Box 1048"/>
                              <wps:cNvSpPr txBox="1"/>
                              <wps:spPr>
                                <a:xfrm>
                                  <a:off x="1441450" y="2571750"/>
                                  <a:ext cx="719758" cy="146050"/>
                                </a:xfrm>
                                <a:prstGeom prst="rect">
                                  <a:avLst/>
                                </a:prstGeom>
                                <a:solidFill>
                                  <a:prstClr val="white"/>
                                </a:solidFill>
                                <a:ln>
                                  <a:noFill/>
                                </a:ln>
                              </wps:spPr>
                              <wps:txbx>
                                <w:txbxContent>
                                  <w:p w14:paraId="16E39A51"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B45CF6" id="그룹 1046" o:spid="_x0000_s1125" style="position:absolute;left:0;text-align:left;margin-left:-.55pt;margin-top:3.15pt;width:189.55pt;height:245.9pt;z-index:251658284;mso-width-relative:margin;mso-height-relative:margin"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">
                      <v:shape id="그림 1047" o:spid="_x0000_s1126"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">
                        <v:imagedata r:id="rId67" o:title=""/>
                      </v:shape>
                      <v:shape id="Text Box 1048" o:spid="_x0000_s1127"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" stroked="f">
                        <v:textbox inset="0,0,0,0">
                          <w:txbxContent>
                            <w:p w14:paraId="16E39A51"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H</w:t>
                              </w:r>
                            </w:p>
                          </w:txbxContent>
                        </v:textbox>
                      </v:shape>
                      <w10:wrap type="square"/>
                    </v:group>
                  </w:pict>
                </mc:Fallback>
              </mc:AlternateContent>
            </w:r>
            <w:r w:rsidR="005F0C19" w:rsidRPr="00C35766">
              <w:rPr>
                <w:rFonts w:eastAsia="Times New Roman"/>
                <w:b/>
                <w:bCs/>
                <w:highlight w:val="lightGray"/>
                <w:lang w:val="it-IT"/>
              </w:rPr>
              <w:t>Rimuova il cappuccio</w:t>
            </w:r>
          </w:p>
          <w:p w14:paraId="6B6CEF17" w14:textId="77777777" w:rsidR="00953B2E" w:rsidRPr="00C35766" w:rsidRDefault="00953B2E">
            <w:pPr>
              <w:pStyle w:val="a3"/>
              <w:rPr>
                <w:b/>
                <w:highlight w:val="lightGray"/>
              </w:rPr>
            </w:pPr>
          </w:p>
          <w:p w14:paraId="11C76B62" w14:textId="269AF5CA" w:rsidR="00953B2E" w:rsidRPr="00C35766" w:rsidRDefault="005F0C19">
            <w:pPr>
              <w:pStyle w:val="a3"/>
              <w:numPr>
                <w:ilvl w:val="0"/>
                <w:numId w:val="0"/>
              </w:numPr>
              <w:ind w:left="1384"/>
              <w:rPr>
                <w:highlight w:val="lightGray"/>
                <w:lang w:val="es-ES"/>
              </w:rPr>
            </w:pPr>
            <w:r w:rsidRPr="00C35766">
              <w:rPr>
                <w:rFonts w:eastAsia="Times New Roman"/>
                <w:b/>
                <w:bCs/>
                <w:highlight w:val="lightGray"/>
                <w:lang w:val="it-IT"/>
              </w:rPr>
              <w:t xml:space="preserve"> a</w:t>
            </w:r>
            <w:r w:rsidRPr="00C35766">
              <w:rPr>
                <w:rFonts w:eastAsia="Times New Roman"/>
                <w:highlight w:val="lightGray"/>
                <w:lang w:val="it-IT"/>
              </w:rPr>
              <w:t xml:space="preserve">. Rimuova il cappuccio tenendo il corpo della siringa </w:t>
            </w:r>
            <w:r w:rsidR="0092097A" w:rsidRPr="00C35766">
              <w:rPr>
                <w:rFonts w:eastAsia="Times New Roman"/>
                <w:highlight w:val="lightGray"/>
                <w:lang w:val="it-IT"/>
              </w:rPr>
              <w:t>pre-riempita</w:t>
            </w:r>
            <w:r w:rsidR="0038364A" w:rsidRPr="00C35766">
              <w:rPr>
                <w:rFonts w:eastAsia="Times New Roman"/>
                <w:highlight w:val="lightGray"/>
                <w:lang w:val="it-IT"/>
              </w:rPr>
              <w:t xml:space="preserve"> </w:t>
            </w:r>
            <w:r w:rsidR="00BE674C" w:rsidRPr="00C35766">
              <w:rPr>
                <w:rFonts w:eastAsia="Times New Roman"/>
                <w:highlight w:val="lightGray"/>
                <w:lang w:val="it-IT"/>
              </w:rPr>
              <w:t>con una mano. Tiri delicatamente il cappuccio con l’altra mano.</w:t>
            </w:r>
          </w:p>
          <w:p w14:paraId="2A6F45E6" w14:textId="07F2F252" w:rsidR="00953B2E" w:rsidRPr="00C35766" w:rsidRDefault="005F0C19" w:rsidP="00787805">
            <w:pPr>
              <w:pStyle w:val="a3"/>
              <w:numPr>
                <w:ilvl w:val="0"/>
                <w:numId w:val="16"/>
              </w:numPr>
              <w:rPr>
                <w:highlight w:val="lightGray"/>
                <w:lang w:val="fr-FR"/>
              </w:rPr>
            </w:pPr>
            <w:r w:rsidRPr="00C35766">
              <w:rPr>
                <w:rFonts w:eastAsia="Times New Roman"/>
                <w:b/>
                <w:bCs/>
                <w:highlight w:val="lightGray"/>
                <w:lang w:val="it-IT"/>
              </w:rPr>
              <w:t>Non</w:t>
            </w:r>
            <w:r w:rsidRPr="00C35766">
              <w:rPr>
                <w:rFonts w:eastAsia="Times New Roman"/>
                <w:highlight w:val="lightGray"/>
                <w:lang w:val="it-IT"/>
              </w:rPr>
              <w:t xml:space="preserve"> rimuova il cappuccio fino a quando non è </w:t>
            </w:r>
            <w:r w:rsidR="004D357A" w:rsidRPr="00C35766">
              <w:rPr>
                <w:rFonts w:eastAsia="Times New Roman"/>
                <w:highlight w:val="lightGray"/>
                <w:lang w:val="it-IT"/>
              </w:rPr>
              <w:br/>
              <w:t xml:space="preserve">              </w:t>
            </w:r>
            <w:r w:rsidRPr="00C35766">
              <w:rPr>
                <w:rFonts w:eastAsia="Times New Roman"/>
                <w:highlight w:val="lightGray"/>
                <w:lang w:val="it-IT"/>
              </w:rPr>
              <w:t xml:space="preserve">pronto per effettuare l'iniezione </w:t>
            </w:r>
          </w:p>
          <w:p w14:paraId="09D96458" w14:textId="77777777" w:rsidR="00953B2E" w:rsidRPr="00C35766" w:rsidRDefault="00953B2E">
            <w:pPr>
              <w:pStyle w:val="a3"/>
              <w:numPr>
                <w:ilvl w:val="0"/>
                <w:numId w:val="0"/>
              </w:numPr>
              <w:ind w:left="1384"/>
              <w:rPr>
                <w:highlight w:val="lightGray"/>
                <w:lang w:val="fr-FR"/>
              </w:rPr>
            </w:pPr>
          </w:p>
          <w:p w14:paraId="73EB4AFF" w14:textId="787DA9B0" w:rsidR="00953B2E" w:rsidRPr="00C35766" w:rsidRDefault="005F0C19" w:rsidP="00787805">
            <w:pPr>
              <w:pStyle w:val="a3"/>
              <w:numPr>
                <w:ilvl w:val="0"/>
                <w:numId w:val="16"/>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tocchi l’ago. Ciò potrebbe comportare una </w:t>
            </w:r>
            <w:r w:rsidR="004D357A" w:rsidRPr="00C35766">
              <w:rPr>
                <w:rFonts w:eastAsia="Times New Roman"/>
                <w:highlight w:val="lightGray"/>
                <w:lang w:val="it-IT"/>
              </w:rPr>
              <w:br/>
              <w:t xml:space="preserve">              </w:t>
            </w:r>
            <w:r w:rsidRPr="00C35766">
              <w:rPr>
                <w:rFonts w:eastAsia="Times New Roman"/>
                <w:highlight w:val="lightGray"/>
                <w:lang w:val="it-IT"/>
              </w:rPr>
              <w:t>lesione da puntura da ago.</w:t>
            </w:r>
            <w:r w:rsidRPr="00C35766">
              <w:rPr>
                <w:rFonts w:eastAsia="Times New Roman"/>
                <w:b/>
                <w:bCs/>
                <w:highlight w:val="lightGray"/>
                <w:lang w:val="it-IT"/>
              </w:rPr>
              <w:t xml:space="preserve"> </w:t>
            </w:r>
          </w:p>
          <w:p w14:paraId="24A92055" w14:textId="77777777" w:rsidR="00953B2E" w:rsidRPr="00C35766" w:rsidRDefault="00953B2E">
            <w:pPr>
              <w:pStyle w:val="a4"/>
              <w:rPr>
                <w:rFonts w:ascii="Times New Roman" w:hAnsi="Times New Roman" w:cs="Times New Roman"/>
                <w:highlight w:val="lightGray"/>
                <w:lang w:val="it-IT"/>
              </w:rPr>
            </w:pPr>
          </w:p>
          <w:p w14:paraId="04F17747" w14:textId="77777777" w:rsidR="00953B2E" w:rsidRPr="00AF25F1" w:rsidRDefault="005F0C19" w:rsidP="00787805">
            <w:pPr>
              <w:pStyle w:val="a3"/>
              <w:numPr>
                <w:ilvl w:val="0"/>
                <w:numId w:val="16"/>
              </w:numPr>
              <w:rPr>
                <w:lang w:val="it-IT"/>
              </w:rPr>
            </w:pPr>
            <w:r w:rsidRPr="00C35766">
              <w:rPr>
                <w:rFonts w:eastAsia="Times New Roman"/>
                <w:b/>
                <w:bCs/>
                <w:highlight w:val="lightGray"/>
                <w:lang w:val="it-IT"/>
              </w:rPr>
              <w:t>Non</w:t>
            </w:r>
            <w:r w:rsidRPr="00C35766">
              <w:rPr>
                <w:rFonts w:eastAsia="Times New Roman"/>
                <w:highlight w:val="lightGray"/>
                <w:lang w:val="it-IT"/>
              </w:rPr>
              <w:t xml:space="preserve"> riposizioni il cappuccio sulla siringa </w:t>
            </w:r>
            <w:r w:rsidR="004D357A" w:rsidRPr="00C35766">
              <w:rPr>
                <w:rFonts w:eastAsia="Times New Roman"/>
                <w:highlight w:val="lightGray"/>
                <w:lang w:val="it-IT"/>
              </w:rPr>
              <w:br/>
              <w:t xml:space="preserve">              </w:t>
            </w:r>
            <w:r w:rsidR="0092097A" w:rsidRPr="00C35766">
              <w:rPr>
                <w:rFonts w:eastAsia="Times New Roman"/>
                <w:highlight w:val="lightGray"/>
                <w:lang w:val="it-IT"/>
              </w:rPr>
              <w:t>pre-riempita</w:t>
            </w:r>
            <w:r w:rsidRPr="00C35766">
              <w:rPr>
                <w:rFonts w:eastAsia="Times New Roman"/>
                <w:highlight w:val="lightGray"/>
                <w:lang w:val="it-IT"/>
              </w:rPr>
              <w:t xml:space="preserve">. Smaltisca immediatamente il </w:t>
            </w:r>
            <w:r w:rsidR="004D357A" w:rsidRPr="00C35766">
              <w:rPr>
                <w:rFonts w:eastAsia="Times New Roman"/>
                <w:highlight w:val="lightGray"/>
                <w:lang w:val="it-IT"/>
              </w:rPr>
              <w:br/>
              <w:t xml:space="preserve">              </w:t>
            </w:r>
            <w:r w:rsidRPr="00C35766">
              <w:rPr>
                <w:rFonts w:eastAsia="Times New Roman"/>
                <w:highlight w:val="lightGray"/>
                <w:lang w:val="it-IT"/>
              </w:rPr>
              <w:t xml:space="preserve">cappuccio nel contenitore per lo smaltimento di </w:t>
            </w:r>
            <w:r w:rsidR="004D357A" w:rsidRPr="00C35766">
              <w:rPr>
                <w:rFonts w:eastAsia="Times New Roman"/>
                <w:highlight w:val="lightGray"/>
                <w:lang w:val="it-IT"/>
              </w:rPr>
              <w:br/>
              <w:t xml:space="preserve">              </w:t>
            </w:r>
            <w:r w:rsidRPr="00C35766">
              <w:rPr>
                <w:rFonts w:eastAsia="Times New Roman"/>
                <w:highlight w:val="lightGray"/>
                <w:lang w:val="it-IT"/>
              </w:rPr>
              <w:t>oggetti taglienti.</w:t>
            </w:r>
          </w:p>
          <w:p w14:paraId="77F36CB4" w14:textId="77777777" w:rsidR="00471BD2" w:rsidRDefault="00471BD2" w:rsidP="00AF25F1">
            <w:pPr>
              <w:pStyle w:val="a4"/>
              <w:rPr>
                <w:lang w:val="it-IT"/>
              </w:rPr>
            </w:pPr>
          </w:p>
          <w:p w14:paraId="074A34EC" w14:textId="523BBFC1" w:rsidR="00471BD2" w:rsidRPr="00C35766" w:rsidRDefault="00471BD2" w:rsidP="00787805">
            <w:pPr>
              <w:pStyle w:val="a3"/>
              <w:numPr>
                <w:ilvl w:val="0"/>
                <w:numId w:val="16"/>
              </w:numPr>
              <w:rPr>
                <w:lang w:val="it-IT"/>
              </w:rPr>
            </w:pPr>
            <w:r w:rsidRPr="00AF25F1">
              <w:rPr>
                <w:rFonts w:eastAsia="Times New Roman"/>
                <w:highlight w:val="lightGray"/>
                <w:lang w:val="it-IT"/>
              </w:rPr>
              <w:t>È normale vedere fuoriuscire alcune gocce di liquido dall'ago.</w:t>
            </w:r>
          </w:p>
        </w:tc>
      </w:tr>
      <w:tr w:rsidR="00953B2E" w:rsidRPr="00C35766" w14:paraId="12F334CC" w14:textId="77777777" w:rsidTr="00752AA4">
        <w:trPr>
          <w:trHeight w:val="7028"/>
        </w:trPr>
        <w:tc>
          <w:tcPr>
            <w:tcW w:w="9550" w:type="dxa"/>
          </w:tcPr>
          <w:p w14:paraId="6E2D6DF7" w14:textId="36ABB7DA" w:rsidR="00953B2E" w:rsidRPr="00C35766" w:rsidRDefault="00CD2A6C">
            <w:pPr>
              <w:pStyle w:val="1"/>
              <w:spacing w:before="76"/>
              <w:ind w:left="0" w:right="2736"/>
              <w:rPr>
                <w:rFonts w:eastAsiaTheme="minorEastAsia" w:cs="Times New Roman"/>
                <w:lang w:val="it-IT"/>
              </w:rPr>
            </w:pPr>
            <w:r w:rsidRPr="00C35766">
              <w:rPr>
                <w:rFonts w:eastAsiaTheme="minorEastAsia" w:cs="Times New Roman"/>
                <w:noProof/>
                <w:lang w:eastAsia="ko-KR"/>
              </w:rPr>
              <w:lastRenderedPageBreak/>
              <mc:AlternateContent>
                <mc:Choice Requires="wpg">
                  <w:drawing>
                    <wp:anchor distT="0" distB="0" distL="114300" distR="114300" simplePos="0" relativeHeight="251658279" behindDoc="0" locked="0" layoutInCell="1" allowOverlap="1" wp14:anchorId="74B8FE3C" wp14:editId="5790598D">
                      <wp:simplePos x="0" y="0"/>
                      <wp:positionH relativeFrom="column">
                        <wp:posOffset>64135</wp:posOffset>
                      </wp:positionH>
                      <wp:positionV relativeFrom="paragraph">
                        <wp:posOffset>151765</wp:posOffset>
                      </wp:positionV>
                      <wp:extent cx="2529205" cy="4370070"/>
                      <wp:effectExtent l="0" t="0" r="4445" b="0"/>
                      <wp:wrapSquare wrapText="bothSides"/>
                      <wp:docPr id="1029" name="그룹 1029"/>
                      <wp:cNvGraphicFramePr/>
                      <a:graphic xmlns:a="http://schemas.openxmlformats.org/drawingml/2006/main">
                        <a:graphicData uri="http://schemas.microsoft.com/office/word/2010/wordprocessingGroup">
                          <wpg:wgp>
                            <wpg:cNvGrpSpPr/>
                            <wpg:grpSpPr>
                              <a:xfrm>
                                <a:off x="0" y="0"/>
                                <a:ext cx="2529205" cy="4370070"/>
                                <a:chOff x="0" y="0"/>
                                <a:chExt cx="2302510" cy="3956050"/>
                              </a:xfrm>
                            </wpg:grpSpPr>
                            <wpg:grpSp>
                              <wpg:cNvPr id="94" name="그룹 94"/>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17AB7106"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28" name="Text Box 1028"/>
                              <wps:cNvSpPr txBox="1"/>
                              <wps:spPr>
                                <a:xfrm>
                                  <a:off x="38100" y="1752600"/>
                                  <a:ext cx="2230502" cy="304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20B68"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B8FE3C" id="그룹 1029" o:spid="_x0000_s1128" style="position:absolute;margin-left:5.05pt;margin-top:11.95pt;width:199.15pt;height:344.1pt;z-index:251658279;mso-width-relative:margin;mso-height-relative:margin"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">
                      <v:group id="그룹 94" o:spid="_x0000_s1129"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130"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9" o:title=""/>
                        </v:shape>
                        <v:shape id="Text Box 93" o:spid="_x0000_s1131"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17AB7106"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I</w:t>
                                </w:r>
                              </w:p>
                            </w:txbxContent>
                          </v:textbox>
                        </v:shape>
                      </v:group>
                      <v:shape id="Text Box 1028" o:spid="_x0000_s1132" type="#_x0000_t202" style="position:absolute;left:381;top:17526;width:2230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6AF20B68"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5FE08853" w14:textId="5FA6163E" w:rsidR="00953B2E" w:rsidRPr="00C35766" w:rsidRDefault="005F0C19" w:rsidP="00787805">
            <w:pPr>
              <w:pStyle w:val="a3"/>
              <w:numPr>
                <w:ilvl w:val="0"/>
                <w:numId w:val="22"/>
              </w:numPr>
              <w:rPr>
                <w:b/>
                <w:highlight w:val="lightGray"/>
                <w:lang w:val="es-ES"/>
              </w:rPr>
            </w:pPr>
            <w:r w:rsidRPr="00C35766">
              <w:rPr>
                <w:rFonts w:eastAsia="Times New Roman"/>
                <w:b/>
                <w:bCs/>
                <w:highlight w:val="lightGray"/>
                <w:lang w:val="it-IT"/>
              </w:rPr>
              <w:t xml:space="preserve">Inserisca la siringa </w:t>
            </w:r>
            <w:r w:rsidR="0092097A" w:rsidRPr="00C35766">
              <w:rPr>
                <w:rFonts w:eastAsia="Times New Roman"/>
                <w:b/>
                <w:bCs/>
                <w:highlight w:val="lightGray"/>
                <w:lang w:val="it-IT"/>
              </w:rPr>
              <w:t>pre-riempita</w:t>
            </w:r>
            <w:r w:rsidRPr="00C35766">
              <w:rPr>
                <w:rFonts w:eastAsia="Times New Roman"/>
                <w:b/>
                <w:bCs/>
                <w:highlight w:val="lightGray"/>
                <w:lang w:val="it-IT"/>
              </w:rPr>
              <w:t xml:space="preserve"> nel sito d’iniezione </w:t>
            </w:r>
          </w:p>
          <w:p w14:paraId="43DAD210" w14:textId="77777777" w:rsidR="00953B2E" w:rsidRPr="00C35766" w:rsidRDefault="005F0C19">
            <w:pPr>
              <w:pStyle w:val="a3"/>
              <w:numPr>
                <w:ilvl w:val="0"/>
                <w:numId w:val="0"/>
              </w:numPr>
              <w:ind w:left="471"/>
              <w:rPr>
                <w:b/>
                <w:highlight w:val="lightGray"/>
                <w:lang w:val="es-ES"/>
              </w:rPr>
            </w:pPr>
            <w:r w:rsidRPr="00C35766">
              <w:rPr>
                <w:rFonts w:eastAsia="Times New Roman"/>
                <w:b/>
                <w:bCs/>
                <w:highlight w:val="lightGray"/>
                <w:lang w:val="it-IT"/>
              </w:rPr>
              <w:t> </w:t>
            </w:r>
          </w:p>
          <w:p w14:paraId="3CB97798" w14:textId="77777777" w:rsidR="00953B2E" w:rsidRPr="00C35766" w:rsidRDefault="00953B2E">
            <w:pPr>
              <w:pStyle w:val="a3"/>
              <w:numPr>
                <w:ilvl w:val="0"/>
                <w:numId w:val="0"/>
              </w:numPr>
              <w:ind w:left="471"/>
              <w:rPr>
                <w:b/>
                <w:highlight w:val="lightGray"/>
                <w:lang w:val="es-ES"/>
              </w:rPr>
            </w:pPr>
          </w:p>
          <w:p w14:paraId="322DDC82" w14:textId="77777777" w:rsidR="00953B2E" w:rsidRPr="00C35766" w:rsidRDefault="005F0C19">
            <w:pPr>
              <w:pStyle w:val="a3"/>
              <w:rPr>
                <w:highlight w:val="lightGray"/>
                <w:lang w:val="es-ES"/>
              </w:rPr>
            </w:pPr>
            <w:r w:rsidRPr="00C35766">
              <w:rPr>
                <w:rFonts w:eastAsia="Times New Roman"/>
                <w:b/>
                <w:bCs/>
                <w:highlight w:val="lightGray"/>
                <w:lang w:val="it-IT"/>
              </w:rPr>
              <w:t xml:space="preserve"> a.</w:t>
            </w:r>
            <w:r w:rsidRPr="00C35766">
              <w:rPr>
                <w:rFonts w:eastAsia="Times New Roman"/>
                <w:highlight w:val="lightGray"/>
                <w:lang w:val="it-IT"/>
              </w:rPr>
              <w:t xml:space="preserve"> Con una mano stringa delicatamente la pelle per creare una piega nel sito d’iniezione</w:t>
            </w:r>
            <w:r w:rsidR="00D84998" w:rsidRPr="00C35766">
              <w:rPr>
                <w:rFonts w:eastAsia="Times New Roman"/>
                <w:highlight w:val="lightGray"/>
                <w:lang w:val="it-IT"/>
              </w:rPr>
              <w:t>.</w:t>
            </w:r>
          </w:p>
          <w:p w14:paraId="24713C59" w14:textId="77777777" w:rsidR="00953B2E" w:rsidRPr="00C35766" w:rsidRDefault="00953B2E">
            <w:pPr>
              <w:pStyle w:val="a3"/>
              <w:rPr>
                <w:highlight w:val="lightGray"/>
                <w:lang w:val="es-ES"/>
              </w:rPr>
            </w:pPr>
          </w:p>
          <w:p w14:paraId="2724E2FF" w14:textId="01B03480" w:rsidR="00953B2E" w:rsidRPr="00C35766" w:rsidRDefault="005F0C19">
            <w:pPr>
              <w:pStyle w:val="a3"/>
              <w:rPr>
                <w:highlight w:val="lightGray"/>
                <w:lang w:val="es-ES"/>
              </w:rPr>
            </w:pPr>
            <w:r w:rsidRPr="00C35766">
              <w:rPr>
                <w:rFonts w:eastAsia="Times New Roman"/>
                <w:b/>
                <w:bCs/>
                <w:highlight w:val="lightGray"/>
                <w:lang w:val="it-IT"/>
              </w:rPr>
              <w:t xml:space="preserve"> b. </w:t>
            </w:r>
            <w:r w:rsidRPr="00C35766">
              <w:rPr>
                <w:rFonts w:eastAsia="Times New Roman"/>
                <w:highlight w:val="lightGray"/>
                <w:lang w:val="it-IT"/>
              </w:rPr>
              <w:t xml:space="preserve">Tenendo la siringa </w:t>
            </w:r>
            <w:r w:rsidR="0092097A" w:rsidRPr="00C35766">
              <w:rPr>
                <w:rFonts w:eastAsia="Times New Roman"/>
                <w:highlight w:val="lightGray"/>
                <w:lang w:val="it-IT"/>
              </w:rPr>
              <w:t>pre-riempita</w:t>
            </w:r>
            <w:r w:rsidRPr="00C35766">
              <w:rPr>
                <w:rFonts w:eastAsia="Times New Roman"/>
                <w:highlight w:val="lightGray"/>
                <w:lang w:val="it-IT"/>
              </w:rPr>
              <w:t xml:space="preserve"> dal corpo, inserisca </w:t>
            </w:r>
          </w:p>
          <w:p w14:paraId="4D25211C" w14:textId="77777777" w:rsidR="00953B2E" w:rsidRPr="00C35766" w:rsidRDefault="005F0C19" w:rsidP="00C7325A">
            <w:pPr>
              <w:pStyle w:val="a3"/>
              <w:ind w:firstLineChars="100" w:firstLine="220"/>
              <w:rPr>
                <w:highlight w:val="lightGray"/>
                <w:lang w:val="es-ES"/>
              </w:rPr>
            </w:pPr>
            <w:r w:rsidRPr="00C35766">
              <w:rPr>
                <w:rFonts w:eastAsia="Times New Roman"/>
                <w:highlight w:val="lightGray"/>
                <w:lang w:val="it-IT"/>
              </w:rPr>
              <w:t>competamente l'ago nella piega della pelle</w:t>
            </w:r>
          </w:p>
          <w:p w14:paraId="24740C29" w14:textId="77777777" w:rsidR="00D84998" w:rsidRPr="00C35766" w:rsidRDefault="005F0C19" w:rsidP="00C7325A">
            <w:pPr>
              <w:pStyle w:val="a3"/>
              <w:ind w:firstLineChars="100" w:firstLine="220"/>
              <w:rPr>
                <w:rFonts w:eastAsia="Times New Roman"/>
                <w:highlight w:val="lightGray"/>
                <w:lang w:val="it-IT"/>
              </w:rPr>
            </w:pPr>
            <w:r w:rsidRPr="00C35766">
              <w:rPr>
                <w:rFonts w:eastAsia="Times New Roman"/>
                <w:highlight w:val="lightGray"/>
                <w:lang w:val="it-IT"/>
              </w:rPr>
              <w:t xml:space="preserve">con un’angolatura di 45 gradi, utilizzando un </w:t>
            </w:r>
          </w:p>
          <w:p w14:paraId="13034455" w14:textId="084AA626" w:rsidR="00D84998" w:rsidRPr="00C35766" w:rsidRDefault="005F0C19" w:rsidP="00C7325A">
            <w:pPr>
              <w:pStyle w:val="a3"/>
              <w:ind w:firstLineChars="100" w:firstLine="220"/>
              <w:rPr>
                <w:rFonts w:eastAsia="Times New Roman"/>
                <w:highlight w:val="lightGray"/>
                <w:lang w:val="it-IT"/>
              </w:rPr>
            </w:pPr>
            <w:r w:rsidRPr="00C35766">
              <w:rPr>
                <w:rFonts w:eastAsia="Times New Roman"/>
                <w:highlight w:val="lightGray"/>
                <w:lang w:val="it-IT"/>
              </w:rPr>
              <w:t xml:space="preserve">movimento rapido, come quando si lancia una </w:t>
            </w:r>
          </w:p>
          <w:p w14:paraId="7F6136A2" w14:textId="77777777" w:rsidR="00953B2E" w:rsidRPr="00C35766" w:rsidRDefault="005F0C19" w:rsidP="00C7325A">
            <w:pPr>
              <w:pStyle w:val="a3"/>
              <w:ind w:firstLineChars="100" w:firstLine="220"/>
              <w:rPr>
                <w:lang w:val="es-ES"/>
              </w:rPr>
            </w:pPr>
            <w:r w:rsidRPr="00C35766">
              <w:rPr>
                <w:rFonts w:eastAsia="Times New Roman"/>
                <w:highlight w:val="lightGray"/>
                <w:lang w:val="it-IT"/>
              </w:rPr>
              <w:t>freccetta.</w:t>
            </w:r>
          </w:p>
          <w:p w14:paraId="4F79E92D" w14:textId="77777777" w:rsidR="00953B2E" w:rsidRPr="00C35766" w:rsidRDefault="005F0C19">
            <w:pPr>
              <w:pStyle w:val="a3"/>
              <w:ind w:firstLineChars="300" w:firstLine="660"/>
              <w:rPr>
                <w:lang w:val="es-ES" w:eastAsia="ko-KR"/>
              </w:rPr>
            </w:pPr>
            <w:r w:rsidRPr="00C35766">
              <w:rPr>
                <w:rFonts w:eastAsia="Times New Roman"/>
                <w:lang w:val="it-IT"/>
              </w:rPr>
              <w:t xml:space="preserve"> </w:t>
            </w:r>
          </w:p>
        </w:tc>
      </w:tr>
      <w:tr w:rsidR="00953B2E" w:rsidRPr="006501B3" w14:paraId="3AB1747D" w14:textId="77777777" w:rsidTr="00752AA4">
        <w:trPr>
          <w:trHeight w:val="6293"/>
        </w:trPr>
        <w:tc>
          <w:tcPr>
            <w:tcW w:w="9550" w:type="dxa"/>
          </w:tcPr>
          <w:p w14:paraId="173D3A99" w14:textId="77777777" w:rsidR="00953B2E" w:rsidRPr="00C35766" w:rsidRDefault="005F0C19">
            <w:pPr>
              <w:pStyle w:val="Default"/>
              <w:rPr>
                <w:rFonts w:ascii="Times New Roman" w:hAnsi="Times New Roman" w:cs="Times New Roman"/>
                <w:lang w:val="es-ES"/>
              </w:rPr>
            </w:pPr>
            <w:r w:rsidRPr="00C35766">
              <w:rPr>
                <w:rFonts w:ascii="Times New Roman" w:hAnsi="Times New Roman" w:cs="Times New Roman"/>
                <w:noProof/>
                <w:lang w:eastAsia="ko-KR"/>
              </w:rPr>
              <mc:AlternateContent>
                <mc:Choice Requires="wpg">
                  <w:drawing>
                    <wp:anchor distT="0" distB="0" distL="114300" distR="114300" simplePos="0" relativeHeight="251658258" behindDoc="0" locked="0" layoutInCell="1" allowOverlap="1" wp14:anchorId="04C22736" wp14:editId="57C86D5C">
                      <wp:simplePos x="0" y="0"/>
                      <wp:positionH relativeFrom="column">
                        <wp:posOffset>40640</wp:posOffset>
                      </wp:positionH>
                      <wp:positionV relativeFrom="paragraph">
                        <wp:posOffset>52705</wp:posOffset>
                      </wp:positionV>
                      <wp:extent cx="2552700" cy="3324860"/>
                      <wp:effectExtent l="0" t="0" r="0" b="8890"/>
                      <wp:wrapSquare wrapText="bothSides"/>
                      <wp:docPr id="97" name="그룹 97"/>
                      <wp:cNvGraphicFramePr/>
                      <a:graphic xmlns:a="http://schemas.openxmlformats.org/drawingml/2006/main">
                        <a:graphicData uri="http://schemas.microsoft.com/office/word/2010/wordprocessingGroup">
                          <wpg:wgp>
                            <wpg:cNvGrpSpPr/>
                            <wpg:grpSpPr>
                              <a:xfrm>
                                <a:off x="0" y="0"/>
                                <a:ext cx="2552700" cy="3324860"/>
                                <a:chOff x="0" y="0"/>
                                <a:chExt cx="2801923" cy="3556000"/>
                              </a:xfrm>
                            </wpg:grpSpPr>
                            <pic:pic xmlns:pic="http://schemas.openxmlformats.org/drawingml/2006/picture">
                              <pic:nvPicPr>
                                <pic:cNvPr id="4025" name="그림 402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96" name="Text Box 96"/>
                              <wps:cNvSpPr txBox="1"/>
                              <wps:spPr>
                                <a:xfrm>
                                  <a:off x="2082165" y="3409950"/>
                                  <a:ext cx="719758" cy="146050"/>
                                </a:xfrm>
                                <a:prstGeom prst="rect">
                                  <a:avLst/>
                                </a:prstGeom>
                                <a:solidFill>
                                  <a:prstClr val="white"/>
                                </a:solidFill>
                                <a:ln>
                                  <a:noFill/>
                                </a:ln>
                              </wps:spPr>
                              <wps:txbx>
                                <w:txbxContent>
                                  <w:p w14:paraId="115DDEFD"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C22736" id="그룹 97" o:spid="_x0000_s1133" style="position:absolute;margin-left:3.2pt;margin-top:4.15pt;width:201pt;height:261.8pt;z-index:251658258;mso-width-relative:margin;mso-height-relative:margin"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">
                      <v:shape id="그림 4025" o:spid="_x0000_s1134"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71" o:title=""/>
                      </v:shape>
                      <v:shape id="Text Box 96" o:spid="_x0000_s1135"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115DDEFD"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J</w:t>
                              </w:r>
                            </w:p>
                          </w:txbxContent>
                        </v:textbox>
                      </v:shape>
                      <w10:wrap type="square"/>
                    </v:group>
                  </w:pict>
                </mc:Fallback>
              </mc:AlternateContent>
            </w:r>
          </w:p>
          <w:p w14:paraId="22FDB3CF" w14:textId="77777777" w:rsidR="00953B2E" w:rsidRPr="00C35766" w:rsidRDefault="005F0C19" w:rsidP="00787805">
            <w:pPr>
              <w:pStyle w:val="a3"/>
              <w:numPr>
                <w:ilvl w:val="0"/>
                <w:numId w:val="22"/>
              </w:numPr>
              <w:rPr>
                <w:b/>
                <w:highlight w:val="lightGray"/>
              </w:rPr>
            </w:pPr>
            <w:r w:rsidRPr="00C35766">
              <w:rPr>
                <w:rFonts w:eastAsia="Times New Roman"/>
                <w:b/>
                <w:bCs/>
                <w:highlight w:val="lightGray"/>
                <w:lang w:val="it-IT"/>
              </w:rPr>
              <w:t>Esegua l’iniezione</w:t>
            </w:r>
          </w:p>
          <w:p w14:paraId="79E7D6D3" w14:textId="77777777" w:rsidR="00953B2E" w:rsidRPr="00C35766" w:rsidRDefault="00953B2E">
            <w:pPr>
              <w:pStyle w:val="a3"/>
              <w:rPr>
                <w:highlight w:val="lightGray"/>
              </w:rPr>
            </w:pPr>
          </w:p>
          <w:p w14:paraId="4E29598F" w14:textId="6764C0DF" w:rsidR="00953B2E" w:rsidRPr="00C35766" w:rsidRDefault="005F0C19">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a.</w:t>
            </w:r>
            <w:r w:rsidRPr="00C35766">
              <w:rPr>
                <w:rFonts w:eastAsia="Times New Roman"/>
                <w:highlight w:val="lightGray"/>
                <w:lang w:val="it-IT"/>
              </w:rPr>
              <w:t xml:space="preserve"> Una volta inserito l'ago, lasci andare la</w:t>
            </w:r>
          </w:p>
          <w:p w14:paraId="235D94FF" w14:textId="77777777" w:rsidR="00953B2E" w:rsidRPr="00C35766" w:rsidRDefault="005F0C19">
            <w:pPr>
              <w:pStyle w:val="a3"/>
              <w:rPr>
                <w:highlight w:val="lightGray"/>
                <w:lang w:val="it-IT"/>
              </w:rPr>
            </w:pPr>
            <w:r w:rsidRPr="00C35766">
              <w:rPr>
                <w:rFonts w:eastAsia="Times New Roman"/>
                <w:highlight w:val="lightGray"/>
                <w:lang w:val="it-IT"/>
              </w:rPr>
              <w:t xml:space="preserve"> la pelle pizzicata.</w:t>
            </w:r>
          </w:p>
          <w:p w14:paraId="04FC8676" w14:textId="2EAEAEA7" w:rsidR="00953B2E" w:rsidRPr="00C35766" w:rsidRDefault="005F0C19">
            <w:pPr>
              <w:pStyle w:val="a3"/>
              <w:rPr>
                <w:highlight w:val="lightGray"/>
                <w:lang w:val="it-IT"/>
              </w:rPr>
            </w:pPr>
            <w:r w:rsidRPr="00C35766">
              <w:rPr>
                <w:rFonts w:eastAsia="Times New Roman"/>
                <w:b/>
                <w:bCs/>
                <w:highlight w:val="lightGray"/>
                <w:lang w:val="it-IT"/>
              </w:rPr>
              <w:t xml:space="preserve"> b. </w:t>
            </w:r>
            <w:r w:rsidR="00A67D26" w:rsidRPr="00C35766">
              <w:rPr>
                <w:rFonts w:eastAsia="Times New Roman"/>
                <w:highlight w:val="lightGray"/>
                <w:lang w:val="it-IT"/>
              </w:rPr>
              <w:t>Sping</w:t>
            </w:r>
            <w:r w:rsidR="00A67D26">
              <w:rPr>
                <w:rFonts w:eastAsia="Times New Roman"/>
                <w:highlight w:val="lightGray"/>
                <w:lang w:val="it-IT"/>
              </w:rPr>
              <w:t>a</w:t>
            </w:r>
            <w:r w:rsidR="00A67D26" w:rsidRPr="00C35766">
              <w:rPr>
                <w:rFonts w:eastAsia="Times New Roman"/>
                <w:highlight w:val="lightGray"/>
                <w:lang w:val="it-IT"/>
              </w:rPr>
              <w:t xml:space="preserve"> </w:t>
            </w:r>
            <w:r w:rsidRPr="00C35766">
              <w:rPr>
                <w:rFonts w:eastAsia="Times New Roman"/>
                <w:highlight w:val="lightGray"/>
                <w:lang w:val="it-IT"/>
              </w:rPr>
              <w:t>lentamente e completamente lo stantuffo verso il basso fino a</w:t>
            </w:r>
            <w:r w:rsidR="001E26DC">
              <w:rPr>
                <w:rFonts w:eastAsia="Times New Roman"/>
                <w:highlight w:val="lightGray"/>
                <w:lang w:val="it-IT"/>
              </w:rPr>
              <w:t>d</w:t>
            </w:r>
            <w:r w:rsidRPr="00C35766">
              <w:rPr>
                <w:rFonts w:eastAsia="Times New Roman"/>
                <w:highlight w:val="lightGray"/>
                <w:lang w:val="it-IT"/>
              </w:rPr>
              <w:t xml:space="preserve"> iniettare tutto il liquido</w:t>
            </w:r>
            <w:r w:rsidR="004027B4">
              <w:rPr>
                <w:rFonts w:eastAsia="Times New Roman"/>
                <w:highlight w:val="lightGray"/>
                <w:lang w:val="it-IT"/>
              </w:rPr>
              <w:t xml:space="preserve"> </w:t>
            </w:r>
            <w:r w:rsidR="00BE674C" w:rsidRPr="00C35766">
              <w:rPr>
                <w:rFonts w:eastAsia="Times New Roman"/>
                <w:highlight w:val="lightGray"/>
                <w:lang w:val="it-IT"/>
              </w:rPr>
              <w:t>e</w:t>
            </w:r>
            <w:r w:rsidR="00F70908">
              <w:rPr>
                <w:rFonts w:eastAsia="Times New Roman"/>
                <w:highlight w:val="lightGray"/>
                <w:lang w:val="it-IT"/>
              </w:rPr>
              <w:t xml:space="preserve"> a</w:t>
            </w:r>
            <w:r w:rsidR="00BE674C" w:rsidRPr="00C35766">
              <w:rPr>
                <w:rFonts w:eastAsia="Times New Roman"/>
                <w:highlight w:val="lightGray"/>
                <w:lang w:val="it-IT"/>
              </w:rPr>
              <w:t xml:space="preserve"> </w:t>
            </w:r>
            <w:r w:rsidR="0053674B" w:rsidRPr="00C35766">
              <w:rPr>
                <w:rFonts w:eastAsia="Times New Roman"/>
                <w:highlight w:val="lightGray"/>
                <w:lang w:val="it-IT"/>
              </w:rPr>
              <w:t>svuot</w:t>
            </w:r>
            <w:r w:rsidR="0053674B">
              <w:rPr>
                <w:rFonts w:eastAsia="Times New Roman"/>
                <w:highlight w:val="lightGray"/>
                <w:lang w:val="it-IT"/>
              </w:rPr>
              <w:t>i</w:t>
            </w:r>
            <w:r w:rsidR="0053674B" w:rsidRPr="00C35766">
              <w:rPr>
                <w:rFonts w:eastAsia="Times New Roman"/>
                <w:highlight w:val="lightGray"/>
                <w:lang w:val="it-IT"/>
              </w:rPr>
              <w:t xml:space="preserve"> </w:t>
            </w:r>
            <w:r w:rsidR="00BE674C" w:rsidRPr="00C35766">
              <w:rPr>
                <w:rFonts w:eastAsia="Times New Roman"/>
                <w:highlight w:val="lightGray"/>
                <w:lang w:val="it-IT"/>
              </w:rPr>
              <w:t>la siringa.</w:t>
            </w:r>
          </w:p>
          <w:p w14:paraId="66BF173C" w14:textId="77777777" w:rsidR="00953B2E" w:rsidRPr="00C35766" w:rsidRDefault="00953B2E">
            <w:pPr>
              <w:pStyle w:val="a3"/>
              <w:rPr>
                <w:highlight w:val="lightGray"/>
                <w:lang w:val="it-IT"/>
              </w:rPr>
            </w:pPr>
          </w:p>
          <w:p w14:paraId="4BEB45BE" w14:textId="77777777" w:rsidR="00953B2E" w:rsidRPr="00C35766" w:rsidRDefault="00953B2E">
            <w:pPr>
              <w:pStyle w:val="a3"/>
              <w:rPr>
                <w:highlight w:val="lightGray"/>
                <w:lang w:val="it-IT"/>
              </w:rPr>
            </w:pPr>
          </w:p>
          <w:p w14:paraId="1BDF67E9" w14:textId="3664C6F5" w:rsidR="00953B2E" w:rsidRPr="00C35766" w:rsidRDefault="005F0C19">
            <w:pPr>
              <w:pStyle w:val="a3"/>
              <w:rPr>
                <w:lang w:val="es-ES"/>
              </w:rPr>
            </w:pPr>
            <w:r w:rsidRPr="00C35766">
              <w:rPr>
                <w:rFonts w:eastAsia="맑은 고딕"/>
                <w:highlight w:val="lightGray"/>
                <w:lang w:val="it-IT"/>
              </w:rPr>
              <w:t>•</w:t>
            </w:r>
            <w:r w:rsidRPr="00C35766">
              <w:rPr>
                <w:rFonts w:eastAsia="Times New Roman"/>
                <w:highlight w:val="lightGray"/>
                <w:lang w:val="it-IT"/>
              </w:rPr>
              <w:t xml:space="preserve"> </w:t>
            </w:r>
            <w:r w:rsidRPr="00C35766">
              <w:rPr>
                <w:rFonts w:eastAsia="Times New Roman"/>
                <w:b/>
                <w:bCs/>
                <w:highlight w:val="lightGray"/>
                <w:lang w:val="it-IT"/>
              </w:rPr>
              <w:t>Non</w:t>
            </w:r>
            <w:r w:rsidRPr="00C35766">
              <w:rPr>
                <w:rFonts w:eastAsia="Times New Roman"/>
                <w:highlight w:val="lightGray"/>
                <w:lang w:val="it-IT"/>
              </w:rPr>
              <w:t xml:space="preserve"> cambi la posizione della siringa </w:t>
            </w:r>
            <w:r w:rsidR="0092097A" w:rsidRPr="00C35766">
              <w:rPr>
                <w:rFonts w:eastAsia="Times New Roman"/>
                <w:highlight w:val="lightGray"/>
                <w:lang w:val="it-IT"/>
              </w:rPr>
              <w:t>pre-riempita</w:t>
            </w:r>
            <w:r w:rsidRPr="00C35766">
              <w:rPr>
                <w:rFonts w:eastAsia="Times New Roman"/>
                <w:highlight w:val="lightGray"/>
                <w:lang w:val="it-IT"/>
              </w:rPr>
              <w:t xml:space="preserve"> una volta iniziata l’iniezione.</w:t>
            </w:r>
          </w:p>
          <w:p w14:paraId="64A21FF9" w14:textId="77777777" w:rsidR="00953B2E" w:rsidRPr="00C35766" w:rsidRDefault="005F0C19">
            <w:pPr>
              <w:pStyle w:val="a3"/>
              <w:rPr>
                <w:lang w:val="es-ES"/>
              </w:rPr>
            </w:pPr>
            <w:r w:rsidRPr="00C35766">
              <w:rPr>
                <w:lang w:val="es-ES"/>
              </w:rPr>
              <w:t xml:space="preserve"> </w:t>
            </w:r>
          </w:p>
        </w:tc>
      </w:tr>
      <w:tr w:rsidR="00953B2E" w:rsidRPr="006501B3" w14:paraId="7B367CC9" w14:textId="77777777" w:rsidTr="00752AA4">
        <w:trPr>
          <w:trHeight w:val="6520"/>
        </w:trPr>
        <w:tc>
          <w:tcPr>
            <w:tcW w:w="9550" w:type="dxa"/>
          </w:tcPr>
          <w:p w14:paraId="419A1ED1" w14:textId="77777777" w:rsidR="00D11674" w:rsidRPr="00C35766" w:rsidRDefault="00D11674" w:rsidP="00C7325A">
            <w:pPr>
              <w:rPr>
                <w:rFonts w:ascii="Times New Roman" w:eastAsia="Times New Roman" w:hAnsi="Times New Roman" w:cs="Times New Roman"/>
                <w:lang w:val="es-ES"/>
              </w:rPr>
            </w:pPr>
          </w:p>
          <w:p w14:paraId="509D1C2E" w14:textId="77777777" w:rsidR="00D11674" w:rsidRPr="00C35766" w:rsidRDefault="00D11674" w:rsidP="00D11674">
            <w:pPr>
              <w:pStyle w:val="a3"/>
              <w:rPr>
                <w:lang w:val="es-ES"/>
              </w:rPr>
            </w:pPr>
            <w:r w:rsidRPr="00C35766">
              <w:rPr>
                <w:noProof/>
                <w:lang w:eastAsia="ko-KR"/>
              </w:rPr>
              <mc:AlternateContent>
                <mc:Choice Requires="wpg">
                  <w:drawing>
                    <wp:anchor distT="0" distB="0" distL="114300" distR="114300" simplePos="0" relativeHeight="251658292" behindDoc="0" locked="0" layoutInCell="1" allowOverlap="1" wp14:anchorId="62255DC1" wp14:editId="3F1834EB">
                      <wp:simplePos x="0" y="0"/>
                      <wp:positionH relativeFrom="column">
                        <wp:posOffset>48895</wp:posOffset>
                      </wp:positionH>
                      <wp:positionV relativeFrom="paragraph">
                        <wp:posOffset>11430</wp:posOffset>
                      </wp:positionV>
                      <wp:extent cx="2796208" cy="3536950"/>
                      <wp:effectExtent l="0" t="0" r="4445" b="6350"/>
                      <wp:wrapSquare wrapText="bothSides"/>
                      <wp:docPr id="100" name="그룹 100"/>
                      <wp:cNvGraphicFramePr/>
                      <a:graphic xmlns:a="http://schemas.openxmlformats.org/drawingml/2006/main">
                        <a:graphicData uri="http://schemas.microsoft.com/office/word/2010/wordprocessingGroup">
                          <wpg:wgp>
                            <wpg:cNvGrpSpPr/>
                            <wpg:grpSpPr>
                              <a:xfrm>
                                <a:off x="0" y="0"/>
                                <a:ext cx="2796208" cy="3536950"/>
                                <a:chOff x="0" y="0"/>
                                <a:chExt cx="2796208" cy="3536950"/>
                              </a:xfrm>
                            </wpg:grpSpPr>
                            <pic:pic xmlns:pic="http://schemas.openxmlformats.org/drawingml/2006/picture">
                              <pic:nvPicPr>
                                <pic:cNvPr id="4026" name="그림 4026"/>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76450" y="3390900"/>
                                  <a:ext cx="719758" cy="146050"/>
                                </a:xfrm>
                                <a:prstGeom prst="rect">
                                  <a:avLst/>
                                </a:prstGeom>
                                <a:solidFill>
                                  <a:prstClr val="white"/>
                                </a:solidFill>
                                <a:ln>
                                  <a:noFill/>
                                </a:ln>
                              </wps:spPr>
                              <wps:txbx>
                                <w:txbxContent>
                                  <w:p w14:paraId="181A3CC5" w14:textId="77777777" w:rsidR="00D97785" w:rsidRDefault="00D97785" w:rsidP="00D11674">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255DC1" id="그룹 100" o:spid="_x0000_s1136" style="position:absolute;margin-left:3.85pt;margin-top:.9pt;width:220.15pt;height:278.5pt;z-index:251658292"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">
                      <v:shape id="그림 4026" o:spid="_x0000_s1137"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73" o:title=""/>
                      </v:shape>
                      <v:shape id="Text Box 99" o:spid="_x0000_s1138"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181A3CC5" w14:textId="77777777" w:rsidR="00D97785" w:rsidRDefault="00D97785" w:rsidP="00D11674">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K</w:t>
                              </w:r>
                            </w:p>
                          </w:txbxContent>
                        </v:textbox>
                      </v:shape>
                      <w10:wrap type="square"/>
                    </v:group>
                  </w:pict>
                </mc:Fallback>
              </mc:AlternateContent>
            </w:r>
          </w:p>
          <w:p w14:paraId="364EEBE6" w14:textId="7E6F160E" w:rsidR="00D11674" w:rsidRPr="00C35766" w:rsidRDefault="00D11674" w:rsidP="00752AA4">
            <w:pPr>
              <w:pStyle w:val="a3"/>
              <w:numPr>
                <w:ilvl w:val="0"/>
                <w:numId w:val="22"/>
              </w:numPr>
              <w:rPr>
                <w:highlight w:val="lightGray"/>
                <w:lang w:val="es-ES"/>
              </w:rPr>
            </w:pPr>
            <w:r w:rsidRPr="00C35766">
              <w:rPr>
                <w:rFonts w:eastAsia="Times New Roman"/>
                <w:b/>
                <w:bCs/>
                <w:highlight w:val="lightGray"/>
                <w:lang w:val="it-IT"/>
              </w:rPr>
              <w:t xml:space="preserve">Rimuova la siringa </w:t>
            </w:r>
            <w:r w:rsidR="0092097A" w:rsidRPr="00C35766">
              <w:rPr>
                <w:rFonts w:eastAsia="Times New Roman"/>
                <w:b/>
                <w:bCs/>
                <w:highlight w:val="lightGray"/>
                <w:lang w:val="it-IT"/>
              </w:rPr>
              <w:t>pre-riempita</w:t>
            </w:r>
            <w:r w:rsidRPr="00C35766">
              <w:rPr>
                <w:rFonts w:eastAsia="Times New Roman"/>
                <w:b/>
                <w:bCs/>
                <w:highlight w:val="lightGray"/>
                <w:lang w:val="it-IT"/>
              </w:rPr>
              <w:t xml:space="preserve"> dal sito d’iniezione e</w:t>
            </w:r>
            <w:r w:rsidRPr="00C35766">
              <w:rPr>
                <w:rFonts w:eastAsia="Times New Roman"/>
                <w:highlight w:val="lightGray"/>
                <w:lang w:val="it-IT"/>
              </w:rPr>
              <w:t xml:space="preserve"> </w:t>
            </w:r>
            <w:r w:rsidRPr="00C35766">
              <w:rPr>
                <w:rFonts w:eastAsia="Times New Roman"/>
                <w:b/>
                <w:bCs/>
                <w:highlight w:val="lightGray"/>
                <w:lang w:val="it-IT"/>
              </w:rPr>
              <w:t xml:space="preserve">si </w:t>
            </w:r>
            <w:r w:rsidR="00757F67">
              <w:rPr>
                <w:rFonts w:eastAsia="Times New Roman"/>
                <w:b/>
                <w:bCs/>
                <w:highlight w:val="lightGray"/>
                <w:lang w:val="it-IT"/>
              </w:rPr>
              <w:t>occupi</w:t>
            </w:r>
            <w:r w:rsidRPr="00C35766">
              <w:rPr>
                <w:rFonts w:eastAsia="Times New Roman"/>
                <w:b/>
                <w:bCs/>
                <w:highlight w:val="lightGray"/>
                <w:lang w:val="it-IT"/>
              </w:rPr>
              <w:t xml:space="preserve"> del sito d’iniezione </w:t>
            </w:r>
          </w:p>
          <w:p w14:paraId="0CBCB292" w14:textId="77777777" w:rsidR="00D11674" w:rsidRPr="00C35766" w:rsidRDefault="00D11674" w:rsidP="00D11674">
            <w:pPr>
              <w:pStyle w:val="a3"/>
              <w:numPr>
                <w:ilvl w:val="0"/>
                <w:numId w:val="0"/>
              </w:numPr>
              <w:ind w:left="471"/>
              <w:rPr>
                <w:highlight w:val="lightGray"/>
                <w:lang w:val="es-ES"/>
              </w:rPr>
            </w:pPr>
          </w:p>
          <w:p w14:paraId="3E1B409D" w14:textId="2A9D1002" w:rsidR="00D11674" w:rsidRPr="00C35766" w:rsidRDefault="00D11674" w:rsidP="00D11674">
            <w:pPr>
              <w:pStyle w:val="a3"/>
              <w:rPr>
                <w:highlight w:val="lightGray"/>
                <w:lang w:val="it-IT"/>
              </w:rPr>
            </w:pPr>
            <w:r w:rsidRPr="00C35766">
              <w:rPr>
                <w:rFonts w:eastAsia="Times New Roman"/>
                <w:b/>
                <w:bCs/>
                <w:highlight w:val="lightGray"/>
                <w:lang w:val="it-IT"/>
              </w:rPr>
              <w:t xml:space="preserve"> a.</w:t>
            </w:r>
            <w:r w:rsidRPr="00C35766">
              <w:rPr>
                <w:rFonts w:eastAsia="Times New Roman"/>
                <w:highlight w:val="lightGray"/>
                <w:lang w:val="it-IT"/>
              </w:rPr>
              <w:t xml:space="preserve"> Quando la siringa </w:t>
            </w:r>
            <w:r w:rsidR="0092097A" w:rsidRPr="00C35766">
              <w:rPr>
                <w:rFonts w:eastAsia="Times New Roman"/>
                <w:highlight w:val="lightGray"/>
                <w:lang w:val="it-IT"/>
              </w:rPr>
              <w:t>pre-riempita</w:t>
            </w:r>
            <w:r w:rsidRPr="00C35766">
              <w:rPr>
                <w:rFonts w:eastAsia="Times New Roman"/>
                <w:highlight w:val="lightGray"/>
                <w:lang w:val="it-IT"/>
              </w:rPr>
              <w:t xml:space="preserve"> è vuota, </w:t>
            </w:r>
          </w:p>
          <w:p w14:paraId="368A9C01" w14:textId="77777777" w:rsidR="00D11674" w:rsidRPr="00C35766" w:rsidRDefault="00D11674" w:rsidP="00D11674">
            <w:pPr>
              <w:pStyle w:val="a3"/>
              <w:rPr>
                <w:highlight w:val="lightGray"/>
                <w:lang w:val="it-IT"/>
              </w:rPr>
            </w:pPr>
            <w:r w:rsidRPr="00C35766">
              <w:rPr>
                <w:rFonts w:eastAsia="Times New Roman"/>
                <w:highlight w:val="lightGray"/>
                <w:lang w:val="it-IT"/>
              </w:rPr>
              <w:t xml:space="preserve"> sollevi lentamente il pollice dallo </w:t>
            </w:r>
          </w:p>
          <w:p w14:paraId="68B159DB" w14:textId="39A6CD44" w:rsidR="00D11674" w:rsidRPr="00C35766" w:rsidRDefault="00D11674" w:rsidP="00D11674">
            <w:pPr>
              <w:pStyle w:val="a3"/>
              <w:rPr>
                <w:highlight w:val="lightGray"/>
                <w:lang w:val="it-IT"/>
              </w:rPr>
            </w:pPr>
            <w:r w:rsidRPr="00C35766">
              <w:rPr>
                <w:rFonts w:eastAsia="Times New Roman"/>
                <w:highlight w:val="lightGray"/>
                <w:lang w:val="it-IT"/>
              </w:rPr>
              <w:t xml:space="preserve"> stantuffo fino a quando l’ago non è completamente coperto dal dispositivo di sicurezza per l'ago.</w:t>
            </w:r>
          </w:p>
          <w:p w14:paraId="4B651696" w14:textId="60B9CC72" w:rsidR="00D11674" w:rsidRPr="00C35766" w:rsidRDefault="00D11674" w:rsidP="00D11674">
            <w:pPr>
              <w:pStyle w:val="a3"/>
              <w:rPr>
                <w:rFonts w:eastAsia="Times New Roman"/>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b.</w:t>
            </w:r>
            <w:r w:rsidRPr="00C35766">
              <w:rPr>
                <w:rFonts w:eastAsia="Times New Roman"/>
                <w:highlight w:val="lightGray"/>
                <w:lang w:val="it-IT"/>
              </w:rPr>
              <w:t xml:space="preserve"> Medichi il sito d’iniezione premendo delicatamente, senza strofinare, un batuffolo di cotone o </w:t>
            </w:r>
          </w:p>
          <w:p w14:paraId="0020679D" w14:textId="77777777" w:rsidR="00D11674" w:rsidRPr="00C35766" w:rsidRDefault="00D11674" w:rsidP="00D11674">
            <w:pPr>
              <w:pStyle w:val="a3"/>
              <w:rPr>
                <w:rFonts w:eastAsia="Times New Roman"/>
                <w:highlight w:val="lightGray"/>
                <w:lang w:val="pt-BR"/>
              </w:rPr>
            </w:pPr>
            <w:r w:rsidRPr="00C35766">
              <w:rPr>
                <w:rFonts w:eastAsia="Times New Roman"/>
                <w:highlight w:val="lightGray"/>
                <w:lang w:val="it-IT"/>
              </w:rPr>
              <w:t xml:space="preserve"> una garza sul sito e, se necessario </w:t>
            </w:r>
          </w:p>
          <w:p w14:paraId="7633B3D2" w14:textId="77777777" w:rsidR="00D11674" w:rsidRPr="00C35766" w:rsidRDefault="00D11674" w:rsidP="00D11674">
            <w:pPr>
              <w:pStyle w:val="a3"/>
              <w:rPr>
                <w:highlight w:val="lightGray"/>
                <w:lang w:val="es-ES"/>
              </w:rPr>
            </w:pPr>
            <w:r w:rsidRPr="00C35766">
              <w:rPr>
                <w:rFonts w:eastAsia="Times New Roman"/>
                <w:highlight w:val="lightGray"/>
                <w:lang w:val="it-IT"/>
              </w:rPr>
              <w:t xml:space="preserve"> applicando una benda adesiva. Può verificarsi </w:t>
            </w:r>
          </w:p>
          <w:p w14:paraId="38866B90" w14:textId="52E52481" w:rsidR="00D11674" w:rsidRPr="00C35766" w:rsidRDefault="00D11674" w:rsidP="00D11674">
            <w:pPr>
              <w:pStyle w:val="a3"/>
              <w:rPr>
                <w:highlight w:val="lightGray"/>
                <w:lang w:val="es-ES"/>
              </w:rPr>
            </w:pPr>
            <w:r w:rsidRPr="00C35766">
              <w:rPr>
                <w:rFonts w:eastAsia="Times New Roman"/>
                <w:highlight w:val="lightGray"/>
                <w:lang w:val="it-IT"/>
              </w:rPr>
              <w:t xml:space="preserve"> un sanguinamento.</w:t>
            </w:r>
          </w:p>
          <w:p w14:paraId="17D9474F" w14:textId="77777777" w:rsidR="00D11674" w:rsidRPr="00C35766" w:rsidRDefault="00D11674" w:rsidP="00D11674">
            <w:pPr>
              <w:pStyle w:val="a3"/>
              <w:rPr>
                <w:highlight w:val="lightGray"/>
                <w:lang w:val="es-ES"/>
              </w:rPr>
            </w:pPr>
          </w:p>
          <w:p w14:paraId="05916CEE" w14:textId="77777777" w:rsidR="00D11674" w:rsidRPr="00C35766" w:rsidRDefault="00D11674" w:rsidP="00D11674">
            <w:pPr>
              <w:pStyle w:val="a3"/>
              <w:rPr>
                <w:highlight w:val="lightGray"/>
                <w:lang w:val="es-ES"/>
              </w:rPr>
            </w:pPr>
          </w:p>
          <w:p w14:paraId="370CA806" w14:textId="5A29C510" w:rsidR="00D11674" w:rsidRPr="00C35766" w:rsidRDefault="00D11674" w:rsidP="00D11674">
            <w:pPr>
              <w:pStyle w:val="a3"/>
              <w:rPr>
                <w:highlight w:val="lightGray"/>
                <w:lang w:val="es-ES"/>
              </w:rPr>
            </w:pPr>
            <w:r w:rsidRPr="00C35766">
              <w:rPr>
                <w:rFonts w:eastAsia="맑은 고딕"/>
                <w:highlight w:val="lightGray"/>
                <w:lang w:val="it-IT"/>
              </w:rPr>
              <w:t>•</w:t>
            </w:r>
            <w:r w:rsidRPr="00C35766">
              <w:rPr>
                <w:rFonts w:eastAsia="Times New Roman"/>
                <w:b/>
                <w:bCs/>
                <w:highlight w:val="lightGray"/>
                <w:lang w:val="it-IT"/>
              </w:rPr>
              <w:t>Non</w:t>
            </w:r>
            <w:r w:rsidRPr="00C35766">
              <w:rPr>
                <w:rFonts w:eastAsia="Times New Roman"/>
                <w:highlight w:val="lightGray"/>
                <w:lang w:val="it-IT"/>
              </w:rPr>
              <w:t xml:space="preserve"> riutilizzi la siringa </w:t>
            </w:r>
            <w:r w:rsidR="0092097A" w:rsidRPr="00C35766">
              <w:rPr>
                <w:rFonts w:eastAsia="Times New Roman"/>
                <w:highlight w:val="lightGray"/>
                <w:lang w:val="it-IT"/>
              </w:rPr>
              <w:t>pre-riempita</w:t>
            </w:r>
            <w:r w:rsidRPr="00C35766">
              <w:rPr>
                <w:rFonts w:eastAsia="Times New Roman"/>
                <w:highlight w:val="lightGray"/>
                <w:lang w:val="it-IT"/>
              </w:rPr>
              <w:t>.</w:t>
            </w:r>
          </w:p>
          <w:p w14:paraId="14C240A3" w14:textId="7B96C58B" w:rsidR="00953B2E" w:rsidRPr="00C35766" w:rsidRDefault="00D11674" w:rsidP="00D11674">
            <w:pPr>
              <w:pStyle w:val="a3"/>
              <w:rPr>
                <w:b/>
                <w:bCs/>
                <w:spacing w:val="-1"/>
                <w:lang w:val="fr-FR"/>
              </w:rPr>
            </w:pPr>
            <w:r w:rsidRPr="00C35766">
              <w:rPr>
                <w:rFonts w:eastAsia="맑은 고딕"/>
                <w:b/>
                <w:bCs/>
                <w:highlight w:val="lightGray"/>
                <w:lang w:val="it-IT"/>
              </w:rPr>
              <w:t>•</w:t>
            </w:r>
            <w:r w:rsidRPr="00C35766">
              <w:rPr>
                <w:rFonts w:eastAsia="Times New Roman"/>
                <w:b/>
                <w:bCs/>
                <w:highlight w:val="lightGray"/>
                <w:lang w:val="it-IT"/>
              </w:rPr>
              <w:t>Non</w:t>
            </w:r>
            <w:r w:rsidRPr="00C35766">
              <w:rPr>
                <w:rFonts w:eastAsia="Times New Roman"/>
                <w:highlight w:val="lightGray"/>
                <w:lang w:val="it-IT"/>
              </w:rPr>
              <w:t xml:space="preserve"> strofini il sito d’iniezione</w:t>
            </w:r>
          </w:p>
        </w:tc>
      </w:tr>
      <w:tr w:rsidR="00953B2E" w:rsidRPr="00494E69" w14:paraId="6704E663" w14:textId="77777777" w:rsidTr="00752AA4">
        <w:trPr>
          <w:trHeight w:val="6372"/>
        </w:trPr>
        <w:tc>
          <w:tcPr>
            <w:tcW w:w="9550" w:type="dxa"/>
          </w:tcPr>
          <w:p w14:paraId="745E2779" w14:textId="77777777" w:rsidR="00953B2E" w:rsidRPr="00C35766" w:rsidRDefault="005F0C19">
            <w:pPr>
              <w:pStyle w:val="a3"/>
              <w:rPr>
                <w:lang w:val="fr-FR"/>
              </w:rPr>
            </w:pPr>
            <w:r w:rsidRPr="00C35766">
              <w:rPr>
                <w:noProof/>
                <w:lang w:eastAsia="ko-KR"/>
              </w:rPr>
              <mc:AlternateContent>
                <mc:Choice Requires="wpg">
                  <w:drawing>
                    <wp:anchor distT="0" distB="0" distL="114300" distR="114300" simplePos="0" relativeHeight="251658259" behindDoc="0" locked="0" layoutInCell="1" allowOverlap="1" wp14:anchorId="167053C4" wp14:editId="1EB2F4B0">
                      <wp:simplePos x="0" y="0"/>
                      <wp:positionH relativeFrom="column">
                        <wp:posOffset>36195</wp:posOffset>
                      </wp:positionH>
                      <wp:positionV relativeFrom="paragraph">
                        <wp:posOffset>104140</wp:posOffset>
                      </wp:positionV>
                      <wp:extent cx="2827880" cy="3549650"/>
                      <wp:effectExtent l="0" t="0" r="0" b="0"/>
                      <wp:wrapSquare wrapText="bothSides"/>
                      <wp:docPr id="102" name="그룹 102"/>
                      <wp:cNvGraphicFramePr/>
                      <a:graphic xmlns:a="http://schemas.openxmlformats.org/drawingml/2006/main">
                        <a:graphicData uri="http://schemas.microsoft.com/office/word/2010/wordprocessingGroup">
                          <wpg:wgp>
                            <wpg:cNvGrpSpPr/>
                            <wpg:grpSpPr>
                              <a:xfrm>
                                <a:off x="0" y="0"/>
                                <a:ext cx="2827880" cy="3549650"/>
                                <a:chOff x="0" y="0"/>
                                <a:chExt cx="2827880" cy="3549650"/>
                              </a:xfrm>
                            </wpg:grpSpPr>
                            <pic:pic xmlns:pic="http://schemas.openxmlformats.org/drawingml/2006/picture">
                              <pic:nvPicPr>
                                <pic:cNvPr id="4027" name="그림 402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48E049C9"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7053C4" id="그룹 102" o:spid="_x0000_s1139" style="position:absolute;margin-left:2.85pt;margin-top:8.2pt;width:222.65pt;height:279.5pt;z-index:251658259"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">
                      <v:shape id="그림 4027" o:spid="_x0000_s1140"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75" o:title=""/>
                      </v:shape>
                      <v:shape id="Text Box 101" o:spid="_x0000_s1141"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48E049C9" w14:textId="77777777"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L</w:t>
                              </w:r>
                            </w:p>
                          </w:txbxContent>
                        </v:textbox>
                      </v:shape>
                      <w10:wrap type="square"/>
                    </v:group>
                  </w:pict>
                </mc:Fallback>
              </mc:AlternateContent>
            </w:r>
          </w:p>
          <w:p w14:paraId="5B1D41EB" w14:textId="77777777" w:rsidR="00953B2E" w:rsidRPr="00C35766" w:rsidRDefault="00953B2E">
            <w:pPr>
              <w:pStyle w:val="a3"/>
              <w:rPr>
                <w:lang w:val="fr-FR"/>
              </w:rPr>
            </w:pPr>
          </w:p>
          <w:p w14:paraId="0C76C30B" w14:textId="0F79D035" w:rsidR="00953B2E" w:rsidRPr="00C35766" w:rsidRDefault="005F0C19" w:rsidP="00752AA4">
            <w:pPr>
              <w:pStyle w:val="a3"/>
              <w:numPr>
                <w:ilvl w:val="0"/>
                <w:numId w:val="22"/>
              </w:numPr>
              <w:rPr>
                <w:b/>
                <w:highlight w:val="lightGray"/>
              </w:rPr>
            </w:pPr>
            <w:r w:rsidRPr="00C35766">
              <w:rPr>
                <w:rFonts w:eastAsia="Times New Roman"/>
                <w:b/>
                <w:bCs/>
                <w:highlight w:val="lightGray"/>
                <w:lang w:val="it-IT"/>
              </w:rPr>
              <w:t xml:space="preserve">Smaltisca la siringa </w:t>
            </w:r>
            <w:r w:rsidR="0092097A" w:rsidRPr="00C35766">
              <w:rPr>
                <w:rFonts w:eastAsia="Times New Roman"/>
                <w:b/>
                <w:bCs/>
                <w:highlight w:val="lightGray"/>
                <w:lang w:val="it-IT"/>
              </w:rPr>
              <w:t>pre-riempita</w:t>
            </w:r>
          </w:p>
          <w:p w14:paraId="43253B56" w14:textId="77777777" w:rsidR="00953B2E" w:rsidRPr="00C35766" w:rsidRDefault="00953B2E">
            <w:pPr>
              <w:pStyle w:val="a3"/>
              <w:rPr>
                <w:highlight w:val="lightGray"/>
              </w:rPr>
            </w:pPr>
          </w:p>
          <w:p w14:paraId="3D25B4FC" w14:textId="086BE5A6" w:rsidR="00BE674C" w:rsidRPr="00C35766" w:rsidRDefault="005F0C19" w:rsidP="00BE674C">
            <w:pPr>
              <w:pStyle w:val="a3"/>
              <w:rPr>
                <w:rFonts w:eastAsia="Times New Roman"/>
                <w:highlight w:val="lightGray"/>
                <w:lang w:val="pt-BR"/>
              </w:rPr>
            </w:pPr>
            <w:r w:rsidRPr="00C35766">
              <w:rPr>
                <w:rFonts w:eastAsia="Times New Roman"/>
                <w:b/>
                <w:bCs/>
                <w:highlight w:val="lightGray"/>
                <w:lang w:val="it-IT"/>
              </w:rPr>
              <w:t xml:space="preserve"> a.</w:t>
            </w:r>
            <w:r w:rsidRPr="00C35766">
              <w:rPr>
                <w:rFonts w:eastAsia="Times New Roman"/>
                <w:highlight w:val="lightGray"/>
                <w:lang w:val="it-IT"/>
              </w:rPr>
              <w:t xml:space="preserve"> Getti via immediatamente la siringa </w:t>
            </w:r>
            <w:r w:rsidR="0092097A" w:rsidRPr="00C35766">
              <w:rPr>
                <w:rFonts w:eastAsia="Times New Roman"/>
                <w:highlight w:val="lightGray"/>
                <w:lang w:val="it-IT"/>
              </w:rPr>
              <w:t>pre-riempita</w:t>
            </w:r>
            <w:r w:rsidRPr="00C35766">
              <w:rPr>
                <w:rFonts w:eastAsia="Times New Roman"/>
                <w:highlight w:val="lightGray"/>
                <w:lang w:val="it-IT"/>
              </w:rPr>
              <w:t xml:space="preserve"> usata</w:t>
            </w:r>
            <w:r w:rsidR="00BE674C" w:rsidRPr="00C35766">
              <w:rPr>
                <w:rFonts w:eastAsia="Times New Roman"/>
                <w:highlight w:val="lightGray"/>
                <w:lang w:val="it-IT"/>
              </w:rPr>
              <w:t xml:space="preserve">in un apposito contenitore per lo smaltimento di oggetti taglienti  come indicato dal Suo medico, infermiere o </w:t>
            </w:r>
          </w:p>
          <w:p w14:paraId="6A9CEB21" w14:textId="77777777" w:rsidR="00953B2E" w:rsidRPr="00C35766" w:rsidRDefault="00BE674C" w:rsidP="00BE674C">
            <w:pPr>
              <w:pStyle w:val="a3"/>
              <w:rPr>
                <w:highlight w:val="lightGray"/>
                <w:lang w:val="it-IT"/>
              </w:rPr>
            </w:pPr>
            <w:r w:rsidRPr="00C35766">
              <w:rPr>
                <w:rFonts w:eastAsia="Times New Roman"/>
                <w:highlight w:val="lightGray"/>
                <w:lang w:val="it-IT"/>
              </w:rPr>
              <w:t xml:space="preserve"> farmacista.</w:t>
            </w:r>
          </w:p>
          <w:p w14:paraId="4CEB8D10" w14:textId="229582AB" w:rsidR="00953B2E" w:rsidRPr="00C35766" w:rsidRDefault="00953B2E">
            <w:pPr>
              <w:pStyle w:val="a3"/>
              <w:rPr>
                <w:highlight w:val="lightGray"/>
                <w:lang w:val="pt-BR"/>
              </w:rPr>
            </w:pPr>
          </w:p>
          <w:p w14:paraId="038F7655" w14:textId="77777777" w:rsidR="00953B2E" w:rsidRPr="00C35766" w:rsidRDefault="00953B2E">
            <w:pPr>
              <w:pStyle w:val="a3"/>
              <w:rPr>
                <w:highlight w:val="lightGray"/>
                <w:lang w:val="pt-BR"/>
              </w:rPr>
            </w:pPr>
          </w:p>
          <w:p w14:paraId="7A9FC062" w14:textId="5CC2935D" w:rsidR="00953B2E" w:rsidRPr="00824699" w:rsidRDefault="005F0C19" w:rsidP="00C7325A">
            <w:pPr>
              <w:pStyle w:val="a3"/>
              <w:rPr>
                <w:b/>
                <w:highlight w:val="lightGray"/>
                <w:lang w:val="it-IT"/>
              </w:rPr>
            </w:pPr>
            <w:r w:rsidRPr="00C35766">
              <w:rPr>
                <w:rFonts w:eastAsia="Times New Roman"/>
                <w:b/>
                <w:bCs/>
                <w:highlight w:val="lightGray"/>
                <w:lang w:val="it-IT"/>
              </w:rPr>
              <w:t xml:space="preserve"> b. </w:t>
            </w:r>
            <w:r w:rsidRPr="00C35766">
              <w:rPr>
                <w:rFonts w:eastAsia="Times New Roman"/>
                <w:highlight w:val="lightGray"/>
                <w:lang w:val="it-IT"/>
              </w:rPr>
              <w:t>Il tampone imbevuto di alcol e l’imballaggio possono essere messi nei rifiuti domestici.</w:t>
            </w:r>
          </w:p>
          <w:p w14:paraId="5DA45893" w14:textId="77777777" w:rsidR="00953B2E" w:rsidRPr="00824699" w:rsidRDefault="00953B2E">
            <w:pPr>
              <w:pStyle w:val="a3"/>
              <w:rPr>
                <w:b/>
                <w:highlight w:val="lightGray"/>
                <w:lang w:val="it-IT"/>
              </w:rPr>
            </w:pPr>
          </w:p>
          <w:p w14:paraId="04E6EBAD" w14:textId="2F9C4E4C" w:rsidR="00953B2E" w:rsidRPr="00C35766" w:rsidRDefault="005F0C19" w:rsidP="00787805">
            <w:pPr>
              <w:pStyle w:val="a3"/>
              <w:numPr>
                <w:ilvl w:val="0"/>
                <w:numId w:val="17"/>
              </w:numPr>
              <w:rPr>
                <w:highlight w:val="lightGray"/>
                <w:lang w:val="es-ES"/>
              </w:rPr>
            </w:pPr>
            <w:r w:rsidRPr="00C35766">
              <w:rPr>
                <w:rFonts w:eastAsia="Times New Roman"/>
                <w:highlight w:val="lightGray"/>
                <w:lang w:val="it-IT"/>
              </w:rPr>
              <w:t xml:space="preserve">Tenga sempre la siringa </w:t>
            </w:r>
            <w:r w:rsidR="0092097A" w:rsidRPr="00C35766">
              <w:rPr>
                <w:rFonts w:eastAsia="Times New Roman"/>
                <w:highlight w:val="lightGray"/>
                <w:lang w:val="it-IT"/>
              </w:rPr>
              <w:t>pre-riempita</w:t>
            </w:r>
            <w:r w:rsidRPr="00C35766">
              <w:rPr>
                <w:rFonts w:eastAsia="Times New Roman"/>
                <w:highlight w:val="lightGray"/>
                <w:lang w:val="it-IT"/>
              </w:rPr>
              <w:t xml:space="preserve"> e </w:t>
            </w:r>
          </w:p>
          <w:p w14:paraId="6063A5A8" w14:textId="03A8A735" w:rsidR="00953B2E" w:rsidRPr="00C35766" w:rsidRDefault="005F0C19">
            <w:pPr>
              <w:pStyle w:val="a3"/>
              <w:rPr>
                <w:lang w:val="it-IT"/>
              </w:rPr>
            </w:pPr>
            <w:r w:rsidRPr="00C35766">
              <w:rPr>
                <w:rFonts w:eastAsia="Times New Roman"/>
                <w:highlight w:val="lightGray"/>
                <w:lang w:val="it-IT"/>
              </w:rPr>
              <w:t xml:space="preserve"> il contenitore speciale per lo smaltimento degli oggetti taglienti fuori dalla vista e dalla portata dei bambini.</w:t>
            </w:r>
          </w:p>
          <w:p w14:paraId="69D6FBB0" w14:textId="77777777" w:rsidR="00953B2E" w:rsidRPr="00C35766" w:rsidRDefault="00953B2E">
            <w:pPr>
              <w:pStyle w:val="a3"/>
              <w:rPr>
                <w:lang w:val="it-IT"/>
              </w:rPr>
            </w:pPr>
          </w:p>
          <w:p w14:paraId="77829116" w14:textId="77777777" w:rsidR="00953B2E" w:rsidRPr="00C35766" w:rsidRDefault="00953B2E">
            <w:pPr>
              <w:pStyle w:val="a3"/>
              <w:rPr>
                <w:b/>
                <w:spacing w:val="-1"/>
                <w:lang w:val="it-IT"/>
              </w:rPr>
            </w:pPr>
          </w:p>
        </w:tc>
      </w:tr>
    </w:tbl>
    <w:p w14:paraId="4207454C" w14:textId="77777777" w:rsidR="00953B2E" w:rsidRPr="00C35766" w:rsidRDefault="00953B2E">
      <w:pPr>
        <w:spacing w:line="241" w:lineRule="auto"/>
        <w:rPr>
          <w:rFonts w:ascii="Times New Roman" w:hAnsi="Times New Roman" w:cs="Times New Roman"/>
          <w:lang w:val="it-IT"/>
        </w:rPr>
      </w:pPr>
    </w:p>
    <w:p w14:paraId="2BFA4C94" w14:textId="77777777" w:rsidR="00953B2E" w:rsidRPr="00C35766" w:rsidRDefault="005F0C19">
      <w:pPr>
        <w:rPr>
          <w:rFonts w:ascii="Times New Roman" w:hAnsi="Times New Roman" w:cs="Times New Roman"/>
          <w:lang w:val="it-IT"/>
        </w:rPr>
      </w:pPr>
      <w:r w:rsidRPr="00C35766">
        <w:rPr>
          <w:rFonts w:ascii="Times New Roman" w:hAnsi="Times New Roman" w:cs="Times New Roman"/>
          <w:lang w:val="it-IT"/>
        </w:rPr>
        <w:br w:type="page"/>
      </w:r>
    </w:p>
    <w:p w14:paraId="3C5886AF" w14:textId="77777777" w:rsidR="00953B2E" w:rsidRPr="00C35766" w:rsidRDefault="005F0C19">
      <w:pPr>
        <w:ind w:left="2350" w:right="2268"/>
        <w:jc w:val="center"/>
        <w:rPr>
          <w:rFonts w:ascii="Times New Roman" w:hAnsi="Times New Roman" w:cs="Times New Roman"/>
          <w:b/>
          <w:lang w:val="it-IT"/>
        </w:rPr>
      </w:pPr>
      <w:r w:rsidRPr="00C35766">
        <w:rPr>
          <w:rFonts w:ascii="Times New Roman" w:eastAsia="Times New Roman" w:hAnsi="Times New Roman" w:cs="Times New Roman"/>
          <w:b/>
          <w:bCs/>
          <w:lang w:val="it-IT"/>
        </w:rPr>
        <w:lastRenderedPageBreak/>
        <w:t>Foglio illustrativo: informazioni per il paziente</w:t>
      </w:r>
    </w:p>
    <w:p w14:paraId="2B33B4E7" w14:textId="77777777" w:rsidR="00953B2E" w:rsidRPr="00C35766" w:rsidRDefault="00953B2E">
      <w:pPr>
        <w:spacing w:before="13" w:line="240" w:lineRule="exact"/>
        <w:rPr>
          <w:rFonts w:ascii="Times New Roman" w:hAnsi="Times New Roman" w:cs="Times New Roman"/>
          <w:sz w:val="24"/>
          <w:lang w:val="it-IT"/>
        </w:rPr>
      </w:pPr>
    </w:p>
    <w:p w14:paraId="79AFC6C6" w14:textId="78233F04" w:rsidR="00953B2E" w:rsidRPr="00C35766" w:rsidRDefault="005F0C19">
      <w:pPr>
        <w:ind w:left="2350" w:right="2268"/>
        <w:jc w:val="center"/>
        <w:rPr>
          <w:rFonts w:ascii="Times New Roman" w:hAnsi="Times New Roman" w:cs="Times New Roman"/>
          <w:lang w:val="it-IT"/>
        </w:rPr>
      </w:pPr>
      <w:r w:rsidRPr="00C35766">
        <w:rPr>
          <w:rFonts w:ascii="Times New Roman" w:eastAsia="Times New Roman" w:hAnsi="Times New Roman" w:cs="Times New Roman"/>
          <w:b/>
          <w:bCs/>
          <w:lang w:val="it-IT"/>
        </w:rPr>
        <w:t xml:space="preserve">Yuflyma 40 mg soluzione iniettabile in penna </w:t>
      </w:r>
      <w:r w:rsidR="0092097A" w:rsidRPr="00C35766">
        <w:rPr>
          <w:rFonts w:ascii="Times New Roman" w:eastAsia="Times New Roman" w:hAnsi="Times New Roman" w:cs="Times New Roman"/>
          <w:b/>
          <w:bCs/>
          <w:lang w:val="it-IT"/>
        </w:rPr>
        <w:t>pre-riempita</w:t>
      </w:r>
    </w:p>
    <w:p w14:paraId="6769975C" w14:textId="06AE0BAE" w:rsidR="00953B2E" w:rsidRPr="00C35766" w:rsidRDefault="00DD6E3A">
      <w:pPr>
        <w:pStyle w:val="a3"/>
        <w:jc w:val="center"/>
        <w:rPr>
          <w:lang w:val="it-IT"/>
        </w:rPr>
      </w:pPr>
      <w:r w:rsidRPr="00C35766">
        <w:rPr>
          <w:rFonts w:eastAsia="Times New Roman"/>
          <w:lang w:val="it-IT"/>
        </w:rPr>
        <w:t>a</w:t>
      </w:r>
      <w:r w:rsidR="005F0C19" w:rsidRPr="00C35766">
        <w:rPr>
          <w:rFonts w:eastAsia="Times New Roman"/>
          <w:lang w:val="it-IT"/>
        </w:rPr>
        <w:t>dalimumab</w:t>
      </w:r>
    </w:p>
    <w:p w14:paraId="58E080F5" w14:textId="77777777" w:rsidR="00953B2E" w:rsidRPr="00C35766" w:rsidRDefault="00953B2E">
      <w:pPr>
        <w:spacing w:before="18" w:line="240" w:lineRule="exact"/>
        <w:rPr>
          <w:rFonts w:ascii="Times New Roman" w:hAnsi="Times New Roman" w:cs="Times New Roman"/>
          <w:sz w:val="24"/>
          <w:lang w:val="it-IT"/>
        </w:rPr>
      </w:pPr>
    </w:p>
    <w:p w14:paraId="37C01D5B" w14:textId="77777777" w:rsidR="00953B2E" w:rsidRPr="00C35766" w:rsidRDefault="005F0C19">
      <w:pPr>
        <w:spacing w:before="18" w:line="240" w:lineRule="exact"/>
        <w:ind w:left="108"/>
        <w:rPr>
          <w:rFonts w:ascii="Times New Roman" w:hAnsi="Times New Roman" w:cs="Times New Roman"/>
          <w:sz w:val="24"/>
          <w:szCs w:val="24"/>
          <w:lang w:val="es-ES"/>
        </w:rPr>
      </w:pPr>
      <w:r w:rsidRPr="00C35766">
        <w:rPr>
          <w:rFonts w:ascii="Times New Roman" w:hAnsi="Times New Roman" w:cs="Times New Roman"/>
          <w:noProof/>
          <w:lang w:eastAsia="ko-KR"/>
        </w:rPr>
        <w:drawing>
          <wp:inline distT="0" distB="0" distL="0" distR="0" wp14:anchorId="34CC6942" wp14:editId="5261CB32">
            <wp:extent cx="203200" cy="169545"/>
            <wp:effectExtent l="0" t="0" r="6350" b="1905"/>
            <wp:docPr id="33" name="그림 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C35766">
        <w:rPr>
          <w:rFonts w:ascii="Times New Roman" w:eastAsia="Times New Roman" w:hAnsi="Times New Roman" w:cs="Times New Roman"/>
          <w:lang w:val="it-IT"/>
        </w:rPr>
        <w:t>Medicinale sottoposto a monitoraggio addizionale. Ciò permetterà la rapida identificazione di nuove informazioni sulla sicurezza. Lei può contribuire segnalando qualsiasi effetto indesiderato riscontrato durante l’assunzione di questo medicinale. Vedere la fine del paragrafo 4 per le informazioni su come segnalare gli effetti indesiderati.</w:t>
      </w:r>
    </w:p>
    <w:p w14:paraId="60330A8B" w14:textId="77777777" w:rsidR="00953B2E" w:rsidRPr="00C35766" w:rsidRDefault="00953B2E">
      <w:pPr>
        <w:spacing w:before="18" w:line="240" w:lineRule="exact"/>
        <w:rPr>
          <w:rFonts w:ascii="Times New Roman" w:hAnsi="Times New Roman" w:cs="Times New Roman"/>
          <w:sz w:val="24"/>
          <w:szCs w:val="24"/>
          <w:lang w:val="es-ES"/>
        </w:rPr>
      </w:pPr>
    </w:p>
    <w:p w14:paraId="21285236" w14:textId="77777777" w:rsidR="00953B2E" w:rsidRPr="00C35766" w:rsidRDefault="005F0C19">
      <w:pPr>
        <w:spacing w:before="18" w:line="240" w:lineRule="exact"/>
        <w:ind w:left="108"/>
        <w:rPr>
          <w:rFonts w:ascii="Times New Roman" w:hAnsi="Times New Roman" w:cs="Times New Roman"/>
          <w:b/>
          <w:lang w:val="it-IT"/>
        </w:rPr>
      </w:pPr>
      <w:r w:rsidRPr="00C35766">
        <w:rPr>
          <w:rFonts w:ascii="Times New Roman" w:eastAsia="Times New Roman" w:hAnsi="Times New Roman" w:cs="Times New Roman"/>
          <w:b/>
          <w:bCs/>
          <w:lang w:val="it-IT"/>
        </w:rPr>
        <w:t>Legga attentamente questo foglio prima di usare questo medicinale perché contiene importanti informazioni per lei.</w:t>
      </w:r>
    </w:p>
    <w:p w14:paraId="22E6A1AF" w14:textId="77777777" w:rsidR="00953B2E" w:rsidRPr="00C35766" w:rsidRDefault="005F0C19">
      <w:pPr>
        <w:pStyle w:val="a3"/>
        <w:numPr>
          <w:ilvl w:val="0"/>
          <w:numId w:val="5"/>
        </w:numPr>
        <w:ind w:left="660" w:hanging="660"/>
        <w:rPr>
          <w:lang w:val="pt-BR"/>
        </w:rPr>
      </w:pPr>
      <w:r w:rsidRPr="00C35766">
        <w:rPr>
          <w:rFonts w:eastAsia="Times New Roman"/>
          <w:lang w:val="it-IT"/>
        </w:rPr>
        <w:t>Conservi questo foglio. Potrebbe aver bisogno di leggerlo di nuovo.</w:t>
      </w:r>
    </w:p>
    <w:p w14:paraId="04D575AB" w14:textId="77777777" w:rsidR="00953B2E" w:rsidRPr="00C35766" w:rsidRDefault="005F0C19">
      <w:pPr>
        <w:pStyle w:val="a3"/>
        <w:numPr>
          <w:ilvl w:val="0"/>
          <w:numId w:val="5"/>
        </w:numPr>
        <w:ind w:left="660" w:hanging="660"/>
        <w:rPr>
          <w:lang w:val="es-ES"/>
        </w:rPr>
      </w:pPr>
      <w:r w:rsidRPr="00C35766">
        <w:rPr>
          <w:rFonts w:eastAsia="Times New Roman"/>
          <w:lang w:val="it-IT"/>
        </w:rPr>
        <w:t xml:space="preserve">Il medico Le fornirà anche una </w:t>
      </w:r>
      <w:r w:rsidRPr="00C35766">
        <w:rPr>
          <w:rFonts w:eastAsia="Times New Roman"/>
          <w:b/>
          <w:bCs/>
          <w:lang w:val="it-IT"/>
        </w:rPr>
        <w:t>Scheda promemoria per il paziente</w:t>
      </w:r>
      <w:r w:rsidRPr="00C35766">
        <w:rPr>
          <w:rFonts w:eastAsia="Times New Roman"/>
          <w:lang w:val="it-IT"/>
        </w:rPr>
        <w:t xml:space="preserve">, che contiene importanti informazioni sulla sicurezza che Lei deve conoscere prima e durante il trattamento con Yuflyma. Tenga con sé la </w:t>
      </w:r>
      <w:r w:rsidRPr="00C35766">
        <w:rPr>
          <w:rFonts w:eastAsia="Times New Roman"/>
          <w:b/>
          <w:bCs/>
          <w:lang w:val="it-IT"/>
        </w:rPr>
        <w:t xml:space="preserve">Scheda Promemoria per il Paziente </w:t>
      </w:r>
      <w:r w:rsidRPr="00C35766">
        <w:rPr>
          <w:rFonts w:eastAsia="Times New Roman"/>
          <w:lang w:val="it-IT"/>
        </w:rPr>
        <w:t>durante il Suo trattamento e per 4 mesi dopo l'ultima iniezione di Yuflyma.</w:t>
      </w:r>
    </w:p>
    <w:p w14:paraId="0C0FD25A" w14:textId="77777777" w:rsidR="00953B2E" w:rsidRPr="00C35766" w:rsidRDefault="005F0C19">
      <w:pPr>
        <w:pStyle w:val="a3"/>
        <w:numPr>
          <w:ilvl w:val="0"/>
          <w:numId w:val="5"/>
        </w:numPr>
        <w:ind w:left="660" w:hanging="660"/>
        <w:rPr>
          <w:lang w:val="es-ES"/>
        </w:rPr>
      </w:pPr>
      <w:r w:rsidRPr="00C35766">
        <w:rPr>
          <w:rFonts w:eastAsia="Times New Roman"/>
          <w:lang w:val="it-IT"/>
        </w:rPr>
        <w:t>Se ha qualsiasi dubbio, si rivolga al medico o al farmacista.</w:t>
      </w:r>
    </w:p>
    <w:p w14:paraId="56058722" w14:textId="77777777" w:rsidR="00953B2E" w:rsidRPr="00C35766" w:rsidRDefault="005F0C19">
      <w:pPr>
        <w:pStyle w:val="a3"/>
        <w:numPr>
          <w:ilvl w:val="0"/>
          <w:numId w:val="5"/>
        </w:numPr>
        <w:ind w:left="660" w:hanging="660"/>
        <w:rPr>
          <w:lang w:val="it-IT"/>
        </w:rPr>
      </w:pPr>
      <w:r w:rsidRPr="00C35766">
        <w:rPr>
          <w:rFonts w:eastAsia="Times New Roman"/>
          <w:lang w:val="it-IT"/>
        </w:rPr>
        <w:t>Questo medicinale è stato prescritto soltanto per lei. Non lo dia ad altre persone, anche se i sintomi della malattia sono uguali ai suoi, perché potrebbe essere pericoloso.</w:t>
      </w:r>
    </w:p>
    <w:p w14:paraId="2D1E0549" w14:textId="29A0F2AD" w:rsidR="00953B2E" w:rsidRPr="00C35766" w:rsidRDefault="005F0C19">
      <w:pPr>
        <w:pStyle w:val="a3"/>
        <w:numPr>
          <w:ilvl w:val="0"/>
          <w:numId w:val="5"/>
        </w:numPr>
        <w:ind w:left="660" w:hanging="660"/>
        <w:rPr>
          <w:lang w:val="es-ES"/>
        </w:rPr>
      </w:pPr>
      <w:r w:rsidRPr="00C35766">
        <w:rPr>
          <w:rFonts w:eastAsia="Times New Roman"/>
          <w:lang w:val="it-IT"/>
        </w:rPr>
        <w:t>Se</w:t>
      </w:r>
      <w:r w:rsidR="007D4102">
        <w:rPr>
          <w:rFonts w:eastAsia="Times New Roman"/>
          <w:lang w:val="it-IT"/>
        </w:rPr>
        <w:t xml:space="preserve"> si</w:t>
      </w:r>
      <w:r w:rsidRPr="00C35766">
        <w:rPr>
          <w:rFonts w:eastAsia="Times New Roman"/>
          <w:lang w:val="it-IT"/>
        </w:rPr>
        <w:t xml:space="preserve"> manifesta un qualsiasi effetto indesiderato, compresi quelli non elencati in questo foglio, si rivolga al medico, o al farmacista o all’infermiere. Vedere paragrafo 4.</w:t>
      </w:r>
    </w:p>
    <w:p w14:paraId="73BD8481" w14:textId="77777777" w:rsidR="00953B2E" w:rsidRPr="00C35766" w:rsidRDefault="00953B2E">
      <w:pPr>
        <w:pStyle w:val="a3"/>
        <w:rPr>
          <w:lang w:val="es-ES"/>
        </w:rPr>
      </w:pPr>
    </w:p>
    <w:p w14:paraId="4891318A" w14:textId="77777777" w:rsidR="00953B2E" w:rsidRPr="00C35766" w:rsidRDefault="005F0C19">
      <w:pPr>
        <w:pStyle w:val="a3"/>
        <w:rPr>
          <w:b/>
        </w:rPr>
      </w:pPr>
      <w:r w:rsidRPr="00C35766">
        <w:rPr>
          <w:rFonts w:eastAsia="Times New Roman"/>
          <w:b/>
          <w:bCs/>
          <w:lang w:val="it-IT"/>
        </w:rPr>
        <w:t>Contenuto di questo foglio</w:t>
      </w:r>
    </w:p>
    <w:p w14:paraId="05264B89" w14:textId="77777777" w:rsidR="00953B2E" w:rsidRPr="00C35766" w:rsidRDefault="005F0C19" w:rsidP="00787805">
      <w:pPr>
        <w:pStyle w:val="a3"/>
        <w:numPr>
          <w:ilvl w:val="0"/>
          <w:numId w:val="36"/>
        </w:numPr>
        <w:ind w:hanging="760"/>
        <w:rPr>
          <w:lang w:val="it-IT"/>
        </w:rPr>
      </w:pPr>
      <w:r w:rsidRPr="00C35766">
        <w:rPr>
          <w:rFonts w:eastAsia="Times New Roman"/>
          <w:lang w:val="it-IT"/>
        </w:rPr>
        <w:t>Cos’è Yuflyma e a cosa serve</w:t>
      </w:r>
    </w:p>
    <w:p w14:paraId="292C766D" w14:textId="77777777" w:rsidR="00953B2E" w:rsidRPr="00C35766" w:rsidRDefault="005F0C19" w:rsidP="00787805">
      <w:pPr>
        <w:pStyle w:val="a3"/>
        <w:numPr>
          <w:ilvl w:val="0"/>
          <w:numId w:val="36"/>
        </w:numPr>
        <w:ind w:hanging="760"/>
        <w:rPr>
          <w:lang w:val="it-IT"/>
        </w:rPr>
      </w:pPr>
      <w:r w:rsidRPr="00C35766">
        <w:rPr>
          <w:rFonts w:eastAsia="Times New Roman"/>
          <w:lang w:val="it-IT"/>
        </w:rPr>
        <w:t>Cosa deve sapere prima di usare Yuflyma</w:t>
      </w:r>
    </w:p>
    <w:p w14:paraId="29C7FB28" w14:textId="77777777" w:rsidR="00953B2E" w:rsidRPr="00C35766" w:rsidRDefault="005F0C19" w:rsidP="00787805">
      <w:pPr>
        <w:pStyle w:val="a3"/>
        <w:numPr>
          <w:ilvl w:val="0"/>
          <w:numId w:val="36"/>
        </w:numPr>
        <w:ind w:hanging="760"/>
      </w:pPr>
      <w:r w:rsidRPr="00C35766">
        <w:rPr>
          <w:rFonts w:eastAsia="Times New Roman"/>
          <w:lang w:val="it-IT"/>
        </w:rPr>
        <w:t>Come usare Yuflyma</w:t>
      </w:r>
    </w:p>
    <w:p w14:paraId="77FAF2E9" w14:textId="77777777" w:rsidR="00953B2E" w:rsidRPr="00C35766" w:rsidRDefault="005F0C19" w:rsidP="00787805">
      <w:pPr>
        <w:pStyle w:val="a3"/>
        <w:numPr>
          <w:ilvl w:val="0"/>
          <w:numId w:val="36"/>
        </w:numPr>
        <w:ind w:hanging="760"/>
      </w:pPr>
      <w:r w:rsidRPr="00C35766">
        <w:rPr>
          <w:rFonts w:eastAsia="Times New Roman"/>
          <w:lang w:val="it-IT"/>
        </w:rPr>
        <w:t>Possibili effetti indesiderati</w:t>
      </w:r>
    </w:p>
    <w:p w14:paraId="7145DC7D" w14:textId="77777777" w:rsidR="00953B2E" w:rsidRPr="00C35766" w:rsidRDefault="005F0C19" w:rsidP="00787805">
      <w:pPr>
        <w:pStyle w:val="a3"/>
        <w:numPr>
          <w:ilvl w:val="0"/>
          <w:numId w:val="36"/>
        </w:numPr>
        <w:ind w:hanging="760"/>
      </w:pPr>
      <w:r w:rsidRPr="00C35766">
        <w:rPr>
          <w:rFonts w:eastAsia="Times New Roman"/>
          <w:lang w:val="it-IT"/>
        </w:rPr>
        <w:t>Come conservare Yuflyma</w:t>
      </w:r>
    </w:p>
    <w:p w14:paraId="20288D64" w14:textId="77777777" w:rsidR="00953B2E" w:rsidRPr="00C35766" w:rsidRDefault="005F0C19" w:rsidP="00787805">
      <w:pPr>
        <w:pStyle w:val="a3"/>
        <w:numPr>
          <w:ilvl w:val="0"/>
          <w:numId w:val="36"/>
        </w:numPr>
        <w:ind w:hanging="760"/>
        <w:rPr>
          <w:lang w:val="it-IT"/>
        </w:rPr>
      </w:pPr>
      <w:r w:rsidRPr="00C35766">
        <w:rPr>
          <w:rFonts w:eastAsia="Times New Roman"/>
          <w:lang w:val="it-IT"/>
        </w:rPr>
        <w:t>Contenuto della confezione e altre informazioni</w:t>
      </w:r>
    </w:p>
    <w:p w14:paraId="4EC4F10C" w14:textId="77777777" w:rsidR="00953B2E" w:rsidRPr="00C35766" w:rsidRDefault="005F0C19" w:rsidP="00787805">
      <w:pPr>
        <w:pStyle w:val="a3"/>
        <w:numPr>
          <w:ilvl w:val="0"/>
          <w:numId w:val="36"/>
        </w:numPr>
        <w:ind w:hanging="760"/>
      </w:pPr>
      <w:r w:rsidRPr="00C35766">
        <w:rPr>
          <w:rFonts w:eastAsia="Times New Roman"/>
          <w:lang w:val="it-IT"/>
        </w:rPr>
        <w:t>Istruzioni per l’uso</w:t>
      </w:r>
    </w:p>
    <w:p w14:paraId="74602A47" w14:textId="77777777" w:rsidR="00953B2E" w:rsidRPr="00C35766" w:rsidRDefault="00953B2E">
      <w:pPr>
        <w:spacing w:line="200" w:lineRule="exact"/>
        <w:rPr>
          <w:rFonts w:ascii="Times New Roman" w:hAnsi="Times New Roman" w:cs="Times New Roman"/>
          <w:sz w:val="20"/>
          <w:szCs w:val="20"/>
        </w:rPr>
      </w:pPr>
    </w:p>
    <w:p w14:paraId="2842EC97" w14:textId="77777777" w:rsidR="00953B2E" w:rsidRPr="00C35766" w:rsidRDefault="00953B2E">
      <w:pPr>
        <w:spacing w:line="200" w:lineRule="exact"/>
        <w:rPr>
          <w:rFonts w:ascii="Times New Roman" w:hAnsi="Times New Roman" w:cs="Times New Roman"/>
          <w:sz w:val="20"/>
          <w:szCs w:val="20"/>
        </w:rPr>
      </w:pPr>
    </w:p>
    <w:p w14:paraId="2A7B2E01" w14:textId="77777777" w:rsidR="00953B2E" w:rsidRPr="00C35766" w:rsidRDefault="005F0C19" w:rsidP="00787805">
      <w:pPr>
        <w:pStyle w:val="a4"/>
        <w:numPr>
          <w:ilvl w:val="0"/>
          <w:numId w:val="37"/>
        </w:numPr>
        <w:spacing w:line="240" w:lineRule="exact"/>
        <w:ind w:left="357" w:hanging="357"/>
        <w:rPr>
          <w:rFonts w:ascii="Times New Roman" w:hAnsi="Times New Roman" w:cs="Times New Roman"/>
          <w:b/>
          <w:lang w:val="it-IT"/>
        </w:rPr>
      </w:pPr>
      <w:r w:rsidRPr="00C35766">
        <w:rPr>
          <w:rFonts w:ascii="Times New Roman" w:eastAsia="Times New Roman" w:hAnsi="Times New Roman" w:cs="Times New Roman"/>
          <w:b/>
          <w:bCs/>
          <w:lang w:val="it-IT"/>
        </w:rPr>
        <w:t>Cos’è Yuflyma e a cosa serve</w:t>
      </w:r>
    </w:p>
    <w:p w14:paraId="52A0AB56" w14:textId="77777777" w:rsidR="00953B2E" w:rsidRPr="00C35766" w:rsidRDefault="00953B2E">
      <w:pPr>
        <w:spacing w:line="240" w:lineRule="exact"/>
        <w:rPr>
          <w:rFonts w:ascii="Times New Roman" w:hAnsi="Times New Roman" w:cs="Times New Roman"/>
          <w:b/>
          <w:lang w:val="it-IT"/>
        </w:rPr>
      </w:pPr>
    </w:p>
    <w:p w14:paraId="78D9ED50" w14:textId="77777777" w:rsidR="00953B2E" w:rsidRPr="00C35766" w:rsidRDefault="005F0C19">
      <w:pPr>
        <w:pStyle w:val="a3"/>
        <w:rPr>
          <w:lang w:val="es-ES"/>
        </w:rPr>
      </w:pPr>
      <w:r w:rsidRPr="00C35766">
        <w:rPr>
          <w:rFonts w:eastAsia="Times New Roman"/>
          <w:lang w:val="it-IT"/>
        </w:rPr>
        <w:t>Yuflyma contiene il principio attivo adalimumab, un medicinale che agisce sul sistema immunitario (la difesa) del Suo organismo.</w:t>
      </w:r>
    </w:p>
    <w:p w14:paraId="5B72058E" w14:textId="77777777" w:rsidR="00953B2E" w:rsidRPr="00C35766" w:rsidRDefault="00953B2E">
      <w:pPr>
        <w:pStyle w:val="a3"/>
        <w:rPr>
          <w:lang w:val="es-ES"/>
        </w:rPr>
      </w:pPr>
    </w:p>
    <w:p w14:paraId="404BFD37" w14:textId="77777777" w:rsidR="00953B2E" w:rsidRPr="00C35766" w:rsidRDefault="005F0C19">
      <w:pPr>
        <w:pStyle w:val="a3"/>
        <w:rPr>
          <w:lang w:val="it-IT"/>
        </w:rPr>
      </w:pPr>
      <w:r w:rsidRPr="00C35766">
        <w:rPr>
          <w:rFonts w:eastAsia="Times New Roman"/>
          <w:lang w:val="it-IT"/>
        </w:rPr>
        <w:t>Yuflyma è indicato per il trattamento delle seguenti malattie infiammatorie:</w:t>
      </w:r>
    </w:p>
    <w:p w14:paraId="3E3DFEA6" w14:textId="77777777" w:rsidR="00953B2E" w:rsidRPr="00C35766" w:rsidRDefault="005F0C19">
      <w:pPr>
        <w:pStyle w:val="a3"/>
        <w:numPr>
          <w:ilvl w:val="0"/>
          <w:numId w:val="5"/>
        </w:numPr>
        <w:ind w:left="660" w:hanging="660"/>
      </w:pPr>
      <w:r w:rsidRPr="00C35766">
        <w:rPr>
          <w:rFonts w:eastAsia="Times New Roman"/>
          <w:lang w:val="it-IT"/>
        </w:rPr>
        <w:t>Artrite reumatoide</w:t>
      </w:r>
    </w:p>
    <w:p w14:paraId="6B5EEDB6" w14:textId="77777777" w:rsidR="00953B2E" w:rsidRPr="00C35766" w:rsidRDefault="005F0C19">
      <w:pPr>
        <w:pStyle w:val="a3"/>
        <w:numPr>
          <w:ilvl w:val="0"/>
          <w:numId w:val="5"/>
        </w:numPr>
        <w:ind w:left="660" w:hanging="660"/>
      </w:pPr>
      <w:r w:rsidRPr="00C35766">
        <w:rPr>
          <w:rFonts w:eastAsia="Times New Roman"/>
          <w:lang w:val="it-IT"/>
        </w:rPr>
        <w:t>Artrite idiopatica giovanile poliarticolare</w:t>
      </w:r>
    </w:p>
    <w:p w14:paraId="33D23CEE" w14:textId="77777777" w:rsidR="00953B2E" w:rsidRPr="00C35766" w:rsidRDefault="005F0C19">
      <w:pPr>
        <w:pStyle w:val="a3"/>
        <w:numPr>
          <w:ilvl w:val="0"/>
          <w:numId w:val="5"/>
        </w:numPr>
        <w:ind w:left="660" w:hanging="660"/>
      </w:pPr>
      <w:r w:rsidRPr="00C35766">
        <w:rPr>
          <w:rFonts w:eastAsia="Times New Roman"/>
          <w:lang w:val="it-IT"/>
        </w:rPr>
        <w:t>Artrite associata ad entesite</w:t>
      </w:r>
    </w:p>
    <w:p w14:paraId="237839D3" w14:textId="77777777" w:rsidR="00953B2E" w:rsidRPr="00C35766" w:rsidRDefault="005F0C19">
      <w:pPr>
        <w:pStyle w:val="a3"/>
        <w:numPr>
          <w:ilvl w:val="0"/>
          <w:numId w:val="5"/>
        </w:numPr>
        <w:ind w:left="660" w:hanging="660"/>
      </w:pPr>
      <w:r w:rsidRPr="00C35766">
        <w:rPr>
          <w:rFonts w:eastAsia="Times New Roman"/>
          <w:lang w:val="it-IT"/>
        </w:rPr>
        <w:t>Spondilite anchilosante</w:t>
      </w:r>
    </w:p>
    <w:p w14:paraId="564F1271" w14:textId="77777777" w:rsidR="00953B2E" w:rsidRPr="00C35766" w:rsidRDefault="005F0C19">
      <w:pPr>
        <w:pStyle w:val="a3"/>
        <w:numPr>
          <w:ilvl w:val="0"/>
          <w:numId w:val="5"/>
        </w:numPr>
        <w:ind w:left="660" w:hanging="660"/>
        <w:rPr>
          <w:lang w:val="it-IT"/>
        </w:rPr>
      </w:pPr>
      <w:r w:rsidRPr="00C35766">
        <w:rPr>
          <w:rFonts w:eastAsia="Times New Roman"/>
          <w:lang w:val="it-IT"/>
        </w:rPr>
        <w:t>Spondiloartrite assiale senza evidenza radiografica di spondilite anchilosante</w:t>
      </w:r>
    </w:p>
    <w:p w14:paraId="32835B22" w14:textId="77777777" w:rsidR="00953B2E" w:rsidRPr="00C35766" w:rsidRDefault="005F0C19">
      <w:pPr>
        <w:pStyle w:val="a3"/>
        <w:numPr>
          <w:ilvl w:val="0"/>
          <w:numId w:val="5"/>
        </w:numPr>
        <w:ind w:left="660" w:hanging="660"/>
      </w:pPr>
      <w:r w:rsidRPr="00C35766">
        <w:rPr>
          <w:rFonts w:eastAsia="Times New Roman"/>
          <w:lang w:val="it-IT"/>
        </w:rPr>
        <w:t>Artrite psoriasica</w:t>
      </w:r>
    </w:p>
    <w:p w14:paraId="744BF845" w14:textId="77777777" w:rsidR="00953B2E" w:rsidRPr="00C35766" w:rsidRDefault="005F0C19">
      <w:pPr>
        <w:pStyle w:val="a3"/>
        <w:numPr>
          <w:ilvl w:val="0"/>
          <w:numId w:val="5"/>
        </w:numPr>
        <w:ind w:left="660" w:hanging="660"/>
      </w:pPr>
      <w:r w:rsidRPr="00C35766">
        <w:rPr>
          <w:rFonts w:eastAsia="Times New Roman"/>
          <w:lang w:val="it-IT"/>
        </w:rPr>
        <w:t>Psoriasi a placche</w:t>
      </w:r>
    </w:p>
    <w:p w14:paraId="218075DD" w14:textId="77777777" w:rsidR="00953B2E" w:rsidRPr="00C35766" w:rsidRDefault="005F0C19">
      <w:pPr>
        <w:pStyle w:val="a3"/>
        <w:numPr>
          <w:ilvl w:val="0"/>
          <w:numId w:val="5"/>
        </w:numPr>
        <w:ind w:left="660" w:hanging="660"/>
      </w:pPr>
      <w:r w:rsidRPr="00C35766">
        <w:rPr>
          <w:rFonts w:eastAsia="Times New Roman"/>
          <w:lang w:val="it-IT"/>
        </w:rPr>
        <w:t>Idrosadenite Suppurativa</w:t>
      </w:r>
    </w:p>
    <w:p w14:paraId="5836706E" w14:textId="77777777" w:rsidR="00953B2E" w:rsidRPr="00C35766" w:rsidRDefault="005F0C19">
      <w:pPr>
        <w:pStyle w:val="a3"/>
        <w:numPr>
          <w:ilvl w:val="0"/>
          <w:numId w:val="5"/>
        </w:numPr>
        <w:ind w:left="660" w:hanging="660"/>
      </w:pPr>
      <w:r w:rsidRPr="00C35766">
        <w:rPr>
          <w:rFonts w:eastAsia="Times New Roman"/>
          <w:lang w:val="it-IT"/>
        </w:rPr>
        <w:t>Malattia di Crohn</w:t>
      </w:r>
    </w:p>
    <w:p w14:paraId="3B84214D" w14:textId="77777777" w:rsidR="00953B2E" w:rsidRPr="00C35766" w:rsidRDefault="005F0C19">
      <w:pPr>
        <w:pStyle w:val="a3"/>
        <w:numPr>
          <w:ilvl w:val="0"/>
          <w:numId w:val="5"/>
        </w:numPr>
        <w:ind w:left="660" w:hanging="660"/>
      </w:pPr>
      <w:r w:rsidRPr="00C35766">
        <w:rPr>
          <w:rFonts w:eastAsia="Times New Roman"/>
          <w:lang w:val="it-IT"/>
        </w:rPr>
        <w:t>Colite ulcerosa</w:t>
      </w:r>
    </w:p>
    <w:p w14:paraId="56FE4BAE" w14:textId="77777777" w:rsidR="00953B2E" w:rsidRPr="00C35766" w:rsidRDefault="005F0C19">
      <w:pPr>
        <w:pStyle w:val="a3"/>
        <w:numPr>
          <w:ilvl w:val="0"/>
          <w:numId w:val="5"/>
        </w:numPr>
        <w:ind w:left="660" w:hanging="660"/>
      </w:pPr>
      <w:r w:rsidRPr="00C35766">
        <w:rPr>
          <w:rFonts w:eastAsia="Times New Roman"/>
          <w:lang w:val="it-IT"/>
        </w:rPr>
        <w:t>Uveite non infettiva</w:t>
      </w:r>
    </w:p>
    <w:p w14:paraId="74AA41B4" w14:textId="77777777" w:rsidR="00953B2E" w:rsidRPr="00C35766" w:rsidRDefault="00953B2E">
      <w:pPr>
        <w:spacing w:before="10" w:line="240" w:lineRule="exact"/>
        <w:rPr>
          <w:rFonts w:ascii="Times New Roman" w:hAnsi="Times New Roman" w:cs="Times New Roman"/>
          <w:sz w:val="24"/>
          <w:szCs w:val="24"/>
        </w:rPr>
      </w:pPr>
    </w:p>
    <w:p w14:paraId="42A77B05" w14:textId="77777777" w:rsidR="00953B2E" w:rsidRPr="00C35766" w:rsidRDefault="005F0C19">
      <w:pPr>
        <w:pStyle w:val="a3"/>
        <w:rPr>
          <w:lang w:val="it-IT"/>
        </w:rPr>
      </w:pPr>
      <w:r w:rsidRPr="00C35766">
        <w:rPr>
          <w:rFonts w:eastAsia="Times New Roman"/>
          <w:lang w:val="it-IT"/>
        </w:rPr>
        <w:t>Il principio attivo di Yuflyma, adalimumab, è un anticorpo monoclonale umano. Gli anticorpi monoclonali sono proteine che si legano a un bersaglio specifico nel corpo.</w:t>
      </w:r>
    </w:p>
    <w:p w14:paraId="2E27468F" w14:textId="77777777" w:rsidR="00953B2E" w:rsidRPr="00C35766" w:rsidRDefault="00953B2E">
      <w:pPr>
        <w:spacing w:before="16" w:line="240" w:lineRule="exact"/>
        <w:rPr>
          <w:rFonts w:ascii="Times New Roman" w:hAnsi="Times New Roman" w:cs="Times New Roman"/>
          <w:sz w:val="24"/>
          <w:szCs w:val="24"/>
          <w:lang w:val="it-IT"/>
        </w:rPr>
      </w:pPr>
    </w:p>
    <w:p w14:paraId="33CAAA53" w14:textId="77777777" w:rsidR="00953B2E" w:rsidRPr="00C35766" w:rsidRDefault="005F0C19">
      <w:pPr>
        <w:pStyle w:val="a3"/>
        <w:rPr>
          <w:lang w:val="it-IT"/>
        </w:rPr>
      </w:pPr>
      <w:r w:rsidRPr="00C35766">
        <w:rPr>
          <w:rFonts w:eastAsia="Times New Roman"/>
          <w:lang w:val="it-IT"/>
        </w:rPr>
        <w:t>Il bersaglio di adalimumab è una proteina denominata fattore di necrosi tumorale (TNFα), che è coinvolto nel sistema immunitario (di difesa) ed è presente a concentrazioni maggiori nelle malattie infiammatorie elencate sopra.  Attraverso il legame al TNFα, Yuflyma diminuisce il processo infiammatorio di queste malattie.</w:t>
      </w:r>
    </w:p>
    <w:p w14:paraId="00F50BD8" w14:textId="77777777" w:rsidR="00953B2E" w:rsidRPr="00C35766" w:rsidRDefault="00953B2E">
      <w:pPr>
        <w:pStyle w:val="a3"/>
        <w:rPr>
          <w:lang w:val="it-IT"/>
        </w:rPr>
      </w:pPr>
    </w:p>
    <w:p w14:paraId="53D42134" w14:textId="77777777" w:rsidR="00953B2E" w:rsidRPr="00C35766" w:rsidRDefault="005F0C19">
      <w:pPr>
        <w:pStyle w:val="a3"/>
        <w:rPr>
          <w:b/>
          <w:lang w:val="it-IT"/>
        </w:rPr>
      </w:pPr>
      <w:r w:rsidRPr="00C35766">
        <w:rPr>
          <w:rFonts w:eastAsia="Times New Roman"/>
          <w:b/>
          <w:bCs/>
          <w:lang w:val="it-IT"/>
        </w:rPr>
        <w:t>Artrite reumatoide</w:t>
      </w:r>
    </w:p>
    <w:p w14:paraId="0C0AA987" w14:textId="77777777" w:rsidR="00953B2E" w:rsidRPr="00C35766" w:rsidRDefault="00953B2E">
      <w:pPr>
        <w:pStyle w:val="a3"/>
        <w:rPr>
          <w:u w:val="single"/>
          <w:lang w:val="it-IT"/>
        </w:rPr>
      </w:pPr>
    </w:p>
    <w:p w14:paraId="1016529F" w14:textId="77777777" w:rsidR="00953B2E" w:rsidRPr="00C35766" w:rsidRDefault="005F0C19">
      <w:pPr>
        <w:pStyle w:val="a3"/>
        <w:rPr>
          <w:lang w:val="it-IT"/>
        </w:rPr>
      </w:pPr>
      <w:r w:rsidRPr="00C35766">
        <w:rPr>
          <w:rFonts w:eastAsia="Times New Roman"/>
          <w:lang w:val="it-IT"/>
        </w:rPr>
        <w:t>L’artrite reumatoide è una malattia infiammatoria delle articolazioni.</w:t>
      </w:r>
    </w:p>
    <w:p w14:paraId="436C688A" w14:textId="77777777" w:rsidR="00953B2E" w:rsidRPr="00C35766" w:rsidRDefault="00953B2E">
      <w:pPr>
        <w:spacing w:before="11" w:line="240" w:lineRule="exact"/>
        <w:rPr>
          <w:rFonts w:ascii="Times New Roman" w:hAnsi="Times New Roman" w:cs="Times New Roman"/>
          <w:sz w:val="24"/>
          <w:szCs w:val="24"/>
          <w:lang w:val="it-IT"/>
        </w:rPr>
      </w:pPr>
    </w:p>
    <w:p w14:paraId="30F35A9D" w14:textId="77777777" w:rsidR="00953B2E" w:rsidRPr="00C35766" w:rsidRDefault="005F0C19">
      <w:pPr>
        <w:pStyle w:val="a3"/>
        <w:rPr>
          <w:lang w:val="it-IT"/>
        </w:rPr>
      </w:pPr>
      <w:r w:rsidRPr="00C35766">
        <w:rPr>
          <w:rFonts w:eastAsia="Times New Roman"/>
          <w:lang w:val="it-IT"/>
        </w:rPr>
        <w:t>Yuflyma è utilizzato per il trattamento dell’artrite reumatoide da moderata a grave negli adulti. Lei potrebbe ricevere prima altri farmaci modificanti la malattia, come il metotressato. In caso non risponda adeguatamente a questi farmaci, Le sarà somministrato Yuflyma.</w:t>
      </w:r>
    </w:p>
    <w:p w14:paraId="02E802C5" w14:textId="77777777" w:rsidR="00953B2E" w:rsidRPr="00C35766" w:rsidRDefault="00953B2E">
      <w:pPr>
        <w:spacing w:before="17" w:line="240" w:lineRule="exact"/>
        <w:rPr>
          <w:rFonts w:ascii="Times New Roman" w:hAnsi="Times New Roman" w:cs="Times New Roman"/>
          <w:sz w:val="24"/>
          <w:szCs w:val="24"/>
          <w:lang w:val="it-IT"/>
        </w:rPr>
      </w:pPr>
    </w:p>
    <w:p w14:paraId="19BEE8DB" w14:textId="20D0ED09" w:rsidR="00953B2E" w:rsidRPr="00C35766" w:rsidRDefault="005F0C19">
      <w:pPr>
        <w:pStyle w:val="a3"/>
        <w:rPr>
          <w:lang w:val="pt-BR"/>
        </w:rPr>
      </w:pPr>
      <w:r w:rsidRPr="00C35766">
        <w:rPr>
          <w:rFonts w:eastAsia="Times New Roman"/>
          <w:lang w:val="it-IT"/>
        </w:rPr>
        <w:t>Yufl</w:t>
      </w:r>
      <w:r w:rsidR="008676F0">
        <w:rPr>
          <w:rFonts w:eastAsia="Times New Roman"/>
          <w:lang w:val="it-IT"/>
        </w:rPr>
        <w:t>y</w:t>
      </w:r>
      <w:r w:rsidRPr="00C35766">
        <w:rPr>
          <w:rFonts w:eastAsia="Times New Roman"/>
          <w:lang w:val="it-IT"/>
        </w:rPr>
        <w:t>ma può essere anche usato per il trattamento dell’artrite reumatoide grave, attiva e progressiva, senza precedente trattamento con metotressato.</w:t>
      </w:r>
    </w:p>
    <w:p w14:paraId="4BF7D042" w14:textId="77777777" w:rsidR="00953B2E" w:rsidRPr="00C35766" w:rsidRDefault="00953B2E">
      <w:pPr>
        <w:spacing w:before="11" w:line="240" w:lineRule="exact"/>
        <w:rPr>
          <w:rFonts w:ascii="Times New Roman" w:hAnsi="Times New Roman" w:cs="Times New Roman"/>
          <w:sz w:val="24"/>
          <w:szCs w:val="24"/>
          <w:lang w:val="pt-BR"/>
        </w:rPr>
      </w:pPr>
    </w:p>
    <w:p w14:paraId="7CFD5561" w14:textId="77777777" w:rsidR="00953B2E" w:rsidRPr="00C35766" w:rsidRDefault="005F0C19">
      <w:pPr>
        <w:pStyle w:val="a3"/>
        <w:rPr>
          <w:lang w:val="pt-BR"/>
        </w:rPr>
      </w:pPr>
      <w:r w:rsidRPr="00C35766">
        <w:rPr>
          <w:rFonts w:eastAsia="Times New Roman"/>
          <w:lang w:val="it-IT"/>
        </w:rPr>
        <w:t>Yuflyma può rallentare la progressione del danno alle articolazioni causato dalla malattia infiammatoria e può aiutarle a muoversi più liberamente.</w:t>
      </w:r>
    </w:p>
    <w:p w14:paraId="1DC16F8A" w14:textId="77777777" w:rsidR="00953B2E" w:rsidRPr="00C35766" w:rsidRDefault="00953B2E">
      <w:pPr>
        <w:spacing w:before="10" w:line="240" w:lineRule="exact"/>
        <w:rPr>
          <w:rFonts w:ascii="Times New Roman" w:hAnsi="Times New Roman" w:cs="Times New Roman"/>
          <w:sz w:val="24"/>
          <w:szCs w:val="24"/>
          <w:lang w:val="pt-BR"/>
        </w:rPr>
      </w:pPr>
    </w:p>
    <w:p w14:paraId="20E0BA01" w14:textId="77777777" w:rsidR="00953B2E" w:rsidRPr="00C35766" w:rsidRDefault="005F0C19">
      <w:pPr>
        <w:pStyle w:val="a3"/>
        <w:rPr>
          <w:lang w:val="pt-BR"/>
        </w:rPr>
      </w:pPr>
      <w:r w:rsidRPr="00C35766">
        <w:rPr>
          <w:rFonts w:eastAsia="Times New Roman"/>
          <w:lang w:val="it-IT"/>
        </w:rPr>
        <w:t>Il medico deciderà se Yuflyma deve essere usato con il metotressato o da solo.</w:t>
      </w:r>
    </w:p>
    <w:p w14:paraId="684C8D08" w14:textId="77777777" w:rsidR="00953B2E" w:rsidRPr="00C35766" w:rsidRDefault="00953B2E">
      <w:pPr>
        <w:spacing w:before="18" w:line="240" w:lineRule="exact"/>
        <w:rPr>
          <w:rFonts w:ascii="Times New Roman" w:hAnsi="Times New Roman" w:cs="Times New Roman"/>
          <w:sz w:val="24"/>
          <w:szCs w:val="24"/>
          <w:lang w:val="pt-BR"/>
        </w:rPr>
      </w:pPr>
    </w:p>
    <w:p w14:paraId="5BCB4F7C" w14:textId="77777777" w:rsidR="00953B2E" w:rsidRPr="00C35766" w:rsidRDefault="005F0C19">
      <w:pPr>
        <w:pStyle w:val="a3"/>
        <w:rPr>
          <w:b/>
          <w:lang w:val="pt-BR"/>
        </w:rPr>
      </w:pPr>
      <w:r w:rsidRPr="00C35766">
        <w:rPr>
          <w:rFonts w:eastAsia="Times New Roman"/>
          <w:b/>
          <w:bCs/>
          <w:lang w:val="it-IT"/>
        </w:rPr>
        <w:t>Artrite idiopatica giovanile poliarticolare</w:t>
      </w:r>
    </w:p>
    <w:p w14:paraId="21B53140" w14:textId="77777777" w:rsidR="00953B2E" w:rsidRPr="00C35766" w:rsidRDefault="00953B2E">
      <w:pPr>
        <w:spacing w:before="9" w:line="240" w:lineRule="exact"/>
        <w:rPr>
          <w:rFonts w:ascii="Times New Roman" w:hAnsi="Times New Roman" w:cs="Times New Roman"/>
          <w:sz w:val="24"/>
          <w:szCs w:val="24"/>
          <w:lang w:val="pt-BR"/>
        </w:rPr>
      </w:pPr>
    </w:p>
    <w:p w14:paraId="3F2F18A0" w14:textId="77777777" w:rsidR="00953B2E" w:rsidRPr="00C35766" w:rsidRDefault="005F0C19">
      <w:pPr>
        <w:pStyle w:val="a3"/>
        <w:rPr>
          <w:lang w:val="pt-BR"/>
        </w:rPr>
      </w:pPr>
      <w:r w:rsidRPr="00C35766">
        <w:rPr>
          <w:rFonts w:eastAsia="Times New Roman"/>
          <w:lang w:val="it-IT"/>
        </w:rPr>
        <w:t>L’artrite idiopatica giovanile poliarticolare è una malattia infiammatoria delle articolazioni.</w:t>
      </w:r>
    </w:p>
    <w:p w14:paraId="0CD08AB2" w14:textId="77777777" w:rsidR="00953B2E" w:rsidRPr="00C35766" w:rsidRDefault="00953B2E">
      <w:pPr>
        <w:spacing w:before="13" w:line="240" w:lineRule="exact"/>
        <w:rPr>
          <w:rFonts w:ascii="Times New Roman" w:hAnsi="Times New Roman" w:cs="Times New Roman"/>
          <w:sz w:val="24"/>
          <w:szCs w:val="24"/>
          <w:lang w:val="pt-BR"/>
        </w:rPr>
      </w:pPr>
    </w:p>
    <w:p w14:paraId="3765769A" w14:textId="77777777" w:rsidR="00953B2E" w:rsidRPr="00C35766" w:rsidRDefault="005F0C19">
      <w:pPr>
        <w:pStyle w:val="a3"/>
        <w:rPr>
          <w:lang w:val="it-IT"/>
        </w:rPr>
      </w:pPr>
      <w:r w:rsidRPr="00C35766">
        <w:rPr>
          <w:rFonts w:eastAsia="Times New Roman"/>
          <w:lang w:val="it-IT"/>
        </w:rPr>
        <w:t>Yuflyma è utilizzato per il trattamento dell’artrite idiopatica giovanile poliarticolare nei pazienti dai 2 anni di età. Lei potrebbe ricevere prima altri farmaci modificanti la malattia, come il metotressato. In caso non risponda adeguatamente a questi farmaci, Le sarà somministrato Yuflyma.</w:t>
      </w:r>
    </w:p>
    <w:p w14:paraId="4A83C4AA" w14:textId="77777777" w:rsidR="00953B2E" w:rsidRPr="00C35766" w:rsidRDefault="00953B2E">
      <w:pPr>
        <w:spacing w:before="13" w:line="240" w:lineRule="exact"/>
        <w:rPr>
          <w:rFonts w:ascii="Times New Roman" w:hAnsi="Times New Roman" w:cs="Times New Roman"/>
          <w:sz w:val="24"/>
          <w:szCs w:val="24"/>
          <w:lang w:val="it-IT"/>
        </w:rPr>
      </w:pPr>
    </w:p>
    <w:p w14:paraId="3C1C9BFA" w14:textId="77777777" w:rsidR="00953B2E" w:rsidRPr="00C35766" w:rsidRDefault="005F0C19">
      <w:pPr>
        <w:pStyle w:val="a3"/>
        <w:rPr>
          <w:lang w:val="pt-BR"/>
        </w:rPr>
      </w:pPr>
      <w:r w:rsidRPr="00C35766">
        <w:rPr>
          <w:rFonts w:eastAsia="Times New Roman"/>
          <w:lang w:val="it-IT"/>
        </w:rPr>
        <w:t>Il medico deciderà se Yuflyma deve essere usato con il metotressato o da solo.</w:t>
      </w:r>
    </w:p>
    <w:p w14:paraId="3098A714" w14:textId="77777777" w:rsidR="00953B2E" w:rsidRPr="00C35766" w:rsidRDefault="00953B2E">
      <w:pPr>
        <w:spacing w:before="16" w:line="240" w:lineRule="exact"/>
        <w:rPr>
          <w:rFonts w:ascii="Times New Roman" w:hAnsi="Times New Roman" w:cs="Times New Roman"/>
          <w:sz w:val="24"/>
          <w:szCs w:val="24"/>
          <w:lang w:val="pt-BR"/>
        </w:rPr>
      </w:pPr>
    </w:p>
    <w:p w14:paraId="6B4E7B43" w14:textId="77777777" w:rsidR="00953B2E" w:rsidRPr="00C35766" w:rsidRDefault="005F0C19">
      <w:pPr>
        <w:pStyle w:val="a3"/>
        <w:rPr>
          <w:b/>
          <w:lang w:val="pt-BR"/>
        </w:rPr>
      </w:pPr>
      <w:r w:rsidRPr="00C35766">
        <w:rPr>
          <w:rFonts w:eastAsia="Times New Roman"/>
          <w:b/>
          <w:bCs/>
          <w:lang w:val="it-IT"/>
        </w:rPr>
        <w:t>Artrite associata ad entesite</w:t>
      </w:r>
    </w:p>
    <w:p w14:paraId="3CDBA0BE" w14:textId="77777777" w:rsidR="00953B2E" w:rsidRPr="00C35766" w:rsidRDefault="00953B2E">
      <w:pPr>
        <w:spacing w:before="9" w:line="240" w:lineRule="exact"/>
        <w:rPr>
          <w:rFonts w:ascii="Times New Roman" w:hAnsi="Times New Roman" w:cs="Times New Roman"/>
          <w:sz w:val="24"/>
          <w:szCs w:val="24"/>
          <w:lang w:val="pt-BR"/>
        </w:rPr>
      </w:pPr>
    </w:p>
    <w:p w14:paraId="50B265F9" w14:textId="77777777" w:rsidR="00953B2E" w:rsidRPr="00C35766" w:rsidRDefault="005F0C19">
      <w:pPr>
        <w:pStyle w:val="a3"/>
        <w:rPr>
          <w:lang w:val="pt-BR"/>
        </w:rPr>
      </w:pPr>
      <w:r w:rsidRPr="00C35766">
        <w:rPr>
          <w:rFonts w:eastAsia="Times New Roman"/>
          <w:lang w:val="it-IT"/>
        </w:rPr>
        <w:t>L’artrite associata ad entesite è una malattia infiammatoria delle articolazioni e delle zone nelle quali i tendini si legano alle ossa.</w:t>
      </w:r>
    </w:p>
    <w:p w14:paraId="66FEF033" w14:textId="77777777" w:rsidR="00953B2E" w:rsidRPr="00C35766" w:rsidRDefault="00953B2E">
      <w:pPr>
        <w:spacing w:before="10" w:line="240" w:lineRule="exact"/>
        <w:rPr>
          <w:rFonts w:ascii="Times New Roman" w:hAnsi="Times New Roman" w:cs="Times New Roman"/>
          <w:sz w:val="24"/>
          <w:szCs w:val="24"/>
          <w:lang w:val="pt-BR"/>
        </w:rPr>
      </w:pPr>
    </w:p>
    <w:p w14:paraId="5D51C033" w14:textId="77777777" w:rsidR="00953B2E" w:rsidRPr="00C35766" w:rsidRDefault="005F0C19">
      <w:pPr>
        <w:pStyle w:val="a3"/>
        <w:rPr>
          <w:lang w:val="it-IT"/>
        </w:rPr>
      </w:pPr>
      <w:r w:rsidRPr="00C35766">
        <w:rPr>
          <w:rFonts w:eastAsia="Times New Roman"/>
          <w:lang w:val="it-IT"/>
        </w:rPr>
        <w:t>Yuflyma è usato per trattare l’artrite associata ad entesite in pazienti di età pari o superiore a 6 anni. Lei potrebbe ricevere prima altri farmaci modificanti la malattia, come il metotressato. In caso non risponda adeguatamente a questi farmaci, Le sarà somministrato Yuflyma.</w:t>
      </w:r>
    </w:p>
    <w:p w14:paraId="24473F0B" w14:textId="77777777" w:rsidR="00953B2E" w:rsidRPr="00C35766" w:rsidRDefault="00953B2E">
      <w:pPr>
        <w:spacing w:before="2" w:line="260" w:lineRule="exact"/>
        <w:rPr>
          <w:rFonts w:ascii="Times New Roman" w:hAnsi="Times New Roman" w:cs="Times New Roman"/>
          <w:sz w:val="26"/>
          <w:szCs w:val="26"/>
          <w:lang w:val="it-IT"/>
        </w:rPr>
      </w:pPr>
    </w:p>
    <w:p w14:paraId="5C4A4CA8" w14:textId="77777777" w:rsidR="00953B2E" w:rsidRPr="00C35766" w:rsidRDefault="005F0C19">
      <w:pPr>
        <w:pStyle w:val="a3"/>
        <w:rPr>
          <w:b/>
          <w:lang w:val="it-IT"/>
        </w:rPr>
      </w:pPr>
      <w:r w:rsidRPr="00C35766">
        <w:rPr>
          <w:rFonts w:eastAsia="Times New Roman"/>
          <w:b/>
          <w:bCs/>
          <w:lang w:val="it-IT"/>
        </w:rPr>
        <w:t>Spondilite anchilosante e spondiloartrite assiale senza evidenza radiografica di spondilite anchilosante</w:t>
      </w:r>
    </w:p>
    <w:p w14:paraId="296BA3B2" w14:textId="77777777" w:rsidR="00953B2E" w:rsidRPr="00C35766" w:rsidRDefault="00953B2E">
      <w:pPr>
        <w:spacing w:before="6" w:line="240" w:lineRule="exact"/>
        <w:rPr>
          <w:rFonts w:ascii="Times New Roman" w:hAnsi="Times New Roman" w:cs="Times New Roman"/>
          <w:sz w:val="24"/>
          <w:szCs w:val="24"/>
          <w:lang w:val="it-IT"/>
        </w:rPr>
      </w:pPr>
    </w:p>
    <w:p w14:paraId="2173B543" w14:textId="77777777" w:rsidR="00953B2E" w:rsidRPr="00C35766" w:rsidRDefault="005F0C19">
      <w:pPr>
        <w:pStyle w:val="a3"/>
        <w:rPr>
          <w:lang w:val="it-IT"/>
        </w:rPr>
      </w:pPr>
      <w:r w:rsidRPr="00C35766">
        <w:rPr>
          <w:rFonts w:eastAsia="Times New Roman"/>
          <w:lang w:val="it-IT"/>
        </w:rPr>
        <w:t>La spondilite anchilosante e la spondiloartrite assiale senza evidenza radiografica di spondilite anchilosante sono malattie infiammatorie della colonna vertebrale.</w:t>
      </w:r>
    </w:p>
    <w:p w14:paraId="6EFD9DC2" w14:textId="77777777" w:rsidR="00953B2E" w:rsidRPr="00C35766" w:rsidRDefault="00953B2E">
      <w:pPr>
        <w:spacing w:before="10" w:line="240" w:lineRule="exact"/>
        <w:rPr>
          <w:rFonts w:ascii="Times New Roman" w:hAnsi="Times New Roman" w:cs="Times New Roman"/>
          <w:sz w:val="24"/>
          <w:szCs w:val="24"/>
          <w:lang w:val="it-IT"/>
        </w:rPr>
      </w:pPr>
    </w:p>
    <w:p w14:paraId="129A1430" w14:textId="77777777" w:rsidR="00953B2E" w:rsidRPr="00C35766" w:rsidRDefault="005F0C19">
      <w:pPr>
        <w:pStyle w:val="a3"/>
        <w:rPr>
          <w:lang w:val="pt-BR"/>
        </w:rPr>
      </w:pPr>
      <w:r w:rsidRPr="00C35766">
        <w:rPr>
          <w:rFonts w:eastAsia="Times New Roman"/>
          <w:lang w:val="it-IT"/>
        </w:rPr>
        <w:t>Yuflyma è usato per trattare la spondilite anchilosante e la spondiloartrite assiale senza evidenza radiografica della spondilite anchilosante di grado severo negli adulti. Inizialmente possono essere assunti altri farmaci. In caso non risponda adeguatamente a questi farmaci, Le sarà somministrato Yuflyma.</w:t>
      </w:r>
    </w:p>
    <w:p w14:paraId="3C0540E4" w14:textId="77777777" w:rsidR="00953B2E" w:rsidRPr="00C35766" w:rsidRDefault="00953B2E">
      <w:pPr>
        <w:spacing w:before="18" w:line="240" w:lineRule="exact"/>
        <w:rPr>
          <w:rFonts w:ascii="Times New Roman" w:hAnsi="Times New Roman" w:cs="Times New Roman"/>
          <w:sz w:val="24"/>
          <w:szCs w:val="24"/>
          <w:lang w:val="pt-BR"/>
        </w:rPr>
      </w:pPr>
    </w:p>
    <w:p w14:paraId="3097414C" w14:textId="77777777" w:rsidR="00953B2E" w:rsidRPr="00C35766" w:rsidRDefault="005F0C19">
      <w:pPr>
        <w:pStyle w:val="a3"/>
        <w:rPr>
          <w:b/>
          <w:lang w:val="pt-BR"/>
        </w:rPr>
      </w:pPr>
      <w:r w:rsidRPr="00C35766">
        <w:rPr>
          <w:rFonts w:eastAsia="Times New Roman"/>
          <w:b/>
          <w:bCs/>
          <w:lang w:val="it-IT"/>
        </w:rPr>
        <w:t>Artrite psoriasica</w:t>
      </w:r>
    </w:p>
    <w:p w14:paraId="35B0CB9D" w14:textId="77777777" w:rsidR="00953B2E" w:rsidRPr="00C35766" w:rsidRDefault="00953B2E">
      <w:pPr>
        <w:pStyle w:val="a3"/>
        <w:rPr>
          <w:lang w:val="pt-BR"/>
        </w:rPr>
      </w:pPr>
    </w:p>
    <w:p w14:paraId="5A80190E" w14:textId="77777777" w:rsidR="00953B2E" w:rsidRPr="00C35766" w:rsidRDefault="005F0C19">
      <w:pPr>
        <w:pStyle w:val="a3"/>
        <w:rPr>
          <w:lang w:val="pt-BR"/>
        </w:rPr>
      </w:pPr>
      <w:r w:rsidRPr="00C35766">
        <w:rPr>
          <w:rFonts w:eastAsia="Times New Roman"/>
          <w:lang w:val="it-IT"/>
        </w:rPr>
        <w:t>L’artrite psoriasica è una malattia infiammatoria delle articolazioni solitamente associata alla psoriasi.</w:t>
      </w:r>
    </w:p>
    <w:p w14:paraId="7F4E11D0" w14:textId="77777777" w:rsidR="00953B2E" w:rsidRPr="00C35766" w:rsidRDefault="00953B2E">
      <w:pPr>
        <w:spacing w:before="11" w:line="240" w:lineRule="exact"/>
        <w:rPr>
          <w:rFonts w:ascii="Times New Roman" w:hAnsi="Times New Roman" w:cs="Times New Roman"/>
          <w:sz w:val="24"/>
          <w:szCs w:val="24"/>
          <w:lang w:val="pt-BR"/>
        </w:rPr>
      </w:pPr>
    </w:p>
    <w:p w14:paraId="710E4FB2" w14:textId="77777777" w:rsidR="00953B2E" w:rsidRPr="00C35766" w:rsidRDefault="005F0C19">
      <w:pPr>
        <w:pStyle w:val="a3"/>
        <w:rPr>
          <w:lang w:val="pt-BR"/>
        </w:rPr>
      </w:pPr>
      <w:r w:rsidRPr="00C35766">
        <w:rPr>
          <w:rFonts w:eastAsia="Times New Roman"/>
          <w:lang w:val="it-IT"/>
        </w:rPr>
        <w:lastRenderedPageBreak/>
        <w:t>Yuflyma è usato per trattare l’artrite psoriasica negli adulti. Yuflyma può rallentare il danno alle articolazioni causato dalla malattia e può aiutarle a muoversi più liberamente.  Inizialmente possono essere assunti altri farmaci. In caso non risponda adeguatamente a questi farmaci, Le sarà somministrato Yuflyma.</w:t>
      </w:r>
    </w:p>
    <w:p w14:paraId="4D1458AC" w14:textId="77777777" w:rsidR="00953B2E" w:rsidRPr="00C35766" w:rsidRDefault="00953B2E">
      <w:pPr>
        <w:pStyle w:val="a3"/>
        <w:rPr>
          <w:b/>
          <w:lang w:val="pt-BR"/>
        </w:rPr>
      </w:pPr>
    </w:p>
    <w:p w14:paraId="209AA5D0" w14:textId="77777777" w:rsidR="00953B2E" w:rsidRPr="00C35766" w:rsidRDefault="005F0C19">
      <w:pPr>
        <w:pStyle w:val="a3"/>
        <w:rPr>
          <w:b/>
          <w:lang w:val="pt-BR"/>
        </w:rPr>
      </w:pPr>
      <w:r w:rsidRPr="00C35766">
        <w:rPr>
          <w:rFonts w:eastAsia="Times New Roman"/>
          <w:b/>
          <w:bCs/>
          <w:lang w:val="it-IT"/>
        </w:rPr>
        <w:t>Psoriasi a placche</w:t>
      </w:r>
    </w:p>
    <w:p w14:paraId="67D7E28B" w14:textId="77777777" w:rsidR="00953B2E" w:rsidRPr="00C35766" w:rsidRDefault="00953B2E">
      <w:pPr>
        <w:spacing w:before="9" w:line="240" w:lineRule="exact"/>
        <w:rPr>
          <w:rFonts w:ascii="Times New Roman" w:hAnsi="Times New Roman" w:cs="Times New Roman"/>
          <w:sz w:val="24"/>
          <w:szCs w:val="24"/>
          <w:lang w:val="pt-BR"/>
        </w:rPr>
      </w:pPr>
    </w:p>
    <w:p w14:paraId="601AE15C" w14:textId="77777777" w:rsidR="00953B2E" w:rsidRPr="00C35766" w:rsidRDefault="005F0C19">
      <w:pPr>
        <w:pStyle w:val="a3"/>
        <w:rPr>
          <w:lang w:val="it-IT"/>
        </w:rPr>
      </w:pPr>
      <w:r w:rsidRPr="00C35766">
        <w:rPr>
          <w:rFonts w:eastAsia="Times New Roman"/>
          <w:lang w:val="it-IT"/>
        </w:rPr>
        <w:t>La psoriasi a placche è una condizione della pelle che causa chiazze rossastre, squamose e indurite di pelle ricoperta da squame argentee. La psoriasi a placche può anche colpire le unghie, provocandone la rottura, l’ispessimento e il sollevamento dal letto dell’unghia, che può essere doloroso.</w:t>
      </w:r>
    </w:p>
    <w:p w14:paraId="024471B9" w14:textId="77777777" w:rsidR="00953B2E" w:rsidRPr="00C35766" w:rsidRDefault="00953B2E">
      <w:pPr>
        <w:spacing w:before="13" w:line="240" w:lineRule="exact"/>
        <w:rPr>
          <w:rFonts w:ascii="Times New Roman" w:hAnsi="Times New Roman" w:cs="Times New Roman"/>
          <w:sz w:val="24"/>
          <w:szCs w:val="24"/>
          <w:lang w:val="it-IT"/>
        </w:rPr>
      </w:pPr>
    </w:p>
    <w:p w14:paraId="16CB7DE2" w14:textId="77777777" w:rsidR="00953B2E" w:rsidRPr="00C35766" w:rsidRDefault="005F0C19">
      <w:pPr>
        <w:pStyle w:val="a3"/>
      </w:pPr>
      <w:r w:rsidRPr="00C35766">
        <w:rPr>
          <w:rFonts w:eastAsia="Times New Roman"/>
          <w:lang w:val="it-IT"/>
        </w:rPr>
        <w:t>Yuflyma è usato per trattare</w:t>
      </w:r>
    </w:p>
    <w:p w14:paraId="17A8F902" w14:textId="77777777" w:rsidR="00953B2E" w:rsidRPr="00C35766" w:rsidRDefault="005F0C19">
      <w:pPr>
        <w:pStyle w:val="a3"/>
        <w:numPr>
          <w:ilvl w:val="1"/>
          <w:numId w:val="4"/>
        </w:numPr>
        <w:ind w:left="660" w:hanging="660"/>
        <w:rPr>
          <w:lang w:val="it-IT"/>
        </w:rPr>
      </w:pPr>
      <w:r w:rsidRPr="00C35766">
        <w:rPr>
          <w:rFonts w:eastAsia="Times New Roman"/>
          <w:lang w:val="it-IT"/>
        </w:rPr>
        <w:t>la psoriasi a placche cronica di grado da moderato a severo negli adulti e</w:t>
      </w:r>
    </w:p>
    <w:p w14:paraId="48658B28" w14:textId="77777777" w:rsidR="00953B2E" w:rsidRPr="00C35766" w:rsidRDefault="005F0C19">
      <w:pPr>
        <w:pStyle w:val="a3"/>
        <w:numPr>
          <w:ilvl w:val="1"/>
          <w:numId w:val="4"/>
        </w:numPr>
        <w:ind w:left="660" w:hanging="660"/>
        <w:rPr>
          <w:lang w:val="it-IT"/>
        </w:rPr>
      </w:pPr>
      <w:r w:rsidRPr="00C35766">
        <w:rPr>
          <w:rFonts w:eastAsia="Times New Roman"/>
          <w:lang w:val="it-IT"/>
        </w:rPr>
        <w:t>la psoriasi a placche cronica di grado severo in bambini e adolescenti dai 4 ai 17 anni nei quali la terapia topica e le fototerapie non abbiano funzionato in modo ottimale o non siano indicate.</w:t>
      </w:r>
    </w:p>
    <w:p w14:paraId="7A9857AB" w14:textId="77777777" w:rsidR="00953B2E" w:rsidRPr="00C35766" w:rsidRDefault="00953B2E">
      <w:pPr>
        <w:spacing w:before="15" w:line="240" w:lineRule="exact"/>
        <w:rPr>
          <w:rFonts w:ascii="Times New Roman" w:hAnsi="Times New Roman" w:cs="Times New Roman"/>
          <w:sz w:val="24"/>
          <w:lang w:val="it-IT"/>
        </w:rPr>
      </w:pPr>
    </w:p>
    <w:p w14:paraId="416828AB" w14:textId="77777777" w:rsidR="00953B2E" w:rsidRPr="00C35766" w:rsidRDefault="005F0C19">
      <w:pPr>
        <w:pStyle w:val="a3"/>
        <w:rPr>
          <w:b/>
          <w:lang w:val="it-IT"/>
        </w:rPr>
      </w:pPr>
      <w:r w:rsidRPr="00C35766">
        <w:rPr>
          <w:rFonts w:eastAsia="Times New Roman"/>
          <w:b/>
          <w:bCs/>
          <w:lang w:val="it-IT"/>
        </w:rPr>
        <w:t>Idrosadenite suppurativa</w:t>
      </w:r>
    </w:p>
    <w:p w14:paraId="53ECF12D" w14:textId="77777777" w:rsidR="00953B2E" w:rsidRPr="00C35766" w:rsidRDefault="00953B2E">
      <w:pPr>
        <w:spacing w:before="9" w:line="240" w:lineRule="exact"/>
        <w:rPr>
          <w:rFonts w:ascii="Times New Roman" w:hAnsi="Times New Roman" w:cs="Times New Roman"/>
          <w:sz w:val="24"/>
          <w:lang w:val="it-IT"/>
        </w:rPr>
      </w:pPr>
    </w:p>
    <w:p w14:paraId="43ED2902" w14:textId="22091366" w:rsidR="00953B2E" w:rsidRPr="00C35766" w:rsidRDefault="005F0C19">
      <w:pPr>
        <w:pStyle w:val="a3"/>
        <w:rPr>
          <w:lang w:val="it-IT"/>
        </w:rPr>
      </w:pPr>
      <w:r w:rsidRPr="00C35766">
        <w:rPr>
          <w:rFonts w:eastAsia="Times New Roman"/>
          <w:lang w:val="it-IT"/>
        </w:rPr>
        <w:t>L’idrosadenite suppurativa (chiamata a volte acne inversa) è una malattia infiammatoria cronica della pelle e spesso è dolorosa. I sintomi possono includere noduli dolorosi e ascessi (cisti) che possono drenare pus. Più frequentemente colpisce aree specifiche della pelle, come la regione sottomammaria, le ascelle, l’interno cosce, l’inguine e le natiche. Nelle aree colpite si possono anche formare delle cicatrici.</w:t>
      </w:r>
    </w:p>
    <w:p w14:paraId="7C4B0D83" w14:textId="77777777" w:rsidR="00953B2E" w:rsidRPr="00C35766" w:rsidRDefault="00953B2E">
      <w:pPr>
        <w:spacing w:before="13" w:line="240" w:lineRule="exact"/>
        <w:rPr>
          <w:rFonts w:ascii="Times New Roman" w:hAnsi="Times New Roman" w:cs="Times New Roman"/>
          <w:sz w:val="24"/>
          <w:lang w:val="it-IT"/>
        </w:rPr>
      </w:pPr>
    </w:p>
    <w:p w14:paraId="665247FC" w14:textId="77777777" w:rsidR="00953B2E" w:rsidRPr="00C35766" w:rsidRDefault="005F0C19">
      <w:pPr>
        <w:pStyle w:val="a3"/>
        <w:rPr>
          <w:lang w:val="it-IT"/>
        </w:rPr>
      </w:pPr>
      <w:r w:rsidRPr="00C35766">
        <w:rPr>
          <w:rFonts w:eastAsia="Times New Roman"/>
          <w:lang w:val="it-IT"/>
        </w:rPr>
        <w:t>Yuflyma è usato per trattare</w:t>
      </w:r>
    </w:p>
    <w:p w14:paraId="7DA06FE0" w14:textId="77777777" w:rsidR="00953B2E" w:rsidRPr="00C35766" w:rsidRDefault="005F0C19">
      <w:pPr>
        <w:pStyle w:val="a3"/>
        <w:numPr>
          <w:ilvl w:val="1"/>
          <w:numId w:val="4"/>
        </w:numPr>
        <w:ind w:left="660" w:hanging="660"/>
        <w:rPr>
          <w:lang w:val="it-IT"/>
        </w:rPr>
      </w:pPr>
      <w:r w:rsidRPr="00C35766">
        <w:rPr>
          <w:rFonts w:eastAsia="Times New Roman"/>
          <w:lang w:val="it-IT"/>
        </w:rPr>
        <w:t>l’idrosadenite suppurativa di grado da moderato a severo negli adulti e</w:t>
      </w:r>
    </w:p>
    <w:p w14:paraId="0EF0E2B5" w14:textId="77777777" w:rsidR="00953B2E" w:rsidRPr="00C35766" w:rsidRDefault="005F0C19">
      <w:pPr>
        <w:pStyle w:val="a3"/>
        <w:numPr>
          <w:ilvl w:val="1"/>
          <w:numId w:val="4"/>
        </w:numPr>
        <w:ind w:left="660" w:hanging="660"/>
        <w:rPr>
          <w:lang w:val="it-IT"/>
        </w:rPr>
      </w:pPr>
      <w:r w:rsidRPr="00C35766">
        <w:rPr>
          <w:rFonts w:eastAsia="Times New Roman"/>
          <w:lang w:val="it-IT"/>
        </w:rPr>
        <w:t>l’idrosadenite suppurativa di grado da moderato a severo negli adolescenti di età compresa tra 12 e 17 anni.</w:t>
      </w:r>
    </w:p>
    <w:p w14:paraId="4A35F6D2" w14:textId="77777777" w:rsidR="00953B2E" w:rsidRPr="00C35766" w:rsidRDefault="00953B2E">
      <w:pPr>
        <w:spacing w:before="10" w:line="240" w:lineRule="exact"/>
        <w:rPr>
          <w:rFonts w:ascii="Times New Roman" w:hAnsi="Times New Roman" w:cs="Times New Roman"/>
          <w:sz w:val="24"/>
          <w:lang w:val="it-IT"/>
        </w:rPr>
      </w:pPr>
    </w:p>
    <w:p w14:paraId="134AB18E" w14:textId="53660207" w:rsidR="00953B2E" w:rsidRPr="00C35766" w:rsidRDefault="005F0C19">
      <w:pPr>
        <w:pStyle w:val="a3"/>
        <w:rPr>
          <w:lang w:val="it-IT"/>
        </w:rPr>
      </w:pPr>
      <w:r w:rsidRPr="00C35766">
        <w:rPr>
          <w:rFonts w:eastAsia="Times New Roman"/>
          <w:lang w:val="it-IT"/>
        </w:rPr>
        <w:t>Yuflyma può ridurre il numero di noduli e di ascessi provocati dalla malattia</w:t>
      </w:r>
      <w:r w:rsidR="00745249" w:rsidRPr="00C35766">
        <w:rPr>
          <w:rFonts w:eastAsia="Times New Roman"/>
          <w:lang w:val="it-IT"/>
        </w:rPr>
        <w:t xml:space="preserve"> e il dolore che spesso è associato con la malattia</w:t>
      </w:r>
      <w:r w:rsidRPr="00C35766">
        <w:rPr>
          <w:rFonts w:eastAsia="Times New Roman"/>
          <w:lang w:val="it-IT"/>
        </w:rPr>
        <w:t>. Inizialmente possono essere assunti altri farmaci. In caso non risponda adeguatamente a questi farmaci, Le sarà somministrato Yuflyma.</w:t>
      </w:r>
    </w:p>
    <w:p w14:paraId="338A5134" w14:textId="77777777" w:rsidR="00953B2E" w:rsidRPr="00C35766" w:rsidRDefault="00953B2E">
      <w:pPr>
        <w:spacing w:before="18" w:line="240" w:lineRule="exact"/>
        <w:rPr>
          <w:rFonts w:ascii="Times New Roman" w:hAnsi="Times New Roman" w:cs="Times New Roman"/>
          <w:sz w:val="24"/>
          <w:szCs w:val="24"/>
          <w:lang w:val="it-IT"/>
        </w:rPr>
      </w:pPr>
    </w:p>
    <w:p w14:paraId="5C5A0FB5" w14:textId="77777777" w:rsidR="00953B2E" w:rsidRPr="00C35766" w:rsidRDefault="005F0C19">
      <w:pPr>
        <w:pStyle w:val="a3"/>
        <w:rPr>
          <w:b/>
          <w:lang w:val="it-IT"/>
        </w:rPr>
      </w:pPr>
      <w:r w:rsidRPr="00C35766">
        <w:rPr>
          <w:rFonts w:eastAsia="Times New Roman"/>
          <w:b/>
          <w:bCs/>
          <w:lang w:val="it-IT"/>
        </w:rPr>
        <w:t>Malattia di Crohn</w:t>
      </w:r>
    </w:p>
    <w:p w14:paraId="0619681A" w14:textId="77777777" w:rsidR="00953B2E" w:rsidRPr="00C35766" w:rsidRDefault="00953B2E">
      <w:pPr>
        <w:pStyle w:val="a3"/>
        <w:rPr>
          <w:u w:val="single"/>
          <w:lang w:val="it-IT"/>
        </w:rPr>
      </w:pPr>
    </w:p>
    <w:p w14:paraId="17BB5CA7" w14:textId="0A2242BF" w:rsidR="00953B2E" w:rsidRPr="00C35766" w:rsidRDefault="005F0C19">
      <w:pPr>
        <w:pStyle w:val="a3"/>
      </w:pPr>
      <w:r w:rsidRPr="00C35766">
        <w:rPr>
          <w:rFonts w:eastAsia="Times New Roman"/>
          <w:lang w:val="it-IT"/>
        </w:rPr>
        <w:t>La malattia di Cro</w:t>
      </w:r>
      <w:r w:rsidR="008676F0">
        <w:rPr>
          <w:rFonts w:eastAsia="Times New Roman"/>
          <w:lang w:val="it-IT"/>
        </w:rPr>
        <w:t>h</w:t>
      </w:r>
      <w:r w:rsidRPr="00C35766">
        <w:rPr>
          <w:rFonts w:eastAsia="Times New Roman"/>
          <w:lang w:val="it-IT"/>
        </w:rPr>
        <w:t>n è una malattia infiammatoria del tratto digerente. Yuflyma è usato per trattare</w:t>
      </w:r>
    </w:p>
    <w:p w14:paraId="09DE36C8" w14:textId="77777777" w:rsidR="00953B2E" w:rsidRPr="00C35766" w:rsidRDefault="005F0C19">
      <w:pPr>
        <w:pStyle w:val="a3"/>
        <w:numPr>
          <w:ilvl w:val="1"/>
          <w:numId w:val="4"/>
        </w:numPr>
        <w:ind w:left="660" w:hanging="660"/>
        <w:rPr>
          <w:lang w:val="pt-BR"/>
        </w:rPr>
      </w:pPr>
      <w:r w:rsidRPr="00C35766">
        <w:rPr>
          <w:rFonts w:eastAsia="Times New Roman"/>
          <w:lang w:val="it-IT"/>
        </w:rPr>
        <w:t>malattia di Crohn di grado da moderato a severo negli adulti e</w:t>
      </w:r>
    </w:p>
    <w:p w14:paraId="2CE84E68" w14:textId="6A8C5AF1" w:rsidR="00953B2E" w:rsidRPr="00C35766" w:rsidRDefault="005F0C19">
      <w:pPr>
        <w:pStyle w:val="a3"/>
        <w:numPr>
          <w:ilvl w:val="1"/>
          <w:numId w:val="4"/>
        </w:numPr>
        <w:ind w:left="660" w:hanging="660"/>
        <w:rPr>
          <w:lang w:val="pt-BR"/>
        </w:rPr>
      </w:pPr>
      <w:r w:rsidRPr="00C35766">
        <w:rPr>
          <w:rFonts w:eastAsia="Times New Roman"/>
          <w:lang w:val="it-IT"/>
        </w:rPr>
        <w:t xml:space="preserve">malattia di Crohn di grado da moderato a severo nei bambini e negli adolescenti di età compresa tra 6 </w:t>
      </w:r>
      <w:r w:rsidR="00745249" w:rsidRPr="00C35766">
        <w:rPr>
          <w:rFonts w:eastAsia="Times New Roman"/>
          <w:lang w:val="it-IT"/>
        </w:rPr>
        <w:t>e</w:t>
      </w:r>
      <w:r w:rsidRPr="00C35766">
        <w:rPr>
          <w:rFonts w:eastAsia="Times New Roman"/>
          <w:lang w:val="it-IT"/>
        </w:rPr>
        <w:t xml:space="preserve"> 17 anni</w:t>
      </w:r>
      <w:r w:rsidR="00933496" w:rsidRPr="00C35766">
        <w:rPr>
          <w:rFonts w:eastAsia="Times New Roman"/>
          <w:lang w:val="it-IT"/>
        </w:rPr>
        <w:t>.</w:t>
      </w:r>
    </w:p>
    <w:p w14:paraId="6714A4A6" w14:textId="77777777" w:rsidR="00953B2E" w:rsidRPr="00C35766" w:rsidRDefault="00953B2E">
      <w:pPr>
        <w:spacing w:before="16" w:line="240" w:lineRule="exact"/>
        <w:rPr>
          <w:rFonts w:ascii="Times New Roman" w:hAnsi="Times New Roman" w:cs="Times New Roman"/>
          <w:sz w:val="24"/>
          <w:szCs w:val="24"/>
          <w:lang w:val="pt-BR"/>
        </w:rPr>
      </w:pPr>
    </w:p>
    <w:p w14:paraId="1DFD6F57" w14:textId="77777777" w:rsidR="00953B2E" w:rsidRPr="00C35766" w:rsidRDefault="005F0C19">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1EA519D3" w14:textId="77777777" w:rsidR="00953B2E" w:rsidRPr="00C35766" w:rsidRDefault="00953B2E">
      <w:pPr>
        <w:spacing w:before="15" w:line="240" w:lineRule="exact"/>
        <w:rPr>
          <w:rFonts w:ascii="Times New Roman" w:hAnsi="Times New Roman" w:cs="Times New Roman"/>
          <w:sz w:val="24"/>
          <w:szCs w:val="24"/>
          <w:lang w:val="it-IT"/>
        </w:rPr>
      </w:pPr>
    </w:p>
    <w:p w14:paraId="3EDC767D" w14:textId="20F54B0C" w:rsidR="00953B2E" w:rsidRPr="00C35766" w:rsidRDefault="005F0C19">
      <w:pPr>
        <w:pStyle w:val="a3"/>
        <w:rPr>
          <w:b/>
          <w:lang w:val="it-IT"/>
        </w:rPr>
      </w:pPr>
      <w:r w:rsidRPr="00C35766">
        <w:rPr>
          <w:rFonts w:eastAsia="Times New Roman"/>
          <w:b/>
          <w:bCs/>
          <w:lang w:val="it-IT"/>
        </w:rPr>
        <w:t>Colite ulcerosa</w:t>
      </w:r>
    </w:p>
    <w:p w14:paraId="2ABA7426" w14:textId="77777777" w:rsidR="00953B2E" w:rsidRPr="00C35766" w:rsidRDefault="00953B2E">
      <w:pPr>
        <w:pStyle w:val="a3"/>
        <w:rPr>
          <w:b/>
          <w:lang w:val="it-IT"/>
        </w:rPr>
      </w:pPr>
    </w:p>
    <w:p w14:paraId="4E06AE5F" w14:textId="77777777" w:rsidR="00953B2E" w:rsidRPr="00C35766" w:rsidRDefault="005F0C19">
      <w:pPr>
        <w:pStyle w:val="a3"/>
        <w:rPr>
          <w:lang w:val="it-IT"/>
        </w:rPr>
      </w:pPr>
      <w:r w:rsidRPr="00C35766">
        <w:rPr>
          <w:rFonts w:eastAsia="Times New Roman"/>
          <w:lang w:val="it-IT"/>
        </w:rPr>
        <w:t>La colite ulcerosa è una malattia infiammatoria dell'intestino crasso.</w:t>
      </w:r>
    </w:p>
    <w:p w14:paraId="715C40CF" w14:textId="77777777" w:rsidR="00953B2E" w:rsidRPr="00C35766" w:rsidRDefault="00953B2E">
      <w:pPr>
        <w:spacing w:before="17" w:line="240" w:lineRule="exact"/>
        <w:rPr>
          <w:rFonts w:ascii="Times New Roman" w:hAnsi="Times New Roman" w:cs="Times New Roman"/>
          <w:sz w:val="24"/>
          <w:szCs w:val="24"/>
          <w:lang w:val="it-IT"/>
        </w:rPr>
      </w:pPr>
    </w:p>
    <w:p w14:paraId="0545162F" w14:textId="77777777" w:rsidR="00F0719E" w:rsidRPr="00C35766" w:rsidRDefault="005F0C19">
      <w:pPr>
        <w:pStyle w:val="a3"/>
        <w:rPr>
          <w:rFonts w:eastAsia="Times New Roman"/>
          <w:lang w:val="it-IT"/>
        </w:rPr>
      </w:pPr>
      <w:r w:rsidRPr="00C35766">
        <w:rPr>
          <w:rFonts w:eastAsia="Times New Roman"/>
          <w:lang w:val="it-IT"/>
        </w:rPr>
        <w:t xml:space="preserve">Yuflyma è usato per trattare </w:t>
      </w:r>
    </w:p>
    <w:p w14:paraId="04E9031A" w14:textId="7E556736" w:rsidR="00F0719E" w:rsidRPr="00824699" w:rsidRDefault="00745249" w:rsidP="00787805">
      <w:pPr>
        <w:pStyle w:val="a4"/>
        <w:widowControl/>
        <w:numPr>
          <w:ilvl w:val="0"/>
          <w:numId w:val="45"/>
        </w:numPr>
        <w:tabs>
          <w:tab w:val="left" w:pos="567"/>
        </w:tabs>
        <w:ind w:right="-2"/>
        <w:jc w:val="both"/>
        <w:rPr>
          <w:rFonts w:ascii="Times New Roman" w:hAnsi="Times New Roman" w:cs="Times New Roman"/>
          <w:lang w:val="it-IT"/>
        </w:rPr>
      </w:pPr>
      <w:r w:rsidRPr="00E22C29">
        <w:rPr>
          <w:rFonts w:ascii="Times New Roman" w:eastAsia="Times New Roman" w:hAnsi="Times New Roman" w:cs="Times New Roman"/>
          <w:lang w:val="it-IT"/>
        </w:rPr>
        <w:t>l</w:t>
      </w:r>
      <w:r w:rsidR="005F0C19" w:rsidRPr="00E22C29">
        <w:rPr>
          <w:rFonts w:ascii="Times New Roman" w:eastAsia="Times New Roman" w:hAnsi="Times New Roman" w:cs="Times New Roman"/>
          <w:lang w:val="it-IT"/>
        </w:rPr>
        <w:t xml:space="preserve">a colite ulcerosa di grado da moderato a severo negli adulti </w:t>
      </w:r>
      <w:r w:rsidR="00F0719E" w:rsidRPr="00824699">
        <w:rPr>
          <w:rFonts w:ascii="Times New Roman" w:hAnsi="Times New Roman" w:cs="Times New Roman"/>
          <w:lang w:val="it-IT"/>
        </w:rPr>
        <w:t>e</w:t>
      </w:r>
    </w:p>
    <w:p w14:paraId="7A28A14F" w14:textId="77777777" w:rsidR="00F0719E" w:rsidRPr="00C35766" w:rsidRDefault="00F0719E" w:rsidP="00787805">
      <w:pPr>
        <w:pStyle w:val="a4"/>
        <w:widowControl/>
        <w:numPr>
          <w:ilvl w:val="0"/>
          <w:numId w:val="45"/>
        </w:numPr>
        <w:tabs>
          <w:tab w:val="left" w:pos="567"/>
        </w:tabs>
        <w:ind w:right="-2"/>
        <w:jc w:val="both"/>
        <w:rPr>
          <w:rFonts w:ascii="Times New Roman" w:eastAsia="Times New Roman" w:hAnsi="Times New Roman" w:cs="Times New Roman"/>
          <w:lang w:val="it-IT"/>
        </w:rPr>
      </w:pPr>
      <w:r w:rsidRPr="00824699">
        <w:rPr>
          <w:rFonts w:ascii="Times New Roman" w:hAnsi="Times New Roman" w:cs="Times New Roman"/>
          <w:lang w:val="it-IT"/>
        </w:rPr>
        <w:t xml:space="preserve">la colite ulcerosa di grado da moderato a severo nei bambini e negli adolescenti di età compresa tra 6 e 17 anni. </w:t>
      </w:r>
      <w:r w:rsidRPr="00C35766">
        <w:rPr>
          <w:rFonts w:ascii="Times New Roman" w:eastAsia="Times New Roman" w:hAnsi="Times New Roman" w:cs="Times New Roman"/>
          <w:lang w:val="it-IT"/>
        </w:rPr>
        <w:t xml:space="preserve"> </w:t>
      </w:r>
    </w:p>
    <w:p w14:paraId="015EB377" w14:textId="77777777" w:rsidR="00F0719E" w:rsidRPr="00C35766" w:rsidRDefault="00F0719E">
      <w:pPr>
        <w:pStyle w:val="a3"/>
        <w:rPr>
          <w:rFonts w:eastAsia="Times New Roman"/>
          <w:lang w:val="it-IT"/>
        </w:rPr>
      </w:pPr>
    </w:p>
    <w:p w14:paraId="7B2F3E48" w14:textId="08D8D48C" w:rsidR="00953B2E" w:rsidRPr="00C35766" w:rsidRDefault="005F0C19">
      <w:pPr>
        <w:pStyle w:val="a3"/>
        <w:rPr>
          <w:lang w:val="pt-BR"/>
        </w:rPr>
      </w:pPr>
      <w:r w:rsidRPr="00C35766">
        <w:rPr>
          <w:rFonts w:eastAsia="Times New Roman"/>
          <w:lang w:val="it-IT"/>
        </w:rPr>
        <w:t>Inizialmente possono essere assunti altri farmaci. In caso non risponda adeguatamente a questi farmaci, Le sarà somministrato Yuflyma.</w:t>
      </w:r>
    </w:p>
    <w:p w14:paraId="5E753E60" w14:textId="77777777" w:rsidR="00953B2E" w:rsidRPr="00C35766" w:rsidRDefault="00953B2E">
      <w:pPr>
        <w:spacing w:before="15" w:line="240" w:lineRule="exact"/>
        <w:rPr>
          <w:rFonts w:ascii="Times New Roman" w:hAnsi="Times New Roman" w:cs="Times New Roman"/>
          <w:sz w:val="24"/>
          <w:szCs w:val="24"/>
          <w:lang w:val="pt-BR"/>
        </w:rPr>
      </w:pPr>
    </w:p>
    <w:p w14:paraId="52E6CA35" w14:textId="77777777" w:rsidR="00953B2E" w:rsidRPr="00C35766" w:rsidRDefault="005F0C19">
      <w:pPr>
        <w:pStyle w:val="a3"/>
        <w:rPr>
          <w:b/>
          <w:lang w:val="pt-BR"/>
        </w:rPr>
      </w:pPr>
      <w:r w:rsidRPr="00C35766">
        <w:rPr>
          <w:rFonts w:eastAsia="Times New Roman"/>
          <w:b/>
          <w:bCs/>
          <w:lang w:val="it-IT"/>
        </w:rPr>
        <w:t>Uveite non infettiva</w:t>
      </w:r>
    </w:p>
    <w:p w14:paraId="7AE82B37" w14:textId="77777777" w:rsidR="00953B2E" w:rsidRPr="00C35766" w:rsidRDefault="00953B2E">
      <w:pPr>
        <w:pStyle w:val="a3"/>
        <w:rPr>
          <w:lang w:val="pt-BR"/>
        </w:rPr>
      </w:pPr>
    </w:p>
    <w:p w14:paraId="37CEE6A0" w14:textId="77777777" w:rsidR="00953B2E" w:rsidRPr="00C35766" w:rsidRDefault="005F0C19">
      <w:pPr>
        <w:pStyle w:val="a3"/>
      </w:pPr>
      <w:r w:rsidRPr="00C35766">
        <w:rPr>
          <w:rFonts w:eastAsia="Times New Roman"/>
          <w:lang w:val="it-IT"/>
        </w:rPr>
        <w:t>L’uveite non infettiva è una malattia infiammatoria che colpisce alcune parti dell'occhio. Yuflyma è usato per trattare</w:t>
      </w:r>
    </w:p>
    <w:p w14:paraId="17725587" w14:textId="77777777" w:rsidR="00953B2E" w:rsidRPr="00C35766" w:rsidRDefault="005F0C19">
      <w:pPr>
        <w:pStyle w:val="a3"/>
        <w:numPr>
          <w:ilvl w:val="1"/>
          <w:numId w:val="4"/>
        </w:numPr>
        <w:ind w:left="660" w:hanging="660"/>
        <w:rPr>
          <w:lang w:val="es-ES"/>
        </w:rPr>
      </w:pPr>
      <w:r w:rsidRPr="00C35766">
        <w:rPr>
          <w:rFonts w:eastAsia="Times New Roman"/>
          <w:lang w:val="it-IT"/>
        </w:rPr>
        <w:t>adulti con uveite non infettiva con infiammazione che interessa il fondo dell’occhio</w:t>
      </w:r>
    </w:p>
    <w:p w14:paraId="1847E7E0" w14:textId="57DCF793" w:rsidR="00953B2E" w:rsidRPr="00C35766" w:rsidRDefault="005F0C19">
      <w:pPr>
        <w:pStyle w:val="a3"/>
        <w:numPr>
          <w:ilvl w:val="1"/>
          <w:numId w:val="4"/>
        </w:numPr>
        <w:ind w:left="660" w:hanging="660"/>
        <w:rPr>
          <w:lang w:val="it-IT"/>
        </w:rPr>
      </w:pPr>
      <w:r w:rsidRPr="00C35766">
        <w:rPr>
          <w:rFonts w:eastAsia="Times New Roman"/>
          <w:lang w:val="it-IT"/>
        </w:rPr>
        <w:t>bambini dai 2 anni di età con uveite cronica non infettiva con infiammazione che interessa la parte anteriore dell’occhio</w:t>
      </w:r>
      <w:r w:rsidR="00933496" w:rsidRPr="00C35766">
        <w:rPr>
          <w:rFonts w:eastAsia="Times New Roman"/>
          <w:lang w:val="it-IT"/>
        </w:rPr>
        <w:t>.</w:t>
      </w:r>
    </w:p>
    <w:p w14:paraId="199728F6" w14:textId="77777777" w:rsidR="00953B2E" w:rsidRPr="00C35766" w:rsidRDefault="00953B2E">
      <w:pPr>
        <w:pStyle w:val="a3"/>
        <w:rPr>
          <w:lang w:val="it-IT"/>
        </w:rPr>
      </w:pPr>
    </w:p>
    <w:p w14:paraId="570B1BC4" w14:textId="77777777" w:rsidR="00953B2E" w:rsidRPr="00C35766" w:rsidRDefault="005F0C19">
      <w:pPr>
        <w:pStyle w:val="a3"/>
        <w:rPr>
          <w:lang w:val="pt-BR"/>
        </w:rPr>
      </w:pPr>
      <w:r w:rsidRPr="00C35766">
        <w:rPr>
          <w:rFonts w:eastAsia="Times New Roman"/>
          <w:lang w:val="it-IT"/>
        </w:rPr>
        <w:t>Questa infiammazione può portare a una diminuzione della visione e/o alla presenza di corpi mobili nell’occhio (punti neri o linee sottili che si muovono attraverso il campo visivo). Yuflyma agisce riducendo questa infiammazione.</w:t>
      </w:r>
    </w:p>
    <w:p w14:paraId="60350318" w14:textId="77777777" w:rsidR="00953B2E" w:rsidRPr="00C35766" w:rsidRDefault="00953B2E">
      <w:pPr>
        <w:spacing w:before="10" w:line="240" w:lineRule="exact"/>
        <w:rPr>
          <w:rFonts w:ascii="Times New Roman" w:hAnsi="Times New Roman" w:cs="Times New Roman"/>
          <w:sz w:val="24"/>
          <w:szCs w:val="24"/>
          <w:lang w:val="pt-BR"/>
        </w:rPr>
      </w:pPr>
    </w:p>
    <w:p w14:paraId="6CC4A833" w14:textId="77777777" w:rsidR="00953B2E" w:rsidRPr="00C35766" w:rsidRDefault="005F0C19">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4F75AFBA" w14:textId="77777777" w:rsidR="00953B2E" w:rsidRPr="00C35766" w:rsidRDefault="00953B2E">
      <w:pPr>
        <w:spacing w:before="18" w:line="240" w:lineRule="exact"/>
        <w:rPr>
          <w:rFonts w:ascii="Times New Roman" w:hAnsi="Times New Roman" w:cs="Times New Roman"/>
          <w:b/>
          <w:lang w:val="it-IT"/>
        </w:rPr>
      </w:pPr>
    </w:p>
    <w:p w14:paraId="70E34E81" w14:textId="77777777" w:rsidR="00953B2E" w:rsidRPr="00C35766" w:rsidRDefault="00953B2E">
      <w:pPr>
        <w:spacing w:before="18" w:line="240" w:lineRule="exact"/>
        <w:ind w:left="108"/>
        <w:rPr>
          <w:rFonts w:ascii="Times New Roman" w:hAnsi="Times New Roman" w:cs="Times New Roman"/>
          <w:b/>
          <w:lang w:val="it-IT"/>
        </w:rPr>
      </w:pPr>
    </w:p>
    <w:p w14:paraId="5B47A632" w14:textId="77777777" w:rsidR="00953B2E" w:rsidRPr="00C35766" w:rsidRDefault="005F0C19" w:rsidP="00787805">
      <w:pPr>
        <w:pStyle w:val="a4"/>
        <w:numPr>
          <w:ilvl w:val="0"/>
          <w:numId w:val="37"/>
        </w:numPr>
        <w:spacing w:line="240" w:lineRule="exact"/>
        <w:ind w:hanging="468"/>
        <w:rPr>
          <w:rFonts w:ascii="Times New Roman" w:hAnsi="Times New Roman" w:cs="Times New Roman"/>
          <w:lang w:val="it-IT"/>
        </w:rPr>
      </w:pPr>
      <w:r w:rsidRPr="00C35766">
        <w:rPr>
          <w:rFonts w:ascii="Times New Roman" w:eastAsia="Times New Roman" w:hAnsi="Times New Roman" w:cs="Times New Roman"/>
          <w:b/>
          <w:bCs/>
          <w:lang w:val="it-IT"/>
        </w:rPr>
        <w:t>Cosa deve sapere prima di usare Yuflyma</w:t>
      </w:r>
      <w:r w:rsidRPr="00C35766">
        <w:rPr>
          <w:rFonts w:ascii="Times New Roman" w:eastAsia="Calibri" w:hAnsi="Times New Roman" w:cs="Times New Roman"/>
          <w:lang w:val="it-IT"/>
        </w:rPr>
        <w:t xml:space="preserve"> </w:t>
      </w:r>
    </w:p>
    <w:p w14:paraId="66BFA567" w14:textId="77777777" w:rsidR="00953B2E" w:rsidRPr="00C35766" w:rsidRDefault="00953B2E">
      <w:pPr>
        <w:spacing w:before="18" w:line="240" w:lineRule="exact"/>
        <w:ind w:left="108"/>
        <w:rPr>
          <w:rFonts w:ascii="Times New Roman" w:hAnsi="Times New Roman" w:cs="Times New Roman"/>
          <w:b/>
          <w:lang w:val="it-IT"/>
        </w:rPr>
      </w:pPr>
    </w:p>
    <w:p w14:paraId="61394711" w14:textId="77777777" w:rsidR="00953B2E" w:rsidRPr="00C35766" w:rsidRDefault="005F0C19">
      <w:pPr>
        <w:pStyle w:val="a3"/>
        <w:rPr>
          <w:b/>
        </w:rPr>
      </w:pPr>
      <w:r w:rsidRPr="00C35766">
        <w:rPr>
          <w:rFonts w:eastAsia="Times New Roman"/>
          <w:b/>
          <w:bCs/>
          <w:lang w:val="it-IT"/>
        </w:rPr>
        <w:t>Non usi Yuflyma:</w:t>
      </w:r>
    </w:p>
    <w:p w14:paraId="6D685188" w14:textId="77777777" w:rsidR="00953B2E" w:rsidRPr="00C35766" w:rsidRDefault="00953B2E">
      <w:pPr>
        <w:pStyle w:val="a3"/>
        <w:rPr>
          <w:b/>
        </w:rPr>
      </w:pPr>
    </w:p>
    <w:p w14:paraId="560CBFFF" w14:textId="77777777" w:rsidR="00953B2E" w:rsidRPr="00C35766" w:rsidRDefault="005F0C19">
      <w:pPr>
        <w:pStyle w:val="a3"/>
        <w:numPr>
          <w:ilvl w:val="1"/>
          <w:numId w:val="4"/>
        </w:numPr>
        <w:ind w:left="660" w:hanging="660"/>
        <w:rPr>
          <w:lang w:val="es-ES"/>
        </w:rPr>
      </w:pPr>
      <w:r w:rsidRPr="00C35766">
        <w:rPr>
          <w:rFonts w:eastAsia="Times New Roman"/>
          <w:lang w:val="it-IT"/>
        </w:rPr>
        <w:t>se è allergico ad adalimumab o ad uno qualsiasi degli altri componenti di questo medicinale (elencati al paragrafo 6).</w:t>
      </w:r>
    </w:p>
    <w:p w14:paraId="422E8190" w14:textId="77777777" w:rsidR="00953B2E" w:rsidRPr="00C35766" w:rsidRDefault="00953B2E">
      <w:pPr>
        <w:pStyle w:val="a3"/>
        <w:numPr>
          <w:ilvl w:val="0"/>
          <w:numId w:val="0"/>
        </w:numPr>
        <w:ind w:left="660"/>
        <w:rPr>
          <w:lang w:val="es-ES"/>
        </w:rPr>
      </w:pPr>
    </w:p>
    <w:p w14:paraId="0D2D48AF" w14:textId="77777777" w:rsidR="00953B2E" w:rsidRPr="00C35766" w:rsidRDefault="005F0C19">
      <w:pPr>
        <w:pStyle w:val="a3"/>
        <w:numPr>
          <w:ilvl w:val="1"/>
          <w:numId w:val="4"/>
        </w:numPr>
        <w:ind w:left="660" w:hanging="660"/>
        <w:rPr>
          <w:lang w:val="it-IT"/>
        </w:rPr>
      </w:pPr>
      <w:r w:rsidRPr="00C35766">
        <w:rPr>
          <w:rFonts w:eastAsia="Times New Roman"/>
          <w:lang w:val="it-IT"/>
        </w:rPr>
        <w:t>In presenza di tubercolosi attiva o altre infezioni gravi (vedere “Avvertenze e precauzioni”).  È importante comunicare al medico se ha segni o sintomi di infezione, per esempio, febbre, ferite, sensazione di stanchezza, problemi dentali.</w:t>
      </w:r>
    </w:p>
    <w:p w14:paraId="1D4A0D1C" w14:textId="77777777" w:rsidR="00953B2E" w:rsidRPr="00C35766" w:rsidRDefault="00953B2E">
      <w:pPr>
        <w:pStyle w:val="a3"/>
        <w:numPr>
          <w:ilvl w:val="0"/>
          <w:numId w:val="0"/>
        </w:numPr>
        <w:ind w:left="660"/>
        <w:rPr>
          <w:lang w:val="it-IT"/>
        </w:rPr>
      </w:pPr>
    </w:p>
    <w:p w14:paraId="3CE5B31B" w14:textId="77777777" w:rsidR="00953B2E" w:rsidRPr="00C35766" w:rsidRDefault="005F0C19">
      <w:pPr>
        <w:pStyle w:val="a3"/>
        <w:numPr>
          <w:ilvl w:val="1"/>
          <w:numId w:val="4"/>
        </w:numPr>
        <w:ind w:left="660" w:hanging="660"/>
        <w:rPr>
          <w:lang w:val="it-IT"/>
        </w:rPr>
      </w:pPr>
      <w:r w:rsidRPr="00C35766">
        <w:rPr>
          <w:rFonts w:eastAsia="Times New Roman"/>
          <w:lang w:val="it-IT"/>
        </w:rPr>
        <w:t>In presenza di insufficienza cardiaca moderata o grave. È importante riferire al medico se c’è stata o è presente una condizione cardiaca grave (vedere “Avvertenze e precauzioni”).</w:t>
      </w:r>
    </w:p>
    <w:p w14:paraId="5314D4AB" w14:textId="77777777" w:rsidR="00953B2E" w:rsidRPr="00C35766" w:rsidRDefault="00953B2E">
      <w:pPr>
        <w:spacing w:before="13" w:line="240" w:lineRule="exact"/>
        <w:rPr>
          <w:rFonts w:ascii="Times New Roman" w:hAnsi="Times New Roman" w:cs="Times New Roman"/>
          <w:sz w:val="24"/>
          <w:szCs w:val="24"/>
          <w:lang w:val="it-IT"/>
        </w:rPr>
      </w:pPr>
    </w:p>
    <w:p w14:paraId="612F975C" w14:textId="77777777" w:rsidR="00953B2E" w:rsidRPr="00C35766" w:rsidRDefault="005F0C19">
      <w:pPr>
        <w:pStyle w:val="a3"/>
        <w:rPr>
          <w:b/>
          <w:lang w:val="es-ES"/>
        </w:rPr>
      </w:pPr>
      <w:r w:rsidRPr="00C35766">
        <w:rPr>
          <w:rFonts w:eastAsia="Times New Roman"/>
          <w:b/>
          <w:bCs/>
          <w:lang w:val="it-IT"/>
        </w:rPr>
        <w:t>Avvertenze e precauzioni</w:t>
      </w:r>
    </w:p>
    <w:p w14:paraId="79CE8C32" w14:textId="77777777" w:rsidR="00953B2E" w:rsidRPr="00C35766" w:rsidRDefault="00953B2E">
      <w:pPr>
        <w:spacing w:before="9" w:line="240" w:lineRule="exact"/>
        <w:rPr>
          <w:rFonts w:ascii="Times New Roman" w:hAnsi="Times New Roman" w:cs="Times New Roman"/>
          <w:sz w:val="24"/>
          <w:szCs w:val="24"/>
          <w:lang w:val="es-ES"/>
        </w:rPr>
      </w:pPr>
    </w:p>
    <w:p w14:paraId="03E549F6" w14:textId="77777777" w:rsidR="00953B2E" w:rsidRPr="00C35766" w:rsidRDefault="005F0C19">
      <w:pPr>
        <w:pStyle w:val="a3"/>
        <w:rPr>
          <w:lang w:val="es-ES"/>
        </w:rPr>
      </w:pPr>
      <w:r w:rsidRPr="00C35766">
        <w:rPr>
          <w:rFonts w:eastAsia="Times New Roman"/>
          <w:lang w:val="it-IT"/>
        </w:rPr>
        <w:t>Si rivolga al medico o al farmacista prima di usare Yuflyma.</w:t>
      </w:r>
    </w:p>
    <w:p w14:paraId="0E531625" w14:textId="77777777" w:rsidR="00953B2E" w:rsidRPr="00C35766" w:rsidRDefault="00953B2E">
      <w:pPr>
        <w:pStyle w:val="a3"/>
        <w:rPr>
          <w:lang w:val="es-ES"/>
        </w:rPr>
      </w:pPr>
    </w:p>
    <w:p w14:paraId="248550A0" w14:textId="77777777" w:rsidR="00953B2E" w:rsidRPr="00C35766" w:rsidRDefault="005F0C19">
      <w:pPr>
        <w:pStyle w:val="a3"/>
        <w:rPr>
          <w:u w:val="single" w:color="000000"/>
        </w:rPr>
      </w:pPr>
      <w:r w:rsidRPr="00C35766">
        <w:rPr>
          <w:rFonts w:eastAsia="Times New Roman"/>
          <w:u w:val="single" w:color="000000"/>
          <w:lang w:val="it-IT"/>
        </w:rPr>
        <w:t>Reazioni allergiche</w:t>
      </w:r>
    </w:p>
    <w:p w14:paraId="2972D308" w14:textId="77777777" w:rsidR="00953B2E" w:rsidRPr="00C35766" w:rsidRDefault="00953B2E">
      <w:pPr>
        <w:pStyle w:val="a3"/>
        <w:rPr>
          <w:u w:val="single"/>
        </w:rPr>
      </w:pPr>
    </w:p>
    <w:p w14:paraId="3516A9A2" w14:textId="77777777" w:rsidR="00953B2E" w:rsidRPr="00C35766" w:rsidRDefault="005F0C19">
      <w:pPr>
        <w:pStyle w:val="a3"/>
        <w:numPr>
          <w:ilvl w:val="1"/>
          <w:numId w:val="4"/>
        </w:numPr>
        <w:ind w:left="660" w:hanging="660"/>
        <w:rPr>
          <w:lang w:val="it-IT"/>
        </w:rPr>
      </w:pPr>
      <w:r w:rsidRPr="00C35766">
        <w:rPr>
          <w:rFonts w:eastAsia="Times New Roman"/>
          <w:lang w:val="it-IT"/>
        </w:rPr>
        <w:t>In caso di reazioni allergiche con sintomi quali senso d’oppressione toracica, respiro sibilante, capogiro, gonfiore o eruzione cutanea, non assuma più Yuflyma e contatti il medico immediatamente considerato che, in rari casi, queste reazioni possono essere pericolose per la vita.</w:t>
      </w:r>
    </w:p>
    <w:p w14:paraId="41766985" w14:textId="77777777" w:rsidR="00953B2E" w:rsidRPr="00C35766" w:rsidRDefault="00953B2E">
      <w:pPr>
        <w:pStyle w:val="a3"/>
        <w:rPr>
          <w:b/>
          <w:lang w:val="it-IT"/>
        </w:rPr>
      </w:pPr>
    </w:p>
    <w:p w14:paraId="76BAD999" w14:textId="77777777" w:rsidR="00953B2E" w:rsidRPr="00C35766" w:rsidRDefault="005F0C19">
      <w:pPr>
        <w:pStyle w:val="a3"/>
        <w:rPr>
          <w:u w:val="single"/>
        </w:rPr>
      </w:pPr>
      <w:r w:rsidRPr="00C35766">
        <w:rPr>
          <w:rFonts w:eastAsia="Times New Roman"/>
          <w:u w:val="single"/>
          <w:lang w:val="it-IT"/>
        </w:rPr>
        <w:t>Infezioni</w:t>
      </w:r>
    </w:p>
    <w:p w14:paraId="793AAAF4" w14:textId="77777777" w:rsidR="00953B2E" w:rsidRPr="00C35766" w:rsidRDefault="00953B2E">
      <w:pPr>
        <w:pStyle w:val="a3"/>
        <w:rPr>
          <w:b/>
        </w:rPr>
      </w:pPr>
    </w:p>
    <w:p w14:paraId="5ABD53E4" w14:textId="77777777" w:rsidR="00953B2E" w:rsidRPr="00C35766" w:rsidRDefault="005F0C19">
      <w:pPr>
        <w:pStyle w:val="a3"/>
        <w:numPr>
          <w:ilvl w:val="1"/>
          <w:numId w:val="4"/>
        </w:numPr>
        <w:ind w:left="660" w:hanging="660"/>
      </w:pPr>
      <w:r w:rsidRPr="00C35766">
        <w:rPr>
          <w:rFonts w:eastAsia="Times New Roman"/>
          <w:lang w:val="it-IT"/>
        </w:rPr>
        <w:t>In caso d’infezione, comprese infezioni a lungo termine o infezioni localizzate in una parte del corpo (per esempio, ulcere alle gambe) consulti il medico prima di iniziare il trattamento con Yuflyma. Se ha dubbi, contatti il medico.</w:t>
      </w:r>
    </w:p>
    <w:p w14:paraId="2C483868" w14:textId="77777777" w:rsidR="00953B2E" w:rsidRPr="00C35766" w:rsidRDefault="00953B2E">
      <w:pPr>
        <w:pStyle w:val="a3"/>
      </w:pPr>
    </w:p>
    <w:p w14:paraId="69A8BACE" w14:textId="77777777" w:rsidR="00953B2E" w:rsidRPr="00C35766" w:rsidRDefault="005F0C19">
      <w:pPr>
        <w:pStyle w:val="a3"/>
        <w:numPr>
          <w:ilvl w:val="1"/>
          <w:numId w:val="4"/>
        </w:numPr>
        <w:ind w:left="660" w:hanging="660"/>
        <w:rPr>
          <w:lang w:val="it-IT"/>
        </w:rPr>
      </w:pPr>
      <w:r w:rsidRPr="00C35766">
        <w:rPr>
          <w:rFonts w:eastAsia="Times New Roman"/>
          <w:lang w:val="it-IT"/>
        </w:rPr>
        <w:t>È possibile contrarre più facilmente infezioni durante il trattamento con Yuflyma. Questo rischio può aumentare se ha problemi ai polmoni. Queste infezioni possono essere gravi ed includere:</w:t>
      </w:r>
    </w:p>
    <w:p w14:paraId="0913668D" w14:textId="77777777" w:rsidR="00953B2E" w:rsidRPr="00C35766" w:rsidRDefault="005F0C19">
      <w:pPr>
        <w:pStyle w:val="a3"/>
        <w:numPr>
          <w:ilvl w:val="1"/>
          <w:numId w:val="4"/>
        </w:numPr>
        <w:ind w:left="660" w:firstLine="49"/>
      </w:pPr>
      <w:r w:rsidRPr="00C35766">
        <w:rPr>
          <w:rFonts w:eastAsia="Times New Roman"/>
          <w:lang w:val="it-IT"/>
        </w:rPr>
        <w:t>tubercolosi</w:t>
      </w:r>
    </w:p>
    <w:p w14:paraId="4851F069" w14:textId="77777777" w:rsidR="00953B2E" w:rsidRPr="00C35766" w:rsidRDefault="005F0C19">
      <w:pPr>
        <w:pStyle w:val="a3"/>
        <w:numPr>
          <w:ilvl w:val="1"/>
          <w:numId w:val="4"/>
        </w:numPr>
        <w:ind w:left="660" w:firstLine="49"/>
        <w:rPr>
          <w:lang w:val="pt-BR"/>
        </w:rPr>
      </w:pPr>
      <w:r w:rsidRPr="00C35766">
        <w:rPr>
          <w:rFonts w:eastAsia="Times New Roman"/>
          <w:lang w:val="it-IT"/>
        </w:rPr>
        <w:t>infezioni causate da virus, funghi, parassiti o batteri</w:t>
      </w:r>
    </w:p>
    <w:p w14:paraId="0A80C709" w14:textId="77777777" w:rsidR="00953B2E" w:rsidRPr="00C35766" w:rsidRDefault="005F0C19">
      <w:pPr>
        <w:pStyle w:val="a3"/>
        <w:numPr>
          <w:ilvl w:val="1"/>
          <w:numId w:val="4"/>
        </w:numPr>
        <w:ind w:left="660" w:firstLine="49"/>
        <w:rPr>
          <w:lang w:val="es-ES"/>
        </w:rPr>
      </w:pPr>
      <w:r w:rsidRPr="00C35766">
        <w:rPr>
          <w:rFonts w:eastAsia="Times New Roman"/>
          <w:lang w:val="it-IT"/>
        </w:rPr>
        <w:t>grave infezione del sangue (sepsi)</w:t>
      </w:r>
    </w:p>
    <w:p w14:paraId="09606469" w14:textId="77777777" w:rsidR="00953B2E" w:rsidRPr="00C35766" w:rsidRDefault="00953B2E">
      <w:pPr>
        <w:pStyle w:val="a3"/>
        <w:rPr>
          <w:lang w:val="es-ES"/>
        </w:rPr>
      </w:pPr>
    </w:p>
    <w:p w14:paraId="51F8D634" w14:textId="2A9AD602" w:rsidR="00953B2E" w:rsidRPr="00C35766" w:rsidRDefault="005F0C19">
      <w:pPr>
        <w:pStyle w:val="a3"/>
        <w:numPr>
          <w:ilvl w:val="0"/>
          <w:numId w:val="0"/>
        </w:numPr>
        <w:ind w:left="660"/>
        <w:rPr>
          <w:lang w:val="it-IT"/>
        </w:rPr>
      </w:pPr>
      <w:r w:rsidRPr="00C35766">
        <w:rPr>
          <w:rFonts w:eastAsia="Times New Roman"/>
          <w:lang w:val="it-IT"/>
        </w:rPr>
        <w:t>In rari casi, queste infezioni possono essere rischiose per la vita del paziente. È importante comunicare al medico la presenza di sintomi quali febbre, ferite, sensazione di stanchezza o</w:t>
      </w:r>
      <w:r w:rsidR="003A3B39" w:rsidRPr="00C35766">
        <w:rPr>
          <w:rFonts w:eastAsia="Times New Roman"/>
          <w:lang w:val="it-IT"/>
        </w:rPr>
        <w:t xml:space="preserve"> </w:t>
      </w:r>
      <w:r w:rsidRPr="00C35766">
        <w:rPr>
          <w:rFonts w:eastAsia="Times New Roman"/>
          <w:lang w:val="it-IT"/>
        </w:rPr>
        <w:t>problemi dentali. Il medico potrebbe dirle di interrompere Yuflyma per un periodo di tempo.</w:t>
      </w:r>
    </w:p>
    <w:p w14:paraId="523E5C5C" w14:textId="77777777" w:rsidR="00953B2E" w:rsidRPr="00C35766" w:rsidRDefault="00953B2E">
      <w:pPr>
        <w:pStyle w:val="a3"/>
        <w:rPr>
          <w:lang w:val="it-IT"/>
        </w:rPr>
      </w:pPr>
    </w:p>
    <w:p w14:paraId="3D6A1C99" w14:textId="77777777" w:rsidR="00953B2E" w:rsidRPr="00C35766" w:rsidRDefault="005F0C19">
      <w:pPr>
        <w:pStyle w:val="a3"/>
        <w:numPr>
          <w:ilvl w:val="1"/>
          <w:numId w:val="4"/>
        </w:numPr>
        <w:ind w:left="660" w:hanging="660"/>
        <w:rPr>
          <w:lang w:val="it-IT"/>
        </w:rPr>
      </w:pPr>
      <w:r w:rsidRPr="00C35766">
        <w:rPr>
          <w:rFonts w:eastAsia="Times New Roman"/>
          <w:lang w:val="it-IT"/>
        </w:rPr>
        <w:t>Informi il medico se vive o viaggia in regioni dove le infezioni fungine sono molto comuni (ad esempio istoplasmosi, coccidioidomicosi o blastomicosi).</w:t>
      </w:r>
    </w:p>
    <w:p w14:paraId="2AD7F7FE" w14:textId="77777777" w:rsidR="00953B2E" w:rsidRPr="00C35766" w:rsidRDefault="00953B2E">
      <w:pPr>
        <w:pStyle w:val="a3"/>
        <w:rPr>
          <w:lang w:val="it-IT"/>
        </w:rPr>
      </w:pPr>
    </w:p>
    <w:p w14:paraId="3A51A005" w14:textId="77777777" w:rsidR="00953B2E" w:rsidRPr="00C35766" w:rsidRDefault="005F0C19">
      <w:pPr>
        <w:pStyle w:val="a3"/>
        <w:numPr>
          <w:ilvl w:val="1"/>
          <w:numId w:val="4"/>
        </w:numPr>
        <w:ind w:left="660" w:hanging="660"/>
        <w:rPr>
          <w:lang w:val="it-IT"/>
        </w:rPr>
      </w:pPr>
      <w:r w:rsidRPr="00C35766">
        <w:rPr>
          <w:rFonts w:eastAsia="Times New Roman"/>
          <w:lang w:val="it-IT"/>
        </w:rPr>
        <w:t>Informi il medico se ha avuto infezioni che continuano a ripresentarsi o se ha altre patologie che aumentano il rischio di infezione.</w:t>
      </w:r>
    </w:p>
    <w:p w14:paraId="6874A400" w14:textId="77777777" w:rsidR="00953B2E" w:rsidRPr="00C35766" w:rsidRDefault="00953B2E">
      <w:pPr>
        <w:pStyle w:val="a3"/>
        <w:numPr>
          <w:ilvl w:val="0"/>
          <w:numId w:val="0"/>
        </w:numPr>
        <w:rPr>
          <w:lang w:val="it-IT"/>
        </w:rPr>
      </w:pPr>
    </w:p>
    <w:p w14:paraId="5DC47914" w14:textId="77777777" w:rsidR="00953B2E" w:rsidRPr="00C35766" w:rsidRDefault="005F0C19">
      <w:pPr>
        <w:pStyle w:val="a3"/>
        <w:numPr>
          <w:ilvl w:val="1"/>
          <w:numId w:val="4"/>
        </w:numPr>
        <w:ind w:left="660" w:hanging="660"/>
        <w:rPr>
          <w:lang w:val="it-IT"/>
        </w:rPr>
      </w:pPr>
      <w:r w:rsidRPr="00C35766">
        <w:rPr>
          <w:rFonts w:eastAsia="Times New Roman"/>
          <w:lang w:val="it-IT"/>
        </w:rPr>
        <w:t>Se ha più di 65 anni, potrebbe contrarre infezioni più facilmente mentre assume Yuflyma. Lei e il medico dovete prestare particolare attenzione ai segni di infezione durante il trattamento con Yuflyma.  È importante comunicare al medico se manifesta sintomi di infezioni quali febbre, ferite, sensazione di stanchezza o problemi dentali.</w:t>
      </w:r>
    </w:p>
    <w:p w14:paraId="5565CF61" w14:textId="77777777" w:rsidR="00953B2E" w:rsidRPr="00C35766" w:rsidRDefault="00953B2E">
      <w:pPr>
        <w:spacing w:before="11" w:line="240" w:lineRule="exact"/>
        <w:rPr>
          <w:rFonts w:ascii="Times New Roman" w:hAnsi="Times New Roman" w:cs="Times New Roman"/>
          <w:sz w:val="24"/>
          <w:lang w:val="it-IT"/>
        </w:rPr>
      </w:pPr>
    </w:p>
    <w:p w14:paraId="3DD19148" w14:textId="77777777" w:rsidR="00953B2E" w:rsidRPr="00C35766" w:rsidRDefault="005F0C19">
      <w:pPr>
        <w:pStyle w:val="a3"/>
        <w:rPr>
          <w:u w:val="single"/>
        </w:rPr>
      </w:pPr>
      <w:r w:rsidRPr="00C35766">
        <w:rPr>
          <w:rFonts w:eastAsia="Times New Roman"/>
          <w:u w:val="single" w:color="000000"/>
          <w:lang w:val="it-IT"/>
        </w:rPr>
        <w:t>Tubercolosi</w:t>
      </w:r>
    </w:p>
    <w:p w14:paraId="2BBF5737" w14:textId="77777777" w:rsidR="00953B2E" w:rsidRPr="00C35766" w:rsidRDefault="00953B2E">
      <w:pPr>
        <w:spacing w:before="4" w:line="190" w:lineRule="exact"/>
        <w:rPr>
          <w:rFonts w:ascii="Times New Roman" w:hAnsi="Times New Roman" w:cs="Times New Roman"/>
          <w:sz w:val="19"/>
          <w:szCs w:val="19"/>
        </w:rPr>
      </w:pPr>
    </w:p>
    <w:p w14:paraId="17ECBD04" w14:textId="77777777" w:rsidR="00953B2E" w:rsidRPr="00C35766" w:rsidRDefault="005F0C19">
      <w:pPr>
        <w:pStyle w:val="a3"/>
        <w:numPr>
          <w:ilvl w:val="1"/>
          <w:numId w:val="4"/>
        </w:numPr>
        <w:ind w:left="660" w:hanging="660"/>
        <w:rPr>
          <w:lang w:val="pt-BR"/>
        </w:rPr>
      </w:pPr>
      <w:r w:rsidRPr="00C35766">
        <w:rPr>
          <w:rFonts w:eastAsia="Times New Roman"/>
          <w:lang w:val="it-IT"/>
        </w:rPr>
        <w:t>È molto importante comunicare al medico se ha mai avuto la tubercolosi, o se è stato a contatto con qualcuno che ha avuto la tubercolosi. Non deve assumere Yuflyma se è affetto da tubercolosi attiva.</w:t>
      </w:r>
    </w:p>
    <w:p w14:paraId="701C0968" w14:textId="77777777" w:rsidR="00953B2E" w:rsidRPr="00C35766" w:rsidRDefault="005F0C19">
      <w:pPr>
        <w:pStyle w:val="a3"/>
        <w:numPr>
          <w:ilvl w:val="1"/>
          <w:numId w:val="4"/>
        </w:numPr>
        <w:ind w:left="998" w:hanging="340"/>
        <w:rPr>
          <w:lang w:val="pt-BR"/>
        </w:rPr>
      </w:pPr>
      <w:r w:rsidRPr="00C35766">
        <w:rPr>
          <w:rFonts w:eastAsia="Times New Roman"/>
          <w:lang w:val="it-IT"/>
        </w:rPr>
        <w:t xml:space="preserve">Poiché si sono verificati dei casi di tubercolosi in pazienti sottoposti a trattamento con Yuflyma, il medico dovrà controllare se presenta segni o sintomi tipici della tubercolosi prima di iniziare la terapia con Yuflyma. Questo comporterà la raccolta di una valutazione medica dettagliata che includa la sua anamnesi e appropriati esami clinici (per es. una radiografia del torace e il test alla tubercolina). L’esecuzione e i risultati di tali esami devono essere registrati nella </w:t>
      </w:r>
      <w:r w:rsidRPr="00C35766">
        <w:rPr>
          <w:rFonts w:eastAsia="Times New Roman"/>
          <w:b/>
          <w:bCs/>
          <w:lang w:val="it-IT"/>
        </w:rPr>
        <w:t>Scheda Promemoria per il Paziente</w:t>
      </w:r>
      <w:r w:rsidRPr="00C35766">
        <w:rPr>
          <w:rFonts w:eastAsia="Times New Roman"/>
          <w:lang w:val="it-IT"/>
        </w:rPr>
        <w:t>.</w:t>
      </w:r>
    </w:p>
    <w:p w14:paraId="7EA1DB81" w14:textId="77777777" w:rsidR="00953B2E" w:rsidRPr="00C35766" w:rsidRDefault="005F0C19">
      <w:pPr>
        <w:pStyle w:val="a3"/>
        <w:numPr>
          <w:ilvl w:val="1"/>
          <w:numId w:val="4"/>
        </w:numPr>
        <w:ind w:left="998" w:hanging="340"/>
        <w:rPr>
          <w:lang w:val="es-ES"/>
        </w:rPr>
      </w:pPr>
      <w:r w:rsidRPr="00C35766">
        <w:rPr>
          <w:rFonts w:eastAsia="Times New Roman"/>
          <w:lang w:val="it-IT"/>
        </w:rPr>
        <w:t>La tubercolosi si può manifestare durante la terapia nonostante lei abbia ricevuto un trattamento per la prevenzione della tubercolosi.</w:t>
      </w:r>
    </w:p>
    <w:p w14:paraId="226EE677" w14:textId="77777777" w:rsidR="00953B2E" w:rsidRPr="00C35766" w:rsidRDefault="005F0C19">
      <w:pPr>
        <w:pStyle w:val="a3"/>
        <w:numPr>
          <w:ilvl w:val="1"/>
          <w:numId w:val="4"/>
        </w:numPr>
        <w:ind w:left="998" w:hanging="340"/>
        <w:rPr>
          <w:lang w:val="es-ES"/>
        </w:rPr>
      </w:pPr>
      <w:r w:rsidRPr="00C35766">
        <w:rPr>
          <w:rFonts w:eastAsia="Times New Roman"/>
          <w:lang w:val="it-IT"/>
        </w:rPr>
        <w:t>Contatti immediatamente il medico se durante o dopo la terapia compaiono sintomi di tubercolosi (ad esempio tosse che non scompare, perdita di peso, mancanza di energia, febbre leggera) o di altre infezioni.</w:t>
      </w:r>
    </w:p>
    <w:p w14:paraId="138C2DCA" w14:textId="77777777" w:rsidR="00953B2E" w:rsidRPr="00C35766" w:rsidRDefault="00953B2E">
      <w:pPr>
        <w:spacing w:before="11" w:line="240" w:lineRule="exact"/>
        <w:rPr>
          <w:rFonts w:ascii="Times New Roman" w:hAnsi="Times New Roman" w:cs="Times New Roman"/>
          <w:sz w:val="24"/>
          <w:szCs w:val="24"/>
          <w:lang w:val="es-ES"/>
        </w:rPr>
      </w:pPr>
    </w:p>
    <w:p w14:paraId="03C54799" w14:textId="77777777" w:rsidR="00953B2E" w:rsidRPr="00C35766" w:rsidRDefault="005F0C19">
      <w:pPr>
        <w:pStyle w:val="a3"/>
        <w:rPr>
          <w:u w:val="single"/>
        </w:rPr>
      </w:pPr>
      <w:r w:rsidRPr="00C35766">
        <w:rPr>
          <w:rFonts w:eastAsia="Times New Roman"/>
          <w:u w:val="single" w:color="000000"/>
          <w:lang w:val="it-IT"/>
        </w:rPr>
        <w:t>Epatite B</w:t>
      </w:r>
    </w:p>
    <w:p w14:paraId="42586850" w14:textId="77777777" w:rsidR="00953B2E" w:rsidRPr="00C35766" w:rsidRDefault="00953B2E">
      <w:pPr>
        <w:spacing w:before="4" w:line="190" w:lineRule="exact"/>
        <w:rPr>
          <w:rFonts w:ascii="Times New Roman" w:hAnsi="Times New Roman" w:cs="Times New Roman"/>
          <w:sz w:val="19"/>
          <w:szCs w:val="19"/>
        </w:rPr>
      </w:pPr>
    </w:p>
    <w:p w14:paraId="54A69396" w14:textId="77777777" w:rsidR="00953B2E" w:rsidRPr="00C35766" w:rsidRDefault="005F0C19">
      <w:pPr>
        <w:pStyle w:val="a3"/>
        <w:numPr>
          <w:ilvl w:val="1"/>
          <w:numId w:val="4"/>
        </w:numPr>
        <w:ind w:left="660" w:hanging="660"/>
        <w:rPr>
          <w:lang w:val="it-IT"/>
        </w:rPr>
      </w:pPr>
      <w:r w:rsidRPr="00C35766">
        <w:rPr>
          <w:rFonts w:eastAsia="Times New Roman"/>
          <w:lang w:val="it-IT"/>
        </w:rPr>
        <w:t>Comunichi al medico se lei è portatore del virus dell’epatite B (HBV), se ha un’infezione in fase attiva da virus dell’epatite B o se pensa di poter essere a rischio di contrarre il virus dell’epatite B.</w:t>
      </w:r>
    </w:p>
    <w:p w14:paraId="1578C91F" w14:textId="77777777" w:rsidR="00953B2E" w:rsidRPr="00C35766" w:rsidRDefault="005F0C19">
      <w:pPr>
        <w:pStyle w:val="a3"/>
        <w:numPr>
          <w:ilvl w:val="1"/>
          <w:numId w:val="4"/>
        </w:numPr>
        <w:ind w:left="998" w:hanging="340"/>
        <w:rPr>
          <w:lang w:val="it-IT"/>
        </w:rPr>
      </w:pPr>
      <w:r w:rsidRPr="00C35766">
        <w:rPr>
          <w:rFonts w:eastAsia="Times New Roman"/>
          <w:lang w:val="it-IT"/>
        </w:rPr>
        <w:t>Il medico La deve testare per l’infezione da virus dell’epatite B. Nei portatori di HBV, l’assunzione di Yuflyma può indurre il virus ad attivarsi nuovamente.</w:t>
      </w:r>
    </w:p>
    <w:p w14:paraId="55C865C1" w14:textId="77777777" w:rsidR="00953B2E" w:rsidRPr="00C35766" w:rsidRDefault="005F0C19">
      <w:pPr>
        <w:pStyle w:val="a3"/>
        <w:numPr>
          <w:ilvl w:val="1"/>
          <w:numId w:val="4"/>
        </w:numPr>
        <w:ind w:left="998" w:hanging="340"/>
        <w:rPr>
          <w:lang w:val="it-IT"/>
        </w:rPr>
      </w:pPr>
      <w:r w:rsidRPr="00C35766">
        <w:rPr>
          <w:rFonts w:eastAsia="Times New Roman"/>
          <w:lang w:val="it-IT"/>
        </w:rPr>
        <w:t>In alcuni rari casi, soprattutto se il paziente è sottoposto a terapia con altri farmaci che sopprimono il sistema immunitario, la riattivazione del virus dell’epatite B può mettere a repentaglio la vita del paziente.</w:t>
      </w:r>
    </w:p>
    <w:p w14:paraId="03F47F80" w14:textId="77777777" w:rsidR="00953B2E" w:rsidRPr="00C35766" w:rsidRDefault="00953B2E">
      <w:pPr>
        <w:spacing w:before="11" w:line="240" w:lineRule="exact"/>
        <w:rPr>
          <w:rFonts w:ascii="Times New Roman" w:hAnsi="Times New Roman" w:cs="Times New Roman"/>
          <w:sz w:val="24"/>
          <w:lang w:val="it-IT"/>
        </w:rPr>
      </w:pPr>
    </w:p>
    <w:p w14:paraId="55CBF191" w14:textId="77777777" w:rsidR="00953B2E" w:rsidRPr="00C35766" w:rsidRDefault="005F0C19">
      <w:pPr>
        <w:pStyle w:val="a3"/>
        <w:rPr>
          <w:u w:val="single"/>
        </w:rPr>
      </w:pPr>
      <w:r w:rsidRPr="00C35766">
        <w:rPr>
          <w:rFonts w:eastAsia="Times New Roman"/>
          <w:u w:val="single" w:color="000000"/>
          <w:lang w:val="it-IT"/>
        </w:rPr>
        <w:t>Interventi chirurgici o procedure dentistiche</w:t>
      </w:r>
    </w:p>
    <w:p w14:paraId="0BFF3DFE" w14:textId="77777777" w:rsidR="00953B2E" w:rsidRPr="00C35766" w:rsidRDefault="00953B2E">
      <w:pPr>
        <w:spacing w:before="4" w:line="190" w:lineRule="exact"/>
        <w:rPr>
          <w:rFonts w:ascii="Times New Roman" w:hAnsi="Times New Roman" w:cs="Times New Roman"/>
          <w:sz w:val="19"/>
          <w:szCs w:val="19"/>
        </w:rPr>
      </w:pPr>
    </w:p>
    <w:p w14:paraId="59F9E57B" w14:textId="77777777" w:rsidR="00953B2E" w:rsidRPr="00C35766" w:rsidRDefault="005F0C19">
      <w:pPr>
        <w:pStyle w:val="a3"/>
        <w:numPr>
          <w:ilvl w:val="1"/>
          <w:numId w:val="4"/>
        </w:numPr>
        <w:ind w:left="660" w:hanging="660"/>
      </w:pPr>
      <w:r w:rsidRPr="00C35766">
        <w:rPr>
          <w:rFonts w:eastAsia="Times New Roman"/>
          <w:lang w:val="it-IT"/>
        </w:rPr>
        <w:t>Prima di un intervento chirurgico o procedure dentistiche, informi il medico che sta prendendo Yuflyma. Il medico potrebbe consigliare la sospensione temporanea di Yuflyma.</w:t>
      </w:r>
    </w:p>
    <w:p w14:paraId="62E57FF7" w14:textId="77777777" w:rsidR="00953B2E" w:rsidRPr="00C35766" w:rsidRDefault="00953B2E">
      <w:pPr>
        <w:spacing w:before="8" w:line="240" w:lineRule="exact"/>
        <w:rPr>
          <w:rFonts w:ascii="Times New Roman" w:hAnsi="Times New Roman" w:cs="Times New Roman"/>
          <w:sz w:val="24"/>
          <w:szCs w:val="24"/>
        </w:rPr>
      </w:pPr>
    </w:p>
    <w:p w14:paraId="196B103B" w14:textId="77777777" w:rsidR="00953B2E" w:rsidRPr="00C35766" w:rsidRDefault="005F0C19">
      <w:pPr>
        <w:pStyle w:val="a3"/>
        <w:rPr>
          <w:u w:val="single"/>
        </w:rPr>
      </w:pPr>
      <w:r w:rsidRPr="00C35766">
        <w:rPr>
          <w:rFonts w:eastAsia="Times New Roman"/>
          <w:u w:val="single" w:color="000000"/>
          <w:lang w:val="it-IT"/>
        </w:rPr>
        <w:t>Malattie demielinizzanti</w:t>
      </w:r>
    </w:p>
    <w:p w14:paraId="3B5A77AF" w14:textId="77777777" w:rsidR="00953B2E" w:rsidRPr="00C35766" w:rsidRDefault="00953B2E">
      <w:pPr>
        <w:spacing w:before="4" w:line="190" w:lineRule="exact"/>
        <w:rPr>
          <w:rFonts w:ascii="Times New Roman" w:hAnsi="Times New Roman" w:cs="Times New Roman"/>
          <w:sz w:val="19"/>
          <w:szCs w:val="19"/>
        </w:rPr>
      </w:pPr>
    </w:p>
    <w:p w14:paraId="18AE3CA8" w14:textId="77777777" w:rsidR="00953B2E" w:rsidRPr="00C35766" w:rsidRDefault="005F0C19">
      <w:pPr>
        <w:pStyle w:val="a3"/>
        <w:numPr>
          <w:ilvl w:val="1"/>
          <w:numId w:val="4"/>
        </w:numPr>
        <w:ind w:left="660" w:hanging="660"/>
        <w:rPr>
          <w:lang w:val="pt-BR"/>
        </w:rPr>
      </w:pPr>
      <w:r w:rsidRPr="00C35766">
        <w:rPr>
          <w:rFonts w:eastAsia="Times New Roman"/>
          <w:lang w:val="it-IT"/>
        </w:rPr>
        <w:t>Se è affetto da o sviluppa una malattia demielinizzante (malattia che colpisce lo strato isolante attorno ai nervi, come la sclerosi multipla), il medico deciderà se è il caso di iniziare o continuare a ricevere il trattamento con Yuflyma.  Informi il medico immediatamente nel caso in cui lei manifesti sintomi quali variazioni nella visione, debolezza di braccia o gambe o intorpidimento o formicolio che interessi qualsiasi parte del corpo.</w:t>
      </w:r>
    </w:p>
    <w:p w14:paraId="6F59C8D4" w14:textId="77777777" w:rsidR="00953B2E" w:rsidRPr="00C35766" w:rsidRDefault="00953B2E">
      <w:pPr>
        <w:spacing w:before="14" w:line="240" w:lineRule="exact"/>
        <w:rPr>
          <w:rFonts w:ascii="Times New Roman" w:hAnsi="Times New Roman" w:cs="Times New Roman"/>
          <w:sz w:val="24"/>
          <w:szCs w:val="24"/>
          <w:lang w:val="pt-BR"/>
        </w:rPr>
      </w:pPr>
    </w:p>
    <w:p w14:paraId="627A5803" w14:textId="77777777" w:rsidR="00953B2E" w:rsidRPr="00C35766" w:rsidRDefault="005F0C19">
      <w:pPr>
        <w:pStyle w:val="a3"/>
        <w:rPr>
          <w:u w:val="single"/>
        </w:rPr>
      </w:pPr>
      <w:r w:rsidRPr="00C35766">
        <w:rPr>
          <w:rFonts w:eastAsia="Times New Roman"/>
          <w:u w:val="single" w:color="000000"/>
          <w:lang w:val="it-IT"/>
        </w:rPr>
        <w:t>Vaccinazioni</w:t>
      </w:r>
    </w:p>
    <w:p w14:paraId="0A8F539E" w14:textId="77777777" w:rsidR="00953B2E" w:rsidRPr="00C35766" w:rsidRDefault="00953B2E">
      <w:pPr>
        <w:spacing w:before="4" w:line="190" w:lineRule="exact"/>
        <w:rPr>
          <w:rFonts w:ascii="Times New Roman" w:hAnsi="Times New Roman" w:cs="Times New Roman"/>
          <w:sz w:val="19"/>
          <w:szCs w:val="19"/>
        </w:rPr>
      </w:pPr>
    </w:p>
    <w:p w14:paraId="378796C9" w14:textId="77777777" w:rsidR="00953B2E" w:rsidRPr="00C35766" w:rsidRDefault="005F0C19">
      <w:pPr>
        <w:pStyle w:val="a3"/>
        <w:numPr>
          <w:ilvl w:val="1"/>
          <w:numId w:val="4"/>
        </w:numPr>
        <w:ind w:left="660" w:hanging="660"/>
        <w:rPr>
          <w:lang w:val="it-IT"/>
        </w:rPr>
      </w:pPr>
      <w:r w:rsidRPr="00C35766">
        <w:rPr>
          <w:rFonts w:eastAsia="Times New Roman"/>
          <w:lang w:val="it-IT"/>
        </w:rPr>
        <w:t>Certi vaccini possono causare infezioni e non devono essere somministrati durante il trattamento con Yuflyma.</w:t>
      </w:r>
    </w:p>
    <w:p w14:paraId="67B0744F" w14:textId="77777777" w:rsidR="00953B2E" w:rsidRPr="00C35766" w:rsidRDefault="00953B2E">
      <w:pPr>
        <w:spacing w:before="11" w:line="240" w:lineRule="exact"/>
        <w:rPr>
          <w:rFonts w:ascii="Times New Roman" w:hAnsi="Times New Roman" w:cs="Times New Roman"/>
          <w:sz w:val="24"/>
          <w:lang w:val="it-IT"/>
        </w:rPr>
      </w:pPr>
    </w:p>
    <w:p w14:paraId="776AEBFD" w14:textId="77777777" w:rsidR="00953B2E" w:rsidRPr="00C35766" w:rsidRDefault="005F0C19">
      <w:pPr>
        <w:pStyle w:val="a3"/>
        <w:numPr>
          <w:ilvl w:val="1"/>
          <w:numId w:val="4"/>
        </w:numPr>
        <w:ind w:left="998" w:hanging="340"/>
        <w:rPr>
          <w:lang w:val="it-IT"/>
        </w:rPr>
      </w:pPr>
      <w:r w:rsidRPr="00C35766">
        <w:rPr>
          <w:rFonts w:eastAsia="Times New Roman"/>
          <w:lang w:val="it-IT"/>
        </w:rPr>
        <w:t>Consulti il medico prima di sottoporsi a vaccinazioni.</w:t>
      </w:r>
    </w:p>
    <w:p w14:paraId="5BEC3B53" w14:textId="77777777" w:rsidR="00953B2E" w:rsidRPr="00C35766" w:rsidRDefault="005F0C19">
      <w:pPr>
        <w:pStyle w:val="a3"/>
        <w:numPr>
          <w:ilvl w:val="1"/>
          <w:numId w:val="4"/>
        </w:numPr>
        <w:ind w:left="998" w:hanging="340"/>
        <w:rPr>
          <w:lang w:val="it-IT"/>
        </w:rPr>
      </w:pPr>
      <w:r w:rsidRPr="00C35766">
        <w:rPr>
          <w:rFonts w:eastAsia="Times New Roman"/>
          <w:lang w:val="it-IT"/>
        </w:rPr>
        <w:t>Si raccomanda, se possibile, di sottoporre i bambini a tutte le vaccinazioni previste per la loro età prima di iniziare il trattamento con Yuflyma.</w:t>
      </w:r>
    </w:p>
    <w:p w14:paraId="10ACC715" w14:textId="540B7E81" w:rsidR="00953B2E" w:rsidRPr="00C35766" w:rsidRDefault="005F0C19">
      <w:pPr>
        <w:pStyle w:val="a3"/>
        <w:numPr>
          <w:ilvl w:val="1"/>
          <w:numId w:val="4"/>
        </w:numPr>
        <w:ind w:left="998" w:hanging="340"/>
        <w:rPr>
          <w:lang w:val="it-IT"/>
        </w:rPr>
      </w:pPr>
      <w:r w:rsidRPr="00C35766">
        <w:rPr>
          <w:rFonts w:eastAsia="Times New Roman"/>
          <w:lang w:val="it-IT"/>
        </w:rPr>
        <w:t xml:space="preserve">Se ha assunto Yuflyma durante la gravidanza, il bambino potrebbe avere un maggior rischio di contrarre </w:t>
      </w:r>
      <w:r w:rsidR="00C86C49" w:rsidRPr="00C35766">
        <w:rPr>
          <w:rFonts w:eastAsia="Times New Roman"/>
          <w:lang w:val="it-IT"/>
        </w:rPr>
        <w:t>un’</w:t>
      </w:r>
      <w:r w:rsidRPr="00C35766">
        <w:rPr>
          <w:rFonts w:eastAsia="Times New Roman"/>
          <w:lang w:val="it-IT"/>
        </w:rPr>
        <w:t>infezione fino a circa 5 mesi dopo l’ultima somministrazione di Yuflyma ricevuta in gravidanza. È importante che lei riferisca al pediatra o ad altro operatore sanitario del suo utilizzo di Yuflyma durante la gravidanza, cosicché possano decidere quando il bambino deve ricevere qualsiasi tipo di vaccinazione.</w:t>
      </w:r>
    </w:p>
    <w:p w14:paraId="4F5E21A2" w14:textId="77777777" w:rsidR="00953B2E" w:rsidRPr="00C35766" w:rsidRDefault="00953B2E">
      <w:pPr>
        <w:spacing w:before="14" w:line="240" w:lineRule="exact"/>
        <w:rPr>
          <w:rFonts w:ascii="Times New Roman" w:hAnsi="Times New Roman" w:cs="Times New Roman"/>
          <w:sz w:val="24"/>
          <w:szCs w:val="24"/>
          <w:lang w:val="it-IT"/>
        </w:rPr>
      </w:pPr>
    </w:p>
    <w:p w14:paraId="693D15BF" w14:textId="77777777" w:rsidR="00953B2E" w:rsidRPr="00C35766" w:rsidRDefault="005F0C19">
      <w:pPr>
        <w:pStyle w:val="a3"/>
        <w:rPr>
          <w:u w:val="single"/>
        </w:rPr>
      </w:pPr>
      <w:r w:rsidRPr="00C35766">
        <w:rPr>
          <w:rFonts w:eastAsia="Times New Roman"/>
          <w:u w:val="single" w:color="000000"/>
          <w:lang w:val="it-IT"/>
        </w:rPr>
        <w:t>Insufficienza cardiaca</w:t>
      </w:r>
    </w:p>
    <w:p w14:paraId="67782EAE" w14:textId="77777777" w:rsidR="00953B2E" w:rsidRPr="00C35766" w:rsidRDefault="00953B2E">
      <w:pPr>
        <w:spacing w:before="4" w:line="190" w:lineRule="exact"/>
        <w:rPr>
          <w:rFonts w:ascii="Times New Roman" w:hAnsi="Times New Roman" w:cs="Times New Roman"/>
          <w:sz w:val="19"/>
          <w:szCs w:val="19"/>
        </w:rPr>
      </w:pPr>
    </w:p>
    <w:p w14:paraId="08A3B171" w14:textId="5800F334" w:rsidR="00953B2E" w:rsidRPr="00C35766" w:rsidRDefault="005F0C19">
      <w:pPr>
        <w:pStyle w:val="a3"/>
        <w:numPr>
          <w:ilvl w:val="1"/>
          <w:numId w:val="4"/>
        </w:numPr>
        <w:ind w:left="660" w:hanging="660"/>
      </w:pPr>
      <w:r w:rsidRPr="00C35766">
        <w:rPr>
          <w:rFonts w:eastAsia="Times New Roman"/>
          <w:lang w:val="it-IT"/>
        </w:rPr>
        <w:t>In caso di lieve insufficienza cardiaca e di concomitante trattamento con Yuflyma, il medico dovrà attentamente valutare e seguire lo stato del suo cuore. È importante informare il medico</w:t>
      </w:r>
      <w:r w:rsidR="00745249" w:rsidRPr="00C35766" w:rsidDel="00FB3571">
        <w:rPr>
          <w:rFonts w:eastAsia="Times New Roman"/>
          <w:lang w:val="it-IT"/>
        </w:rPr>
        <w:t xml:space="preserve"> </w:t>
      </w:r>
      <w:r w:rsidR="00745249" w:rsidRPr="00C35766">
        <w:rPr>
          <w:rFonts w:eastAsia="Times New Roman"/>
          <w:lang w:val="it-IT"/>
        </w:rPr>
        <w:t>se ha o ha avuto in passato gravi problemi al cuore</w:t>
      </w:r>
      <w:r w:rsidRPr="00C35766">
        <w:rPr>
          <w:rFonts w:eastAsia="Times New Roman"/>
          <w:lang w:val="it-IT"/>
        </w:rPr>
        <w:t xml:space="preserve">. Se appaiono nuovi sintomi di insufficienza cardiaca o se i sintomi già esistenti dovessero peggiorare (per esempio, respiro corto o gonfiore dei piedi), contatti immediatamente il medico.  </w:t>
      </w:r>
      <w:r w:rsidR="004826BC" w:rsidRPr="00C35766">
        <w:rPr>
          <w:rFonts w:eastAsia="Times New Roman"/>
          <w:lang w:val="it-IT"/>
        </w:rPr>
        <w:t>I</w:t>
      </w:r>
      <w:r w:rsidRPr="00C35766">
        <w:rPr>
          <w:rFonts w:eastAsia="Times New Roman"/>
          <w:lang w:val="it-IT"/>
        </w:rPr>
        <w:t>l medico deciderà se è possibile usare Yuflyma.</w:t>
      </w:r>
    </w:p>
    <w:p w14:paraId="0ADAE291" w14:textId="77777777" w:rsidR="00953B2E" w:rsidRPr="00C35766" w:rsidRDefault="00953B2E">
      <w:pPr>
        <w:spacing w:before="14" w:line="240" w:lineRule="exact"/>
        <w:rPr>
          <w:rFonts w:ascii="Times New Roman" w:hAnsi="Times New Roman" w:cs="Times New Roman"/>
          <w:sz w:val="24"/>
          <w:szCs w:val="24"/>
        </w:rPr>
      </w:pPr>
    </w:p>
    <w:p w14:paraId="0A329617" w14:textId="5B0E86B5" w:rsidR="00953B2E" w:rsidRPr="00C35766" w:rsidRDefault="005F0C19">
      <w:pPr>
        <w:pStyle w:val="a3"/>
        <w:rPr>
          <w:u w:val="single"/>
        </w:rPr>
      </w:pPr>
      <w:r w:rsidRPr="00C35766">
        <w:rPr>
          <w:rFonts w:eastAsia="Times New Roman"/>
          <w:u w:val="single" w:color="000000"/>
          <w:lang w:val="it-IT"/>
        </w:rPr>
        <w:t xml:space="preserve">Febbre, lividi, </w:t>
      </w:r>
      <w:r w:rsidR="00745249" w:rsidRPr="00C35766">
        <w:rPr>
          <w:rFonts w:eastAsia="Times New Roman"/>
          <w:u w:val="single" w:color="000000"/>
          <w:lang w:val="it-IT"/>
        </w:rPr>
        <w:t>sanguinamento</w:t>
      </w:r>
      <w:r w:rsidRPr="00C35766">
        <w:rPr>
          <w:rFonts w:eastAsia="Times New Roman"/>
          <w:u w:val="single" w:color="000000"/>
          <w:lang w:val="it-IT"/>
        </w:rPr>
        <w:t xml:space="preserve"> o pallore</w:t>
      </w:r>
    </w:p>
    <w:p w14:paraId="3845DC69" w14:textId="77777777" w:rsidR="007A3774" w:rsidRPr="00C35766" w:rsidRDefault="00745249" w:rsidP="00745249">
      <w:pPr>
        <w:pStyle w:val="a3"/>
        <w:rPr>
          <w:rFonts w:eastAsia="Times New Roman"/>
          <w:lang w:val="it-IT"/>
        </w:rPr>
      </w:pPr>
      <w:r w:rsidRPr="00C35766">
        <w:rPr>
          <w:rFonts w:eastAsia="Times New Roman"/>
          <w:lang w:val="it-IT"/>
        </w:rPr>
        <w:t>In alcuni pazienti l’organismo può non essere in grado di produrre un quantitativo di cellule ematiche sufficiente e tale da combattere le infezioni o arrestare un sanguinamento. Il medico potrebbe decidere di interrompere la terapia. Nel caso in cui lei abbia febbre persistente, lividi o facilità di sanguinamento o pallore, si rivolga immediatamente al medico.</w:t>
      </w:r>
    </w:p>
    <w:p w14:paraId="19C49481" w14:textId="77777777" w:rsidR="007A3774" w:rsidRPr="00C35766" w:rsidRDefault="007A3774" w:rsidP="00745249">
      <w:pPr>
        <w:pStyle w:val="a3"/>
        <w:rPr>
          <w:rFonts w:eastAsia="Times New Roman"/>
          <w:lang w:val="it-IT"/>
        </w:rPr>
      </w:pPr>
    </w:p>
    <w:p w14:paraId="6CC8FB5B" w14:textId="6B25874D" w:rsidR="00745249" w:rsidRPr="00C35766" w:rsidRDefault="00745249" w:rsidP="00745249">
      <w:pPr>
        <w:pStyle w:val="a3"/>
        <w:rPr>
          <w:u w:val="single"/>
        </w:rPr>
      </w:pPr>
      <w:r w:rsidRPr="00C35766">
        <w:rPr>
          <w:rFonts w:eastAsia="Times New Roman"/>
          <w:u w:val="single"/>
          <w:lang w:val="it-IT"/>
        </w:rPr>
        <w:t>Tumore</w:t>
      </w:r>
    </w:p>
    <w:p w14:paraId="755FD58E" w14:textId="77777777" w:rsidR="00745249" w:rsidRPr="00C35766" w:rsidRDefault="00745249" w:rsidP="00745249">
      <w:pPr>
        <w:pStyle w:val="a3"/>
        <w:rPr>
          <w:u w:val="single"/>
        </w:rPr>
      </w:pPr>
    </w:p>
    <w:p w14:paraId="7890A065" w14:textId="77777777" w:rsidR="00745249" w:rsidRPr="00824699" w:rsidRDefault="00745249" w:rsidP="00745249">
      <w:pPr>
        <w:pStyle w:val="a3"/>
        <w:numPr>
          <w:ilvl w:val="1"/>
          <w:numId w:val="4"/>
        </w:numPr>
        <w:ind w:left="660" w:hanging="660"/>
        <w:rPr>
          <w:lang w:val="it-IT"/>
        </w:rPr>
      </w:pPr>
      <w:r w:rsidRPr="00C35766">
        <w:rPr>
          <w:rFonts w:eastAsia="Times New Roman"/>
          <w:lang w:val="it-IT"/>
        </w:rPr>
        <w:t>Nei pazienti, sia bambini sia adulti, sottoposti a trattamento con Yuflyma o con altri farmaci anti-TNF, si sono manifestati molto raramente alcuni tipi di tumori.</w:t>
      </w:r>
    </w:p>
    <w:p w14:paraId="5F662D9D" w14:textId="77777777" w:rsidR="00745249" w:rsidRPr="00824699" w:rsidRDefault="00745249" w:rsidP="00745249">
      <w:pPr>
        <w:pStyle w:val="a3"/>
        <w:rPr>
          <w:lang w:val="it-IT"/>
        </w:rPr>
      </w:pPr>
    </w:p>
    <w:p w14:paraId="6DF0C1AA" w14:textId="77777777" w:rsidR="00745249" w:rsidRPr="00824699" w:rsidRDefault="00745249" w:rsidP="00745249">
      <w:pPr>
        <w:pStyle w:val="a3"/>
        <w:numPr>
          <w:ilvl w:val="1"/>
          <w:numId w:val="4"/>
        </w:numPr>
        <w:ind w:left="998" w:hanging="340"/>
        <w:rPr>
          <w:lang w:val="it-IT"/>
        </w:rPr>
      </w:pPr>
      <w:r w:rsidRPr="00C35766">
        <w:rPr>
          <w:rFonts w:eastAsia="Times New Roman"/>
          <w:lang w:val="it-IT"/>
        </w:rPr>
        <w:t>I pazienti con artrite reumatoide di grave entità da molto tempo possono presentare un rischio superiore alla media di sviluppare un linfoma (un tumore che colpisce il sistema linfatico) e leucemia (un tumore che colpisce il sangue e il midollo osseo).</w:t>
      </w:r>
    </w:p>
    <w:p w14:paraId="48428A99" w14:textId="77777777" w:rsidR="00745249" w:rsidRPr="00824699" w:rsidRDefault="00745249" w:rsidP="00745249">
      <w:pPr>
        <w:pStyle w:val="a3"/>
        <w:numPr>
          <w:ilvl w:val="1"/>
          <w:numId w:val="4"/>
        </w:numPr>
        <w:ind w:left="998" w:hanging="340"/>
        <w:rPr>
          <w:lang w:val="it-IT"/>
        </w:rPr>
      </w:pPr>
      <w:r w:rsidRPr="00C35766">
        <w:rPr>
          <w:rFonts w:eastAsia="Times New Roman"/>
          <w:lang w:val="it-IT"/>
        </w:rPr>
        <w:t>Se lei assume Yuflyma, il rischio di contrarre linfomi, leucemia o altri tumori può aumentare. In rare circostanze, nei pazienti sottoposti a terapia con Yuflyma, è stato osservato un tipo non comune e grave di linfoma. Alcuni di questi pazienti erano anche in terapia con azatioprina o 6-mercaptopurina.</w:t>
      </w:r>
    </w:p>
    <w:p w14:paraId="3BCBE287" w14:textId="77777777" w:rsidR="00745249" w:rsidRPr="00824699" w:rsidRDefault="00745249" w:rsidP="00745249">
      <w:pPr>
        <w:pStyle w:val="a3"/>
        <w:numPr>
          <w:ilvl w:val="1"/>
          <w:numId w:val="4"/>
        </w:numPr>
        <w:ind w:left="998" w:hanging="340"/>
        <w:rPr>
          <w:lang w:val="it-IT"/>
        </w:rPr>
      </w:pPr>
      <w:r w:rsidRPr="00C35766">
        <w:rPr>
          <w:rFonts w:eastAsia="Times New Roman"/>
          <w:lang w:val="it-IT"/>
        </w:rPr>
        <w:t>Avvisi il medico se sta assumendo azatioprina o 6-mercaptopurina con Yuflyma.</w:t>
      </w:r>
    </w:p>
    <w:p w14:paraId="17BE31CF" w14:textId="77777777" w:rsidR="00745249" w:rsidRPr="00C35766" w:rsidRDefault="00745249" w:rsidP="00745249">
      <w:pPr>
        <w:pStyle w:val="a3"/>
        <w:numPr>
          <w:ilvl w:val="1"/>
          <w:numId w:val="4"/>
        </w:numPr>
        <w:ind w:left="998" w:hanging="340"/>
        <w:rPr>
          <w:lang w:val="pt-BR"/>
        </w:rPr>
      </w:pPr>
      <w:r w:rsidRPr="00C35766">
        <w:rPr>
          <w:rFonts w:eastAsia="Times New Roman"/>
          <w:lang w:val="it-IT"/>
        </w:rPr>
        <w:t>Nei pazienti che assumono Yuflyma, sono stati osservati casi di carcinoma cutaneo non melanotico.</w:t>
      </w:r>
    </w:p>
    <w:p w14:paraId="768980BA" w14:textId="77777777" w:rsidR="00745249" w:rsidRPr="00C35766" w:rsidRDefault="00745249" w:rsidP="00745249">
      <w:pPr>
        <w:pStyle w:val="a3"/>
        <w:numPr>
          <w:ilvl w:val="1"/>
          <w:numId w:val="4"/>
        </w:numPr>
        <w:ind w:left="998" w:hanging="340"/>
        <w:rPr>
          <w:lang w:val="pt-BR"/>
        </w:rPr>
      </w:pPr>
      <w:r w:rsidRPr="00C35766">
        <w:rPr>
          <w:rFonts w:eastAsia="Times New Roman"/>
          <w:lang w:val="it-IT"/>
        </w:rPr>
        <w:t>Se dovessero comparire nuove lesioni cutanee nel corso della terapia o successivamente ad essa o se l’aspetto delle lesioni già esistenti si dovesse modificare, lo riferisca al medico.</w:t>
      </w:r>
    </w:p>
    <w:p w14:paraId="141C580F" w14:textId="77777777" w:rsidR="00745249" w:rsidRPr="00C35766" w:rsidRDefault="00745249" w:rsidP="00745249">
      <w:pPr>
        <w:pStyle w:val="a3"/>
        <w:rPr>
          <w:lang w:val="pt-BR"/>
        </w:rPr>
      </w:pPr>
    </w:p>
    <w:p w14:paraId="1E6AEDED" w14:textId="2EF4309A" w:rsidR="00745249" w:rsidRPr="00C35766" w:rsidRDefault="00745249" w:rsidP="00745249">
      <w:pPr>
        <w:pStyle w:val="a3"/>
        <w:numPr>
          <w:ilvl w:val="1"/>
          <w:numId w:val="4"/>
        </w:numPr>
        <w:ind w:left="660" w:hanging="660"/>
        <w:rPr>
          <w:lang w:val="it-IT"/>
        </w:rPr>
      </w:pPr>
      <w:r w:rsidRPr="00C35766">
        <w:rPr>
          <w:rFonts w:eastAsia="Times New Roman"/>
          <w:lang w:val="it-IT"/>
        </w:rPr>
        <w:t>Ci sono stati casi di tumori, oltre al linfoma, in pazienti con uno specifico tipo di malattia del polmone chiamata Malattia Polmonare Cronica Ostruttiva (COPD) trattati con un altro anti-TNF. Se soffre di COPD, o fuma molto, deve discutere con il medico se è appropriato il trattamento con un anti-TNF.</w:t>
      </w:r>
    </w:p>
    <w:p w14:paraId="0736529A" w14:textId="77777777" w:rsidR="00745249" w:rsidRPr="00C35766" w:rsidRDefault="00745249" w:rsidP="00745249">
      <w:pPr>
        <w:spacing w:before="11" w:line="240" w:lineRule="exact"/>
        <w:rPr>
          <w:rFonts w:ascii="Times New Roman" w:hAnsi="Times New Roman" w:cs="Times New Roman"/>
          <w:sz w:val="24"/>
          <w:szCs w:val="24"/>
          <w:lang w:val="it-IT"/>
        </w:rPr>
      </w:pPr>
    </w:p>
    <w:p w14:paraId="4A0B8595" w14:textId="77777777" w:rsidR="00745249" w:rsidRPr="00C35766" w:rsidRDefault="00745249" w:rsidP="00745249">
      <w:pPr>
        <w:pStyle w:val="a3"/>
        <w:rPr>
          <w:u w:val="single"/>
        </w:rPr>
      </w:pPr>
      <w:r w:rsidRPr="00C35766">
        <w:rPr>
          <w:rFonts w:eastAsia="Times New Roman"/>
          <w:u w:val="single" w:color="000000"/>
          <w:lang w:val="it-IT"/>
        </w:rPr>
        <w:t>Malattia autoimmune</w:t>
      </w:r>
    </w:p>
    <w:p w14:paraId="37108257" w14:textId="77777777" w:rsidR="00745249" w:rsidRPr="00C35766" w:rsidRDefault="00745249" w:rsidP="00745249">
      <w:pPr>
        <w:spacing w:before="4" w:line="190" w:lineRule="exact"/>
        <w:rPr>
          <w:rFonts w:ascii="Times New Roman" w:hAnsi="Times New Roman" w:cs="Times New Roman"/>
          <w:sz w:val="19"/>
          <w:szCs w:val="19"/>
        </w:rPr>
      </w:pPr>
    </w:p>
    <w:p w14:paraId="0F651BF3" w14:textId="41843A35" w:rsidR="00745249" w:rsidRPr="00C35766" w:rsidRDefault="00745249" w:rsidP="00745249">
      <w:pPr>
        <w:pStyle w:val="a3"/>
        <w:numPr>
          <w:ilvl w:val="1"/>
          <w:numId w:val="4"/>
        </w:numPr>
        <w:ind w:left="660" w:hanging="660"/>
        <w:rPr>
          <w:lang w:val="it-IT"/>
        </w:rPr>
      </w:pPr>
      <w:r w:rsidRPr="00C35766">
        <w:rPr>
          <w:rFonts w:eastAsia="Times New Roman"/>
          <w:lang w:val="it-IT"/>
        </w:rPr>
        <w:t>Raramente, il trattamento con Yuflyma può portare alla manifestazione di una sindrome simile al lupus. Informi il medico qualora si manifestino sintomi come eruzione cutanea persistente di natura inspiegabile, febbre, dolore alle articolazioni o stanchezza.</w:t>
      </w:r>
    </w:p>
    <w:p w14:paraId="34EDF2AC" w14:textId="77777777" w:rsidR="00745249" w:rsidRPr="00C35766" w:rsidRDefault="00745249" w:rsidP="00745249">
      <w:pPr>
        <w:spacing w:before="15" w:line="240" w:lineRule="exact"/>
        <w:rPr>
          <w:rFonts w:ascii="Times New Roman" w:hAnsi="Times New Roman" w:cs="Times New Roman"/>
          <w:sz w:val="24"/>
          <w:szCs w:val="24"/>
          <w:lang w:val="it-IT"/>
        </w:rPr>
      </w:pPr>
    </w:p>
    <w:p w14:paraId="5EC9A6EA" w14:textId="77777777" w:rsidR="00CB576E" w:rsidRPr="00C35766" w:rsidRDefault="00CB576E" w:rsidP="00745249">
      <w:pPr>
        <w:pStyle w:val="a3"/>
        <w:rPr>
          <w:rFonts w:eastAsia="Times New Roman"/>
          <w:b/>
          <w:bCs/>
          <w:lang w:val="it-IT"/>
        </w:rPr>
      </w:pPr>
    </w:p>
    <w:p w14:paraId="27838F92" w14:textId="780E7C76" w:rsidR="00745249" w:rsidRPr="00E22C29" w:rsidRDefault="00745249" w:rsidP="00745249">
      <w:pPr>
        <w:pStyle w:val="a3"/>
        <w:rPr>
          <w:rFonts w:eastAsia="Times New Roman"/>
          <w:b/>
          <w:bCs/>
          <w:lang w:val="it-IT"/>
        </w:rPr>
      </w:pPr>
      <w:r w:rsidRPr="00E22C29">
        <w:rPr>
          <w:rFonts w:eastAsia="Times New Roman"/>
          <w:b/>
          <w:bCs/>
          <w:lang w:val="it-IT"/>
        </w:rPr>
        <w:lastRenderedPageBreak/>
        <w:t>Bambini e adolescenti</w:t>
      </w:r>
    </w:p>
    <w:p w14:paraId="7D279AC5" w14:textId="77777777" w:rsidR="00745249" w:rsidRPr="00C35766" w:rsidRDefault="00745249" w:rsidP="00745249">
      <w:pPr>
        <w:spacing w:before="10" w:line="240" w:lineRule="exact"/>
        <w:rPr>
          <w:rFonts w:ascii="Times New Roman" w:hAnsi="Times New Roman" w:cs="Times New Roman"/>
          <w:sz w:val="24"/>
          <w:szCs w:val="24"/>
        </w:rPr>
      </w:pPr>
    </w:p>
    <w:p w14:paraId="73696363" w14:textId="77777777" w:rsidR="00745249" w:rsidRPr="00824699" w:rsidRDefault="00745249" w:rsidP="00745249">
      <w:pPr>
        <w:pStyle w:val="a3"/>
        <w:numPr>
          <w:ilvl w:val="1"/>
          <w:numId w:val="4"/>
        </w:numPr>
        <w:ind w:left="660" w:hanging="660"/>
        <w:rPr>
          <w:lang w:val="it-IT"/>
        </w:rPr>
      </w:pPr>
      <w:r w:rsidRPr="00C35766">
        <w:rPr>
          <w:rFonts w:eastAsia="Times New Roman"/>
          <w:lang w:val="it-IT"/>
        </w:rPr>
        <w:t>Vaccinazioni: se possibile i bambini dovrebbero avere già fatto tutte le vaccinazioni prima di usare Yuflyma.</w:t>
      </w:r>
    </w:p>
    <w:p w14:paraId="2D16B57E" w14:textId="77777777" w:rsidR="00745249" w:rsidRPr="00824699" w:rsidRDefault="00745249" w:rsidP="00745249">
      <w:pPr>
        <w:pStyle w:val="a3"/>
        <w:rPr>
          <w:b/>
          <w:lang w:val="it-IT"/>
        </w:rPr>
      </w:pPr>
    </w:p>
    <w:p w14:paraId="5B3D653C" w14:textId="77777777" w:rsidR="00745249" w:rsidRPr="00C35766" w:rsidRDefault="00745249" w:rsidP="00745249">
      <w:pPr>
        <w:pStyle w:val="a3"/>
        <w:rPr>
          <w:b/>
          <w:lang w:val="pt-BR"/>
        </w:rPr>
      </w:pPr>
      <w:r w:rsidRPr="00C35766">
        <w:rPr>
          <w:rFonts w:eastAsia="Times New Roman"/>
          <w:b/>
          <w:bCs/>
          <w:lang w:val="it-IT"/>
        </w:rPr>
        <w:t>Altri medicinali e Yuflyma</w:t>
      </w:r>
    </w:p>
    <w:p w14:paraId="5D618D0E" w14:textId="77777777" w:rsidR="00745249" w:rsidRPr="00C35766" w:rsidRDefault="00745249" w:rsidP="00745249">
      <w:pPr>
        <w:pStyle w:val="a3"/>
        <w:rPr>
          <w:b/>
          <w:lang w:val="pt-BR"/>
        </w:rPr>
      </w:pPr>
    </w:p>
    <w:p w14:paraId="34209368" w14:textId="08B9ED22" w:rsidR="00745249" w:rsidRPr="00C35766" w:rsidRDefault="00745249" w:rsidP="00745249">
      <w:pPr>
        <w:pStyle w:val="a3"/>
        <w:rPr>
          <w:lang w:val="it-IT"/>
        </w:rPr>
      </w:pPr>
      <w:r w:rsidRPr="00C35766">
        <w:rPr>
          <w:rFonts w:eastAsia="Times New Roman"/>
          <w:lang w:val="it-IT"/>
        </w:rPr>
        <w:t>Informi il medico o il farmacista se sta assumendo, ha recentemente assunto o potrebbe assumere qualsiasi altro medicinale. Non usi Yuflyma con medicinali che contengono i seguenti principi attivi a causa del rischio aumentato</w:t>
      </w:r>
      <w:r w:rsidR="009C00CA" w:rsidRPr="00C35766">
        <w:rPr>
          <w:rFonts w:eastAsia="Times New Roman"/>
          <w:lang w:val="it-IT"/>
        </w:rPr>
        <w:t xml:space="preserve"> </w:t>
      </w:r>
      <w:r w:rsidRPr="00C35766">
        <w:rPr>
          <w:rFonts w:eastAsia="Times New Roman"/>
          <w:lang w:val="it-IT"/>
        </w:rPr>
        <w:t>di avere infezioni gravi:</w:t>
      </w:r>
    </w:p>
    <w:p w14:paraId="60C3BABF" w14:textId="77777777" w:rsidR="00745249" w:rsidRPr="00C35766" w:rsidRDefault="00745249" w:rsidP="00745249">
      <w:pPr>
        <w:pStyle w:val="a3"/>
        <w:rPr>
          <w:lang w:val="it-IT"/>
        </w:rPr>
      </w:pPr>
    </w:p>
    <w:p w14:paraId="4FE02A8C" w14:textId="77777777" w:rsidR="00745249" w:rsidRPr="00C35766" w:rsidRDefault="00745249" w:rsidP="00745249">
      <w:pPr>
        <w:pStyle w:val="a3"/>
        <w:numPr>
          <w:ilvl w:val="1"/>
          <w:numId w:val="4"/>
        </w:numPr>
        <w:ind w:left="660" w:hanging="660"/>
      </w:pPr>
      <w:r w:rsidRPr="00C35766">
        <w:rPr>
          <w:rFonts w:eastAsia="Times New Roman"/>
          <w:lang w:val="it-IT"/>
        </w:rPr>
        <w:t>anakinra</w:t>
      </w:r>
    </w:p>
    <w:p w14:paraId="65CD0BAF" w14:textId="77777777" w:rsidR="00745249" w:rsidRPr="00C35766" w:rsidRDefault="00745249" w:rsidP="00745249">
      <w:pPr>
        <w:pStyle w:val="a3"/>
        <w:numPr>
          <w:ilvl w:val="1"/>
          <w:numId w:val="4"/>
        </w:numPr>
        <w:ind w:left="660" w:hanging="660"/>
      </w:pPr>
      <w:r w:rsidRPr="00C35766">
        <w:rPr>
          <w:rFonts w:eastAsia="Times New Roman"/>
          <w:lang w:val="it-IT"/>
        </w:rPr>
        <w:t>abatacept.</w:t>
      </w:r>
    </w:p>
    <w:p w14:paraId="064615B7" w14:textId="77777777" w:rsidR="00745249" w:rsidRPr="00C35766" w:rsidRDefault="00745249" w:rsidP="00745249">
      <w:pPr>
        <w:pStyle w:val="a3"/>
      </w:pPr>
    </w:p>
    <w:p w14:paraId="49BBB87D" w14:textId="77777777" w:rsidR="00745249" w:rsidRPr="00C35766" w:rsidRDefault="00745249" w:rsidP="00745249">
      <w:pPr>
        <w:pStyle w:val="a3"/>
        <w:rPr>
          <w:lang w:val="pt-BR"/>
        </w:rPr>
      </w:pPr>
      <w:r w:rsidRPr="00C35766">
        <w:rPr>
          <w:rFonts w:eastAsia="Times New Roman"/>
          <w:lang w:val="it-IT"/>
        </w:rPr>
        <w:t>Yuflyma può essere assunto con:</w:t>
      </w:r>
    </w:p>
    <w:p w14:paraId="41A1774A" w14:textId="77777777" w:rsidR="00745249" w:rsidRPr="00C35766" w:rsidRDefault="00745249" w:rsidP="00745249">
      <w:pPr>
        <w:pStyle w:val="a3"/>
        <w:numPr>
          <w:ilvl w:val="1"/>
          <w:numId w:val="4"/>
        </w:numPr>
        <w:ind w:left="660" w:hanging="660"/>
      </w:pPr>
      <w:r w:rsidRPr="00C35766">
        <w:rPr>
          <w:rFonts w:eastAsia="Times New Roman"/>
          <w:lang w:val="it-IT"/>
        </w:rPr>
        <w:t>metotressato</w:t>
      </w:r>
    </w:p>
    <w:p w14:paraId="6A6A3097" w14:textId="77777777" w:rsidR="00745249" w:rsidRPr="00C35766" w:rsidRDefault="00745249" w:rsidP="00745249">
      <w:pPr>
        <w:pStyle w:val="a3"/>
        <w:numPr>
          <w:ilvl w:val="1"/>
          <w:numId w:val="4"/>
        </w:numPr>
        <w:ind w:left="660" w:hanging="660"/>
        <w:rPr>
          <w:lang w:val="pt-BR"/>
        </w:rPr>
      </w:pPr>
      <w:r w:rsidRPr="00C35766">
        <w:rPr>
          <w:rFonts w:eastAsia="Times New Roman"/>
          <w:lang w:val="it-IT"/>
        </w:rPr>
        <w:t>altri farmaci antireumatici modificanti la malattia (ad esempio sulfasalazina, idrossiclorochina, leflunomide e sali d’oro per via parenterale)</w:t>
      </w:r>
    </w:p>
    <w:p w14:paraId="06D7017A" w14:textId="77777777" w:rsidR="00745249" w:rsidRPr="00824699" w:rsidRDefault="00745249" w:rsidP="00745249">
      <w:pPr>
        <w:pStyle w:val="a3"/>
        <w:numPr>
          <w:ilvl w:val="1"/>
          <w:numId w:val="4"/>
        </w:numPr>
        <w:ind w:left="660" w:hanging="660"/>
        <w:rPr>
          <w:lang w:val="it-IT"/>
        </w:rPr>
      </w:pPr>
      <w:r w:rsidRPr="00C35766">
        <w:rPr>
          <w:rFonts w:eastAsia="Times New Roman"/>
          <w:lang w:val="it-IT"/>
        </w:rPr>
        <w:t>steroidi o analgesici, compresi i farmaci anti-infiammatori non steroidei (FANS).</w:t>
      </w:r>
    </w:p>
    <w:p w14:paraId="01605906" w14:textId="77777777" w:rsidR="00745249" w:rsidRPr="00824699" w:rsidRDefault="00745249" w:rsidP="00745249">
      <w:pPr>
        <w:pStyle w:val="a3"/>
        <w:rPr>
          <w:lang w:val="it-IT"/>
        </w:rPr>
      </w:pPr>
    </w:p>
    <w:p w14:paraId="6843FB64" w14:textId="77777777" w:rsidR="00745249" w:rsidRPr="00C35766" w:rsidRDefault="00745249" w:rsidP="00745249">
      <w:pPr>
        <w:pStyle w:val="a3"/>
        <w:rPr>
          <w:lang w:val="es-ES"/>
        </w:rPr>
      </w:pPr>
      <w:r w:rsidRPr="00C35766">
        <w:rPr>
          <w:rFonts w:eastAsia="Times New Roman"/>
          <w:lang w:val="it-IT"/>
        </w:rPr>
        <w:t>Se ha dubbi, si rivolga al medico.</w:t>
      </w:r>
    </w:p>
    <w:p w14:paraId="3B03C221" w14:textId="77777777" w:rsidR="00953B2E" w:rsidRPr="00C35766" w:rsidRDefault="00953B2E">
      <w:pPr>
        <w:spacing w:before="18" w:line="240" w:lineRule="exact"/>
        <w:rPr>
          <w:rFonts w:ascii="Times New Roman" w:hAnsi="Times New Roman" w:cs="Times New Roman"/>
          <w:sz w:val="24"/>
          <w:szCs w:val="24"/>
          <w:lang w:val="es-ES"/>
        </w:rPr>
      </w:pPr>
    </w:p>
    <w:p w14:paraId="1A3B502C" w14:textId="77777777" w:rsidR="00953B2E" w:rsidRPr="00C35766" w:rsidRDefault="005F0C19">
      <w:pPr>
        <w:pStyle w:val="a3"/>
        <w:rPr>
          <w:b/>
        </w:rPr>
      </w:pPr>
      <w:r w:rsidRPr="00C35766">
        <w:rPr>
          <w:rFonts w:eastAsia="Times New Roman"/>
          <w:b/>
          <w:bCs/>
          <w:lang w:val="it-IT"/>
        </w:rPr>
        <w:t>Gravidanza e allattamento</w:t>
      </w:r>
    </w:p>
    <w:p w14:paraId="707F55D6" w14:textId="77777777" w:rsidR="00953B2E" w:rsidRPr="00C35766" w:rsidRDefault="00953B2E">
      <w:pPr>
        <w:spacing w:before="9" w:line="260" w:lineRule="exact"/>
        <w:rPr>
          <w:rFonts w:ascii="Times New Roman" w:hAnsi="Times New Roman" w:cs="Times New Roman"/>
          <w:sz w:val="26"/>
          <w:szCs w:val="26"/>
        </w:rPr>
      </w:pPr>
    </w:p>
    <w:p w14:paraId="600CF93D" w14:textId="77777777" w:rsidR="00953B2E" w:rsidRPr="00C35766" w:rsidRDefault="005F0C19">
      <w:pPr>
        <w:pStyle w:val="a3"/>
        <w:numPr>
          <w:ilvl w:val="1"/>
          <w:numId w:val="4"/>
        </w:numPr>
        <w:ind w:left="660" w:hanging="660"/>
        <w:rPr>
          <w:lang w:val="it-IT"/>
        </w:rPr>
      </w:pPr>
      <w:r w:rsidRPr="00C35766">
        <w:rPr>
          <w:rFonts w:eastAsia="Times New Roman"/>
          <w:lang w:val="it-IT"/>
        </w:rPr>
        <w:t>Deve considerare l’utilizzo di un’adeguata misura contraccettiva per prevenire una gravidanza e continuarne l’utilizzo per almeno 5 mesi dopo l’ultima terapia con Yuflyma.</w:t>
      </w:r>
    </w:p>
    <w:p w14:paraId="6CC274CC" w14:textId="77777777" w:rsidR="00953B2E" w:rsidRPr="00C35766" w:rsidRDefault="005F0C19">
      <w:pPr>
        <w:pStyle w:val="a3"/>
        <w:numPr>
          <w:ilvl w:val="1"/>
          <w:numId w:val="4"/>
        </w:numPr>
        <w:ind w:left="660" w:hanging="660"/>
        <w:rPr>
          <w:lang w:val="es-ES"/>
        </w:rPr>
      </w:pPr>
      <w:r w:rsidRPr="00C35766">
        <w:rPr>
          <w:rFonts w:eastAsia="Times New Roman"/>
          <w:lang w:val="it-IT"/>
        </w:rPr>
        <w:t>Se è in corso una gravidanza, se sospetta o sta pianificando una gravidanza chieda consiglio al suo medico circa l’assunzione di questo medicinale.</w:t>
      </w:r>
    </w:p>
    <w:p w14:paraId="7B079591" w14:textId="77777777" w:rsidR="00953B2E" w:rsidRPr="00C35766" w:rsidRDefault="005F0C19">
      <w:pPr>
        <w:pStyle w:val="a3"/>
        <w:numPr>
          <w:ilvl w:val="1"/>
          <w:numId w:val="4"/>
        </w:numPr>
        <w:ind w:left="660" w:hanging="660"/>
        <w:rPr>
          <w:lang w:val="it-IT"/>
        </w:rPr>
      </w:pPr>
      <w:r w:rsidRPr="00C35766">
        <w:rPr>
          <w:rFonts w:eastAsia="Times New Roman"/>
          <w:lang w:val="it-IT"/>
        </w:rPr>
        <w:t>Yuflyma deve essere usato durante la gravidanza solo se necessario.</w:t>
      </w:r>
    </w:p>
    <w:p w14:paraId="6D01C566" w14:textId="77777777" w:rsidR="00953B2E" w:rsidRPr="00C35766" w:rsidRDefault="005F0C19">
      <w:pPr>
        <w:pStyle w:val="a3"/>
        <w:numPr>
          <w:ilvl w:val="1"/>
          <w:numId w:val="4"/>
        </w:numPr>
        <w:ind w:left="660" w:hanging="660"/>
        <w:rPr>
          <w:lang w:val="it-IT"/>
        </w:rPr>
      </w:pPr>
      <w:r w:rsidRPr="00C35766">
        <w:rPr>
          <w:rFonts w:eastAsia="Times New Roman"/>
          <w:lang w:val="it-IT"/>
        </w:rPr>
        <w:t>Secondo uno studio sulla gravidanza, non è stato riscontrato un rischio maggiore di difetti alla nascita quando la madre aveva ricevuto Yuflyma durante la gravidanza, rispetto a madri che avevano la stessa patologia ma che non avevano ricevuto Yuflyma.</w:t>
      </w:r>
    </w:p>
    <w:p w14:paraId="77FEBF48" w14:textId="77777777" w:rsidR="00953B2E" w:rsidRPr="00C35766" w:rsidRDefault="005F0C19">
      <w:pPr>
        <w:pStyle w:val="a3"/>
        <w:numPr>
          <w:ilvl w:val="1"/>
          <w:numId w:val="4"/>
        </w:numPr>
        <w:ind w:left="660" w:hanging="660"/>
        <w:rPr>
          <w:lang w:val="it-IT"/>
        </w:rPr>
      </w:pPr>
      <w:r w:rsidRPr="00C35766">
        <w:rPr>
          <w:rFonts w:eastAsia="Times New Roman"/>
          <w:lang w:val="it-IT"/>
        </w:rPr>
        <w:t>Yuflyma può essere usato durante l’allattamento con latte materno.</w:t>
      </w:r>
    </w:p>
    <w:p w14:paraId="02FD1649" w14:textId="77777777" w:rsidR="00953B2E" w:rsidRPr="00C35766" w:rsidRDefault="005F0C19">
      <w:pPr>
        <w:pStyle w:val="a3"/>
        <w:numPr>
          <w:ilvl w:val="1"/>
          <w:numId w:val="4"/>
        </w:numPr>
        <w:ind w:left="660" w:hanging="660"/>
        <w:rPr>
          <w:lang w:val="it-IT"/>
        </w:rPr>
      </w:pPr>
      <w:r w:rsidRPr="00C35766">
        <w:rPr>
          <w:rFonts w:eastAsia="Times New Roman"/>
          <w:lang w:val="it-IT"/>
        </w:rPr>
        <w:t>Se assume Yuflyma durante la gravidanza, il bambino potrebbe avere un maggior rischio di contrarre un’infezione.</w:t>
      </w:r>
    </w:p>
    <w:p w14:paraId="424C9C00" w14:textId="07F8FC01" w:rsidR="00953B2E" w:rsidRPr="00C35766" w:rsidRDefault="005F0C19">
      <w:pPr>
        <w:pStyle w:val="a3"/>
        <w:numPr>
          <w:ilvl w:val="1"/>
          <w:numId w:val="4"/>
        </w:numPr>
        <w:ind w:left="660" w:hanging="660"/>
        <w:rPr>
          <w:lang w:val="it-IT"/>
        </w:rPr>
      </w:pPr>
      <w:r w:rsidRPr="00C35766">
        <w:rPr>
          <w:rFonts w:eastAsia="Times New Roman"/>
          <w:lang w:val="it-IT"/>
        </w:rPr>
        <w:t xml:space="preserve">È importante che lei riferisca al pediatra o ad altro operatore sanitario del suo utilizzo di Yuflyma durante la gravidanza, prima che il bambino riceva qualsiasi tipo di vaccinazione.  Per ulteriori informazioni sulle vaccinazioni consulti </w:t>
      </w:r>
      <w:r w:rsidR="00C66441">
        <w:rPr>
          <w:rFonts w:eastAsia="Times New Roman"/>
          <w:lang w:val="it-IT"/>
        </w:rPr>
        <w:t>il paragrafo</w:t>
      </w:r>
      <w:r w:rsidRPr="00C35766">
        <w:rPr>
          <w:rFonts w:eastAsia="Times New Roman"/>
          <w:lang w:val="it-IT"/>
        </w:rPr>
        <w:t xml:space="preserve"> “Avvertenze e precauzioni”.</w:t>
      </w:r>
    </w:p>
    <w:p w14:paraId="10098FA9" w14:textId="77777777" w:rsidR="00953B2E" w:rsidRPr="00C35766" w:rsidRDefault="00953B2E">
      <w:pPr>
        <w:spacing w:before="15" w:line="240" w:lineRule="exact"/>
        <w:rPr>
          <w:rFonts w:ascii="Times New Roman" w:hAnsi="Times New Roman" w:cs="Times New Roman"/>
          <w:b/>
          <w:sz w:val="24"/>
          <w:lang w:val="it-IT"/>
        </w:rPr>
      </w:pPr>
    </w:p>
    <w:p w14:paraId="59D900D6" w14:textId="77777777" w:rsidR="00953B2E" w:rsidRPr="00C35766" w:rsidRDefault="005F0C19">
      <w:pPr>
        <w:pStyle w:val="a3"/>
        <w:rPr>
          <w:b/>
          <w:lang w:val="pt-BR"/>
        </w:rPr>
      </w:pPr>
      <w:r w:rsidRPr="00C35766">
        <w:rPr>
          <w:rFonts w:eastAsia="Times New Roman"/>
          <w:b/>
          <w:bCs/>
          <w:lang w:val="it-IT"/>
        </w:rPr>
        <w:t>Guida di veicoli e utilizzo di macchinari</w:t>
      </w:r>
    </w:p>
    <w:p w14:paraId="750205A7" w14:textId="77777777" w:rsidR="00953B2E" w:rsidRPr="00C35766" w:rsidRDefault="00953B2E">
      <w:pPr>
        <w:spacing w:before="12" w:line="240" w:lineRule="exact"/>
        <w:rPr>
          <w:rFonts w:ascii="Times New Roman" w:hAnsi="Times New Roman" w:cs="Times New Roman"/>
          <w:sz w:val="24"/>
          <w:szCs w:val="24"/>
          <w:lang w:val="pt-BR"/>
        </w:rPr>
      </w:pPr>
    </w:p>
    <w:p w14:paraId="699FD7CB" w14:textId="75E86B3B" w:rsidR="00953B2E" w:rsidRPr="00C35766" w:rsidRDefault="005F0C19">
      <w:pPr>
        <w:pStyle w:val="a3"/>
        <w:rPr>
          <w:lang w:val="pt-BR"/>
        </w:rPr>
      </w:pPr>
      <w:r w:rsidRPr="00C35766">
        <w:rPr>
          <w:rFonts w:eastAsia="Times New Roman"/>
          <w:lang w:val="it-IT"/>
        </w:rPr>
        <w:t xml:space="preserve">Yuflyma può avere un </w:t>
      </w:r>
      <w:r w:rsidR="00006AFE">
        <w:rPr>
          <w:rFonts w:eastAsia="Times New Roman"/>
          <w:lang w:val="it-IT"/>
        </w:rPr>
        <w:t>lieve</w:t>
      </w:r>
      <w:r w:rsidR="00006AFE" w:rsidRPr="00C35766">
        <w:rPr>
          <w:rFonts w:eastAsia="Times New Roman"/>
          <w:lang w:val="it-IT"/>
        </w:rPr>
        <w:t xml:space="preserve"> </w:t>
      </w:r>
      <w:r w:rsidRPr="00C35766">
        <w:rPr>
          <w:rFonts w:eastAsia="Times New Roman"/>
          <w:lang w:val="it-IT"/>
        </w:rPr>
        <w:t>effetto sulla sua capacità di guidare, andare in bicicletta o utilizzare macchinari. In seguito all’assunzione di Yuflyma, si possono avere disturbi della vista e la sensazione che l’ambiente in cui ci si trova ruoti.</w:t>
      </w:r>
    </w:p>
    <w:p w14:paraId="342677F7" w14:textId="77777777" w:rsidR="00953B2E" w:rsidRPr="00C35766" w:rsidRDefault="00953B2E">
      <w:pPr>
        <w:spacing w:line="200" w:lineRule="exact"/>
        <w:rPr>
          <w:rFonts w:ascii="Times New Roman" w:hAnsi="Times New Roman" w:cs="Times New Roman"/>
          <w:sz w:val="20"/>
          <w:szCs w:val="20"/>
          <w:lang w:val="pt-BR"/>
        </w:rPr>
      </w:pPr>
    </w:p>
    <w:p w14:paraId="42D503D1" w14:textId="61616A84" w:rsidR="00953B2E" w:rsidRPr="00C35766" w:rsidRDefault="0039216C">
      <w:pPr>
        <w:pStyle w:val="a3"/>
        <w:rPr>
          <w:b/>
          <w:lang w:val="pt-BR"/>
        </w:rPr>
      </w:pPr>
      <w:r>
        <w:rPr>
          <w:rFonts w:hint="eastAsia"/>
          <w:b/>
          <w:bCs/>
          <w:lang w:val="it-IT" w:eastAsia="ko-KR"/>
        </w:rPr>
        <w:t>Yuflyma</w:t>
      </w:r>
      <w:r w:rsidRPr="00C35766">
        <w:rPr>
          <w:rFonts w:eastAsia="Times New Roman"/>
          <w:b/>
          <w:bCs/>
          <w:lang w:val="it-IT"/>
        </w:rPr>
        <w:t xml:space="preserve"> </w:t>
      </w:r>
      <w:r w:rsidR="005F0C19" w:rsidRPr="00C35766">
        <w:rPr>
          <w:rFonts w:eastAsia="Times New Roman"/>
          <w:b/>
          <w:bCs/>
          <w:lang w:val="it-IT"/>
        </w:rPr>
        <w:t>contiene sodio</w:t>
      </w:r>
    </w:p>
    <w:p w14:paraId="01002E8A" w14:textId="77777777" w:rsidR="00953B2E" w:rsidRPr="00C35766" w:rsidRDefault="00953B2E">
      <w:pPr>
        <w:spacing w:before="12" w:line="240" w:lineRule="exact"/>
        <w:rPr>
          <w:rFonts w:ascii="Times New Roman" w:hAnsi="Times New Roman" w:cs="Times New Roman"/>
          <w:sz w:val="24"/>
          <w:szCs w:val="24"/>
          <w:lang w:val="pt-BR"/>
        </w:rPr>
      </w:pPr>
    </w:p>
    <w:p w14:paraId="7F060DCA" w14:textId="294A5AED" w:rsidR="00953B2E" w:rsidRPr="00C35766" w:rsidRDefault="005F0C19">
      <w:pPr>
        <w:spacing w:line="200" w:lineRule="exact"/>
        <w:rPr>
          <w:rFonts w:ascii="Times New Roman" w:hAnsi="Times New Roman" w:cs="Times New Roman"/>
          <w:sz w:val="20"/>
          <w:szCs w:val="20"/>
          <w:lang w:val="pt-BR"/>
        </w:rPr>
      </w:pPr>
      <w:r w:rsidRPr="00C35766">
        <w:rPr>
          <w:rFonts w:ascii="Times New Roman" w:eastAsia="Times New Roman" w:hAnsi="Times New Roman" w:cs="Times New Roman"/>
          <w:lang w:val="it-IT"/>
        </w:rPr>
        <w:t xml:space="preserve">Questo </w:t>
      </w:r>
      <w:r w:rsidR="00AF1CE2">
        <w:rPr>
          <w:rFonts w:ascii="Times New Roman" w:eastAsia="Times New Roman" w:hAnsi="Times New Roman" w:cs="Times New Roman"/>
          <w:lang w:val="it-IT"/>
        </w:rPr>
        <w:t>medicinale</w:t>
      </w:r>
      <w:r w:rsidRPr="00C35766">
        <w:rPr>
          <w:rFonts w:ascii="Times New Roman" w:eastAsia="Times New Roman" w:hAnsi="Times New Roman" w:cs="Times New Roman"/>
          <w:lang w:val="it-IT"/>
        </w:rPr>
        <w:t xml:space="preserve"> contiene meno di 1 mmol di sodio (23</w:t>
      </w:r>
      <w:r w:rsidRPr="00C35766">
        <w:rPr>
          <w:rFonts w:ascii="Times New Roman" w:eastAsia="Calibri" w:hAnsi="Times New Roman" w:cs="Times New Roman"/>
          <w:lang w:val="it-IT"/>
        </w:rPr>
        <w:t> </w:t>
      </w:r>
      <w:r w:rsidRPr="00C35766">
        <w:rPr>
          <w:rFonts w:ascii="Times New Roman" w:eastAsia="Times New Roman" w:hAnsi="Times New Roman" w:cs="Times New Roman"/>
          <w:lang w:val="it-IT"/>
        </w:rPr>
        <w:t xml:space="preserve">mg) per dose da 0,4 </w:t>
      </w:r>
      <w:r w:rsidR="00331973" w:rsidRPr="00C35766">
        <w:rPr>
          <w:rFonts w:ascii="Times New Roman" w:eastAsia="Times New Roman" w:hAnsi="Times New Roman" w:cs="Times New Roman"/>
          <w:lang w:val="it-IT"/>
        </w:rPr>
        <w:t>mL</w:t>
      </w:r>
      <w:r w:rsidRPr="00C35766">
        <w:rPr>
          <w:rFonts w:ascii="Times New Roman" w:eastAsia="Times New Roman" w:hAnsi="Times New Roman" w:cs="Times New Roman"/>
          <w:lang w:val="it-IT"/>
        </w:rPr>
        <w:t xml:space="preserve">, </w:t>
      </w:r>
      <w:r w:rsidR="000775D4">
        <w:rPr>
          <w:rFonts w:ascii="Times New Roman" w:eastAsia="Times New Roman" w:hAnsi="Times New Roman" w:cs="Times New Roman"/>
          <w:lang w:val="it-IT"/>
        </w:rPr>
        <w:t>cioè</w:t>
      </w:r>
      <w:r w:rsidRPr="00C35766">
        <w:rPr>
          <w:rFonts w:ascii="Times New Roman" w:eastAsia="Times New Roman" w:hAnsi="Times New Roman" w:cs="Times New Roman"/>
          <w:lang w:val="it-IT"/>
        </w:rPr>
        <w:t xml:space="preserve"> essenzialmente “senza sodio”.</w:t>
      </w:r>
    </w:p>
    <w:p w14:paraId="264BFE4A" w14:textId="77777777" w:rsidR="00953B2E" w:rsidRPr="00C35766" w:rsidRDefault="00953B2E">
      <w:pPr>
        <w:spacing w:line="200" w:lineRule="exact"/>
        <w:rPr>
          <w:rFonts w:ascii="Times New Roman" w:hAnsi="Times New Roman" w:cs="Times New Roman"/>
          <w:sz w:val="20"/>
          <w:szCs w:val="20"/>
          <w:lang w:val="pt-BR"/>
        </w:rPr>
      </w:pPr>
    </w:p>
    <w:p w14:paraId="4C671E4B" w14:textId="77777777" w:rsidR="00953B2E" w:rsidRPr="00C35766" w:rsidRDefault="00953B2E">
      <w:pPr>
        <w:spacing w:line="200" w:lineRule="exact"/>
        <w:rPr>
          <w:rFonts w:ascii="Times New Roman" w:hAnsi="Times New Roman" w:cs="Times New Roman"/>
          <w:sz w:val="20"/>
          <w:szCs w:val="20"/>
          <w:lang w:val="pt-BR"/>
        </w:rPr>
      </w:pPr>
    </w:p>
    <w:p w14:paraId="2B02130A" w14:textId="77777777" w:rsidR="00953B2E" w:rsidRPr="00C35766" w:rsidRDefault="005F0C19" w:rsidP="00787805">
      <w:pPr>
        <w:pStyle w:val="a4"/>
        <w:numPr>
          <w:ilvl w:val="0"/>
          <w:numId w:val="37"/>
        </w:numPr>
        <w:spacing w:line="240" w:lineRule="exact"/>
        <w:ind w:hanging="468"/>
        <w:rPr>
          <w:rFonts w:ascii="Times New Roman" w:hAnsi="Times New Roman" w:cs="Times New Roman"/>
          <w:b/>
        </w:rPr>
      </w:pPr>
      <w:r w:rsidRPr="00C35766">
        <w:rPr>
          <w:rFonts w:ascii="Times New Roman" w:eastAsia="Times New Roman" w:hAnsi="Times New Roman" w:cs="Times New Roman"/>
          <w:b/>
          <w:bCs/>
          <w:lang w:val="it-IT"/>
        </w:rPr>
        <w:t>Come usare Yuflyma</w:t>
      </w:r>
    </w:p>
    <w:p w14:paraId="09A140C6" w14:textId="77777777" w:rsidR="00953B2E" w:rsidRPr="00C35766" w:rsidRDefault="00953B2E">
      <w:pPr>
        <w:spacing w:before="9" w:line="240" w:lineRule="exact"/>
        <w:rPr>
          <w:rFonts w:ascii="Times New Roman" w:hAnsi="Times New Roman" w:cs="Times New Roman"/>
          <w:sz w:val="24"/>
          <w:szCs w:val="24"/>
        </w:rPr>
      </w:pPr>
    </w:p>
    <w:p w14:paraId="0A3EB31D" w14:textId="77777777" w:rsidR="00953B2E" w:rsidRPr="00C35766" w:rsidRDefault="005F0C19">
      <w:pPr>
        <w:pStyle w:val="a3"/>
        <w:rPr>
          <w:lang w:val="es-ES"/>
        </w:rPr>
      </w:pPr>
      <w:r w:rsidRPr="00C35766">
        <w:rPr>
          <w:rFonts w:eastAsia="Times New Roman"/>
          <w:lang w:val="it-IT"/>
        </w:rPr>
        <w:t xml:space="preserve">Usi questo medicinale seguendo sempre esattamente le istruzioni del medico o del farmacista. Se ha dubbi </w:t>
      </w:r>
      <w:r w:rsidRPr="00C35766">
        <w:rPr>
          <w:rFonts w:eastAsia="Times New Roman"/>
          <w:lang w:val="it-IT"/>
        </w:rPr>
        <w:lastRenderedPageBreak/>
        <w:t>consulti il medico o il farmacista.</w:t>
      </w:r>
    </w:p>
    <w:p w14:paraId="525907EA" w14:textId="77777777" w:rsidR="00212ADE" w:rsidRPr="00C35766" w:rsidRDefault="00212ADE" w:rsidP="00212ADE">
      <w:pPr>
        <w:spacing w:before="10" w:line="240" w:lineRule="exact"/>
        <w:rPr>
          <w:rFonts w:ascii="Times New Roman" w:hAnsi="Times New Roman" w:cs="Times New Roman"/>
          <w:sz w:val="24"/>
          <w:szCs w:val="24"/>
          <w:lang w:val="es-ES"/>
        </w:rPr>
      </w:pPr>
    </w:p>
    <w:p w14:paraId="3C918B47" w14:textId="7DA5178F" w:rsidR="00212ADE" w:rsidRPr="00C35766" w:rsidRDefault="00212ADE" w:rsidP="00212ADE">
      <w:pPr>
        <w:pStyle w:val="a3"/>
        <w:rPr>
          <w:rFonts w:eastAsia="Times New Roman"/>
          <w:lang w:val="it-IT"/>
        </w:rPr>
      </w:pPr>
      <w:r w:rsidRPr="00824699">
        <w:rPr>
          <w:lang w:val="it-IT"/>
        </w:rPr>
        <w:t xml:space="preserve">Le dosi raccomandate di </w:t>
      </w:r>
      <w:r w:rsidR="00963203" w:rsidRPr="00824699">
        <w:rPr>
          <w:lang w:val="it-IT"/>
        </w:rPr>
        <w:t>Yuflyma</w:t>
      </w:r>
      <w:r w:rsidRPr="00824699">
        <w:rPr>
          <w:lang w:val="it-IT"/>
        </w:rPr>
        <w:t xml:space="preserve"> in ciascuna indicazione approvata sono elencate nella seguente tabella. Il medico potrebbe prescrivere un’altra concentrazione di </w:t>
      </w:r>
      <w:r w:rsidR="00963203" w:rsidRPr="00824699">
        <w:rPr>
          <w:lang w:val="it-IT"/>
        </w:rPr>
        <w:t>Yuflyma</w:t>
      </w:r>
      <w:r w:rsidRPr="00824699">
        <w:rPr>
          <w:lang w:val="it-IT"/>
        </w:rPr>
        <w:t xml:space="preserve"> se necessita di una dose differente.</w:t>
      </w:r>
    </w:p>
    <w:p w14:paraId="1C0DFDF6" w14:textId="377EF1A6" w:rsidR="00953B2E" w:rsidRPr="00C35766" w:rsidRDefault="00953B2E" w:rsidP="00146E60">
      <w:pPr>
        <w:pStyle w:val="a3"/>
        <w:rPr>
          <w:lang w:val="it-IT"/>
        </w:rPr>
      </w:pPr>
    </w:p>
    <w:p w14:paraId="5FD48CA6" w14:textId="77777777" w:rsidR="00953B2E" w:rsidRPr="00C35766" w:rsidRDefault="00953B2E">
      <w:pPr>
        <w:spacing w:before="7" w:line="90" w:lineRule="exact"/>
        <w:rPr>
          <w:rFonts w:ascii="Times New Roman" w:hAnsi="Times New Roman" w:cs="Times New Roman"/>
          <w:sz w:val="9"/>
          <w:szCs w:val="9"/>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6501B3" w14:paraId="409E9B95"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440CF84E" w14:textId="4F1BCF84" w:rsidR="00745249" w:rsidRPr="00C35766" w:rsidRDefault="00745249" w:rsidP="00AF25F1">
            <w:pPr>
              <w:pStyle w:val="TableParagraph"/>
              <w:spacing w:line="251"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Artrite reumatoide, artrite psoriasica, spondilite anchilosante o spondiloartrite assiale senza evidenza radiografica di spondilite anchilosante</w:t>
            </w:r>
          </w:p>
        </w:tc>
      </w:tr>
      <w:tr w:rsidR="00745249" w:rsidRPr="00C35766" w14:paraId="73C024E5"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FC37567" w14:textId="6232F5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2CD4FCA3" w14:textId="57FFC067"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01ECC7F8"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6501B3" w14:paraId="44DAB26D"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2D54610D"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191C03DF"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2CD34D0"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Nell’artrite reumatoide</w:t>
            </w:r>
          </w:p>
          <w:p w14:paraId="756FEF3E" w14:textId="77777777" w:rsidR="00745249" w:rsidRPr="00824699" w:rsidRDefault="00745249" w:rsidP="00130A90">
            <w:pPr>
              <w:pStyle w:val="TableParagraph"/>
              <w:spacing w:before="1" w:line="239" w:lineRule="auto"/>
              <w:ind w:left="102" w:right="73"/>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si continua ad assumere il metotressato durante il trattamento con Yuflyma. Se il medico decide che il metotressato non è appropriato, Yuflyma può essere somministrato da solo.</w:t>
            </w:r>
          </w:p>
          <w:p w14:paraId="623A1C00" w14:textId="77777777" w:rsidR="00745249" w:rsidRPr="00824699" w:rsidRDefault="00745249" w:rsidP="00130A90">
            <w:pPr>
              <w:pStyle w:val="TableParagraph"/>
              <w:spacing w:before="13" w:line="240" w:lineRule="exact"/>
              <w:rPr>
                <w:rFonts w:ascii="Times New Roman" w:hAnsi="Times New Roman" w:cs="Times New Roman"/>
                <w:sz w:val="24"/>
                <w:szCs w:val="24"/>
                <w:lang w:val="it-IT"/>
              </w:rPr>
            </w:pPr>
          </w:p>
          <w:p w14:paraId="6A511D37" w14:textId="1C094C64" w:rsidR="00745249" w:rsidRPr="00824699" w:rsidRDefault="00745249" w:rsidP="00130A90">
            <w:pPr>
              <w:pStyle w:val="TableParagraph"/>
              <w:ind w:left="102" w:right="12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Se è affetto da artrite reumatoide e non assume metotressato in associazione a Yuflyma, il medico può decidere di prescriverle 40 mg di</w:t>
            </w:r>
            <w:r w:rsidR="006572BF"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Yuflyma ogni settimana o 80 mg a settimane alterne.</w:t>
            </w:r>
          </w:p>
        </w:tc>
      </w:tr>
    </w:tbl>
    <w:p w14:paraId="14FBEB93" w14:textId="77777777" w:rsidR="00745249" w:rsidRPr="00824699" w:rsidRDefault="00745249" w:rsidP="00745249">
      <w:pPr>
        <w:spacing w:before="12"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683A0F5A"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1F891011" w14:textId="77777777" w:rsidR="00745249" w:rsidRPr="00C35766" w:rsidRDefault="00745249" w:rsidP="00130A90">
            <w:pPr>
              <w:pStyle w:val="TableParagraph"/>
              <w:spacing w:line="250"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idiopatica giovanile poliarticolare</w:t>
            </w:r>
          </w:p>
        </w:tc>
      </w:tr>
      <w:tr w:rsidR="00745249" w:rsidRPr="00C35766" w14:paraId="67840AF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66BCBDC" w14:textId="09851806"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68FDC10C" w14:textId="51F7412C"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69E3E98F"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C35766" w14:paraId="48A9D74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FA63EF0"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37C94B6A" w14:textId="77777777" w:rsidR="00745249" w:rsidRPr="00824699" w:rsidRDefault="00745249" w:rsidP="00130A90">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2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405EED43"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14C0EF52"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C35766" w14:paraId="6DC558B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7D8B2CCA" w14:textId="72999216"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Bambini e adolescenti a partire da 2 anni di età e con peso compreso tra 10 kg e meno di 30 kg</w:t>
            </w:r>
          </w:p>
        </w:tc>
        <w:tc>
          <w:tcPr>
            <w:tcW w:w="3096" w:type="dxa"/>
            <w:tcBorders>
              <w:top w:val="single" w:sz="5" w:space="0" w:color="000000"/>
              <w:left w:val="single" w:sz="5" w:space="0" w:color="000000"/>
              <w:bottom w:val="single" w:sz="5" w:space="0" w:color="000000"/>
              <w:right w:val="single" w:sz="5" w:space="0" w:color="000000"/>
            </w:tcBorders>
          </w:tcPr>
          <w:p w14:paraId="5F424E8C" w14:textId="08864B42"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0DCC32CB" w14:textId="2301E0CB"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36B5C638" w14:textId="77777777" w:rsidR="00745249" w:rsidRPr="00C35766" w:rsidRDefault="00745249" w:rsidP="00745249">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7A44DFFC"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768227FC" w14:textId="77777777" w:rsidR="00745249" w:rsidRPr="00C35766" w:rsidRDefault="00745249"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associata ad entesite</w:t>
            </w:r>
          </w:p>
        </w:tc>
      </w:tr>
      <w:tr w:rsidR="00745249" w:rsidRPr="00C35766" w14:paraId="0EDE7F21"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F51C70D" w14:textId="158C0828"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2F21E10F" w14:textId="3821B1D6"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41C3C80D"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C35766" w14:paraId="291A7821"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8BFD7C1"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42C4B485" w14:textId="77777777" w:rsidR="00745249" w:rsidRPr="00824699" w:rsidRDefault="00745249" w:rsidP="00130A90">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0F4E2F02"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56E074A"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C35766" w14:paraId="22D214BC"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75214A19" w14:textId="1EEB8445"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Bambini e adolescenti a partire da 6 anni di età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1924856A" w14:textId="4C3E12EC"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291EEF61" w14:textId="0468C8FF"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777F4015" w14:textId="77777777" w:rsidR="00745249" w:rsidRPr="00C35766" w:rsidRDefault="00745249" w:rsidP="00745249">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5B86248E"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67CA6B60" w14:textId="77777777" w:rsidR="00745249" w:rsidRPr="00C35766" w:rsidRDefault="00745249"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Psoriasi a placche</w:t>
            </w:r>
          </w:p>
        </w:tc>
      </w:tr>
      <w:tr w:rsidR="00745249" w:rsidRPr="00C35766" w14:paraId="4162D862"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4353DE4" w14:textId="7FB02745"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5674B61A" w14:textId="23DF7BAD"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567AD5A4"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6501B3" w14:paraId="4D016D89"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813FF59"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2B3586A9" w14:textId="3EC4390C" w:rsidR="00745249" w:rsidRPr="00824699" w:rsidRDefault="00745249" w:rsidP="00146E6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 xml:space="preserve">Prima dose di 80 mg (due iniezioni da 40 mg in un giorno), seguita da 40 mg a settimane </w:t>
            </w:r>
            <w:r w:rsidRPr="00C35766">
              <w:rPr>
                <w:rFonts w:ascii="Times New Roman" w:eastAsia="Times New Roman" w:hAnsi="Times New Roman" w:cs="Times New Roman"/>
                <w:spacing w:val="-1"/>
                <w:lang w:val="it-IT"/>
              </w:rPr>
              <w:lastRenderedPageBreak/>
              <w:t>alterne, a partire da una settimana dopo la prima dose.</w:t>
            </w:r>
          </w:p>
        </w:tc>
        <w:tc>
          <w:tcPr>
            <w:tcW w:w="3096" w:type="dxa"/>
            <w:tcBorders>
              <w:top w:val="single" w:sz="5" w:space="0" w:color="000000"/>
              <w:left w:val="single" w:sz="5" w:space="0" w:color="000000"/>
              <w:bottom w:val="single" w:sz="5" w:space="0" w:color="000000"/>
              <w:right w:val="single" w:sz="5" w:space="0" w:color="000000"/>
            </w:tcBorders>
          </w:tcPr>
          <w:p w14:paraId="0A467BA0" w14:textId="4F986E31" w:rsidR="00745249" w:rsidRPr="00C35766" w:rsidRDefault="00745249" w:rsidP="00130A90">
            <w:pPr>
              <w:pStyle w:val="TableParagraph"/>
              <w:spacing w:before="1" w:line="239" w:lineRule="auto"/>
              <w:ind w:left="102" w:right="193"/>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lastRenderedPageBreak/>
              <w:t xml:space="preserve">In caso di risposta inadeguata il medico può aumentare il </w:t>
            </w:r>
            <w:r w:rsidRPr="00C35766">
              <w:rPr>
                <w:rFonts w:ascii="Times New Roman" w:eastAsia="Times New Roman" w:hAnsi="Times New Roman" w:cs="Times New Roman"/>
                <w:spacing w:val="-1"/>
                <w:lang w:val="it-IT"/>
              </w:rPr>
              <w:lastRenderedPageBreak/>
              <w:t>dosaggio a 40 mg ogni settimana o 80 mg a settimane alterne.</w:t>
            </w:r>
          </w:p>
        </w:tc>
      </w:tr>
      <w:tr w:rsidR="00745249" w:rsidRPr="00C35766" w14:paraId="5B94CF95"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AD3F464"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lastRenderedPageBreak/>
              <w:t>Bambini e adolescenti dai 4</w:t>
            </w:r>
          </w:p>
          <w:p w14:paraId="40536F14" w14:textId="77777777" w:rsidR="00745249" w:rsidRPr="00824699" w:rsidRDefault="00745249" w:rsidP="00130A90">
            <w:pPr>
              <w:pStyle w:val="TableParagraph"/>
              <w:spacing w:before="1" w:line="254"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ai 17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5BD9286F" w14:textId="77777777" w:rsidR="00745249" w:rsidRPr="00C35766" w:rsidRDefault="00745249" w:rsidP="00130A90">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40 mg, seguita da</w:t>
            </w:r>
          </w:p>
          <w:p w14:paraId="34F0FFD2" w14:textId="07754371" w:rsidR="00745249" w:rsidRDefault="00745249" w:rsidP="00130A90">
            <w:pPr>
              <w:pStyle w:val="TableParagraph"/>
              <w:spacing w:line="252"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40 mg una settimana più tardi.</w:t>
            </w:r>
          </w:p>
          <w:p w14:paraId="38A904D7" w14:textId="77777777" w:rsidR="00212ADE" w:rsidRPr="00C35766" w:rsidRDefault="00212ADE" w:rsidP="00130A90">
            <w:pPr>
              <w:pStyle w:val="TableParagraph"/>
              <w:spacing w:line="252" w:lineRule="exact"/>
              <w:ind w:left="102" w:right="57"/>
              <w:rPr>
                <w:rFonts w:ascii="Times New Roman" w:eastAsia="Times New Roman" w:hAnsi="Times New Roman" w:cs="Times New Roman"/>
                <w:spacing w:val="-1"/>
                <w:lang w:val="es-ES"/>
              </w:rPr>
            </w:pPr>
          </w:p>
          <w:p w14:paraId="4885D631" w14:textId="25C83F8B" w:rsidR="00745249" w:rsidRPr="00824699" w:rsidRDefault="00745249"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Successivamente, la dose abituale è di 40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5176F4A9"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212ADE" w:rsidRPr="00C35766" w14:paraId="7795607E"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9D868B1" w14:textId="064EE4CE"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Bambini e adolescenti di età compresa tra 4 e 17 anni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1BAC5FA5" w14:textId="77777777" w:rsidR="00212ADE"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Una dose iniziale di 20 mg, seguita da 20 mg dopo una settimana.</w:t>
            </w:r>
          </w:p>
          <w:p w14:paraId="3EDE083F" w14:textId="77777777" w:rsidR="00212ADE" w:rsidRDefault="00212ADE" w:rsidP="00212ADE">
            <w:pPr>
              <w:pStyle w:val="TableParagraph"/>
              <w:spacing w:line="246" w:lineRule="exact"/>
              <w:ind w:left="102" w:right="57"/>
              <w:rPr>
                <w:rFonts w:ascii="Times New Roman" w:eastAsia="Times New Roman" w:hAnsi="Times New Roman" w:cs="Times New Roman"/>
                <w:spacing w:val="-1"/>
                <w:lang w:val="it-IT"/>
              </w:rPr>
            </w:pPr>
          </w:p>
          <w:p w14:paraId="3E352478" w14:textId="66EF216A"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17C4E517" w14:textId="7EE1D91D"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Non pertinente</w:t>
            </w:r>
          </w:p>
        </w:tc>
      </w:tr>
    </w:tbl>
    <w:p w14:paraId="76EC7F50" w14:textId="77777777" w:rsidR="00745249" w:rsidRPr="00C35766" w:rsidRDefault="00745249" w:rsidP="00745249">
      <w:pPr>
        <w:spacing w:before="7" w:line="90" w:lineRule="exact"/>
        <w:rPr>
          <w:rFonts w:ascii="Times New Roman" w:hAnsi="Times New Roman" w:cs="Times New Roman"/>
          <w:sz w:val="9"/>
          <w:szCs w:val="9"/>
        </w:rPr>
      </w:pPr>
    </w:p>
    <w:p w14:paraId="69DD0763" w14:textId="77777777" w:rsidR="00745249" w:rsidRPr="00C35766" w:rsidRDefault="00745249" w:rsidP="00745249">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18B2A270"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5F714D62" w14:textId="77777777" w:rsidR="00745249" w:rsidRPr="00C35766" w:rsidRDefault="00745249" w:rsidP="00130A90">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Idrosadenite suppurativa</w:t>
            </w:r>
          </w:p>
        </w:tc>
      </w:tr>
      <w:tr w:rsidR="00745249" w:rsidRPr="00C35766" w14:paraId="49737E96"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80E6381" w14:textId="0E3A8700"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7B0C03E8" w14:textId="77777777" w:rsidR="00745249" w:rsidRPr="00824699" w:rsidRDefault="00745249" w:rsidP="00130A90">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16FED664"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494E69" w14:paraId="1A836CA1"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6ECC2C89" w14:textId="77777777" w:rsidR="00745249" w:rsidRPr="00C35766" w:rsidRDefault="00745249" w:rsidP="00130A90">
            <w:pPr>
              <w:pStyle w:val="TableParagraph"/>
              <w:spacing w:line="248"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18A2E773" w14:textId="08CD62C5" w:rsidR="00745249" w:rsidRPr="00824699" w:rsidRDefault="00745249" w:rsidP="00146E6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160 mg (quattro iniezioni da 40 mg in un giorno o due iniezioni da 40 mg al giorno, per due</w:t>
            </w:r>
            <w:r w:rsidR="003C2212">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giorni consecutivi), seguita da una dose di 80 mg (due iniezioni da 40 mg in un giorno) due settimane più tardi. Dopo altre due settimane, continuare con una dose di 40 mg ogni settimana o 80 mg ogni due settimane, come prescritto dal medico.</w:t>
            </w:r>
          </w:p>
        </w:tc>
        <w:tc>
          <w:tcPr>
            <w:tcW w:w="3096" w:type="dxa"/>
            <w:tcBorders>
              <w:top w:val="single" w:sz="5" w:space="0" w:color="000000"/>
              <w:left w:val="single" w:sz="5" w:space="0" w:color="000000"/>
              <w:bottom w:val="single" w:sz="5" w:space="0" w:color="000000"/>
              <w:right w:val="single" w:sz="5" w:space="0" w:color="000000"/>
            </w:tcBorders>
          </w:tcPr>
          <w:p w14:paraId="3C95F899" w14:textId="77777777" w:rsidR="00745249" w:rsidRPr="00824699" w:rsidRDefault="00745249" w:rsidP="00130A9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w:t>
            </w:r>
          </w:p>
          <w:p w14:paraId="606EECE8" w14:textId="77777777" w:rsidR="00745249" w:rsidRPr="00824699" w:rsidRDefault="00745249" w:rsidP="00130A90">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tutti i giorni una soluzione di lavaggio antisettica sulle aree interessate.</w:t>
            </w:r>
          </w:p>
        </w:tc>
      </w:tr>
      <w:tr w:rsidR="00745249" w:rsidRPr="00494E69" w14:paraId="146B073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EEB28FE" w14:textId="11EA026D"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Adolescenti da 12 a 17 anni</w:t>
            </w:r>
          </w:p>
          <w:p w14:paraId="5E905D35" w14:textId="77777777" w:rsidR="00745249" w:rsidRPr="00824699" w:rsidRDefault="00745249" w:rsidP="00130A90">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3F632726" w14:textId="596BD488" w:rsidR="00745249" w:rsidRPr="00824699" w:rsidRDefault="00745249"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(due iniezioni da 40 mg in un giorno), seguita da 40 mg a settimane alterne, a partire dalla settimana successiva.</w:t>
            </w:r>
          </w:p>
        </w:tc>
        <w:tc>
          <w:tcPr>
            <w:tcW w:w="3096" w:type="dxa"/>
            <w:tcBorders>
              <w:top w:val="single" w:sz="5" w:space="0" w:color="000000"/>
              <w:left w:val="single" w:sz="5" w:space="0" w:color="000000"/>
              <w:bottom w:val="single" w:sz="5" w:space="0" w:color="000000"/>
              <w:right w:val="single" w:sz="5" w:space="0" w:color="000000"/>
            </w:tcBorders>
          </w:tcPr>
          <w:p w14:paraId="0225FAF6" w14:textId="62B91E51" w:rsidR="00745249" w:rsidRPr="00824699" w:rsidRDefault="00745249"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In caso di</w:t>
            </w:r>
            <w:r w:rsidRPr="00C35766">
              <w:rPr>
                <w:rFonts w:ascii="Times New Roman" w:eastAsia="Times New Roman" w:hAnsi="Times New Roman" w:cs="Times New Roman"/>
                <w:lang w:val="it-IT"/>
              </w:rPr>
              <w:t xml:space="preserve"> risposta inadeguata a Yuflyma 40 mg a settimane alterne, il medico può aumentare il dosaggio a 40 mg ogni settimana o 80 mg</w:t>
            </w:r>
            <w:r w:rsidRPr="00C35766">
              <w:rPr>
                <w:rFonts w:ascii="Times New Roman" w:eastAsia="Times New Roman" w:hAnsi="Times New Roman" w:cs="Times New Roman"/>
                <w:spacing w:val="-1"/>
                <w:lang w:val="it-IT"/>
              </w:rPr>
              <w:t xml:space="preserve"> a settimane alterne.</w:t>
            </w:r>
          </w:p>
          <w:p w14:paraId="061951FD" w14:textId="77777777" w:rsidR="00745249" w:rsidRPr="00824699" w:rsidRDefault="00745249" w:rsidP="00130A90">
            <w:pPr>
              <w:pStyle w:val="TableParagraph"/>
              <w:spacing w:before="1"/>
              <w:ind w:left="102" w:right="223"/>
              <w:jc w:val="both"/>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 tutti i giorni una soluzione di lavaggio antisettica sulle aree interessate.</w:t>
            </w:r>
          </w:p>
        </w:tc>
      </w:tr>
    </w:tbl>
    <w:p w14:paraId="6901A60F" w14:textId="77777777" w:rsidR="00745249" w:rsidRPr="00824699" w:rsidRDefault="00745249" w:rsidP="00745249">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361E2A3D"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7F4C8884" w14:textId="77777777" w:rsidR="00745249" w:rsidRPr="00C35766" w:rsidRDefault="00745249" w:rsidP="00130A90">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Malattia di Crohn</w:t>
            </w:r>
          </w:p>
        </w:tc>
      </w:tr>
      <w:tr w:rsidR="00745249" w:rsidRPr="00C35766" w14:paraId="41B74134"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E472A6C" w14:textId="72CCE23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B3336EB" w14:textId="77777777" w:rsidR="00745249" w:rsidRPr="00824699" w:rsidRDefault="00745249" w:rsidP="00130A90">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06CEAC5E"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494E69" w14:paraId="220F9100"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2E4D446E"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Bambini, adolescenti e adulti</w:t>
            </w:r>
          </w:p>
          <w:p w14:paraId="6546EFF3" w14:textId="77777777" w:rsidR="00745249" w:rsidRPr="00824699" w:rsidRDefault="00745249" w:rsidP="00130A90">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40 kg</w:t>
            </w:r>
          </w:p>
        </w:tc>
        <w:tc>
          <w:tcPr>
            <w:tcW w:w="3096" w:type="dxa"/>
            <w:tcBorders>
              <w:top w:val="single" w:sz="5" w:space="0" w:color="000000"/>
              <w:left w:val="single" w:sz="5" w:space="0" w:color="000000"/>
              <w:bottom w:val="single" w:sz="5" w:space="0" w:color="000000"/>
              <w:right w:val="single" w:sz="5" w:space="0" w:color="000000"/>
            </w:tcBorders>
          </w:tcPr>
          <w:p w14:paraId="00E5E38E" w14:textId="390F3B30" w:rsidR="00745249" w:rsidRPr="00C35766" w:rsidRDefault="00745249" w:rsidP="00C7325A">
            <w:pPr>
              <w:pStyle w:val="TableParagraph"/>
              <w:spacing w:line="246" w:lineRule="exact"/>
              <w:ind w:left="102" w:right="57"/>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Prima dose di 80 mg (due iniezioni da 40 mg in un giorno), seguita da 40 mg due settimane più tardi.</w:t>
            </w:r>
          </w:p>
          <w:p w14:paraId="0E577EA7" w14:textId="77777777" w:rsidR="00745249" w:rsidRPr="00C35766" w:rsidRDefault="00745249" w:rsidP="00130A90">
            <w:pPr>
              <w:pStyle w:val="TableParagraph"/>
              <w:spacing w:before="11" w:line="240" w:lineRule="exact"/>
              <w:rPr>
                <w:rFonts w:ascii="Times New Roman" w:hAnsi="Times New Roman" w:cs="Times New Roman"/>
                <w:sz w:val="24"/>
                <w:szCs w:val="24"/>
                <w:lang w:val="es-ES"/>
              </w:rPr>
            </w:pPr>
          </w:p>
          <w:p w14:paraId="4DA28BC2" w14:textId="77777777" w:rsidR="00745249" w:rsidRPr="00C35766" w:rsidRDefault="00745249" w:rsidP="00130A90">
            <w:pPr>
              <w:pStyle w:val="TableParagraph"/>
              <w:ind w:left="102" w:right="76"/>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 xml:space="preserve">Se è necessario indurre una risposta più rapida, il medico potrebbe prescrivere una dose iniziale di 160 mg (quattro </w:t>
            </w:r>
            <w:r w:rsidRPr="00C35766">
              <w:rPr>
                <w:rFonts w:ascii="Times New Roman" w:eastAsia="Times New Roman" w:hAnsi="Times New Roman" w:cs="Times New Roman"/>
                <w:spacing w:val="-1"/>
                <w:lang w:val="it-IT"/>
              </w:rPr>
              <w:lastRenderedPageBreak/>
              <w:t>iniezioni da 40 mg in un giorno o due iniezioni da 40 mg al giorno per due giorni consecutivi), seguita da 80 mg (due iniezioni da 40 mg in un giorno) dopo due settimane.</w:t>
            </w:r>
          </w:p>
          <w:p w14:paraId="6FD87491" w14:textId="77777777" w:rsidR="00745249" w:rsidRPr="00C35766" w:rsidRDefault="00745249" w:rsidP="00130A90">
            <w:pPr>
              <w:pStyle w:val="TableParagraph"/>
              <w:spacing w:before="17" w:line="240" w:lineRule="exact"/>
              <w:rPr>
                <w:rFonts w:ascii="Times New Roman" w:hAnsi="Times New Roman" w:cs="Times New Roman"/>
                <w:sz w:val="24"/>
                <w:szCs w:val="24"/>
                <w:lang w:val="es-ES"/>
              </w:rPr>
            </w:pPr>
          </w:p>
          <w:p w14:paraId="5DFCD429" w14:textId="77777777" w:rsidR="00745249" w:rsidRPr="00824699" w:rsidRDefault="00745249" w:rsidP="00130A90">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76421E7"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lastRenderedPageBreak/>
              <w:t>Il medico può aumentare la</w:t>
            </w:r>
          </w:p>
          <w:p w14:paraId="6775822B" w14:textId="77777777" w:rsidR="00745249" w:rsidRPr="00824699" w:rsidRDefault="00745249" w:rsidP="00130A90">
            <w:pPr>
              <w:pStyle w:val="TableParagraph"/>
              <w:spacing w:before="3" w:line="252"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dose a 40 mg ogni settimana o 80 mg a settimane alterne.</w:t>
            </w:r>
          </w:p>
        </w:tc>
      </w:tr>
      <w:tr w:rsidR="00212ADE" w:rsidRPr="006501B3" w14:paraId="38BE9217"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5954943D" w14:textId="4A8F4A4F" w:rsidR="00212ADE" w:rsidRPr="00C35766" w:rsidRDefault="00212ADE" w:rsidP="00212ADE">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Bambini e adolescenti di età compresa tra 6 e 17 anni e con peso inferiore a 40 kg</w:t>
            </w:r>
          </w:p>
        </w:tc>
        <w:tc>
          <w:tcPr>
            <w:tcW w:w="3096" w:type="dxa"/>
            <w:tcBorders>
              <w:top w:val="single" w:sz="5" w:space="0" w:color="000000"/>
              <w:left w:val="single" w:sz="5" w:space="0" w:color="000000"/>
              <w:bottom w:val="single" w:sz="5" w:space="0" w:color="000000"/>
              <w:right w:val="single" w:sz="5" w:space="0" w:color="000000"/>
            </w:tcBorders>
          </w:tcPr>
          <w:p w14:paraId="7622923C" w14:textId="77777777" w:rsidR="00212ADE" w:rsidRPr="001E41EB" w:rsidRDefault="00212ADE" w:rsidP="00212ADE">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Una dose iniziale di 40 mg seguita da 20 mg dopo due settimane.</w:t>
            </w:r>
          </w:p>
          <w:p w14:paraId="27510A53" w14:textId="77777777" w:rsidR="00212ADE" w:rsidRDefault="00212ADE" w:rsidP="00212ADE">
            <w:pPr>
              <w:pStyle w:val="TableParagraph"/>
              <w:spacing w:line="246" w:lineRule="exact"/>
              <w:ind w:left="102" w:right="57"/>
              <w:rPr>
                <w:rFonts w:ascii="Times New Roman" w:eastAsia="Times New Roman" w:hAnsi="Times New Roman" w:cs="Times New Roman"/>
                <w:lang w:val="it-IT"/>
              </w:rPr>
            </w:pPr>
          </w:p>
          <w:p w14:paraId="6B05D5CF" w14:textId="77777777" w:rsidR="00212ADE" w:rsidRDefault="00212ADE" w:rsidP="00212ADE">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Se è necessario indurre una risposta più rapida, il medico potrebbe prescrivere una dose iniziale di 80 mg (due iniezioni da 40 mg in un giorno), seguita da 40 mg dopo due settimane.</w:t>
            </w:r>
          </w:p>
          <w:p w14:paraId="59E86739" w14:textId="77777777" w:rsidR="00212ADE" w:rsidRDefault="00212ADE" w:rsidP="00212ADE">
            <w:pPr>
              <w:pStyle w:val="TableParagraph"/>
              <w:spacing w:line="246" w:lineRule="exact"/>
              <w:ind w:left="102" w:right="57"/>
              <w:rPr>
                <w:rFonts w:ascii="Times New Roman" w:eastAsia="Times New Roman" w:hAnsi="Times New Roman" w:cs="Times New Roman"/>
                <w:lang w:val="it-IT"/>
              </w:rPr>
            </w:pPr>
          </w:p>
          <w:p w14:paraId="1CC7BD0E" w14:textId="43CCEDD1"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5AC9435" w14:textId="27CC4B49"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lang w:val="it-IT"/>
              </w:rPr>
              <w:t>Il medico potrebbe aumentare la frequenza della dose a 20 mg ogni settimana.</w:t>
            </w:r>
          </w:p>
        </w:tc>
      </w:tr>
    </w:tbl>
    <w:p w14:paraId="4A3A7D9F" w14:textId="77777777" w:rsidR="00745249" w:rsidRPr="00824699" w:rsidRDefault="00745249" w:rsidP="00745249">
      <w:pPr>
        <w:spacing w:before="7" w:line="90" w:lineRule="exact"/>
        <w:rPr>
          <w:rFonts w:ascii="Times New Roman" w:hAnsi="Times New Roman" w:cs="Times New Roman"/>
          <w:sz w:val="9"/>
          <w:szCs w:val="9"/>
          <w:lang w:val="it-IT"/>
        </w:rPr>
      </w:pPr>
    </w:p>
    <w:p w14:paraId="40F227AF" w14:textId="77777777" w:rsidR="00745249" w:rsidRPr="00824699" w:rsidRDefault="00745249" w:rsidP="00745249">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24344CDC"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24E94622" w14:textId="77777777" w:rsidR="00745249" w:rsidRPr="00C35766" w:rsidRDefault="00745249"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Colite ulcerosa</w:t>
            </w:r>
          </w:p>
        </w:tc>
      </w:tr>
      <w:tr w:rsidR="00745249" w:rsidRPr="00C35766" w14:paraId="33BB9082"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5756AD8" w14:textId="185E66CC"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37D3903F" w14:textId="789A6916"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4A518080"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494E69" w14:paraId="0791E1A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DA3952E"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368E0367" w14:textId="17CF125F" w:rsidR="00745249" w:rsidRPr="00C35766" w:rsidRDefault="00745249" w:rsidP="00C7325A">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160 mg (quattro iniezioni da 40</w:t>
            </w:r>
            <w:r w:rsidR="006F4816" w:rsidRPr="00C35766">
              <w:rPr>
                <w:rFonts w:ascii="Times New Roman" w:eastAsia="Times New Roman" w:hAnsi="Times New Roman" w:cs="Times New Roman"/>
                <w:spacing w:val="-1"/>
                <w:lang w:val="it-IT"/>
              </w:rPr>
              <w:t xml:space="preserve"> mg</w:t>
            </w:r>
            <w:r w:rsidRPr="00C35766">
              <w:rPr>
                <w:rFonts w:ascii="Times New Roman" w:eastAsia="Times New Roman" w:hAnsi="Times New Roman" w:cs="Times New Roman"/>
                <w:spacing w:val="-1"/>
                <w:lang w:val="it-IT"/>
              </w:rPr>
              <w:t xml:space="preserve"> in un giorno o due iniezioni da 40 mg al giorno per due giorni consecutivi), seguita da 80 mg (due iniezioni da 40 mg in un giorno) dopo due settimane.</w:t>
            </w:r>
          </w:p>
          <w:p w14:paraId="012551F3" w14:textId="77777777" w:rsidR="00745249" w:rsidRPr="00C35766" w:rsidRDefault="00745249" w:rsidP="00130A90">
            <w:pPr>
              <w:pStyle w:val="TableParagraph"/>
              <w:spacing w:before="17" w:line="240" w:lineRule="exact"/>
              <w:rPr>
                <w:rFonts w:ascii="Times New Roman" w:hAnsi="Times New Roman" w:cs="Times New Roman"/>
                <w:sz w:val="24"/>
                <w:szCs w:val="24"/>
                <w:lang w:val="pt-BR"/>
              </w:rPr>
            </w:pPr>
          </w:p>
          <w:p w14:paraId="0FC58E5A" w14:textId="77777777" w:rsidR="00745249" w:rsidRPr="00824699" w:rsidRDefault="00745249" w:rsidP="00130A90">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28F2D995" w14:textId="77777777" w:rsidR="00745249" w:rsidRPr="00C35766" w:rsidRDefault="00745249" w:rsidP="00130A90">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Il medico può aumentare il dosaggio a 40 mg ogni settimana o 80 mg a settimane alterne.</w:t>
            </w:r>
          </w:p>
        </w:tc>
      </w:tr>
      <w:tr w:rsidR="001F24B7" w:rsidRPr="00494E69" w14:paraId="28A56726"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404AEF86" w14:textId="0A79E6E0"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inferiore a 40 kg</w:t>
            </w:r>
          </w:p>
        </w:tc>
        <w:tc>
          <w:tcPr>
            <w:tcW w:w="3096" w:type="dxa"/>
            <w:tcBorders>
              <w:top w:val="single" w:sz="5" w:space="0" w:color="000000"/>
              <w:left w:val="single" w:sz="5" w:space="0" w:color="000000"/>
              <w:bottom w:val="single" w:sz="5" w:space="0" w:color="000000"/>
              <w:right w:val="single" w:sz="5" w:space="0" w:color="000000"/>
            </w:tcBorders>
          </w:tcPr>
          <w:p w14:paraId="019AC3A5" w14:textId="77777777" w:rsidR="001F24B7" w:rsidRPr="00C35766" w:rsidRDefault="001F24B7" w:rsidP="00974170">
            <w:pPr>
              <w:numPr>
                <w:ilvl w:val="12"/>
                <w:numId w:val="0"/>
              </w:numPr>
              <w:ind w:left="57"/>
              <w:rPr>
                <w:rFonts w:ascii="Times New Roman" w:hAnsi="Times New Roman" w:cs="Times New Roman"/>
                <w:lang w:val="de-CH"/>
              </w:rPr>
            </w:pPr>
            <w:r w:rsidRPr="00C35766">
              <w:rPr>
                <w:rFonts w:ascii="Times New Roman" w:hAnsi="Times New Roman" w:cs="Times New Roman"/>
                <w:lang w:val="de-CH"/>
              </w:rPr>
              <w:t>Una dose iniziale di 80 mg (due iniezioni da 40 mg in un giorno), seguita da 40 mg (una iniezione da 40 mg) dopo due settimane.</w:t>
            </w:r>
          </w:p>
          <w:p w14:paraId="2950411F" w14:textId="77777777" w:rsidR="001F24B7" w:rsidRPr="00C35766" w:rsidRDefault="001F24B7" w:rsidP="00974170">
            <w:pPr>
              <w:numPr>
                <w:ilvl w:val="12"/>
                <w:numId w:val="0"/>
              </w:numPr>
              <w:ind w:left="57"/>
              <w:rPr>
                <w:rFonts w:ascii="Times New Roman" w:hAnsi="Times New Roman" w:cs="Times New Roman"/>
                <w:lang w:val="de-CH"/>
              </w:rPr>
            </w:pPr>
          </w:p>
          <w:p w14:paraId="15D3C45E" w14:textId="06DF143D" w:rsidR="001F24B7" w:rsidRPr="00C35766" w:rsidRDefault="001F24B7" w:rsidP="00974170">
            <w:pPr>
              <w:pStyle w:val="TableParagraph"/>
              <w:spacing w:line="246" w:lineRule="exact"/>
              <w:ind w:left="57" w:righ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78211812" w14:textId="37181C33"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r w:rsidR="001F24B7" w:rsidRPr="00494E69" w14:paraId="696614EC"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067B1B31" w14:textId="32FE9CEB"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pari o superiore a 40 kg</w:t>
            </w:r>
          </w:p>
        </w:tc>
        <w:tc>
          <w:tcPr>
            <w:tcW w:w="3096" w:type="dxa"/>
            <w:tcBorders>
              <w:top w:val="single" w:sz="5" w:space="0" w:color="000000"/>
              <w:left w:val="single" w:sz="5" w:space="0" w:color="000000"/>
              <w:bottom w:val="single" w:sz="5" w:space="0" w:color="000000"/>
              <w:right w:val="single" w:sz="5" w:space="0" w:color="000000"/>
            </w:tcBorders>
          </w:tcPr>
          <w:p w14:paraId="6CD6B0FF" w14:textId="37F37503" w:rsidR="001F24B7" w:rsidRPr="002062B2" w:rsidRDefault="001F24B7" w:rsidP="00974170">
            <w:pPr>
              <w:numPr>
                <w:ilvl w:val="12"/>
                <w:numId w:val="0"/>
              </w:numPr>
              <w:ind w:left="57"/>
              <w:rPr>
                <w:rFonts w:ascii="Times New Roman" w:hAnsi="Times New Roman" w:cs="Times New Roman"/>
                <w:lang w:val="it-IT"/>
              </w:rPr>
            </w:pPr>
            <w:r w:rsidRPr="002062B2">
              <w:rPr>
                <w:rFonts w:ascii="Times New Roman" w:hAnsi="Times New Roman" w:cs="Times New Roman"/>
                <w:lang w:val="it-IT"/>
              </w:rPr>
              <w:t>Una dose iniziale di 160 mg (quattro iniezioni da 40 mg in un giorno o due iniezioni da 40 mg al giorno per due giorni consecutivi), seguita da 80 mg (due iniezioni da 40 mg in un giorno) dopo due settimane.</w:t>
            </w:r>
          </w:p>
          <w:p w14:paraId="03510760" w14:textId="77777777" w:rsidR="001F24B7" w:rsidRPr="002062B2" w:rsidRDefault="001F24B7" w:rsidP="00974170">
            <w:pPr>
              <w:numPr>
                <w:ilvl w:val="12"/>
                <w:numId w:val="0"/>
              </w:numPr>
              <w:ind w:left="57"/>
              <w:rPr>
                <w:rFonts w:ascii="Times New Roman" w:hAnsi="Times New Roman" w:cs="Times New Roman"/>
                <w:lang w:val="it-IT"/>
              </w:rPr>
            </w:pPr>
          </w:p>
          <w:p w14:paraId="3BCEE717" w14:textId="56948E2B" w:rsidR="001F24B7" w:rsidRPr="00C35766" w:rsidRDefault="001F24B7" w:rsidP="00974170">
            <w:pPr>
              <w:pStyle w:val="TableParagraph"/>
              <w:spacing w:line="246" w:lineRule="exact"/>
              <w:ind w:left="57" w:right="57"/>
              <w:rPr>
                <w:rFonts w:ascii="Times New Roman" w:eastAsia="Times New Roman" w:hAnsi="Times New Roman" w:cs="Times New Roman"/>
                <w:spacing w:val="-1"/>
                <w:lang w:val="it-IT"/>
              </w:rPr>
            </w:pPr>
            <w:r w:rsidRPr="00824699">
              <w:rPr>
                <w:rFonts w:ascii="Times New Roman" w:hAnsi="Times New Roman" w:cs="Times New Roman"/>
                <w:lang w:val="it-IT"/>
              </w:rPr>
              <w:t xml:space="preserve">Successivamente, la dose </w:t>
            </w:r>
            <w:r w:rsidRPr="00824699">
              <w:rPr>
                <w:rFonts w:ascii="Times New Roman" w:hAnsi="Times New Roman" w:cs="Times New Roman"/>
                <w:lang w:val="it-IT"/>
              </w:rPr>
              <w:lastRenderedPageBreak/>
              <w:t>abituale è di 80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0B84315B" w14:textId="1C1EEC7B" w:rsidR="001F24B7" w:rsidRPr="00C35766" w:rsidRDefault="001F24B7" w:rsidP="001F24B7">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lastRenderedPageBreak/>
              <w:t>Si deve continuare ad assumere Yuflyma alla dose abituale, anche dopo aver compiuto 18 anni di età.</w:t>
            </w:r>
          </w:p>
        </w:tc>
      </w:tr>
    </w:tbl>
    <w:p w14:paraId="028AFF41" w14:textId="77777777" w:rsidR="00745249" w:rsidRPr="00C35766" w:rsidRDefault="00745249" w:rsidP="00745249">
      <w:pPr>
        <w:spacing w:before="10" w:line="240" w:lineRule="exact"/>
        <w:rPr>
          <w:rFonts w:ascii="Times New Roman" w:hAnsi="Times New Roman" w:cs="Times New Roman"/>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745249" w:rsidRPr="00C35766" w14:paraId="26BFC852" w14:textId="77777777" w:rsidTr="00B3291C">
        <w:tc>
          <w:tcPr>
            <w:tcW w:w="9288" w:type="dxa"/>
            <w:gridSpan w:val="3"/>
            <w:tcBorders>
              <w:top w:val="single" w:sz="5" w:space="0" w:color="000000"/>
              <w:left w:val="single" w:sz="5" w:space="0" w:color="000000"/>
              <w:bottom w:val="single" w:sz="5" w:space="0" w:color="000000"/>
              <w:right w:val="single" w:sz="5" w:space="0" w:color="000000"/>
            </w:tcBorders>
          </w:tcPr>
          <w:p w14:paraId="296F1D32" w14:textId="77777777" w:rsidR="00745249" w:rsidRPr="00C35766" w:rsidRDefault="00745249" w:rsidP="00130A90">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Uveite non infettiva</w:t>
            </w:r>
          </w:p>
        </w:tc>
      </w:tr>
      <w:tr w:rsidR="00745249" w:rsidRPr="00C35766" w14:paraId="192BB79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2674A6A7" w14:textId="6290A25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3F402A3E" w14:textId="61B0D798" w:rsidR="00745249" w:rsidRPr="00824699" w:rsidRDefault="00745249" w:rsidP="00C7325A">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1BA161A5" w14:textId="77777777" w:rsidR="00745249" w:rsidRPr="00C35766" w:rsidRDefault="00745249" w:rsidP="00130A90">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745249" w:rsidRPr="006501B3" w14:paraId="0E5C4D22"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3D2F85C8"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01F74D9A" w14:textId="4EA15597" w:rsidR="00745249" w:rsidRPr="00824699" w:rsidRDefault="00745249"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(due iniezioni da 40 mg in un giorno), seguita da 40 mg a settimane alterne a partire da una settimana dopo la prima</w:t>
            </w:r>
            <w:r w:rsidRPr="00C35766">
              <w:rPr>
                <w:rFonts w:ascii="Times New Roman" w:eastAsia="Times New Roman" w:hAnsi="Times New Roman" w:cs="Times New Roman"/>
                <w:lang w:val="it-IT"/>
              </w:rPr>
              <w:t xml:space="preserve"> dose.</w:t>
            </w:r>
          </w:p>
        </w:tc>
        <w:tc>
          <w:tcPr>
            <w:tcW w:w="3096" w:type="dxa"/>
            <w:tcBorders>
              <w:top w:val="single" w:sz="5" w:space="0" w:color="000000"/>
              <w:left w:val="single" w:sz="5" w:space="0" w:color="000000"/>
              <w:bottom w:val="single" w:sz="5" w:space="0" w:color="000000"/>
              <w:right w:val="single" w:sz="5" w:space="0" w:color="000000"/>
            </w:tcBorders>
          </w:tcPr>
          <w:p w14:paraId="0768B7E2" w14:textId="77777777" w:rsidR="00745249" w:rsidRPr="00824699" w:rsidRDefault="00745249" w:rsidP="00130A9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 corticosteroidi o gli altri farmaci che influiscono sul sistema immunitario potranno essere continuati durante il trattamento con Yuflyma.</w:t>
            </w:r>
          </w:p>
          <w:p w14:paraId="57630FA7" w14:textId="77777777" w:rsidR="00745249" w:rsidRPr="00824699" w:rsidRDefault="00745249" w:rsidP="00130A90">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Yuflyma può essere anche somministrato in monoterapia.</w:t>
            </w:r>
          </w:p>
        </w:tc>
      </w:tr>
      <w:tr w:rsidR="00212ADE" w:rsidRPr="00C35766" w14:paraId="6C24B65F"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11924853" w14:textId="75C90D77"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Bambini e adolescenti a partire da 2 anni di età e con peso inferiore a 30 kg</w:t>
            </w:r>
          </w:p>
        </w:tc>
        <w:tc>
          <w:tcPr>
            <w:tcW w:w="3096" w:type="dxa"/>
            <w:tcBorders>
              <w:top w:val="single" w:sz="5" w:space="0" w:color="000000"/>
              <w:left w:val="single" w:sz="5" w:space="0" w:color="000000"/>
              <w:bottom w:val="single" w:sz="5" w:space="0" w:color="000000"/>
              <w:right w:val="single" w:sz="5" w:space="0" w:color="000000"/>
            </w:tcBorders>
          </w:tcPr>
          <w:p w14:paraId="33ED414A" w14:textId="3D168585"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2FEE8302" w14:textId="192D6B89" w:rsidR="00212ADE" w:rsidRPr="00C35766" w:rsidRDefault="00212ADE" w:rsidP="00212ADE">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 xml:space="preserve">Il medico potrebbe prescrivere una dose iniziale da 40 mg da somministrare una settimana prima dell’inizio della dose abituale da 20 mg a settimane alterne. L’uso di </w:t>
            </w:r>
            <w:r w:rsidR="00963203">
              <w:rPr>
                <w:rFonts w:ascii="Times New Roman" w:eastAsia="Times New Roman" w:hAnsi="Times New Roman" w:cs="Times New Roman"/>
                <w:spacing w:val="-1"/>
                <w:lang w:val="it-IT"/>
              </w:rPr>
              <w:t>Yuflyma</w:t>
            </w:r>
            <w:r w:rsidRPr="001E41EB">
              <w:rPr>
                <w:rFonts w:ascii="Times New Roman" w:eastAsia="Times New Roman" w:hAnsi="Times New Roman" w:cs="Times New Roman"/>
                <w:spacing w:val="-1"/>
                <w:lang w:val="it-IT"/>
              </w:rPr>
              <w:t xml:space="preserve"> è raccomandato in associazione al metotressato.</w:t>
            </w:r>
          </w:p>
        </w:tc>
      </w:tr>
      <w:tr w:rsidR="00745249" w:rsidRPr="00C35766" w14:paraId="035A062B" w14:textId="77777777" w:rsidTr="00B3291C">
        <w:tc>
          <w:tcPr>
            <w:tcW w:w="3096" w:type="dxa"/>
            <w:tcBorders>
              <w:top w:val="single" w:sz="5" w:space="0" w:color="000000"/>
              <w:left w:val="single" w:sz="5" w:space="0" w:color="000000"/>
              <w:bottom w:val="single" w:sz="5" w:space="0" w:color="000000"/>
              <w:right w:val="single" w:sz="5" w:space="0" w:color="000000"/>
            </w:tcBorders>
          </w:tcPr>
          <w:p w14:paraId="72CC0E0C" w14:textId="020325C4" w:rsidR="00745249" w:rsidRPr="00824699" w:rsidRDefault="00745249" w:rsidP="00C7325A">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e adolescenti a partire da</w:t>
            </w:r>
            <w:r w:rsidRPr="00C35766">
              <w:rPr>
                <w:rFonts w:ascii="Times New Roman" w:eastAsia="Times New Roman" w:hAnsi="Times New Roman" w:cs="Times New Roman"/>
                <w:lang w:val="it-IT"/>
              </w:rPr>
              <w:t xml:space="preserve"> 2 anni di età con peso di almeno 30 kg</w:t>
            </w:r>
          </w:p>
        </w:tc>
        <w:tc>
          <w:tcPr>
            <w:tcW w:w="3096" w:type="dxa"/>
            <w:tcBorders>
              <w:top w:val="single" w:sz="5" w:space="0" w:color="000000"/>
              <w:left w:val="single" w:sz="5" w:space="0" w:color="000000"/>
              <w:bottom w:val="single" w:sz="5" w:space="0" w:color="000000"/>
              <w:right w:val="single" w:sz="5" w:space="0" w:color="000000"/>
            </w:tcBorders>
          </w:tcPr>
          <w:p w14:paraId="1943DA2C" w14:textId="77777777" w:rsidR="00745249" w:rsidRPr="00C35766" w:rsidRDefault="00745249" w:rsidP="00130A9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7D64D23" w14:textId="03BCF1AD" w:rsidR="00745249" w:rsidRPr="00C35766" w:rsidRDefault="00745249" w:rsidP="00C7325A">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Il medico potrebbe prescrivere una dose iniziale da 80 mg da somministrare una settimana prima dell’inizio della dose abituale da</w:t>
            </w:r>
            <w:r w:rsidR="009C00CA"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40 mg a settimane alterne</w:t>
            </w:r>
            <w:r w:rsidR="006572BF" w:rsidRPr="00C35766">
              <w:rPr>
                <w:rFonts w:ascii="Times New Roman" w:eastAsia="Times New Roman" w:hAnsi="Times New Roman" w:cs="Times New Roman"/>
                <w:lang w:val="it-IT"/>
              </w:rPr>
              <w:t>.</w:t>
            </w:r>
            <w:r w:rsidRPr="00C35766">
              <w:rPr>
                <w:rFonts w:ascii="Times New Roman" w:eastAsia="Times New Roman" w:hAnsi="Times New Roman" w:cs="Times New Roman"/>
                <w:lang w:val="it-IT"/>
              </w:rPr>
              <w:t xml:space="preserve"> L’uso di Yuflyma è raccomandato in associazione al metotressato.</w:t>
            </w:r>
          </w:p>
        </w:tc>
      </w:tr>
    </w:tbl>
    <w:p w14:paraId="43D84173" w14:textId="77777777" w:rsidR="00CB576E" w:rsidRPr="00C35766" w:rsidRDefault="00CB576E">
      <w:pPr>
        <w:pStyle w:val="a3"/>
      </w:pPr>
    </w:p>
    <w:p w14:paraId="528BD974" w14:textId="77777777" w:rsidR="00953B2E" w:rsidRPr="00C35766" w:rsidRDefault="005F0C19">
      <w:pPr>
        <w:pStyle w:val="a3"/>
        <w:rPr>
          <w:b/>
          <w:lang w:val="it-IT"/>
        </w:rPr>
      </w:pPr>
      <w:r w:rsidRPr="00C35766">
        <w:rPr>
          <w:rFonts w:eastAsia="Times New Roman"/>
          <w:b/>
          <w:bCs/>
          <w:lang w:val="it-IT"/>
        </w:rPr>
        <w:t>Modo e via di somministrazione</w:t>
      </w:r>
    </w:p>
    <w:p w14:paraId="5A221B65" w14:textId="77777777" w:rsidR="00953B2E" w:rsidRPr="00C35766" w:rsidRDefault="00953B2E">
      <w:pPr>
        <w:spacing w:before="9" w:line="240" w:lineRule="exact"/>
        <w:rPr>
          <w:rFonts w:ascii="Times New Roman" w:hAnsi="Times New Roman" w:cs="Times New Roman"/>
          <w:sz w:val="24"/>
          <w:lang w:val="it-IT"/>
        </w:rPr>
      </w:pPr>
    </w:p>
    <w:p w14:paraId="6981CCE0" w14:textId="0A8CD620" w:rsidR="00953B2E" w:rsidRPr="00C35766" w:rsidRDefault="005F0C19">
      <w:pPr>
        <w:pStyle w:val="a3"/>
        <w:rPr>
          <w:lang w:val="it-IT"/>
        </w:rPr>
      </w:pPr>
      <w:r w:rsidRPr="00C35766">
        <w:rPr>
          <w:rFonts w:eastAsia="Times New Roman"/>
          <w:lang w:val="it-IT"/>
        </w:rPr>
        <w:t xml:space="preserve">Yuflyma è somministrato </w:t>
      </w:r>
      <w:r w:rsidR="0008503C" w:rsidRPr="00C35766">
        <w:rPr>
          <w:rFonts w:eastAsia="Times New Roman"/>
          <w:lang w:val="it-IT"/>
        </w:rPr>
        <w:t>per</w:t>
      </w:r>
      <w:r w:rsidRPr="00C35766">
        <w:rPr>
          <w:rFonts w:eastAsia="Times New Roman"/>
          <w:lang w:val="it-IT"/>
        </w:rPr>
        <w:t xml:space="preserve"> iniezione sotto la</w:t>
      </w:r>
      <w:r w:rsidR="00745249" w:rsidRPr="00C35766" w:rsidDel="00841E18">
        <w:rPr>
          <w:rFonts w:eastAsia="Times New Roman"/>
          <w:lang w:val="it-IT"/>
        </w:rPr>
        <w:t xml:space="preserve"> </w:t>
      </w:r>
      <w:r w:rsidR="00745249" w:rsidRPr="00C35766">
        <w:rPr>
          <w:rFonts w:eastAsia="Times New Roman"/>
          <w:lang w:val="it-IT"/>
        </w:rPr>
        <w:t>pelle</w:t>
      </w:r>
      <w:r w:rsidRPr="00C35766">
        <w:rPr>
          <w:rFonts w:eastAsia="Times New Roman"/>
          <w:lang w:val="it-IT"/>
        </w:rPr>
        <w:t xml:space="preserve"> (per iniezione sottocutanea).</w:t>
      </w:r>
    </w:p>
    <w:p w14:paraId="339DAFC0" w14:textId="77777777" w:rsidR="00953B2E" w:rsidRPr="00C35766" w:rsidRDefault="00953B2E">
      <w:pPr>
        <w:spacing w:before="18" w:line="240" w:lineRule="exact"/>
        <w:rPr>
          <w:rFonts w:ascii="Times New Roman" w:hAnsi="Times New Roman" w:cs="Times New Roman"/>
          <w:sz w:val="24"/>
          <w:lang w:val="it-IT"/>
        </w:rPr>
      </w:pPr>
    </w:p>
    <w:p w14:paraId="436C34B0" w14:textId="65BC2896" w:rsidR="00953B2E" w:rsidRPr="00C35766" w:rsidRDefault="005F0C19">
      <w:pPr>
        <w:pStyle w:val="a3"/>
        <w:rPr>
          <w:b/>
          <w:lang w:val="it-IT"/>
        </w:rPr>
      </w:pPr>
      <w:r w:rsidRPr="00C35766">
        <w:rPr>
          <w:rFonts w:eastAsia="Times New Roman"/>
          <w:b/>
          <w:bCs/>
          <w:lang w:val="it-IT"/>
        </w:rPr>
        <w:t xml:space="preserve">Istruzioni dettagliate su come somministrare Yuflyma sono descritte nel paragrafo 7 </w:t>
      </w:r>
      <w:r w:rsidR="00471BD2">
        <w:rPr>
          <w:rFonts w:eastAsia="Times New Roman"/>
          <w:b/>
          <w:bCs/>
          <w:lang w:val="it-IT"/>
        </w:rPr>
        <w:t>“</w:t>
      </w:r>
      <w:r w:rsidR="008146D6" w:rsidRPr="00C35766">
        <w:rPr>
          <w:rFonts w:eastAsia="Times New Roman"/>
          <w:b/>
          <w:bCs/>
          <w:lang w:val="it-IT"/>
        </w:rPr>
        <w:t>Istruzioni per l’uso</w:t>
      </w:r>
      <w:r w:rsidR="00471BD2">
        <w:rPr>
          <w:rFonts w:eastAsia="Times New Roman"/>
          <w:b/>
          <w:bCs/>
          <w:lang w:val="it-IT"/>
        </w:rPr>
        <w:t>”</w:t>
      </w:r>
      <w:r w:rsidRPr="00C35766">
        <w:rPr>
          <w:rFonts w:eastAsia="Times New Roman"/>
          <w:b/>
          <w:bCs/>
          <w:lang w:val="it-IT"/>
        </w:rPr>
        <w:t>.</w:t>
      </w:r>
    </w:p>
    <w:p w14:paraId="292E18E8" w14:textId="77777777" w:rsidR="00953B2E" w:rsidRPr="00471BD2" w:rsidRDefault="00953B2E">
      <w:pPr>
        <w:pStyle w:val="a3"/>
        <w:rPr>
          <w:b/>
          <w:lang w:val="it-IT"/>
        </w:rPr>
      </w:pPr>
    </w:p>
    <w:p w14:paraId="687E555E" w14:textId="77777777" w:rsidR="00953B2E" w:rsidRPr="00C35766" w:rsidRDefault="005F0C19">
      <w:pPr>
        <w:pStyle w:val="a3"/>
        <w:rPr>
          <w:b/>
          <w:lang w:val="pt-BR"/>
        </w:rPr>
      </w:pPr>
      <w:r w:rsidRPr="00C35766">
        <w:rPr>
          <w:rFonts w:eastAsia="Times New Roman"/>
          <w:b/>
          <w:bCs/>
          <w:lang w:val="it-IT"/>
        </w:rPr>
        <w:t>Se usa più Yuflyma di quanto deve</w:t>
      </w:r>
    </w:p>
    <w:p w14:paraId="519DF63A" w14:textId="77777777" w:rsidR="00953B2E" w:rsidRPr="00C35766" w:rsidRDefault="00953B2E">
      <w:pPr>
        <w:pStyle w:val="a3"/>
        <w:rPr>
          <w:lang w:val="pt-BR"/>
        </w:rPr>
      </w:pPr>
    </w:p>
    <w:p w14:paraId="33FBEB4F" w14:textId="77777777" w:rsidR="00953B2E" w:rsidRPr="00C35766" w:rsidRDefault="005F0C19">
      <w:pPr>
        <w:pStyle w:val="a3"/>
        <w:rPr>
          <w:lang w:val="it-IT"/>
        </w:rPr>
      </w:pPr>
      <w:r w:rsidRPr="00C35766">
        <w:rPr>
          <w:rFonts w:eastAsia="Times New Roman"/>
          <w:lang w:val="it-IT"/>
        </w:rPr>
        <w:t>Se accidentalmente inietta Yuflyma più frequentemente di quanto disposto dal medico o dal farmacista, contatti il medico o il farmacista informandoli di aver assunto più farmaco. Conservi sempre la scatola del farmaco, anche se vuota.</w:t>
      </w:r>
    </w:p>
    <w:p w14:paraId="627F002D" w14:textId="77777777" w:rsidR="00953B2E" w:rsidRPr="00C35766" w:rsidRDefault="00953B2E">
      <w:pPr>
        <w:spacing w:before="18" w:line="240" w:lineRule="exact"/>
        <w:rPr>
          <w:rFonts w:ascii="Times New Roman" w:hAnsi="Times New Roman" w:cs="Times New Roman"/>
          <w:b/>
          <w:sz w:val="24"/>
          <w:szCs w:val="24"/>
          <w:lang w:val="it-IT"/>
        </w:rPr>
      </w:pPr>
    </w:p>
    <w:p w14:paraId="3D36AD51" w14:textId="77777777" w:rsidR="00953B2E" w:rsidRPr="00C35766" w:rsidRDefault="005F0C19">
      <w:pPr>
        <w:pStyle w:val="a3"/>
        <w:rPr>
          <w:b/>
          <w:lang w:val="it-IT"/>
        </w:rPr>
      </w:pPr>
      <w:r w:rsidRPr="00C35766">
        <w:rPr>
          <w:rFonts w:eastAsia="Times New Roman"/>
          <w:b/>
          <w:bCs/>
          <w:lang w:val="it-IT"/>
        </w:rPr>
        <w:t>Se dimentica di usare Yuflyma</w:t>
      </w:r>
    </w:p>
    <w:p w14:paraId="75A3D6A3" w14:textId="77777777" w:rsidR="00953B2E" w:rsidRPr="00C35766" w:rsidRDefault="00953B2E">
      <w:pPr>
        <w:spacing w:before="9" w:line="240" w:lineRule="exact"/>
        <w:rPr>
          <w:rFonts w:ascii="Times New Roman" w:hAnsi="Times New Roman" w:cs="Times New Roman"/>
          <w:sz w:val="24"/>
          <w:szCs w:val="24"/>
          <w:lang w:val="it-IT"/>
        </w:rPr>
      </w:pPr>
    </w:p>
    <w:p w14:paraId="296E1FBB" w14:textId="77777777" w:rsidR="00953B2E" w:rsidRPr="00C35766" w:rsidRDefault="005F0C19">
      <w:pPr>
        <w:pStyle w:val="a3"/>
        <w:rPr>
          <w:lang w:val="it-IT"/>
        </w:rPr>
      </w:pPr>
      <w:r w:rsidRPr="00C35766">
        <w:rPr>
          <w:rFonts w:eastAsia="Times New Roman"/>
          <w:lang w:val="it-IT"/>
        </w:rPr>
        <w:t>Se dimentica di fare un’iniezione, deve iniettarsi la dose successiva di Yuflyma non appena se ne ricorda.  Dopodiché riprenda la dose regolarmente secondo lo schema posologico stabilito.</w:t>
      </w:r>
    </w:p>
    <w:p w14:paraId="00C40DCC" w14:textId="77777777" w:rsidR="00953B2E" w:rsidRPr="00C35766" w:rsidRDefault="00953B2E">
      <w:pPr>
        <w:spacing w:before="18" w:line="240" w:lineRule="exact"/>
        <w:rPr>
          <w:rFonts w:ascii="Times New Roman" w:hAnsi="Times New Roman" w:cs="Times New Roman"/>
          <w:sz w:val="24"/>
          <w:szCs w:val="24"/>
          <w:lang w:val="it-IT"/>
        </w:rPr>
      </w:pPr>
    </w:p>
    <w:p w14:paraId="7C51FBCF" w14:textId="77777777" w:rsidR="00953B2E" w:rsidRPr="00C35766" w:rsidRDefault="005F0C19">
      <w:pPr>
        <w:pStyle w:val="a3"/>
        <w:rPr>
          <w:b/>
          <w:lang w:val="it-IT"/>
        </w:rPr>
      </w:pPr>
      <w:r w:rsidRPr="00C35766">
        <w:rPr>
          <w:rFonts w:eastAsia="Times New Roman"/>
          <w:b/>
          <w:bCs/>
          <w:lang w:val="it-IT"/>
        </w:rPr>
        <w:t>Se interrompe il trattamento con Yuflyma</w:t>
      </w:r>
    </w:p>
    <w:p w14:paraId="703636F3" w14:textId="77777777" w:rsidR="00953B2E" w:rsidRPr="00C35766" w:rsidRDefault="00953B2E">
      <w:pPr>
        <w:spacing w:before="6" w:line="240" w:lineRule="exact"/>
        <w:rPr>
          <w:rFonts w:ascii="Times New Roman" w:hAnsi="Times New Roman" w:cs="Times New Roman"/>
          <w:sz w:val="24"/>
          <w:szCs w:val="24"/>
          <w:lang w:val="it-IT"/>
        </w:rPr>
      </w:pPr>
    </w:p>
    <w:p w14:paraId="6AE6EC4E" w14:textId="77777777" w:rsidR="00953B2E" w:rsidRPr="00C35766" w:rsidRDefault="005F0C19">
      <w:pPr>
        <w:pStyle w:val="a3"/>
        <w:rPr>
          <w:lang w:val="it-IT"/>
        </w:rPr>
      </w:pPr>
      <w:r w:rsidRPr="00C35766">
        <w:rPr>
          <w:rFonts w:eastAsia="Times New Roman"/>
          <w:lang w:val="it-IT"/>
        </w:rPr>
        <w:t>La decisione di interrompere l’uso di Yuflyma deve essere discussa con il medico. I sintomi possono ritornare se smette di usare Yuflyma.</w:t>
      </w:r>
    </w:p>
    <w:p w14:paraId="3804590F" w14:textId="77777777" w:rsidR="00953B2E" w:rsidRPr="00C35766" w:rsidRDefault="00953B2E">
      <w:pPr>
        <w:spacing w:before="12" w:line="240" w:lineRule="exact"/>
        <w:rPr>
          <w:rFonts w:ascii="Times New Roman" w:hAnsi="Times New Roman" w:cs="Times New Roman"/>
          <w:sz w:val="24"/>
          <w:szCs w:val="24"/>
          <w:lang w:val="it-IT"/>
        </w:rPr>
      </w:pPr>
    </w:p>
    <w:p w14:paraId="19D95D82" w14:textId="77777777" w:rsidR="00953B2E" w:rsidRPr="00C35766" w:rsidRDefault="005F0C19">
      <w:pPr>
        <w:pStyle w:val="a3"/>
        <w:rPr>
          <w:lang w:val="it-IT"/>
        </w:rPr>
      </w:pPr>
      <w:r w:rsidRPr="00C35766">
        <w:rPr>
          <w:rFonts w:eastAsia="Times New Roman"/>
          <w:lang w:val="it-IT"/>
        </w:rPr>
        <w:t>Se ha qualsiasi dubbio sull’uso di questo medicinale, si rivolga al medico o al farmacista.</w:t>
      </w:r>
    </w:p>
    <w:p w14:paraId="42E4FB86" w14:textId="77777777" w:rsidR="00953B2E" w:rsidRPr="00C35766" w:rsidRDefault="00953B2E">
      <w:pPr>
        <w:spacing w:line="110" w:lineRule="exact"/>
        <w:rPr>
          <w:rFonts w:ascii="Times New Roman" w:hAnsi="Times New Roman" w:cs="Times New Roman"/>
          <w:sz w:val="11"/>
          <w:szCs w:val="11"/>
          <w:lang w:val="it-IT"/>
        </w:rPr>
      </w:pPr>
    </w:p>
    <w:p w14:paraId="65921F77" w14:textId="77777777" w:rsidR="00953B2E" w:rsidRPr="00C35766" w:rsidRDefault="00953B2E">
      <w:pPr>
        <w:spacing w:line="200" w:lineRule="exact"/>
        <w:rPr>
          <w:rFonts w:ascii="Times New Roman" w:hAnsi="Times New Roman" w:cs="Times New Roman"/>
          <w:sz w:val="20"/>
          <w:szCs w:val="20"/>
          <w:lang w:val="it-IT"/>
        </w:rPr>
      </w:pPr>
    </w:p>
    <w:p w14:paraId="31CE05A1" w14:textId="77777777" w:rsidR="00953B2E" w:rsidRPr="00C35766" w:rsidRDefault="00953B2E">
      <w:pPr>
        <w:spacing w:line="200" w:lineRule="exact"/>
        <w:rPr>
          <w:rFonts w:ascii="Times New Roman" w:hAnsi="Times New Roman" w:cs="Times New Roman"/>
          <w:sz w:val="20"/>
          <w:szCs w:val="20"/>
          <w:lang w:val="it-IT"/>
        </w:rPr>
      </w:pPr>
    </w:p>
    <w:p w14:paraId="47BAAC75" w14:textId="77777777" w:rsidR="00953B2E" w:rsidRPr="00C35766" w:rsidRDefault="005F0C19" w:rsidP="00787805">
      <w:pPr>
        <w:pStyle w:val="a4"/>
        <w:numPr>
          <w:ilvl w:val="0"/>
          <w:numId w:val="37"/>
        </w:numPr>
        <w:spacing w:line="240" w:lineRule="exact"/>
        <w:ind w:hanging="468"/>
        <w:rPr>
          <w:rFonts w:ascii="Times New Roman" w:hAnsi="Times New Roman" w:cs="Times New Roman"/>
          <w:b/>
        </w:rPr>
      </w:pPr>
      <w:r w:rsidRPr="00C35766">
        <w:rPr>
          <w:rFonts w:ascii="Times New Roman" w:eastAsia="Times New Roman" w:hAnsi="Times New Roman" w:cs="Times New Roman"/>
          <w:b/>
          <w:bCs/>
          <w:lang w:val="it-IT"/>
        </w:rPr>
        <w:t>Possibili effetti indesiderati</w:t>
      </w:r>
    </w:p>
    <w:p w14:paraId="5F76DC78" w14:textId="77777777" w:rsidR="00953B2E" w:rsidRPr="00C35766" w:rsidRDefault="00953B2E">
      <w:pPr>
        <w:spacing w:before="12" w:line="240" w:lineRule="exact"/>
        <w:rPr>
          <w:rFonts w:ascii="Times New Roman" w:hAnsi="Times New Roman" w:cs="Times New Roman"/>
          <w:sz w:val="24"/>
          <w:szCs w:val="24"/>
        </w:rPr>
      </w:pPr>
    </w:p>
    <w:p w14:paraId="6DF4CADF" w14:textId="77777777" w:rsidR="00953B2E" w:rsidRPr="00C35766" w:rsidRDefault="005F0C19">
      <w:pPr>
        <w:pStyle w:val="a3"/>
        <w:rPr>
          <w:lang w:val="pt-BR"/>
        </w:rPr>
      </w:pPr>
      <w:r w:rsidRPr="00C35766">
        <w:rPr>
          <w:rFonts w:eastAsia="Times New Roman"/>
          <w:lang w:val="it-IT"/>
        </w:rPr>
        <w:t>Come tutti i medicinali, questo medicinale può causare effetti indesiderati sebbene non tutte le persone li manifestino. La maggior parte degli effetti indesiderati si presenta in forma da lieve a moderata. Tuttavia, alcuni possono essere gravi e richiedere trattamento. Effetti indesiderati possono manifestarsi fino a 4 mesi dall’ultima iniezione di Yuflyma.</w:t>
      </w:r>
    </w:p>
    <w:p w14:paraId="6317C0B3" w14:textId="77777777" w:rsidR="00953B2E" w:rsidRPr="00C35766" w:rsidRDefault="00953B2E">
      <w:pPr>
        <w:spacing w:before="15" w:line="240" w:lineRule="exact"/>
        <w:rPr>
          <w:rFonts w:ascii="Times New Roman" w:hAnsi="Times New Roman" w:cs="Times New Roman"/>
          <w:sz w:val="24"/>
          <w:szCs w:val="24"/>
          <w:lang w:val="pt-BR"/>
        </w:rPr>
      </w:pPr>
    </w:p>
    <w:p w14:paraId="21487E40" w14:textId="7FDBBE23" w:rsidR="00953B2E" w:rsidRPr="00C35766" w:rsidRDefault="005F0C19">
      <w:pPr>
        <w:pStyle w:val="a3"/>
        <w:rPr>
          <w:b/>
          <w:lang w:val="it-IT"/>
        </w:rPr>
      </w:pPr>
      <w:r w:rsidRPr="00C35766">
        <w:rPr>
          <w:rFonts w:eastAsia="Times New Roman"/>
          <w:b/>
          <w:bCs/>
          <w:lang w:val="it-IT"/>
        </w:rPr>
        <w:t xml:space="preserve">Informi </w:t>
      </w:r>
      <w:r w:rsidR="00660E7E" w:rsidRPr="00C35766">
        <w:rPr>
          <w:rFonts w:eastAsia="Times New Roman"/>
          <w:b/>
          <w:bCs/>
          <w:lang w:val="it-IT"/>
        </w:rPr>
        <w:t xml:space="preserve">immediatamente </w:t>
      </w:r>
      <w:r w:rsidRPr="00C35766">
        <w:rPr>
          <w:rFonts w:eastAsia="Times New Roman"/>
          <w:b/>
          <w:bCs/>
          <w:lang w:val="it-IT"/>
        </w:rPr>
        <w:t xml:space="preserve">il medico se nota </w:t>
      </w:r>
      <w:r w:rsidR="00660E7E" w:rsidRPr="00C35766">
        <w:rPr>
          <w:rFonts w:eastAsia="Times New Roman"/>
          <w:b/>
          <w:bCs/>
          <w:lang w:val="it-IT"/>
        </w:rPr>
        <w:t>una</w:t>
      </w:r>
      <w:r w:rsidRPr="00C35766">
        <w:rPr>
          <w:rFonts w:eastAsia="Times New Roman"/>
          <w:b/>
          <w:bCs/>
          <w:lang w:val="it-IT"/>
        </w:rPr>
        <w:t xml:space="preserve"> qualsiasi </w:t>
      </w:r>
      <w:r w:rsidR="00660E7E" w:rsidRPr="00C35766">
        <w:rPr>
          <w:rFonts w:eastAsia="Times New Roman"/>
          <w:b/>
          <w:bCs/>
          <w:lang w:val="it-IT"/>
        </w:rPr>
        <w:t>delle</w:t>
      </w:r>
      <w:r w:rsidRPr="00C35766">
        <w:rPr>
          <w:rFonts w:eastAsia="Times New Roman"/>
          <w:b/>
          <w:bCs/>
          <w:lang w:val="it-IT"/>
        </w:rPr>
        <w:t xml:space="preserve"> seguenti </w:t>
      </w:r>
      <w:r w:rsidR="00660E7E" w:rsidRPr="00C35766">
        <w:rPr>
          <w:rFonts w:eastAsia="Times New Roman"/>
          <w:b/>
          <w:bCs/>
          <w:lang w:val="it-IT"/>
        </w:rPr>
        <w:t>reazioni</w:t>
      </w:r>
    </w:p>
    <w:p w14:paraId="75203450" w14:textId="77777777" w:rsidR="00953B2E" w:rsidRPr="00C35766" w:rsidRDefault="00953B2E">
      <w:pPr>
        <w:spacing w:before="10" w:line="240" w:lineRule="exact"/>
        <w:rPr>
          <w:rFonts w:ascii="Times New Roman" w:hAnsi="Times New Roman" w:cs="Times New Roman"/>
          <w:sz w:val="24"/>
          <w:lang w:val="it-IT"/>
        </w:rPr>
      </w:pPr>
    </w:p>
    <w:p w14:paraId="6F83E3CF"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eruzione cutanea grave, orticaria o altri segni di reazione allergica</w:t>
      </w:r>
    </w:p>
    <w:p w14:paraId="31C77B0E"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gonfiore del viso, delle mani, dei piedi</w:t>
      </w:r>
    </w:p>
    <w:p w14:paraId="4CC88F7E"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difficoltà a respirare, difficoltà a deglutire</w:t>
      </w:r>
    </w:p>
    <w:p w14:paraId="4535B295"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respiro corto sotto sforzo o in posizione sdraiata o piedi gonfi</w:t>
      </w:r>
    </w:p>
    <w:p w14:paraId="3810E7DB" w14:textId="77777777" w:rsidR="00953B2E" w:rsidRPr="00C35766" w:rsidRDefault="00953B2E">
      <w:pPr>
        <w:spacing w:before="15" w:line="240" w:lineRule="exact"/>
        <w:rPr>
          <w:rFonts w:ascii="Times New Roman" w:hAnsi="Times New Roman" w:cs="Times New Roman"/>
          <w:sz w:val="24"/>
          <w:lang w:val="it-IT"/>
        </w:rPr>
      </w:pPr>
    </w:p>
    <w:p w14:paraId="7B9B7B58" w14:textId="536CB347" w:rsidR="00953B2E" w:rsidRPr="00C35766" w:rsidRDefault="005F0C19">
      <w:pPr>
        <w:pStyle w:val="a3"/>
        <w:rPr>
          <w:b/>
          <w:lang w:val="pt-BR"/>
        </w:rPr>
      </w:pPr>
      <w:r w:rsidRPr="00C35766">
        <w:rPr>
          <w:rFonts w:eastAsia="Times New Roman"/>
          <w:b/>
          <w:bCs/>
          <w:lang w:val="it-IT"/>
        </w:rPr>
        <w:t xml:space="preserve">Informi </w:t>
      </w:r>
      <w:r w:rsidR="00660E7E" w:rsidRPr="00C35766">
        <w:rPr>
          <w:rFonts w:eastAsia="Times New Roman"/>
          <w:b/>
          <w:bCs/>
          <w:lang w:val="it-IT"/>
        </w:rPr>
        <w:t xml:space="preserve">appena </w:t>
      </w:r>
      <w:r w:rsidRPr="00C35766">
        <w:rPr>
          <w:rFonts w:eastAsia="Times New Roman"/>
          <w:b/>
          <w:bCs/>
          <w:lang w:val="it-IT"/>
        </w:rPr>
        <w:t xml:space="preserve">possibile </w:t>
      </w:r>
      <w:r w:rsidR="00660E7E" w:rsidRPr="00C35766">
        <w:rPr>
          <w:rFonts w:eastAsia="Times New Roman"/>
          <w:b/>
          <w:bCs/>
          <w:lang w:val="it-IT"/>
        </w:rPr>
        <w:t xml:space="preserve">il medico </w:t>
      </w:r>
      <w:r w:rsidRPr="00C35766">
        <w:rPr>
          <w:rFonts w:eastAsia="Times New Roman"/>
          <w:b/>
          <w:bCs/>
          <w:lang w:val="it-IT"/>
        </w:rPr>
        <w:t xml:space="preserve">se nota </w:t>
      </w:r>
      <w:r w:rsidR="00660E7E" w:rsidRPr="00C35766">
        <w:rPr>
          <w:rFonts w:eastAsia="Times New Roman"/>
          <w:b/>
          <w:bCs/>
          <w:lang w:val="it-IT"/>
        </w:rPr>
        <w:t>una</w:t>
      </w:r>
      <w:r w:rsidRPr="00C35766">
        <w:rPr>
          <w:rFonts w:eastAsia="Times New Roman"/>
          <w:b/>
          <w:bCs/>
          <w:lang w:val="it-IT"/>
        </w:rPr>
        <w:t xml:space="preserve"> qualsiasi </w:t>
      </w:r>
      <w:r w:rsidR="00660E7E" w:rsidRPr="00C35766">
        <w:rPr>
          <w:rFonts w:eastAsia="Times New Roman"/>
          <w:b/>
          <w:bCs/>
          <w:lang w:val="it-IT"/>
        </w:rPr>
        <w:t>delle</w:t>
      </w:r>
      <w:r w:rsidRPr="00C35766">
        <w:rPr>
          <w:rFonts w:eastAsia="Times New Roman"/>
          <w:b/>
          <w:bCs/>
          <w:lang w:val="it-IT"/>
        </w:rPr>
        <w:t xml:space="preserve"> seguenti </w:t>
      </w:r>
      <w:r w:rsidR="00660E7E" w:rsidRPr="00C35766">
        <w:rPr>
          <w:rFonts w:eastAsia="Times New Roman"/>
          <w:b/>
          <w:bCs/>
          <w:lang w:val="it-IT"/>
        </w:rPr>
        <w:t>reazioni</w:t>
      </w:r>
    </w:p>
    <w:p w14:paraId="16D7E76A" w14:textId="77777777" w:rsidR="00953B2E" w:rsidRPr="00C35766" w:rsidRDefault="00953B2E">
      <w:pPr>
        <w:spacing w:before="10" w:line="240" w:lineRule="exact"/>
        <w:rPr>
          <w:rFonts w:ascii="Times New Roman" w:hAnsi="Times New Roman" w:cs="Times New Roman"/>
          <w:sz w:val="24"/>
          <w:szCs w:val="24"/>
          <w:lang w:val="pt-BR"/>
        </w:rPr>
      </w:pPr>
    </w:p>
    <w:p w14:paraId="73D59E81" w14:textId="77777777" w:rsidR="00953B2E" w:rsidRPr="00C35766" w:rsidRDefault="005F0C19" w:rsidP="00787805">
      <w:pPr>
        <w:pStyle w:val="a3"/>
        <w:numPr>
          <w:ilvl w:val="0"/>
          <w:numId w:val="15"/>
        </w:numPr>
        <w:ind w:left="660" w:hanging="660"/>
        <w:rPr>
          <w:lang w:val="pt-BR"/>
        </w:rPr>
      </w:pPr>
      <w:r w:rsidRPr="00C35766">
        <w:rPr>
          <w:rFonts w:eastAsia="Times New Roman"/>
          <w:lang w:val="it-IT"/>
        </w:rPr>
        <w:t>segni di infezione come febbre, sensazione di malessere, ferite, problemi dentali, bruciore nell’urinare</w:t>
      </w:r>
    </w:p>
    <w:p w14:paraId="652EA243" w14:textId="77777777" w:rsidR="00953B2E" w:rsidRPr="00C35766" w:rsidRDefault="005F0C19" w:rsidP="00787805">
      <w:pPr>
        <w:pStyle w:val="a3"/>
        <w:numPr>
          <w:ilvl w:val="0"/>
          <w:numId w:val="15"/>
        </w:numPr>
        <w:ind w:left="660" w:hanging="660"/>
      </w:pPr>
      <w:r w:rsidRPr="00C35766">
        <w:rPr>
          <w:rFonts w:eastAsia="Times New Roman"/>
          <w:lang w:val="it-IT"/>
        </w:rPr>
        <w:t>sensazione di debolezza/stanchezza</w:t>
      </w:r>
    </w:p>
    <w:p w14:paraId="4913D7A7" w14:textId="77777777" w:rsidR="00953B2E" w:rsidRPr="00C35766" w:rsidRDefault="005F0C19" w:rsidP="00787805">
      <w:pPr>
        <w:pStyle w:val="a3"/>
        <w:numPr>
          <w:ilvl w:val="0"/>
          <w:numId w:val="15"/>
        </w:numPr>
        <w:ind w:left="660" w:hanging="660"/>
      </w:pPr>
      <w:r w:rsidRPr="00C35766">
        <w:rPr>
          <w:rFonts w:eastAsia="Times New Roman"/>
          <w:lang w:val="it-IT"/>
        </w:rPr>
        <w:t>tosse</w:t>
      </w:r>
    </w:p>
    <w:p w14:paraId="1945106A" w14:textId="77777777" w:rsidR="00953B2E" w:rsidRPr="00C35766" w:rsidRDefault="005F0C19" w:rsidP="00787805">
      <w:pPr>
        <w:pStyle w:val="a3"/>
        <w:numPr>
          <w:ilvl w:val="0"/>
          <w:numId w:val="15"/>
        </w:numPr>
        <w:ind w:left="660" w:hanging="660"/>
      </w:pPr>
      <w:r w:rsidRPr="00C35766">
        <w:rPr>
          <w:rFonts w:eastAsia="Times New Roman"/>
          <w:lang w:val="it-IT"/>
        </w:rPr>
        <w:t>formicolio</w:t>
      </w:r>
    </w:p>
    <w:p w14:paraId="099377D2" w14:textId="77777777" w:rsidR="00953B2E" w:rsidRPr="00C35766" w:rsidRDefault="005F0C19" w:rsidP="00787805">
      <w:pPr>
        <w:pStyle w:val="a3"/>
        <w:numPr>
          <w:ilvl w:val="0"/>
          <w:numId w:val="15"/>
        </w:numPr>
        <w:ind w:left="660" w:hanging="660"/>
      </w:pPr>
      <w:r w:rsidRPr="00C35766">
        <w:rPr>
          <w:rFonts w:eastAsia="Times New Roman"/>
          <w:lang w:val="it-IT"/>
        </w:rPr>
        <w:t>intorpidimento</w:t>
      </w:r>
    </w:p>
    <w:p w14:paraId="79686770" w14:textId="77777777" w:rsidR="00953B2E" w:rsidRPr="00C35766" w:rsidRDefault="005F0C19" w:rsidP="00787805">
      <w:pPr>
        <w:pStyle w:val="a3"/>
        <w:numPr>
          <w:ilvl w:val="0"/>
          <w:numId w:val="15"/>
        </w:numPr>
        <w:ind w:left="660" w:hanging="660"/>
      </w:pPr>
      <w:r w:rsidRPr="00C35766">
        <w:rPr>
          <w:rFonts w:eastAsia="Times New Roman"/>
          <w:lang w:val="it-IT"/>
        </w:rPr>
        <w:t>sdoppiamento della vista</w:t>
      </w:r>
    </w:p>
    <w:p w14:paraId="35551DB6" w14:textId="77777777" w:rsidR="00953B2E" w:rsidRPr="00C35766" w:rsidRDefault="005F0C19" w:rsidP="00787805">
      <w:pPr>
        <w:pStyle w:val="a3"/>
        <w:numPr>
          <w:ilvl w:val="0"/>
          <w:numId w:val="15"/>
        </w:numPr>
        <w:ind w:left="660" w:hanging="660"/>
      </w:pPr>
      <w:r w:rsidRPr="00C35766">
        <w:rPr>
          <w:rFonts w:eastAsia="Times New Roman"/>
          <w:lang w:val="it-IT"/>
        </w:rPr>
        <w:t>debolezza di braccia o gambe</w:t>
      </w:r>
    </w:p>
    <w:p w14:paraId="1D61A9DC" w14:textId="77777777" w:rsidR="00953B2E" w:rsidRPr="00C35766" w:rsidRDefault="005F0C19" w:rsidP="00787805">
      <w:pPr>
        <w:pStyle w:val="a3"/>
        <w:numPr>
          <w:ilvl w:val="0"/>
          <w:numId w:val="15"/>
        </w:numPr>
        <w:ind w:left="660" w:hanging="660"/>
        <w:rPr>
          <w:lang w:val="it-IT"/>
        </w:rPr>
      </w:pPr>
      <w:r w:rsidRPr="00C35766">
        <w:rPr>
          <w:rFonts w:eastAsia="Times New Roman"/>
          <w:lang w:val="it-IT"/>
        </w:rPr>
        <w:t>gonfiore o piaga aperta che non guarisce</w:t>
      </w:r>
    </w:p>
    <w:p w14:paraId="46BE0F20" w14:textId="562A4853" w:rsidR="00953B2E" w:rsidRPr="00C35766" w:rsidRDefault="005F0C19" w:rsidP="00787805">
      <w:pPr>
        <w:pStyle w:val="a3"/>
        <w:numPr>
          <w:ilvl w:val="0"/>
          <w:numId w:val="15"/>
        </w:numPr>
        <w:ind w:left="660" w:hanging="660"/>
        <w:rPr>
          <w:lang w:val="it-IT"/>
        </w:rPr>
      </w:pPr>
      <w:r w:rsidRPr="00C35766">
        <w:rPr>
          <w:rFonts w:eastAsia="Times New Roman"/>
          <w:lang w:val="it-IT"/>
        </w:rPr>
        <w:t>segni e sintomi che suggeriscono la comparsa di disturbi a carico del sistema emopoietico, come la presenza di febbre persistente, lividi,</w:t>
      </w:r>
      <w:r w:rsidR="00745249" w:rsidRPr="00C35766" w:rsidDel="0067374F">
        <w:rPr>
          <w:rFonts w:eastAsia="Times New Roman"/>
          <w:lang w:val="it-IT"/>
        </w:rPr>
        <w:t xml:space="preserve"> </w:t>
      </w:r>
      <w:r w:rsidR="00745249" w:rsidRPr="00C35766">
        <w:rPr>
          <w:rFonts w:eastAsia="Times New Roman"/>
          <w:lang w:val="it-IT"/>
        </w:rPr>
        <w:t>sanguinamento</w:t>
      </w:r>
      <w:r w:rsidRPr="00C35766">
        <w:rPr>
          <w:rFonts w:eastAsia="Times New Roman"/>
          <w:lang w:val="it-IT"/>
        </w:rPr>
        <w:t>, pallore</w:t>
      </w:r>
    </w:p>
    <w:p w14:paraId="04570CEE" w14:textId="77777777" w:rsidR="00953B2E" w:rsidRPr="00C35766" w:rsidRDefault="00953B2E">
      <w:pPr>
        <w:pStyle w:val="a3"/>
        <w:numPr>
          <w:ilvl w:val="0"/>
          <w:numId w:val="0"/>
        </w:numPr>
        <w:ind w:left="660"/>
        <w:rPr>
          <w:lang w:val="it-IT"/>
        </w:rPr>
      </w:pPr>
    </w:p>
    <w:p w14:paraId="1A97B2D2" w14:textId="77777777" w:rsidR="00953B2E" w:rsidRPr="00C35766" w:rsidRDefault="005F0C19">
      <w:pPr>
        <w:pStyle w:val="a3"/>
        <w:rPr>
          <w:lang w:val="pt-BR"/>
        </w:rPr>
      </w:pPr>
      <w:r w:rsidRPr="00C35766">
        <w:rPr>
          <w:rFonts w:eastAsia="Times New Roman"/>
          <w:lang w:val="it-IT"/>
        </w:rPr>
        <w:t>I sintomi sopra descritti possono essere segni dei seguenti effetti indesiderati, che sono stati osservati con Yuflyma.</w:t>
      </w:r>
    </w:p>
    <w:p w14:paraId="48B3EA25" w14:textId="77777777" w:rsidR="00953B2E" w:rsidRPr="00C35766" w:rsidRDefault="00953B2E">
      <w:pPr>
        <w:spacing w:before="10" w:line="240" w:lineRule="exact"/>
        <w:rPr>
          <w:rFonts w:ascii="Times New Roman" w:hAnsi="Times New Roman" w:cs="Times New Roman"/>
          <w:sz w:val="24"/>
          <w:szCs w:val="24"/>
          <w:lang w:val="pt-BR"/>
        </w:rPr>
      </w:pPr>
    </w:p>
    <w:p w14:paraId="392A6EB3" w14:textId="77777777" w:rsidR="00953B2E" w:rsidRPr="00C35766" w:rsidRDefault="005F0C19">
      <w:pPr>
        <w:pStyle w:val="a3"/>
        <w:rPr>
          <w:lang w:val="pt-BR"/>
        </w:rPr>
      </w:pPr>
      <w:r w:rsidRPr="00C35766">
        <w:rPr>
          <w:rFonts w:eastAsia="Times New Roman"/>
          <w:b/>
          <w:bCs/>
          <w:lang w:val="it-IT"/>
        </w:rPr>
        <w:t xml:space="preserve">Molto comuni </w:t>
      </w:r>
      <w:r w:rsidRPr="00C35766">
        <w:rPr>
          <w:rFonts w:eastAsia="Times New Roman"/>
          <w:lang w:val="it-IT"/>
        </w:rPr>
        <w:t>(possono interessare più di 1 persona su 10)</w:t>
      </w:r>
    </w:p>
    <w:p w14:paraId="2BE59A07" w14:textId="77777777" w:rsidR="00953B2E" w:rsidRPr="00C35766" w:rsidRDefault="00953B2E">
      <w:pPr>
        <w:spacing w:before="14" w:line="240" w:lineRule="exact"/>
        <w:rPr>
          <w:rFonts w:ascii="Times New Roman" w:hAnsi="Times New Roman" w:cs="Times New Roman"/>
          <w:sz w:val="24"/>
          <w:szCs w:val="24"/>
          <w:lang w:val="pt-BR"/>
        </w:rPr>
      </w:pPr>
    </w:p>
    <w:p w14:paraId="77F887C2" w14:textId="2F2581BA" w:rsidR="00745249" w:rsidRPr="00C35766" w:rsidRDefault="00745249" w:rsidP="00787805">
      <w:pPr>
        <w:pStyle w:val="a3"/>
        <w:numPr>
          <w:ilvl w:val="0"/>
          <w:numId w:val="15"/>
        </w:numPr>
        <w:ind w:left="660" w:hanging="660"/>
        <w:rPr>
          <w:lang w:val="pt-BR"/>
        </w:rPr>
      </w:pPr>
      <w:r w:rsidRPr="00C35766">
        <w:rPr>
          <w:rFonts w:eastAsia="Times New Roman"/>
          <w:lang w:val="it-IT"/>
        </w:rPr>
        <w:t>reazioni nella sede d’iniezione (tra cui dolore, gonfiore, arrossamento o prurito)</w:t>
      </w:r>
    </w:p>
    <w:p w14:paraId="147D136B" w14:textId="4CEE93C9" w:rsidR="00745249" w:rsidRPr="00824699" w:rsidRDefault="00745249" w:rsidP="00787805">
      <w:pPr>
        <w:pStyle w:val="a3"/>
        <w:numPr>
          <w:ilvl w:val="0"/>
          <w:numId w:val="15"/>
        </w:numPr>
        <w:ind w:left="660" w:hanging="660"/>
        <w:rPr>
          <w:lang w:val="it-IT"/>
        </w:rPr>
      </w:pPr>
      <w:r w:rsidRPr="00C35766">
        <w:rPr>
          <w:rFonts w:eastAsia="Times New Roman"/>
          <w:lang w:val="it-IT"/>
        </w:rPr>
        <w:t>infezioni delle vie respiratorie (tra cui raffreddore, naso che cola, sinusite e polmonite)</w:t>
      </w:r>
    </w:p>
    <w:p w14:paraId="38B3E203" w14:textId="6A87D4B8" w:rsidR="00953B2E" w:rsidRPr="00C35766" w:rsidRDefault="005F0C19" w:rsidP="00787805">
      <w:pPr>
        <w:pStyle w:val="a3"/>
        <w:numPr>
          <w:ilvl w:val="0"/>
          <w:numId w:val="15"/>
        </w:numPr>
        <w:ind w:left="660" w:hanging="660"/>
      </w:pPr>
      <w:r w:rsidRPr="00C35766">
        <w:rPr>
          <w:rFonts w:eastAsia="Times New Roman"/>
          <w:lang w:val="it-IT"/>
        </w:rPr>
        <w:t>mal di testa</w:t>
      </w:r>
    </w:p>
    <w:p w14:paraId="67F25265" w14:textId="77777777" w:rsidR="00953B2E" w:rsidRPr="00C35766" w:rsidRDefault="005F0C19" w:rsidP="00787805">
      <w:pPr>
        <w:pStyle w:val="a3"/>
        <w:numPr>
          <w:ilvl w:val="0"/>
          <w:numId w:val="15"/>
        </w:numPr>
        <w:ind w:left="660" w:hanging="660"/>
      </w:pPr>
      <w:r w:rsidRPr="00C35766">
        <w:rPr>
          <w:rFonts w:eastAsia="Times New Roman"/>
          <w:lang w:val="it-IT"/>
        </w:rPr>
        <w:t>dolore addominale</w:t>
      </w:r>
    </w:p>
    <w:p w14:paraId="564FED91" w14:textId="77777777" w:rsidR="00953B2E" w:rsidRPr="00C35766" w:rsidRDefault="005F0C19" w:rsidP="00787805">
      <w:pPr>
        <w:pStyle w:val="a3"/>
        <w:numPr>
          <w:ilvl w:val="0"/>
          <w:numId w:val="15"/>
        </w:numPr>
        <w:ind w:left="660" w:hanging="660"/>
      </w:pPr>
      <w:r w:rsidRPr="00C35766">
        <w:rPr>
          <w:rFonts w:eastAsia="Times New Roman"/>
          <w:lang w:val="it-IT"/>
        </w:rPr>
        <w:t>nausea e vomito</w:t>
      </w:r>
    </w:p>
    <w:p w14:paraId="5359BDB3" w14:textId="77777777" w:rsidR="00953B2E" w:rsidRPr="00C35766" w:rsidRDefault="005F0C19" w:rsidP="00787805">
      <w:pPr>
        <w:pStyle w:val="a3"/>
        <w:numPr>
          <w:ilvl w:val="0"/>
          <w:numId w:val="15"/>
        </w:numPr>
        <w:ind w:left="660" w:hanging="660"/>
      </w:pPr>
      <w:r w:rsidRPr="00C35766">
        <w:rPr>
          <w:rFonts w:eastAsia="Times New Roman"/>
          <w:lang w:val="it-IT"/>
        </w:rPr>
        <w:t>eruzione cutanea</w:t>
      </w:r>
    </w:p>
    <w:p w14:paraId="34CF56B1" w14:textId="0C2694E5" w:rsidR="00953B2E" w:rsidRPr="00C35766" w:rsidRDefault="00B40428" w:rsidP="00787805">
      <w:pPr>
        <w:pStyle w:val="a3"/>
        <w:numPr>
          <w:ilvl w:val="0"/>
          <w:numId w:val="15"/>
        </w:numPr>
        <w:ind w:left="660" w:hanging="660"/>
      </w:pPr>
      <w:r>
        <w:rPr>
          <w:rFonts w:eastAsia="Times New Roman"/>
          <w:lang w:val="it-IT"/>
        </w:rPr>
        <w:t>d</w:t>
      </w:r>
      <w:r w:rsidRPr="00C35766">
        <w:rPr>
          <w:rFonts w:eastAsia="Times New Roman"/>
          <w:lang w:val="it-IT"/>
        </w:rPr>
        <w:t xml:space="preserve">olore </w:t>
      </w:r>
      <w:r w:rsidR="005F0C19" w:rsidRPr="00C35766">
        <w:rPr>
          <w:rFonts w:eastAsia="Times New Roman"/>
          <w:lang w:val="it-IT"/>
        </w:rPr>
        <w:t>muscoloscheletrico</w:t>
      </w:r>
    </w:p>
    <w:p w14:paraId="287FCD2C" w14:textId="77777777" w:rsidR="00745249" w:rsidRPr="00C35766" w:rsidRDefault="00745249" w:rsidP="00745249">
      <w:pPr>
        <w:pStyle w:val="a3"/>
        <w:numPr>
          <w:ilvl w:val="0"/>
          <w:numId w:val="0"/>
        </w:numPr>
      </w:pPr>
    </w:p>
    <w:p w14:paraId="5751177F" w14:textId="77777777" w:rsidR="00745249" w:rsidRPr="00C35766" w:rsidRDefault="00745249" w:rsidP="00745249">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5CFF4404" w14:textId="77777777" w:rsidR="00745249" w:rsidRPr="00C35766" w:rsidRDefault="00745249" w:rsidP="00745249">
      <w:pPr>
        <w:spacing w:before="14" w:line="240" w:lineRule="exact"/>
        <w:rPr>
          <w:rFonts w:ascii="Times New Roman" w:hAnsi="Times New Roman" w:cs="Times New Roman"/>
          <w:sz w:val="24"/>
          <w:szCs w:val="24"/>
          <w:lang w:val="pt-BR"/>
        </w:rPr>
      </w:pPr>
    </w:p>
    <w:p w14:paraId="47E14856"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infezioni gravi (tra cui setticemia ed influenza)</w:t>
      </w:r>
    </w:p>
    <w:p w14:paraId="28A0E0E3"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infezioni intestinali (tra cui gastroenterite)</w:t>
      </w:r>
    </w:p>
    <w:p w14:paraId="3EE02F8B"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infezioni della pelle (tra cui cellulite e infezione da Herpes Zoster)</w:t>
      </w:r>
    </w:p>
    <w:p w14:paraId="398CC17C" w14:textId="77A87057" w:rsidR="00745249" w:rsidRPr="00C35766" w:rsidRDefault="00745249" w:rsidP="00787805">
      <w:pPr>
        <w:pStyle w:val="a3"/>
        <w:numPr>
          <w:ilvl w:val="0"/>
          <w:numId w:val="15"/>
        </w:numPr>
        <w:ind w:left="660" w:hanging="660"/>
      </w:pPr>
      <w:r w:rsidRPr="00C35766">
        <w:rPr>
          <w:rFonts w:eastAsia="Times New Roman"/>
          <w:lang w:val="it-IT"/>
        </w:rPr>
        <w:t>infezioni dell’orecchio</w:t>
      </w:r>
    </w:p>
    <w:p w14:paraId="67E791A7" w14:textId="22D60731" w:rsidR="00745249" w:rsidRPr="00C35766" w:rsidRDefault="00745249" w:rsidP="00787805">
      <w:pPr>
        <w:pStyle w:val="a3"/>
        <w:numPr>
          <w:ilvl w:val="0"/>
          <w:numId w:val="15"/>
        </w:numPr>
        <w:ind w:left="660" w:hanging="660"/>
        <w:rPr>
          <w:lang w:val="pt-BR"/>
        </w:rPr>
      </w:pPr>
      <w:r w:rsidRPr="00C35766">
        <w:rPr>
          <w:rFonts w:eastAsia="Times New Roman"/>
          <w:lang w:val="it-IT"/>
        </w:rPr>
        <w:t xml:space="preserve">infezioni orali (tra cui infezioni dei denti ed herpes </w:t>
      </w:r>
      <w:r w:rsidR="00842603" w:rsidRPr="00075E40">
        <w:rPr>
          <w:rFonts w:eastAsia="Times New Roman"/>
          <w:lang w:val="it-IT"/>
        </w:rPr>
        <w:t>labiali</w:t>
      </w:r>
      <w:r w:rsidRPr="00C35766">
        <w:rPr>
          <w:rFonts w:eastAsia="Times New Roman"/>
          <w:lang w:val="it-IT"/>
        </w:rPr>
        <w:t>)</w:t>
      </w:r>
    </w:p>
    <w:p w14:paraId="39CBAB2E" w14:textId="77777777" w:rsidR="00745249" w:rsidRPr="00C35766" w:rsidRDefault="00745249" w:rsidP="00787805">
      <w:pPr>
        <w:pStyle w:val="a3"/>
        <w:numPr>
          <w:ilvl w:val="0"/>
          <w:numId w:val="15"/>
        </w:numPr>
        <w:ind w:left="660" w:hanging="660"/>
      </w:pPr>
      <w:r w:rsidRPr="00C35766">
        <w:rPr>
          <w:rFonts w:eastAsia="Times New Roman"/>
          <w:lang w:val="it-IT"/>
        </w:rPr>
        <w:t>infezioni dell’apparato riproduttivo</w:t>
      </w:r>
    </w:p>
    <w:p w14:paraId="5572D2AF" w14:textId="688C0C57" w:rsidR="00745249" w:rsidRPr="00C35766" w:rsidRDefault="00D53FB4" w:rsidP="00787805">
      <w:pPr>
        <w:pStyle w:val="a3"/>
        <w:numPr>
          <w:ilvl w:val="0"/>
          <w:numId w:val="15"/>
        </w:numPr>
        <w:ind w:left="660" w:hanging="660"/>
      </w:pPr>
      <w:r>
        <w:rPr>
          <w:rFonts w:eastAsia="Times New Roman"/>
          <w:lang w:val="it-IT"/>
        </w:rPr>
        <w:t>i</w:t>
      </w:r>
      <w:r w:rsidRPr="00C35766">
        <w:rPr>
          <w:rFonts w:eastAsia="Times New Roman"/>
          <w:lang w:val="it-IT"/>
        </w:rPr>
        <w:t xml:space="preserve">nfezione </w:t>
      </w:r>
      <w:r w:rsidR="00745249" w:rsidRPr="00C35766">
        <w:rPr>
          <w:rFonts w:eastAsia="Times New Roman"/>
          <w:lang w:val="it-IT"/>
        </w:rPr>
        <w:t>delle vie urinarie</w:t>
      </w:r>
    </w:p>
    <w:p w14:paraId="31096EA6" w14:textId="13EAB025" w:rsidR="00745249" w:rsidRPr="00C35766" w:rsidRDefault="00745249" w:rsidP="00787805">
      <w:pPr>
        <w:pStyle w:val="a3"/>
        <w:numPr>
          <w:ilvl w:val="0"/>
          <w:numId w:val="15"/>
        </w:numPr>
        <w:ind w:left="660" w:hanging="660"/>
      </w:pPr>
      <w:r w:rsidRPr="00C35766">
        <w:rPr>
          <w:rFonts w:eastAsia="Times New Roman"/>
          <w:lang w:val="it-IT"/>
        </w:rPr>
        <w:t>infezioni fungine</w:t>
      </w:r>
    </w:p>
    <w:p w14:paraId="51E69F6F" w14:textId="77777777" w:rsidR="00745249" w:rsidRPr="00C35766" w:rsidRDefault="00745249" w:rsidP="00787805">
      <w:pPr>
        <w:pStyle w:val="a3"/>
        <w:numPr>
          <w:ilvl w:val="0"/>
          <w:numId w:val="15"/>
        </w:numPr>
        <w:ind w:left="660" w:hanging="660"/>
      </w:pPr>
      <w:r w:rsidRPr="00C35766">
        <w:rPr>
          <w:rFonts w:eastAsia="Times New Roman"/>
          <w:lang w:val="it-IT"/>
        </w:rPr>
        <w:lastRenderedPageBreak/>
        <w:t>infezioni a carico delle articolazioni</w:t>
      </w:r>
    </w:p>
    <w:p w14:paraId="177F49F5" w14:textId="77777777" w:rsidR="00745249" w:rsidRPr="00C35766" w:rsidRDefault="00745249" w:rsidP="00787805">
      <w:pPr>
        <w:pStyle w:val="a3"/>
        <w:numPr>
          <w:ilvl w:val="0"/>
          <w:numId w:val="15"/>
        </w:numPr>
        <w:ind w:left="660" w:hanging="660"/>
      </w:pPr>
      <w:r w:rsidRPr="00C35766">
        <w:rPr>
          <w:rFonts w:eastAsia="Times New Roman"/>
          <w:lang w:val="it-IT"/>
        </w:rPr>
        <w:t>tumori benigni</w:t>
      </w:r>
    </w:p>
    <w:p w14:paraId="0944ED4F" w14:textId="77777777" w:rsidR="00745249" w:rsidRPr="00C35766" w:rsidRDefault="00745249" w:rsidP="00787805">
      <w:pPr>
        <w:pStyle w:val="a3"/>
        <w:numPr>
          <w:ilvl w:val="0"/>
          <w:numId w:val="15"/>
        </w:numPr>
        <w:ind w:left="660" w:hanging="660"/>
      </w:pPr>
      <w:r w:rsidRPr="00C35766">
        <w:rPr>
          <w:rFonts w:eastAsia="Times New Roman"/>
          <w:lang w:val="it-IT"/>
        </w:rPr>
        <w:t>tumore della pelle</w:t>
      </w:r>
    </w:p>
    <w:p w14:paraId="3450B71B" w14:textId="77777777" w:rsidR="00745249" w:rsidRPr="002062B2" w:rsidRDefault="00745249" w:rsidP="00787805">
      <w:pPr>
        <w:pStyle w:val="a3"/>
        <w:numPr>
          <w:ilvl w:val="0"/>
          <w:numId w:val="15"/>
        </w:numPr>
        <w:ind w:left="660" w:hanging="660"/>
        <w:rPr>
          <w:lang w:val="de-CH"/>
        </w:rPr>
      </w:pPr>
      <w:r w:rsidRPr="00C35766">
        <w:rPr>
          <w:rFonts w:eastAsia="Times New Roman"/>
          <w:lang w:val="it-IT"/>
        </w:rPr>
        <w:t>reazioni allergiche (tra cui allergia stagionale)</w:t>
      </w:r>
    </w:p>
    <w:p w14:paraId="178D649F" w14:textId="77777777" w:rsidR="00745249" w:rsidRPr="00C35766" w:rsidRDefault="00745249" w:rsidP="00787805">
      <w:pPr>
        <w:pStyle w:val="a3"/>
        <w:numPr>
          <w:ilvl w:val="0"/>
          <w:numId w:val="15"/>
        </w:numPr>
        <w:ind w:left="660" w:hanging="660"/>
      </w:pPr>
      <w:r w:rsidRPr="00C35766">
        <w:rPr>
          <w:rFonts w:eastAsia="Times New Roman"/>
          <w:lang w:val="it-IT"/>
        </w:rPr>
        <w:t>disidratazione</w:t>
      </w:r>
    </w:p>
    <w:p w14:paraId="2659EB20"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cambiamenti di umore (inclusa depressione)</w:t>
      </w:r>
    </w:p>
    <w:p w14:paraId="629DE96A" w14:textId="77777777" w:rsidR="00745249" w:rsidRPr="00C35766" w:rsidRDefault="00745249" w:rsidP="00787805">
      <w:pPr>
        <w:pStyle w:val="a3"/>
        <w:numPr>
          <w:ilvl w:val="0"/>
          <w:numId w:val="15"/>
        </w:numPr>
        <w:ind w:left="660" w:hanging="660"/>
      </w:pPr>
      <w:r w:rsidRPr="00C35766">
        <w:rPr>
          <w:rFonts w:eastAsia="Times New Roman"/>
          <w:lang w:val="it-IT"/>
        </w:rPr>
        <w:t>ansia</w:t>
      </w:r>
    </w:p>
    <w:p w14:paraId="5F106996" w14:textId="77777777" w:rsidR="00745249" w:rsidRPr="00C35766" w:rsidRDefault="00745249" w:rsidP="00787805">
      <w:pPr>
        <w:pStyle w:val="a3"/>
        <w:numPr>
          <w:ilvl w:val="0"/>
          <w:numId w:val="15"/>
        </w:numPr>
        <w:ind w:left="660" w:hanging="660"/>
      </w:pPr>
      <w:r w:rsidRPr="00C35766">
        <w:rPr>
          <w:rFonts w:eastAsia="Times New Roman"/>
          <w:lang w:val="it-IT"/>
        </w:rPr>
        <w:t>difficoltà a dormire</w:t>
      </w:r>
    </w:p>
    <w:p w14:paraId="13AF96C8"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disturbi della sensibilità come formicolii, sensazione di fitte o intorpidimento</w:t>
      </w:r>
    </w:p>
    <w:p w14:paraId="523830BA" w14:textId="2D743CB5" w:rsidR="00745249" w:rsidRPr="00C35766" w:rsidRDefault="00745249" w:rsidP="00787805">
      <w:pPr>
        <w:pStyle w:val="a3"/>
        <w:numPr>
          <w:ilvl w:val="0"/>
          <w:numId w:val="15"/>
        </w:numPr>
        <w:ind w:left="660" w:hanging="660"/>
      </w:pPr>
      <w:r w:rsidRPr="00C35766">
        <w:rPr>
          <w:rFonts w:eastAsia="Times New Roman"/>
          <w:lang w:val="it-IT"/>
        </w:rPr>
        <w:t>emicrania</w:t>
      </w:r>
    </w:p>
    <w:p w14:paraId="50B220A4"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compressione di radice nervosa (tra cui dolore lombare e dolore alle gambe)</w:t>
      </w:r>
    </w:p>
    <w:p w14:paraId="5C9B21F2" w14:textId="5F49A73F" w:rsidR="00745249" w:rsidRPr="00C35766" w:rsidRDefault="00745249" w:rsidP="00787805">
      <w:pPr>
        <w:pStyle w:val="a3"/>
        <w:numPr>
          <w:ilvl w:val="0"/>
          <w:numId w:val="15"/>
        </w:numPr>
        <w:ind w:left="660" w:hanging="660"/>
      </w:pPr>
      <w:r w:rsidRPr="00C35766">
        <w:rPr>
          <w:rFonts w:eastAsia="Times New Roman"/>
          <w:lang w:val="it-IT"/>
        </w:rPr>
        <w:t>disturbi visivi</w:t>
      </w:r>
    </w:p>
    <w:p w14:paraId="4672301C" w14:textId="77777777" w:rsidR="00745249" w:rsidRPr="00C35766" w:rsidRDefault="00745249" w:rsidP="00787805">
      <w:pPr>
        <w:pStyle w:val="a3"/>
        <w:numPr>
          <w:ilvl w:val="0"/>
          <w:numId w:val="15"/>
        </w:numPr>
        <w:ind w:left="660" w:hanging="660"/>
      </w:pPr>
      <w:r w:rsidRPr="00C35766">
        <w:rPr>
          <w:rFonts w:eastAsia="Times New Roman"/>
          <w:lang w:val="it-IT"/>
        </w:rPr>
        <w:t>infiammazione degli occhi</w:t>
      </w:r>
    </w:p>
    <w:p w14:paraId="25AC6AEE" w14:textId="77777777" w:rsidR="00745249" w:rsidRPr="002062B2" w:rsidRDefault="00745249" w:rsidP="00787805">
      <w:pPr>
        <w:pStyle w:val="a3"/>
        <w:numPr>
          <w:ilvl w:val="0"/>
          <w:numId w:val="15"/>
        </w:numPr>
        <w:ind w:left="660" w:hanging="660"/>
        <w:rPr>
          <w:lang w:val="de-CH"/>
        </w:rPr>
      </w:pPr>
      <w:r w:rsidRPr="00C35766">
        <w:rPr>
          <w:rFonts w:eastAsia="Times New Roman"/>
          <w:lang w:val="it-IT"/>
        </w:rPr>
        <w:t>infiammazione delle palpebre e tumefazione degli occhi</w:t>
      </w:r>
    </w:p>
    <w:p w14:paraId="628EEE3F"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vertigini (sensazione di capogiro o rotazione)</w:t>
      </w:r>
    </w:p>
    <w:p w14:paraId="2056D329" w14:textId="77777777" w:rsidR="00745249" w:rsidRPr="00C35766" w:rsidRDefault="00745249" w:rsidP="00787805">
      <w:pPr>
        <w:pStyle w:val="a3"/>
        <w:numPr>
          <w:ilvl w:val="0"/>
          <w:numId w:val="15"/>
        </w:numPr>
        <w:ind w:left="660" w:hanging="660"/>
      </w:pPr>
      <w:r w:rsidRPr="00C35766">
        <w:rPr>
          <w:rFonts w:eastAsia="Times New Roman"/>
          <w:lang w:val="it-IT"/>
        </w:rPr>
        <w:t>sensazione di battito cardiaco accelerato</w:t>
      </w:r>
    </w:p>
    <w:p w14:paraId="3DEF916E" w14:textId="77777777" w:rsidR="00745249" w:rsidRPr="00C35766" w:rsidRDefault="00745249" w:rsidP="00787805">
      <w:pPr>
        <w:pStyle w:val="a3"/>
        <w:numPr>
          <w:ilvl w:val="0"/>
          <w:numId w:val="15"/>
        </w:numPr>
        <w:ind w:left="660" w:hanging="660"/>
      </w:pPr>
      <w:r w:rsidRPr="00C35766">
        <w:rPr>
          <w:rFonts w:eastAsia="Times New Roman"/>
          <w:lang w:val="it-IT"/>
        </w:rPr>
        <w:t>pressione sanguigna elevata</w:t>
      </w:r>
    </w:p>
    <w:p w14:paraId="2AAAF205" w14:textId="27A1FE45" w:rsidR="00745249" w:rsidRPr="00C35766" w:rsidRDefault="00745249" w:rsidP="00787805">
      <w:pPr>
        <w:pStyle w:val="a3"/>
        <w:numPr>
          <w:ilvl w:val="0"/>
          <w:numId w:val="15"/>
        </w:numPr>
        <w:ind w:left="660" w:hanging="660"/>
      </w:pPr>
      <w:r w:rsidRPr="00C35766">
        <w:rPr>
          <w:rFonts w:eastAsia="Times New Roman"/>
          <w:lang w:val="it-IT"/>
        </w:rPr>
        <w:t>vampate</w:t>
      </w:r>
    </w:p>
    <w:p w14:paraId="7B13611C"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ematoma (accumulo di sangue al di fuori dei vasi sanguigni)</w:t>
      </w:r>
    </w:p>
    <w:p w14:paraId="31817153" w14:textId="77777777" w:rsidR="00745249" w:rsidRPr="00C35766" w:rsidRDefault="00745249" w:rsidP="00787805">
      <w:pPr>
        <w:pStyle w:val="a3"/>
        <w:numPr>
          <w:ilvl w:val="0"/>
          <w:numId w:val="15"/>
        </w:numPr>
        <w:ind w:left="660" w:hanging="660"/>
      </w:pPr>
      <w:r w:rsidRPr="00C35766">
        <w:rPr>
          <w:rFonts w:eastAsia="Times New Roman"/>
          <w:lang w:val="it-IT"/>
        </w:rPr>
        <w:t>tosse</w:t>
      </w:r>
    </w:p>
    <w:p w14:paraId="4DE54442" w14:textId="0CA46381" w:rsidR="00745249" w:rsidRPr="00C35766" w:rsidRDefault="00745249" w:rsidP="00787805">
      <w:pPr>
        <w:pStyle w:val="a3"/>
        <w:numPr>
          <w:ilvl w:val="0"/>
          <w:numId w:val="15"/>
        </w:numPr>
        <w:ind w:left="660" w:hanging="660"/>
      </w:pPr>
      <w:r w:rsidRPr="00C35766">
        <w:rPr>
          <w:rFonts w:eastAsia="Times New Roman"/>
          <w:lang w:val="it-IT"/>
        </w:rPr>
        <w:t>asma</w:t>
      </w:r>
    </w:p>
    <w:p w14:paraId="6F788046" w14:textId="77777777" w:rsidR="00745249" w:rsidRPr="00C35766" w:rsidRDefault="00745249" w:rsidP="00787805">
      <w:pPr>
        <w:pStyle w:val="a3"/>
        <w:numPr>
          <w:ilvl w:val="0"/>
          <w:numId w:val="15"/>
        </w:numPr>
        <w:ind w:left="660" w:hanging="660"/>
      </w:pPr>
      <w:r w:rsidRPr="00C35766">
        <w:rPr>
          <w:rFonts w:eastAsia="Times New Roman"/>
          <w:lang w:val="it-IT"/>
        </w:rPr>
        <w:t>respiro affannoso</w:t>
      </w:r>
    </w:p>
    <w:p w14:paraId="7CDDF7A2" w14:textId="77777777" w:rsidR="00745249" w:rsidRPr="00C35766" w:rsidRDefault="00745249" w:rsidP="00787805">
      <w:pPr>
        <w:pStyle w:val="a3"/>
        <w:numPr>
          <w:ilvl w:val="0"/>
          <w:numId w:val="15"/>
        </w:numPr>
        <w:ind w:left="660" w:hanging="660"/>
      </w:pPr>
      <w:r w:rsidRPr="00C35766">
        <w:rPr>
          <w:rFonts w:eastAsia="Times New Roman"/>
          <w:lang w:val="it-IT"/>
        </w:rPr>
        <w:t>sanguinamento gastrointestinale</w:t>
      </w:r>
    </w:p>
    <w:p w14:paraId="6A720BF1"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dispepsia (indigestione, gonfiore, bruciore di stomaco)</w:t>
      </w:r>
    </w:p>
    <w:p w14:paraId="344113C3" w14:textId="77777777" w:rsidR="00745249" w:rsidRPr="00C35766" w:rsidRDefault="00745249" w:rsidP="00787805">
      <w:pPr>
        <w:pStyle w:val="a3"/>
        <w:numPr>
          <w:ilvl w:val="0"/>
          <w:numId w:val="15"/>
        </w:numPr>
        <w:ind w:left="660" w:hanging="660"/>
      </w:pPr>
      <w:r w:rsidRPr="00C35766">
        <w:rPr>
          <w:rFonts w:eastAsia="Times New Roman"/>
          <w:lang w:val="it-IT"/>
        </w:rPr>
        <w:t>disturbo da reflusso acido</w:t>
      </w:r>
    </w:p>
    <w:p w14:paraId="3F9FF94E"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sindrome sicca (tra cui secchezza degli occhi e della bocca)</w:t>
      </w:r>
    </w:p>
    <w:p w14:paraId="772BFA87" w14:textId="77777777" w:rsidR="00745249" w:rsidRPr="00C35766" w:rsidRDefault="00745249" w:rsidP="00787805">
      <w:pPr>
        <w:pStyle w:val="a3"/>
        <w:numPr>
          <w:ilvl w:val="0"/>
          <w:numId w:val="15"/>
        </w:numPr>
        <w:ind w:left="660" w:hanging="660"/>
      </w:pPr>
      <w:r w:rsidRPr="00C35766">
        <w:rPr>
          <w:rFonts w:eastAsia="Times New Roman"/>
          <w:lang w:val="it-IT"/>
        </w:rPr>
        <w:t>prurito</w:t>
      </w:r>
    </w:p>
    <w:p w14:paraId="6D36FB09" w14:textId="77777777" w:rsidR="00745249" w:rsidRPr="00C35766" w:rsidRDefault="00745249" w:rsidP="00787805">
      <w:pPr>
        <w:pStyle w:val="a3"/>
        <w:numPr>
          <w:ilvl w:val="0"/>
          <w:numId w:val="15"/>
        </w:numPr>
        <w:ind w:left="660" w:hanging="660"/>
        <w:rPr>
          <w:rFonts w:eastAsia="Times New Roman"/>
          <w:spacing w:val="-1"/>
        </w:rPr>
      </w:pPr>
      <w:r w:rsidRPr="00C35766">
        <w:rPr>
          <w:rFonts w:eastAsia="Times New Roman"/>
          <w:lang w:val="it-IT"/>
        </w:rPr>
        <w:t>eruzione cutanea pruriginosa</w:t>
      </w:r>
    </w:p>
    <w:p w14:paraId="71497AFB" w14:textId="77777777" w:rsidR="00745249" w:rsidRPr="00C35766" w:rsidRDefault="00745249" w:rsidP="00787805">
      <w:pPr>
        <w:pStyle w:val="a3"/>
        <w:numPr>
          <w:ilvl w:val="0"/>
          <w:numId w:val="15"/>
        </w:numPr>
        <w:ind w:left="660" w:hanging="660"/>
      </w:pPr>
      <w:r w:rsidRPr="00C35766">
        <w:rPr>
          <w:rFonts w:eastAsia="Times New Roman"/>
          <w:lang w:val="it-IT"/>
        </w:rPr>
        <w:t>lividi</w:t>
      </w:r>
    </w:p>
    <w:p w14:paraId="2AFFF2FC"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infiammazione della pelle (come eczema)</w:t>
      </w:r>
    </w:p>
    <w:p w14:paraId="38197481"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rottura delle unghie delle dita della mano e del piede</w:t>
      </w:r>
    </w:p>
    <w:p w14:paraId="4397533A" w14:textId="77777777" w:rsidR="00745249" w:rsidRPr="00C35766" w:rsidRDefault="00745249" w:rsidP="00787805">
      <w:pPr>
        <w:pStyle w:val="a3"/>
        <w:numPr>
          <w:ilvl w:val="0"/>
          <w:numId w:val="15"/>
        </w:numPr>
        <w:ind w:left="660" w:hanging="660"/>
      </w:pPr>
      <w:r w:rsidRPr="00C35766">
        <w:rPr>
          <w:rFonts w:eastAsia="Times New Roman"/>
          <w:lang w:val="it-IT"/>
        </w:rPr>
        <w:t>aumento della sudorazione</w:t>
      </w:r>
    </w:p>
    <w:p w14:paraId="1F60B429" w14:textId="77777777" w:rsidR="00745249" w:rsidRPr="00C35766" w:rsidRDefault="00745249" w:rsidP="00787805">
      <w:pPr>
        <w:pStyle w:val="a3"/>
        <w:numPr>
          <w:ilvl w:val="0"/>
          <w:numId w:val="15"/>
        </w:numPr>
        <w:ind w:left="660" w:hanging="660"/>
      </w:pPr>
      <w:r w:rsidRPr="00C35766">
        <w:rPr>
          <w:rFonts w:eastAsia="Times New Roman"/>
          <w:lang w:val="it-IT"/>
        </w:rPr>
        <w:t>perdita di capelli</w:t>
      </w:r>
    </w:p>
    <w:p w14:paraId="5BEC456F" w14:textId="77777777" w:rsidR="00745249" w:rsidRPr="00C35766" w:rsidRDefault="00745249" w:rsidP="00787805">
      <w:pPr>
        <w:pStyle w:val="a3"/>
        <w:numPr>
          <w:ilvl w:val="0"/>
          <w:numId w:val="15"/>
        </w:numPr>
        <w:ind w:left="660" w:hanging="660"/>
      </w:pPr>
      <w:r w:rsidRPr="00C35766">
        <w:rPr>
          <w:rFonts w:eastAsia="Times New Roman"/>
          <w:lang w:val="it-IT"/>
        </w:rPr>
        <w:t>insorgenza o peggioramento della psoriasi</w:t>
      </w:r>
    </w:p>
    <w:p w14:paraId="1230AA8A" w14:textId="1989F573" w:rsidR="00745249" w:rsidRPr="00C35766" w:rsidRDefault="00745249" w:rsidP="00787805">
      <w:pPr>
        <w:pStyle w:val="a3"/>
        <w:numPr>
          <w:ilvl w:val="0"/>
          <w:numId w:val="15"/>
        </w:numPr>
        <w:ind w:left="660" w:hanging="660"/>
      </w:pPr>
      <w:r w:rsidRPr="00C35766">
        <w:rPr>
          <w:rFonts w:eastAsia="Times New Roman"/>
          <w:lang w:val="it-IT"/>
        </w:rPr>
        <w:t>spasmi muscolari</w:t>
      </w:r>
    </w:p>
    <w:p w14:paraId="700B233B" w14:textId="77777777" w:rsidR="00745249" w:rsidRPr="00C35766" w:rsidRDefault="00745249" w:rsidP="00787805">
      <w:pPr>
        <w:pStyle w:val="a3"/>
        <w:numPr>
          <w:ilvl w:val="0"/>
          <w:numId w:val="15"/>
        </w:numPr>
        <w:ind w:left="660" w:hanging="660"/>
      </w:pPr>
      <w:r w:rsidRPr="00C35766">
        <w:rPr>
          <w:rFonts w:eastAsia="Times New Roman"/>
          <w:lang w:val="it-IT"/>
        </w:rPr>
        <w:t>sangue nelle urine</w:t>
      </w:r>
    </w:p>
    <w:p w14:paraId="765389FD" w14:textId="77777777" w:rsidR="00745249" w:rsidRPr="00C35766" w:rsidRDefault="00745249" w:rsidP="00787805">
      <w:pPr>
        <w:pStyle w:val="a3"/>
        <w:numPr>
          <w:ilvl w:val="0"/>
          <w:numId w:val="15"/>
        </w:numPr>
        <w:ind w:left="660" w:hanging="660"/>
      </w:pPr>
      <w:r w:rsidRPr="00C35766">
        <w:rPr>
          <w:rFonts w:eastAsia="Times New Roman"/>
          <w:lang w:val="it-IT"/>
        </w:rPr>
        <w:t>problemi renali</w:t>
      </w:r>
    </w:p>
    <w:p w14:paraId="7DE19CFA" w14:textId="1D4BA99E" w:rsidR="00745249" w:rsidRPr="00C35766" w:rsidRDefault="00745249" w:rsidP="00787805">
      <w:pPr>
        <w:pStyle w:val="a3"/>
        <w:numPr>
          <w:ilvl w:val="0"/>
          <w:numId w:val="15"/>
        </w:numPr>
        <w:ind w:left="660" w:hanging="660"/>
      </w:pPr>
      <w:r w:rsidRPr="00C35766">
        <w:rPr>
          <w:rFonts w:eastAsia="Times New Roman"/>
          <w:lang w:val="it-IT"/>
        </w:rPr>
        <w:t>dolore al petto</w:t>
      </w:r>
    </w:p>
    <w:p w14:paraId="53501C94" w14:textId="77777777" w:rsidR="00745249" w:rsidRPr="00C35766" w:rsidRDefault="00745249" w:rsidP="00787805">
      <w:pPr>
        <w:pStyle w:val="a3"/>
        <w:numPr>
          <w:ilvl w:val="0"/>
          <w:numId w:val="15"/>
        </w:numPr>
        <w:ind w:left="660" w:hanging="660"/>
      </w:pPr>
      <w:r w:rsidRPr="00C35766">
        <w:rPr>
          <w:rFonts w:eastAsia="Times New Roman"/>
          <w:lang w:val="it-IT"/>
        </w:rPr>
        <w:t>edema (accumulo di liquidi)</w:t>
      </w:r>
    </w:p>
    <w:p w14:paraId="43653A0C" w14:textId="77777777" w:rsidR="00745249" w:rsidRPr="00C35766" w:rsidRDefault="00745249" w:rsidP="00787805">
      <w:pPr>
        <w:pStyle w:val="a3"/>
        <w:numPr>
          <w:ilvl w:val="0"/>
          <w:numId w:val="15"/>
        </w:numPr>
        <w:ind w:left="660" w:hanging="660"/>
      </w:pPr>
      <w:r w:rsidRPr="00C35766">
        <w:rPr>
          <w:rFonts w:eastAsia="Times New Roman"/>
          <w:lang w:val="it-IT"/>
        </w:rPr>
        <w:t>febbre</w:t>
      </w:r>
    </w:p>
    <w:p w14:paraId="1D70C7DC" w14:textId="532AB904" w:rsidR="00745249" w:rsidRPr="00C35766" w:rsidRDefault="00745249" w:rsidP="00787805">
      <w:pPr>
        <w:pStyle w:val="a3"/>
        <w:numPr>
          <w:ilvl w:val="0"/>
          <w:numId w:val="15"/>
        </w:numPr>
        <w:ind w:left="660" w:hanging="660"/>
        <w:rPr>
          <w:lang w:val="pt-BR"/>
        </w:rPr>
      </w:pPr>
      <w:r w:rsidRPr="00C35766">
        <w:rPr>
          <w:rFonts w:eastAsia="Times New Roman"/>
          <w:lang w:val="it-IT"/>
        </w:rPr>
        <w:t>riduzione delle piastrine nel sangue che aumenta il rischio di sanguinamento o di lividi</w:t>
      </w:r>
    </w:p>
    <w:p w14:paraId="0AB0132C" w14:textId="2908BCF9" w:rsidR="00745249" w:rsidRPr="00C35766" w:rsidRDefault="00745249" w:rsidP="00787805">
      <w:pPr>
        <w:pStyle w:val="a3"/>
        <w:numPr>
          <w:ilvl w:val="0"/>
          <w:numId w:val="15"/>
        </w:numPr>
        <w:ind w:left="660" w:hanging="660"/>
      </w:pPr>
      <w:r w:rsidRPr="00C35766">
        <w:rPr>
          <w:rFonts w:eastAsia="Times New Roman"/>
          <w:lang w:val="it-IT"/>
        </w:rPr>
        <w:t>compromissione della guarigione delle ferite</w:t>
      </w:r>
    </w:p>
    <w:p w14:paraId="1FDC4711" w14:textId="77777777" w:rsidR="00745249" w:rsidRPr="00C35766" w:rsidRDefault="00745249" w:rsidP="00745249">
      <w:pPr>
        <w:spacing w:before="10" w:line="240" w:lineRule="exact"/>
        <w:rPr>
          <w:rFonts w:ascii="Times New Roman" w:hAnsi="Times New Roman" w:cs="Times New Roman"/>
          <w:sz w:val="24"/>
          <w:szCs w:val="24"/>
        </w:rPr>
      </w:pPr>
    </w:p>
    <w:p w14:paraId="609F26F9" w14:textId="77777777" w:rsidR="00745249" w:rsidRPr="00824699" w:rsidRDefault="00745249" w:rsidP="00745249">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54A70974" w14:textId="77777777" w:rsidR="00745249" w:rsidRPr="00824699" w:rsidRDefault="00745249" w:rsidP="00745249">
      <w:pPr>
        <w:spacing w:before="14" w:line="260" w:lineRule="exact"/>
        <w:rPr>
          <w:rFonts w:ascii="Times New Roman" w:hAnsi="Times New Roman" w:cs="Times New Roman"/>
          <w:sz w:val="26"/>
          <w:szCs w:val="26"/>
          <w:lang w:val="it-IT"/>
        </w:rPr>
      </w:pPr>
    </w:p>
    <w:p w14:paraId="27228FAB"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infezioni opportunistiche (che includono la tubercolosi ed altre infezioni che si verificano quando si riducono le difese immunitarie)</w:t>
      </w:r>
    </w:p>
    <w:p w14:paraId="73EE5581" w14:textId="4F467339" w:rsidR="00745249" w:rsidRPr="00824699" w:rsidRDefault="00745249" w:rsidP="00787805">
      <w:pPr>
        <w:pStyle w:val="a3"/>
        <w:numPr>
          <w:ilvl w:val="0"/>
          <w:numId w:val="15"/>
        </w:numPr>
        <w:ind w:left="660" w:hanging="660"/>
        <w:rPr>
          <w:lang w:val="it-IT"/>
        </w:rPr>
      </w:pPr>
      <w:r w:rsidRPr="00C35766">
        <w:rPr>
          <w:rFonts w:eastAsia="Times New Roman"/>
          <w:lang w:val="it-IT"/>
        </w:rPr>
        <w:t>infezioni neurologiche (tra cui la meningite virale)</w:t>
      </w:r>
    </w:p>
    <w:p w14:paraId="19533385" w14:textId="77777777" w:rsidR="00745249" w:rsidRPr="00C35766" w:rsidRDefault="00745249" w:rsidP="00787805">
      <w:pPr>
        <w:pStyle w:val="a3"/>
        <w:numPr>
          <w:ilvl w:val="0"/>
          <w:numId w:val="15"/>
        </w:numPr>
        <w:ind w:left="660" w:hanging="660"/>
      </w:pPr>
      <w:r w:rsidRPr="00C35766">
        <w:rPr>
          <w:rFonts w:eastAsia="Times New Roman"/>
          <w:lang w:val="it-IT"/>
        </w:rPr>
        <w:t>infezioni degli occhi</w:t>
      </w:r>
    </w:p>
    <w:p w14:paraId="27EC4052" w14:textId="5CBF3895" w:rsidR="00745249" w:rsidRPr="00C35766" w:rsidRDefault="00745249" w:rsidP="00787805">
      <w:pPr>
        <w:pStyle w:val="a3"/>
        <w:numPr>
          <w:ilvl w:val="0"/>
          <w:numId w:val="15"/>
        </w:numPr>
        <w:ind w:left="660" w:hanging="660"/>
      </w:pPr>
      <w:r w:rsidRPr="00C35766">
        <w:rPr>
          <w:rFonts w:eastAsia="Times New Roman"/>
          <w:lang w:val="it-IT"/>
        </w:rPr>
        <w:t>infezioni batteriche</w:t>
      </w:r>
    </w:p>
    <w:p w14:paraId="2D6C5CD0"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diverticolite (infiammazione e infezione dell’intestino crasso)</w:t>
      </w:r>
    </w:p>
    <w:p w14:paraId="313154EE" w14:textId="786412C5" w:rsidR="00745249" w:rsidRPr="00C35766" w:rsidRDefault="00745249" w:rsidP="00787805">
      <w:pPr>
        <w:pStyle w:val="a3"/>
        <w:numPr>
          <w:ilvl w:val="0"/>
          <w:numId w:val="15"/>
        </w:numPr>
        <w:ind w:left="660" w:hanging="660"/>
      </w:pPr>
      <w:r w:rsidRPr="00C35766">
        <w:rPr>
          <w:rFonts w:eastAsia="Times New Roman"/>
          <w:lang w:val="it-IT"/>
        </w:rPr>
        <w:lastRenderedPageBreak/>
        <w:t>tumore</w:t>
      </w:r>
    </w:p>
    <w:p w14:paraId="4C93FF3C" w14:textId="3230F89E" w:rsidR="00745249" w:rsidRPr="00C35766" w:rsidRDefault="00745249" w:rsidP="00787805">
      <w:pPr>
        <w:pStyle w:val="a3"/>
        <w:numPr>
          <w:ilvl w:val="0"/>
          <w:numId w:val="15"/>
        </w:numPr>
        <w:ind w:left="660" w:hanging="660"/>
      </w:pPr>
      <w:r w:rsidRPr="00C35766">
        <w:rPr>
          <w:rFonts w:eastAsia="Times New Roman"/>
          <w:lang w:val="it-IT"/>
        </w:rPr>
        <w:t>tumore del sistema linfatico</w:t>
      </w:r>
    </w:p>
    <w:p w14:paraId="64B3734A" w14:textId="77777777" w:rsidR="00745249" w:rsidRPr="00C35766" w:rsidRDefault="00745249" w:rsidP="00787805">
      <w:pPr>
        <w:pStyle w:val="a3"/>
        <w:numPr>
          <w:ilvl w:val="0"/>
          <w:numId w:val="15"/>
        </w:numPr>
        <w:ind w:left="660" w:hanging="660"/>
      </w:pPr>
      <w:r w:rsidRPr="00C35766">
        <w:rPr>
          <w:rFonts w:eastAsia="Times New Roman"/>
          <w:lang w:val="it-IT"/>
        </w:rPr>
        <w:t>melanoma</w:t>
      </w:r>
    </w:p>
    <w:p w14:paraId="535ADD8F" w14:textId="1BBE925A" w:rsidR="00745249" w:rsidRPr="00C35766" w:rsidRDefault="00745249" w:rsidP="00787805">
      <w:pPr>
        <w:pStyle w:val="a3"/>
        <w:numPr>
          <w:ilvl w:val="0"/>
          <w:numId w:val="15"/>
        </w:numPr>
        <w:ind w:left="660" w:hanging="660"/>
        <w:rPr>
          <w:lang w:val="pt-BR"/>
        </w:rPr>
      </w:pPr>
      <w:r w:rsidRPr="00C35766">
        <w:rPr>
          <w:rFonts w:eastAsia="Times New Roman"/>
          <w:lang w:val="it-IT"/>
        </w:rPr>
        <w:t>disordini del sistema immunitario che possono colpire polmoni, pelle e linfonodi (che si presentano più comunemente come sarcoidosi)</w:t>
      </w:r>
    </w:p>
    <w:p w14:paraId="5FF2A491"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vasculite (infiammazione dei vasi sanguigni)</w:t>
      </w:r>
    </w:p>
    <w:p w14:paraId="7AA044E9" w14:textId="77777777" w:rsidR="00745249" w:rsidRPr="00C35766" w:rsidRDefault="00745249" w:rsidP="00787805">
      <w:pPr>
        <w:pStyle w:val="a3"/>
        <w:numPr>
          <w:ilvl w:val="0"/>
          <w:numId w:val="15"/>
        </w:numPr>
        <w:ind w:left="660" w:hanging="660"/>
      </w:pPr>
      <w:r w:rsidRPr="00C35766">
        <w:rPr>
          <w:rFonts w:eastAsia="Times New Roman"/>
          <w:lang w:val="it-IT"/>
        </w:rPr>
        <w:t>tremore (agitazione)</w:t>
      </w:r>
    </w:p>
    <w:p w14:paraId="7180909C" w14:textId="79014F13" w:rsidR="00745249" w:rsidRPr="00C35766" w:rsidRDefault="00745249" w:rsidP="00787805">
      <w:pPr>
        <w:pStyle w:val="a3"/>
        <w:numPr>
          <w:ilvl w:val="0"/>
          <w:numId w:val="15"/>
        </w:numPr>
        <w:ind w:left="660" w:hanging="660"/>
        <w:rPr>
          <w:lang w:val="pt-BR"/>
        </w:rPr>
      </w:pPr>
      <w:r w:rsidRPr="00C35766">
        <w:rPr>
          <w:rFonts w:eastAsia="Times New Roman"/>
          <w:lang w:val="it-IT"/>
        </w:rPr>
        <w:t>neuropatia (disturbo del sistema nervoso)</w:t>
      </w:r>
    </w:p>
    <w:p w14:paraId="6C389526" w14:textId="77777777" w:rsidR="00745249" w:rsidRPr="00C35766" w:rsidRDefault="00745249" w:rsidP="00787805">
      <w:pPr>
        <w:pStyle w:val="a3"/>
        <w:numPr>
          <w:ilvl w:val="0"/>
          <w:numId w:val="15"/>
        </w:numPr>
        <w:ind w:left="660" w:hanging="660"/>
      </w:pPr>
      <w:r w:rsidRPr="00C35766">
        <w:rPr>
          <w:rFonts w:eastAsia="Times New Roman"/>
          <w:lang w:val="it-IT"/>
        </w:rPr>
        <w:t>ictus</w:t>
      </w:r>
    </w:p>
    <w:p w14:paraId="51BEC2F9" w14:textId="42437793" w:rsidR="00745249" w:rsidRPr="00C35766" w:rsidRDefault="00745249" w:rsidP="00787805">
      <w:pPr>
        <w:pStyle w:val="a3"/>
        <w:numPr>
          <w:ilvl w:val="0"/>
          <w:numId w:val="15"/>
        </w:numPr>
        <w:ind w:left="660" w:hanging="660"/>
      </w:pPr>
      <w:r w:rsidRPr="00C35766">
        <w:rPr>
          <w:rFonts w:eastAsia="Times New Roman"/>
          <w:lang w:val="it-IT"/>
        </w:rPr>
        <w:t>perdita dell' udito, ronzio</w:t>
      </w:r>
    </w:p>
    <w:p w14:paraId="1E4AA127"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sensazione di battito cardiaco irregolare come palpitazioni</w:t>
      </w:r>
    </w:p>
    <w:p w14:paraId="30150EB7" w14:textId="314F1CFE" w:rsidR="00745249" w:rsidRPr="00824699" w:rsidRDefault="00745249" w:rsidP="00787805">
      <w:pPr>
        <w:pStyle w:val="a3"/>
        <w:numPr>
          <w:ilvl w:val="0"/>
          <w:numId w:val="15"/>
        </w:numPr>
        <w:ind w:left="660" w:hanging="660"/>
        <w:rPr>
          <w:lang w:val="it-IT"/>
        </w:rPr>
      </w:pPr>
      <w:r w:rsidRPr="00C35766">
        <w:rPr>
          <w:rFonts w:eastAsia="Times New Roman"/>
          <w:lang w:val="it-IT"/>
        </w:rPr>
        <w:t>problemi al cuore che possono causare respiro corto o gonfiore a livello delle caviglie</w:t>
      </w:r>
    </w:p>
    <w:p w14:paraId="32E24924" w14:textId="77777777" w:rsidR="00745249" w:rsidRPr="00C35766" w:rsidRDefault="00745249" w:rsidP="00787805">
      <w:pPr>
        <w:pStyle w:val="a3"/>
        <w:numPr>
          <w:ilvl w:val="0"/>
          <w:numId w:val="15"/>
        </w:numPr>
        <w:ind w:left="660" w:hanging="660"/>
      </w:pPr>
      <w:r w:rsidRPr="00C35766">
        <w:rPr>
          <w:rFonts w:eastAsia="Times New Roman"/>
          <w:lang w:val="it-IT"/>
        </w:rPr>
        <w:t>attacco di cuore</w:t>
      </w:r>
    </w:p>
    <w:p w14:paraId="2E1CA892"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una sacca nella parete di un’arteria principale, infiammazione e coagulo in una vena, ostruzione di un vaso sanguigno</w:t>
      </w:r>
    </w:p>
    <w:p w14:paraId="1C7BAF40" w14:textId="431806E7" w:rsidR="00745249" w:rsidRPr="00824699" w:rsidRDefault="00745249" w:rsidP="00787805">
      <w:pPr>
        <w:pStyle w:val="a3"/>
        <w:numPr>
          <w:ilvl w:val="0"/>
          <w:numId w:val="15"/>
        </w:numPr>
        <w:ind w:left="660" w:hanging="660"/>
        <w:rPr>
          <w:lang w:val="it-IT"/>
        </w:rPr>
      </w:pPr>
      <w:r w:rsidRPr="00C35766">
        <w:rPr>
          <w:rFonts w:eastAsia="Times New Roman"/>
          <w:lang w:val="it-IT"/>
        </w:rPr>
        <w:t>malattia polmonare che provoca respiro corto (inclusa infiammazione)</w:t>
      </w:r>
    </w:p>
    <w:p w14:paraId="4FFEE54B" w14:textId="0BCDA277" w:rsidR="00745249" w:rsidRPr="00C35766" w:rsidRDefault="00745249" w:rsidP="00787805">
      <w:pPr>
        <w:pStyle w:val="a3"/>
        <w:numPr>
          <w:ilvl w:val="0"/>
          <w:numId w:val="15"/>
        </w:numPr>
        <w:ind w:left="660" w:hanging="660"/>
        <w:rPr>
          <w:lang w:val="es-ES"/>
        </w:rPr>
      </w:pPr>
      <w:r w:rsidRPr="00C35766">
        <w:rPr>
          <w:rFonts w:eastAsia="Times New Roman"/>
          <w:lang w:val="it-IT"/>
        </w:rPr>
        <w:t>embolia polmonare (occlusione di una arteria del polmone)</w:t>
      </w:r>
    </w:p>
    <w:p w14:paraId="00AF4D2F"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versamento pleurico (accumulo anomalo di liquido nello spazio pleurico)</w:t>
      </w:r>
    </w:p>
    <w:p w14:paraId="6030BCDE"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infiammazione del pancreas che causa forti dolori all’addome ed alla schiena</w:t>
      </w:r>
    </w:p>
    <w:p w14:paraId="48CA84B7" w14:textId="77777777" w:rsidR="00745249" w:rsidRPr="00C35766" w:rsidRDefault="00745249" w:rsidP="00787805">
      <w:pPr>
        <w:pStyle w:val="a3"/>
        <w:numPr>
          <w:ilvl w:val="0"/>
          <w:numId w:val="15"/>
        </w:numPr>
        <w:ind w:left="660" w:hanging="660"/>
      </w:pPr>
      <w:r w:rsidRPr="00C35766">
        <w:rPr>
          <w:rFonts w:eastAsia="Times New Roman"/>
          <w:lang w:val="it-IT"/>
        </w:rPr>
        <w:t>difficoltà nella deglutizione</w:t>
      </w:r>
    </w:p>
    <w:p w14:paraId="1C522D49"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edema facciale (gonfiore del viso)</w:t>
      </w:r>
    </w:p>
    <w:p w14:paraId="17A003F7"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infiammazione della cistifellea, calcoli alla cistifellea</w:t>
      </w:r>
    </w:p>
    <w:p w14:paraId="70C4E847" w14:textId="77777777" w:rsidR="00745249" w:rsidRPr="00C35766" w:rsidRDefault="00745249" w:rsidP="00787805">
      <w:pPr>
        <w:pStyle w:val="a3"/>
        <w:numPr>
          <w:ilvl w:val="0"/>
          <w:numId w:val="15"/>
        </w:numPr>
        <w:ind w:left="660" w:hanging="660"/>
      </w:pPr>
      <w:r w:rsidRPr="00C35766">
        <w:rPr>
          <w:rFonts w:eastAsia="Times New Roman"/>
          <w:lang w:val="it-IT"/>
        </w:rPr>
        <w:t>fegato grasso</w:t>
      </w:r>
    </w:p>
    <w:p w14:paraId="4D0FEBEB" w14:textId="77777777" w:rsidR="00745249" w:rsidRPr="00C35766" w:rsidRDefault="00745249" w:rsidP="00787805">
      <w:pPr>
        <w:pStyle w:val="a3"/>
        <w:numPr>
          <w:ilvl w:val="0"/>
          <w:numId w:val="15"/>
        </w:numPr>
        <w:ind w:left="660" w:hanging="660"/>
      </w:pPr>
      <w:r w:rsidRPr="00C35766">
        <w:rPr>
          <w:rFonts w:eastAsia="Times New Roman"/>
          <w:lang w:val="it-IT"/>
        </w:rPr>
        <w:t>sudorazione notturna</w:t>
      </w:r>
    </w:p>
    <w:p w14:paraId="76DA8796" w14:textId="77777777" w:rsidR="00745249" w:rsidRPr="00C35766" w:rsidRDefault="00745249" w:rsidP="00787805">
      <w:pPr>
        <w:pStyle w:val="a3"/>
        <w:numPr>
          <w:ilvl w:val="0"/>
          <w:numId w:val="15"/>
        </w:numPr>
        <w:ind w:left="660" w:hanging="660"/>
      </w:pPr>
      <w:r w:rsidRPr="00C35766">
        <w:rPr>
          <w:rFonts w:eastAsia="Times New Roman"/>
          <w:lang w:val="it-IT"/>
        </w:rPr>
        <w:t>cicatrice</w:t>
      </w:r>
    </w:p>
    <w:p w14:paraId="389070F1" w14:textId="77777777" w:rsidR="00745249" w:rsidRPr="00C35766" w:rsidRDefault="00745249" w:rsidP="00787805">
      <w:pPr>
        <w:pStyle w:val="a3"/>
        <w:numPr>
          <w:ilvl w:val="0"/>
          <w:numId w:val="15"/>
        </w:numPr>
        <w:ind w:left="660" w:hanging="660"/>
      </w:pPr>
      <w:r w:rsidRPr="00C35766">
        <w:rPr>
          <w:rFonts w:eastAsia="Times New Roman"/>
          <w:lang w:val="it-IT"/>
        </w:rPr>
        <w:t>anormale catabolismo muscolare</w:t>
      </w:r>
    </w:p>
    <w:p w14:paraId="18499350" w14:textId="77777777" w:rsidR="00745249" w:rsidRPr="00C35766" w:rsidRDefault="00745249" w:rsidP="00787805">
      <w:pPr>
        <w:pStyle w:val="a3"/>
        <w:numPr>
          <w:ilvl w:val="0"/>
          <w:numId w:val="15"/>
        </w:numPr>
        <w:ind w:left="660" w:hanging="660"/>
        <w:rPr>
          <w:rFonts w:eastAsia="Times New Roman"/>
          <w:spacing w:val="-1"/>
          <w:lang w:val="es-ES"/>
        </w:rPr>
      </w:pPr>
      <w:r w:rsidRPr="00C35766">
        <w:rPr>
          <w:rFonts w:eastAsia="Times New Roman"/>
          <w:lang w:val="it-IT"/>
        </w:rPr>
        <w:t>lupus eritematoso sistemico (tra cui infiammazione della pelle, del cuore, del polmone, delle articolazioni e di altri organi)</w:t>
      </w:r>
    </w:p>
    <w:p w14:paraId="59A51BA8" w14:textId="77777777" w:rsidR="00745249" w:rsidRPr="00C35766" w:rsidRDefault="00745249" w:rsidP="00787805">
      <w:pPr>
        <w:pStyle w:val="a3"/>
        <w:numPr>
          <w:ilvl w:val="0"/>
          <w:numId w:val="15"/>
        </w:numPr>
        <w:ind w:left="660" w:hanging="660"/>
      </w:pPr>
      <w:r w:rsidRPr="00C35766">
        <w:rPr>
          <w:rFonts w:eastAsia="Times New Roman"/>
          <w:lang w:val="it-IT"/>
        </w:rPr>
        <w:t>sonno interrotto</w:t>
      </w:r>
    </w:p>
    <w:p w14:paraId="2E22F3B1" w14:textId="77777777" w:rsidR="00745249" w:rsidRPr="00C35766" w:rsidRDefault="00745249" w:rsidP="00787805">
      <w:pPr>
        <w:pStyle w:val="a3"/>
        <w:numPr>
          <w:ilvl w:val="0"/>
          <w:numId w:val="15"/>
        </w:numPr>
        <w:ind w:left="660" w:hanging="660"/>
      </w:pPr>
      <w:r w:rsidRPr="00C35766">
        <w:rPr>
          <w:rFonts w:eastAsia="Times New Roman"/>
          <w:lang w:val="it-IT"/>
        </w:rPr>
        <w:t>impotenza</w:t>
      </w:r>
    </w:p>
    <w:p w14:paraId="0DEBAA37" w14:textId="77777777" w:rsidR="00745249" w:rsidRPr="00C35766" w:rsidRDefault="00745249" w:rsidP="00787805">
      <w:pPr>
        <w:pStyle w:val="a3"/>
        <w:numPr>
          <w:ilvl w:val="0"/>
          <w:numId w:val="15"/>
        </w:numPr>
        <w:ind w:left="660" w:hanging="660"/>
      </w:pPr>
      <w:r w:rsidRPr="00C35766">
        <w:rPr>
          <w:rFonts w:eastAsia="Times New Roman"/>
          <w:lang w:val="it-IT"/>
        </w:rPr>
        <w:t>infiammazioni</w:t>
      </w:r>
    </w:p>
    <w:p w14:paraId="24EDBC73" w14:textId="77777777" w:rsidR="00745249" w:rsidRPr="00C35766" w:rsidRDefault="00745249" w:rsidP="00745249">
      <w:pPr>
        <w:spacing w:before="13" w:line="240" w:lineRule="exact"/>
        <w:rPr>
          <w:rFonts w:ascii="Times New Roman" w:hAnsi="Times New Roman" w:cs="Times New Roman"/>
          <w:sz w:val="24"/>
          <w:szCs w:val="24"/>
        </w:rPr>
      </w:pPr>
    </w:p>
    <w:p w14:paraId="4F6351A8" w14:textId="7E6DEA6A" w:rsidR="00745249" w:rsidRPr="00824699" w:rsidRDefault="00745249" w:rsidP="00745249">
      <w:pPr>
        <w:pStyle w:val="a3"/>
        <w:rPr>
          <w:lang w:val="it-IT"/>
        </w:rPr>
      </w:pPr>
      <w:r w:rsidRPr="00C35766">
        <w:rPr>
          <w:rFonts w:eastAsia="Times New Roman"/>
          <w:b/>
          <w:lang w:val="it-IT"/>
        </w:rPr>
        <w:t xml:space="preserve">Raro </w:t>
      </w:r>
      <w:r w:rsidRPr="00C35766">
        <w:rPr>
          <w:rFonts w:eastAsia="Times New Roman"/>
          <w:bCs/>
          <w:lang w:val="it-IT"/>
        </w:rPr>
        <w:t>(può interessare fino a 1 </w:t>
      </w:r>
      <w:r w:rsidR="00471BD2">
        <w:rPr>
          <w:rFonts w:eastAsia="Times New Roman"/>
          <w:bCs/>
          <w:lang w:val="it-IT"/>
        </w:rPr>
        <w:t xml:space="preserve">persona </w:t>
      </w:r>
      <w:r w:rsidRPr="00C35766">
        <w:rPr>
          <w:rFonts w:eastAsia="Times New Roman"/>
          <w:bCs/>
          <w:lang w:val="it-IT"/>
        </w:rPr>
        <w:t>su 1.000)</w:t>
      </w:r>
    </w:p>
    <w:p w14:paraId="3040779E" w14:textId="77777777" w:rsidR="00745249" w:rsidRPr="00824699" w:rsidRDefault="00745249" w:rsidP="00745249">
      <w:pPr>
        <w:spacing w:before="12" w:line="240" w:lineRule="exact"/>
        <w:rPr>
          <w:rFonts w:ascii="Times New Roman" w:hAnsi="Times New Roman" w:cs="Times New Roman"/>
          <w:sz w:val="24"/>
          <w:szCs w:val="24"/>
          <w:lang w:val="it-IT"/>
        </w:rPr>
      </w:pPr>
    </w:p>
    <w:p w14:paraId="3439BD38"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leucemia (un tumore che colpisce il sangue e il midollo osseo)</w:t>
      </w:r>
    </w:p>
    <w:p w14:paraId="261CD880" w14:textId="77777777" w:rsidR="00745249" w:rsidRPr="00C35766" w:rsidRDefault="00745249" w:rsidP="00787805">
      <w:pPr>
        <w:pStyle w:val="a3"/>
        <w:numPr>
          <w:ilvl w:val="0"/>
          <w:numId w:val="15"/>
        </w:numPr>
        <w:ind w:left="660" w:hanging="660"/>
      </w:pPr>
      <w:r w:rsidRPr="00C35766">
        <w:rPr>
          <w:rFonts w:eastAsia="Times New Roman"/>
          <w:lang w:val="it-IT"/>
        </w:rPr>
        <w:t>reazione allergica grave con shock</w:t>
      </w:r>
    </w:p>
    <w:p w14:paraId="3BAA6118" w14:textId="6ADE5AD6" w:rsidR="00745249" w:rsidRPr="00C35766" w:rsidRDefault="00745249" w:rsidP="00787805">
      <w:pPr>
        <w:pStyle w:val="a3"/>
        <w:numPr>
          <w:ilvl w:val="0"/>
          <w:numId w:val="15"/>
        </w:numPr>
        <w:ind w:left="660" w:hanging="660"/>
      </w:pPr>
      <w:r w:rsidRPr="00C35766">
        <w:rPr>
          <w:rFonts w:eastAsia="Times New Roman"/>
          <w:lang w:val="it-IT"/>
        </w:rPr>
        <w:t>sclerosi multipla</w:t>
      </w:r>
    </w:p>
    <w:p w14:paraId="125BB136" w14:textId="07D34B54" w:rsidR="00745249" w:rsidRPr="00824699" w:rsidRDefault="00745249" w:rsidP="00787805">
      <w:pPr>
        <w:pStyle w:val="a3"/>
        <w:numPr>
          <w:ilvl w:val="0"/>
          <w:numId w:val="15"/>
        </w:numPr>
        <w:ind w:left="660" w:hanging="660"/>
        <w:rPr>
          <w:lang w:val="it-IT"/>
        </w:rPr>
      </w:pPr>
      <w:r w:rsidRPr="00C35766">
        <w:rPr>
          <w:rFonts w:eastAsia="Times New Roman"/>
          <w:lang w:val="it-IT"/>
        </w:rPr>
        <w:t>disturbi neurologici (come infiammazione del nervo ottico e sindrome di Guillain-Barré che può causare debolezza muscolare, sensazioni ano</w:t>
      </w:r>
      <w:r w:rsidR="007D706F" w:rsidRPr="00C35766">
        <w:rPr>
          <w:rFonts w:eastAsia="Times New Roman"/>
          <w:lang w:val="it-IT"/>
        </w:rPr>
        <w:t>r</w:t>
      </w:r>
      <w:r w:rsidRPr="00C35766">
        <w:rPr>
          <w:rFonts w:eastAsia="Times New Roman"/>
          <w:lang w:val="it-IT"/>
        </w:rPr>
        <w:t>mali, formicolio alle braccia ed alla parte superiore del corpo)</w:t>
      </w:r>
    </w:p>
    <w:p w14:paraId="62AA0FC6" w14:textId="77777777" w:rsidR="00745249" w:rsidRPr="00C35766" w:rsidRDefault="00745249" w:rsidP="00787805">
      <w:pPr>
        <w:pStyle w:val="a3"/>
        <w:numPr>
          <w:ilvl w:val="0"/>
          <w:numId w:val="15"/>
        </w:numPr>
        <w:ind w:left="660" w:hanging="660"/>
      </w:pPr>
      <w:r w:rsidRPr="00C35766">
        <w:rPr>
          <w:rFonts w:eastAsia="Times New Roman"/>
          <w:lang w:val="it-IT"/>
        </w:rPr>
        <w:t>arresto cardiaco</w:t>
      </w:r>
    </w:p>
    <w:p w14:paraId="312C10BF"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fibrosi polmonare (cicatrici del polmone)</w:t>
      </w:r>
    </w:p>
    <w:p w14:paraId="028B45DC" w14:textId="77777777" w:rsidR="00745249" w:rsidRPr="00C35766" w:rsidRDefault="00745249" w:rsidP="00787805">
      <w:pPr>
        <w:pStyle w:val="a3"/>
        <w:numPr>
          <w:ilvl w:val="0"/>
          <w:numId w:val="15"/>
        </w:numPr>
        <w:ind w:left="660" w:hanging="660"/>
      </w:pPr>
      <w:r w:rsidRPr="00C35766">
        <w:rPr>
          <w:rFonts w:eastAsia="Times New Roman"/>
          <w:lang w:val="it-IT"/>
        </w:rPr>
        <w:t>perforazione intestinale (foro nell’intestino)</w:t>
      </w:r>
    </w:p>
    <w:p w14:paraId="3403AD90" w14:textId="60793F8A" w:rsidR="00745249" w:rsidRPr="00C35766" w:rsidRDefault="00745249" w:rsidP="00787805">
      <w:pPr>
        <w:pStyle w:val="a3"/>
        <w:numPr>
          <w:ilvl w:val="0"/>
          <w:numId w:val="15"/>
        </w:numPr>
        <w:ind w:left="660" w:hanging="660"/>
      </w:pPr>
      <w:r w:rsidRPr="00C35766">
        <w:rPr>
          <w:rFonts w:eastAsia="Times New Roman"/>
          <w:lang w:val="it-IT"/>
        </w:rPr>
        <w:t>epatite</w:t>
      </w:r>
    </w:p>
    <w:p w14:paraId="0C264057" w14:textId="77777777" w:rsidR="00745249" w:rsidRPr="00C35766" w:rsidRDefault="00745249" w:rsidP="00787805">
      <w:pPr>
        <w:pStyle w:val="a3"/>
        <w:numPr>
          <w:ilvl w:val="0"/>
          <w:numId w:val="15"/>
        </w:numPr>
        <w:ind w:left="660" w:hanging="660"/>
      </w:pPr>
      <w:r w:rsidRPr="00C35766">
        <w:rPr>
          <w:rFonts w:eastAsia="Times New Roman"/>
          <w:lang w:val="it-IT"/>
        </w:rPr>
        <w:t>riattivazione dell’epatite B</w:t>
      </w:r>
    </w:p>
    <w:p w14:paraId="327EF79D"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epatite autoimmune (infiammazione del fegato causata dal proprio sistema immunitario)</w:t>
      </w:r>
    </w:p>
    <w:p w14:paraId="4BEE09BE"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vasculite cutanea (infiammazione dei vasi sanguigni della pelle)</w:t>
      </w:r>
    </w:p>
    <w:p w14:paraId="05F89159" w14:textId="26878BCB" w:rsidR="00745249" w:rsidRPr="00C35766" w:rsidRDefault="00745249" w:rsidP="00787805">
      <w:pPr>
        <w:pStyle w:val="a3"/>
        <w:numPr>
          <w:ilvl w:val="0"/>
          <w:numId w:val="15"/>
        </w:numPr>
        <w:ind w:left="660" w:hanging="660"/>
        <w:rPr>
          <w:lang w:val="pt-BR"/>
        </w:rPr>
      </w:pPr>
      <w:r w:rsidRPr="00C35766">
        <w:rPr>
          <w:rFonts w:eastAsia="Times New Roman"/>
          <w:lang w:val="it-IT"/>
        </w:rPr>
        <w:t>sindrome di Stevens-Johnson (i sintomi precoci includono malessere, febbre, mal di testa ed eruzione cutanea)</w:t>
      </w:r>
    </w:p>
    <w:p w14:paraId="2BECB636"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edema facciale (gonfiore del viso) associato a reazioni allergiche</w:t>
      </w:r>
    </w:p>
    <w:p w14:paraId="3316F5E8" w14:textId="2BC45F10" w:rsidR="00745249" w:rsidRPr="00C35766" w:rsidRDefault="00745249" w:rsidP="00787805">
      <w:pPr>
        <w:pStyle w:val="a3"/>
        <w:numPr>
          <w:ilvl w:val="0"/>
          <w:numId w:val="15"/>
        </w:numPr>
        <w:ind w:left="660" w:hanging="660"/>
        <w:rPr>
          <w:lang w:val="it-IT"/>
        </w:rPr>
      </w:pPr>
      <w:r w:rsidRPr="00C35766">
        <w:rPr>
          <w:rFonts w:eastAsia="Times New Roman"/>
          <w:lang w:val="it-IT"/>
        </w:rPr>
        <w:t xml:space="preserve">eritema multiforme (eruzione </w:t>
      </w:r>
      <w:r w:rsidR="002077B1" w:rsidRPr="00C35766">
        <w:rPr>
          <w:rFonts w:eastAsia="Times New Roman"/>
          <w:lang w:val="it-IT"/>
        </w:rPr>
        <w:t xml:space="preserve">cutanea </w:t>
      </w:r>
      <w:r w:rsidRPr="00C35766">
        <w:rPr>
          <w:rFonts w:eastAsia="Times New Roman"/>
          <w:lang w:val="it-IT"/>
        </w:rPr>
        <w:t>infiammatoria)</w:t>
      </w:r>
    </w:p>
    <w:p w14:paraId="12E49947" w14:textId="77777777" w:rsidR="00745249" w:rsidRPr="00C35766" w:rsidRDefault="00745249" w:rsidP="00787805">
      <w:pPr>
        <w:pStyle w:val="a3"/>
        <w:numPr>
          <w:ilvl w:val="0"/>
          <w:numId w:val="15"/>
        </w:numPr>
        <w:ind w:left="660" w:hanging="660"/>
      </w:pPr>
      <w:r w:rsidRPr="00C35766">
        <w:rPr>
          <w:rFonts w:eastAsia="Times New Roman"/>
          <w:lang w:val="it-IT"/>
        </w:rPr>
        <w:t>sindrome simile al lupus</w:t>
      </w:r>
    </w:p>
    <w:p w14:paraId="66D90405"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lastRenderedPageBreak/>
        <w:t>angioedema (gonfiore localizzato della pelle)</w:t>
      </w:r>
    </w:p>
    <w:p w14:paraId="2E7C1BBE"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reazione cutanea lichenoide (eruzione cutanea rosso-violacea pruriginosa)</w:t>
      </w:r>
    </w:p>
    <w:p w14:paraId="6A411F63" w14:textId="77777777" w:rsidR="00745249" w:rsidRPr="00C35766" w:rsidRDefault="00745249" w:rsidP="00745249">
      <w:pPr>
        <w:spacing w:before="10" w:line="240" w:lineRule="exact"/>
        <w:rPr>
          <w:rFonts w:ascii="Times New Roman" w:hAnsi="Times New Roman" w:cs="Times New Roman"/>
          <w:sz w:val="24"/>
          <w:szCs w:val="24"/>
          <w:lang w:val="pt-BR"/>
        </w:rPr>
      </w:pPr>
    </w:p>
    <w:p w14:paraId="5F5E1139" w14:textId="2D659132" w:rsidR="00745249" w:rsidRPr="00824699" w:rsidRDefault="00745249" w:rsidP="00745249">
      <w:pPr>
        <w:pStyle w:val="a3"/>
        <w:rPr>
          <w:lang w:val="it-IT"/>
        </w:rPr>
      </w:pPr>
      <w:r w:rsidRPr="00C35766">
        <w:rPr>
          <w:rFonts w:eastAsia="Times New Roman"/>
          <w:b/>
          <w:bCs/>
          <w:lang w:val="it-IT"/>
        </w:rPr>
        <w:t xml:space="preserve">Non </w:t>
      </w:r>
      <w:r w:rsidR="00C54CAA" w:rsidRPr="00C35766">
        <w:rPr>
          <w:rFonts w:eastAsia="Times New Roman"/>
          <w:b/>
          <w:bCs/>
          <w:lang w:val="it-IT"/>
        </w:rPr>
        <w:t xml:space="preserve">nota </w:t>
      </w:r>
      <w:r w:rsidRPr="00C35766">
        <w:rPr>
          <w:rFonts w:eastAsia="Times New Roman"/>
          <w:lang w:val="it-IT"/>
        </w:rPr>
        <w:t>(la frequenza non può essere definita sulla base dei dati disponibili):</w:t>
      </w:r>
    </w:p>
    <w:p w14:paraId="36C7A601" w14:textId="77777777" w:rsidR="00745249" w:rsidRPr="00824699" w:rsidRDefault="00745249" w:rsidP="00745249">
      <w:pPr>
        <w:spacing w:before="14" w:line="240" w:lineRule="exact"/>
        <w:rPr>
          <w:rFonts w:ascii="Times New Roman" w:hAnsi="Times New Roman" w:cs="Times New Roman"/>
          <w:sz w:val="24"/>
          <w:szCs w:val="24"/>
          <w:lang w:val="it-IT"/>
        </w:rPr>
      </w:pPr>
    </w:p>
    <w:p w14:paraId="2438363A"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linfoma epato-splenico a cellule T (un raro tumore del sangue che spesso risulta fatale)</w:t>
      </w:r>
    </w:p>
    <w:p w14:paraId="1B851BF3"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carcinoma a cellule di Merkel (un tipo di cancro della pelle)</w:t>
      </w:r>
    </w:p>
    <w:p w14:paraId="5C8DFAB0" w14:textId="77777777" w:rsidR="00745249" w:rsidRPr="00C35766" w:rsidRDefault="00745249" w:rsidP="00787805">
      <w:pPr>
        <w:pStyle w:val="a3"/>
        <w:numPr>
          <w:ilvl w:val="0"/>
          <w:numId w:val="15"/>
        </w:numPr>
        <w:ind w:left="660" w:hanging="660"/>
        <w:rPr>
          <w:lang w:val="es-ES"/>
        </w:rPr>
      </w:pPr>
      <w:r w:rsidRPr="00C35766">
        <w:rPr>
          <w:rFonts w:eastAsia="Times New Roman"/>
          <w:lang w:val="it-IT"/>
        </w:rPr>
        <w:t>sarcoma di Kaposi, un raro tumore associato all’infezione da herpes virus umano 8. Il sarcoma di Kaposi appare più comunemente come lesioni viola sulla pelle.</w:t>
      </w:r>
    </w:p>
    <w:p w14:paraId="4DD721BB" w14:textId="5E311346" w:rsidR="00745249" w:rsidRPr="00C35766" w:rsidRDefault="00745249" w:rsidP="00787805">
      <w:pPr>
        <w:pStyle w:val="a3"/>
        <w:numPr>
          <w:ilvl w:val="0"/>
          <w:numId w:val="15"/>
        </w:numPr>
        <w:ind w:left="660" w:hanging="660"/>
      </w:pPr>
      <w:r w:rsidRPr="00C35766">
        <w:rPr>
          <w:rFonts w:eastAsia="Times New Roman"/>
          <w:lang w:val="it-IT"/>
        </w:rPr>
        <w:t>insufficienza epatica</w:t>
      </w:r>
    </w:p>
    <w:p w14:paraId="5135DD12" w14:textId="33AFE59C" w:rsidR="00745249" w:rsidRPr="00C35766" w:rsidRDefault="00745249" w:rsidP="00787805">
      <w:pPr>
        <w:pStyle w:val="a3"/>
        <w:numPr>
          <w:ilvl w:val="0"/>
          <w:numId w:val="15"/>
        </w:numPr>
        <w:ind w:left="660" w:hanging="660"/>
        <w:rPr>
          <w:lang w:val="pt-BR"/>
        </w:rPr>
      </w:pPr>
      <w:r w:rsidRPr="00C35766">
        <w:rPr>
          <w:rFonts w:eastAsia="Times New Roman"/>
          <w:lang w:val="it-IT"/>
        </w:rPr>
        <w:t>peggioramento di una condizione chiamata dermatomiosite (che si manifesta come eruzione cutanea accompagnata da debolezza muscolare)</w:t>
      </w:r>
    </w:p>
    <w:p w14:paraId="7E085D0C" w14:textId="5FC25EC3" w:rsidR="00C54CAA" w:rsidRPr="00C35766" w:rsidRDefault="00A24854" w:rsidP="00C54CAA">
      <w:pPr>
        <w:pStyle w:val="a3"/>
        <w:numPr>
          <w:ilvl w:val="0"/>
          <w:numId w:val="15"/>
        </w:numPr>
        <w:ind w:left="660" w:hanging="660"/>
        <w:rPr>
          <w:lang w:val="pt-BR"/>
        </w:rPr>
      </w:pPr>
      <w:r>
        <w:rPr>
          <w:rFonts w:eastAsia="Times New Roman"/>
          <w:lang w:val="it-IT"/>
        </w:rPr>
        <w:t>a</w:t>
      </w:r>
      <w:r w:rsidRPr="00C35766">
        <w:rPr>
          <w:rFonts w:eastAsia="Times New Roman"/>
          <w:lang w:val="it-IT"/>
        </w:rPr>
        <w:t xml:space="preserve">umento </w:t>
      </w:r>
      <w:r w:rsidR="00C54CAA" w:rsidRPr="00C35766">
        <w:rPr>
          <w:rFonts w:eastAsia="Times New Roman"/>
          <w:lang w:val="it-IT"/>
        </w:rPr>
        <w:t>di peso (per la maggior parte dei pazienti l’aumento di peso è stato basso)</w:t>
      </w:r>
    </w:p>
    <w:p w14:paraId="1A6EE916" w14:textId="77777777" w:rsidR="00745249" w:rsidRPr="00C35766" w:rsidRDefault="00745249" w:rsidP="00745249">
      <w:pPr>
        <w:pStyle w:val="a3"/>
        <w:numPr>
          <w:ilvl w:val="0"/>
          <w:numId w:val="0"/>
        </w:numPr>
        <w:rPr>
          <w:lang w:val="pt-BR"/>
        </w:rPr>
      </w:pPr>
    </w:p>
    <w:p w14:paraId="2BF0B9E6" w14:textId="77777777" w:rsidR="00745249" w:rsidRPr="00C35766" w:rsidRDefault="00745249" w:rsidP="00745249">
      <w:pPr>
        <w:pStyle w:val="a3"/>
        <w:rPr>
          <w:lang w:val="pt-BR"/>
        </w:rPr>
      </w:pPr>
      <w:r w:rsidRPr="00C35766">
        <w:rPr>
          <w:rFonts w:eastAsia="Times New Roman"/>
          <w:lang w:val="it-IT"/>
        </w:rPr>
        <w:t>Alcuni degli effetti indesiderati osservati con Yuflyma possono essere asintomatici e possono essere individuati solo attraverso gli esami del sangue. Questi includono:</w:t>
      </w:r>
    </w:p>
    <w:p w14:paraId="4D187C47" w14:textId="77777777" w:rsidR="00745249" w:rsidRPr="00C35766" w:rsidRDefault="00745249" w:rsidP="00745249">
      <w:pPr>
        <w:pStyle w:val="a3"/>
        <w:rPr>
          <w:lang w:val="pt-BR"/>
        </w:rPr>
      </w:pPr>
    </w:p>
    <w:p w14:paraId="3F6493D3" w14:textId="77777777" w:rsidR="00745249" w:rsidRPr="00C35766" w:rsidRDefault="00745249" w:rsidP="00745249">
      <w:pPr>
        <w:pStyle w:val="a3"/>
        <w:rPr>
          <w:rFonts w:eastAsia="Times New Roman"/>
          <w:lang w:val="pt-BR"/>
        </w:rPr>
      </w:pPr>
      <w:r w:rsidRPr="00C35766">
        <w:rPr>
          <w:rFonts w:eastAsia="Times New Roman"/>
          <w:b/>
          <w:bCs/>
          <w:spacing w:val="-1"/>
          <w:lang w:val="it-IT"/>
        </w:rPr>
        <w:t xml:space="preserve">Molto comuni </w:t>
      </w:r>
      <w:r w:rsidRPr="00C35766">
        <w:rPr>
          <w:rFonts w:eastAsia="Times New Roman"/>
          <w:spacing w:val="-1"/>
          <w:lang w:val="it-IT"/>
        </w:rPr>
        <w:t>(possono interessare più di 1 persona su 10)</w:t>
      </w:r>
    </w:p>
    <w:p w14:paraId="1087CBF0" w14:textId="77777777" w:rsidR="00745249" w:rsidRPr="00C35766" w:rsidRDefault="00745249" w:rsidP="00745249">
      <w:pPr>
        <w:pStyle w:val="a3"/>
        <w:rPr>
          <w:lang w:val="pt-BR"/>
        </w:rPr>
      </w:pPr>
    </w:p>
    <w:p w14:paraId="44A77833" w14:textId="77777777" w:rsidR="00745249" w:rsidRPr="00C35766" w:rsidRDefault="00745249" w:rsidP="00787805">
      <w:pPr>
        <w:pStyle w:val="a3"/>
        <w:numPr>
          <w:ilvl w:val="0"/>
          <w:numId w:val="15"/>
        </w:numPr>
        <w:ind w:left="660" w:hanging="660"/>
      </w:pPr>
      <w:r w:rsidRPr="00C35766">
        <w:rPr>
          <w:rFonts w:eastAsia="Times New Roman"/>
          <w:lang w:val="it-IT"/>
        </w:rPr>
        <w:t>bassa conta dei globuli bianchi</w:t>
      </w:r>
    </w:p>
    <w:p w14:paraId="67BB1757" w14:textId="77777777" w:rsidR="00745249" w:rsidRPr="00C35766" w:rsidRDefault="00745249" w:rsidP="00787805">
      <w:pPr>
        <w:pStyle w:val="a3"/>
        <w:numPr>
          <w:ilvl w:val="0"/>
          <w:numId w:val="15"/>
        </w:numPr>
        <w:ind w:left="660" w:hanging="660"/>
      </w:pPr>
      <w:r w:rsidRPr="00C35766">
        <w:rPr>
          <w:rFonts w:eastAsia="Times New Roman"/>
          <w:lang w:val="it-IT"/>
        </w:rPr>
        <w:t>bassa conta dei globuli rossi</w:t>
      </w:r>
    </w:p>
    <w:p w14:paraId="0F7B4424" w14:textId="77777777" w:rsidR="00745249" w:rsidRPr="00C35766" w:rsidRDefault="00745249" w:rsidP="00787805">
      <w:pPr>
        <w:pStyle w:val="a3"/>
        <w:numPr>
          <w:ilvl w:val="0"/>
          <w:numId w:val="15"/>
        </w:numPr>
        <w:ind w:left="660" w:hanging="660"/>
      </w:pPr>
      <w:r w:rsidRPr="00C35766">
        <w:rPr>
          <w:rFonts w:eastAsia="Times New Roman"/>
          <w:lang w:val="it-IT"/>
        </w:rPr>
        <w:t>aumento dei lipidi nel sangue</w:t>
      </w:r>
    </w:p>
    <w:p w14:paraId="06F1E343" w14:textId="1BBD4E9B" w:rsidR="00745249" w:rsidRPr="00C35766" w:rsidRDefault="00745249" w:rsidP="00787805">
      <w:pPr>
        <w:pStyle w:val="a3"/>
        <w:numPr>
          <w:ilvl w:val="0"/>
          <w:numId w:val="15"/>
        </w:numPr>
        <w:ind w:left="660" w:hanging="660"/>
      </w:pPr>
      <w:r w:rsidRPr="00C35766">
        <w:rPr>
          <w:rFonts w:eastAsia="Times New Roman"/>
          <w:lang w:val="it-IT"/>
        </w:rPr>
        <w:t>aumento degli enzimi epatici</w:t>
      </w:r>
    </w:p>
    <w:p w14:paraId="08A82E13" w14:textId="77777777" w:rsidR="00745249" w:rsidRPr="00C35766" w:rsidRDefault="00745249" w:rsidP="00745249">
      <w:pPr>
        <w:spacing w:before="10" w:line="240" w:lineRule="exact"/>
        <w:rPr>
          <w:rFonts w:ascii="Times New Roman" w:hAnsi="Times New Roman" w:cs="Times New Roman"/>
          <w:sz w:val="24"/>
          <w:szCs w:val="24"/>
        </w:rPr>
      </w:pPr>
    </w:p>
    <w:p w14:paraId="36FC533D" w14:textId="77777777" w:rsidR="00745249" w:rsidRPr="00C35766" w:rsidRDefault="00745249" w:rsidP="00745249">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091217D1" w14:textId="77777777" w:rsidR="00745249" w:rsidRPr="00C35766" w:rsidRDefault="00745249" w:rsidP="00745249">
      <w:pPr>
        <w:spacing w:before="14" w:line="240" w:lineRule="exact"/>
        <w:rPr>
          <w:rFonts w:ascii="Times New Roman" w:hAnsi="Times New Roman" w:cs="Times New Roman"/>
          <w:sz w:val="24"/>
          <w:szCs w:val="24"/>
          <w:lang w:val="pt-BR"/>
        </w:rPr>
      </w:pPr>
    </w:p>
    <w:p w14:paraId="16285970"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aumento della conta dei globuli bianchi</w:t>
      </w:r>
    </w:p>
    <w:p w14:paraId="24FBCD1E" w14:textId="77777777" w:rsidR="00745249" w:rsidRPr="00C35766" w:rsidRDefault="00745249" w:rsidP="00787805">
      <w:pPr>
        <w:pStyle w:val="a3"/>
        <w:numPr>
          <w:ilvl w:val="0"/>
          <w:numId w:val="15"/>
        </w:numPr>
        <w:ind w:left="660" w:hanging="660"/>
      </w:pPr>
      <w:r w:rsidRPr="00C35766">
        <w:rPr>
          <w:rFonts w:eastAsia="Times New Roman"/>
          <w:lang w:val="it-IT"/>
        </w:rPr>
        <w:t>riduzione delle piastrine nel sangue</w:t>
      </w:r>
    </w:p>
    <w:p w14:paraId="6AF8D0E9" w14:textId="77777777" w:rsidR="00745249" w:rsidRPr="00C35766" w:rsidRDefault="00745249" w:rsidP="00787805">
      <w:pPr>
        <w:pStyle w:val="a3"/>
        <w:numPr>
          <w:ilvl w:val="0"/>
          <w:numId w:val="15"/>
        </w:numPr>
        <w:ind w:left="660" w:hanging="660"/>
      </w:pPr>
      <w:r w:rsidRPr="00C35766">
        <w:rPr>
          <w:rFonts w:eastAsia="Times New Roman"/>
          <w:lang w:val="it-IT"/>
        </w:rPr>
        <w:t>aumento dell’acido urico nel sangue</w:t>
      </w:r>
    </w:p>
    <w:p w14:paraId="667372C1" w14:textId="77777777" w:rsidR="00745249" w:rsidRPr="00C35766" w:rsidRDefault="00745249" w:rsidP="00787805">
      <w:pPr>
        <w:pStyle w:val="a3"/>
        <w:numPr>
          <w:ilvl w:val="0"/>
          <w:numId w:val="15"/>
        </w:numPr>
        <w:ind w:left="660" w:hanging="660"/>
      </w:pPr>
      <w:r w:rsidRPr="00C35766">
        <w:rPr>
          <w:rFonts w:eastAsia="Times New Roman"/>
          <w:lang w:val="it-IT"/>
        </w:rPr>
        <w:t>alterazione del sodio nel sangue</w:t>
      </w:r>
    </w:p>
    <w:p w14:paraId="7606368B" w14:textId="77777777" w:rsidR="00745249" w:rsidRPr="00C35766" w:rsidRDefault="00745249" w:rsidP="00787805">
      <w:pPr>
        <w:pStyle w:val="a3"/>
        <w:numPr>
          <w:ilvl w:val="0"/>
          <w:numId w:val="15"/>
        </w:numPr>
        <w:ind w:left="660" w:hanging="660"/>
      </w:pPr>
      <w:r w:rsidRPr="00C35766">
        <w:rPr>
          <w:rFonts w:eastAsia="Times New Roman"/>
          <w:lang w:val="it-IT"/>
        </w:rPr>
        <w:t>riduzione del calcio nel sangue</w:t>
      </w:r>
    </w:p>
    <w:p w14:paraId="676769EE" w14:textId="487D528C" w:rsidR="00745249" w:rsidRPr="00C35766" w:rsidRDefault="00745249" w:rsidP="00787805">
      <w:pPr>
        <w:pStyle w:val="a3"/>
        <w:numPr>
          <w:ilvl w:val="0"/>
          <w:numId w:val="15"/>
        </w:numPr>
        <w:ind w:left="660" w:hanging="660"/>
      </w:pPr>
      <w:r w:rsidRPr="00C35766">
        <w:rPr>
          <w:rFonts w:eastAsia="Times New Roman"/>
          <w:lang w:val="it-IT"/>
        </w:rPr>
        <w:t>riduzione del fosfato nel sangue</w:t>
      </w:r>
    </w:p>
    <w:p w14:paraId="0557BDFC" w14:textId="77777777" w:rsidR="00745249" w:rsidRPr="00C35766" w:rsidRDefault="00745249" w:rsidP="00787805">
      <w:pPr>
        <w:pStyle w:val="a3"/>
        <w:numPr>
          <w:ilvl w:val="0"/>
          <w:numId w:val="15"/>
        </w:numPr>
        <w:ind w:left="660" w:hanging="660"/>
      </w:pPr>
      <w:r w:rsidRPr="00C35766">
        <w:rPr>
          <w:rFonts w:eastAsia="Times New Roman"/>
          <w:lang w:val="it-IT"/>
        </w:rPr>
        <w:t>aumento dello zucchero nel sangue</w:t>
      </w:r>
    </w:p>
    <w:p w14:paraId="12201CF4" w14:textId="77777777" w:rsidR="00745249" w:rsidRPr="00824699" w:rsidRDefault="00745249" w:rsidP="00787805">
      <w:pPr>
        <w:pStyle w:val="a3"/>
        <w:numPr>
          <w:ilvl w:val="0"/>
          <w:numId w:val="15"/>
        </w:numPr>
        <w:ind w:left="660" w:hanging="660"/>
        <w:rPr>
          <w:lang w:val="it-IT"/>
        </w:rPr>
      </w:pPr>
      <w:r w:rsidRPr="00C35766">
        <w:rPr>
          <w:rFonts w:eastAsia="Times New Roman"/>
          <w:lang w:val="it-IT"/>
        </w:rPr>
        <w:t>aumento della lattato deidrogenasi nel sangue</w:t>
      </w:r>
    </w:p>
    <w:p w14:paraId="75037D27" w14:textId="77777777" w:rsidR="00745249" w:rsidRPr="00C35766" w:rsidRDefault="00745249" w:rsidP="00787805">
      <w:pPr>
        <w:pStyle w:val="a3"/>
        <w:numPr>
          <w:ilvl w:val="0"/>
          <w:numId w:val="15"/>
        </w:numPr>
        <w:ind w:left="660" w:hanging="660"/>
      </w:pPr>
      <w:r w:rsidRPr="00C35766">
        <w:rPr>
          <w:rFonts w:eastAsia="Times New Roman"/>
          <w:lang w:val="it-IT"/>
        </w:rPr>
        <w:t>presenza di autoanticorpi nel sangue</w:t>
      </w:r>
    </w:p>
    <w:p w14:paraId="21E52A12" w14:textId="77777777" w:rsidR="00745249" w:rsidRPr="00C35766" w:rsidRDefault="00745249" w:rsidP="00787805">
      <w:pPr>
        <w:pStyle w:val="a3"/>
        <w:numPr>
          <w:ilvl w:val="0"/>
          <w:numId w:val="15"/>
        </w:numPr>
        <w:ind w:left="660" w:hanging="660"/>
      </w:pPr>
      <w:r w:rsidRPr="00C35766">
        <w:rPr>
          <w:rFonts w:eastAsia="Times New Roman"/>
          <w:lang w:val="it-IT"/>
        </w:rPr>
        <w:t>riduzione del potassio nel sangue</w:t>
      </w:r>
    </w:p>
    <w:p w14:paraId="6F8BB367" w14:textId="77777777" w:rsidR="00745249" w:rsidRPr="00C35766" w:rsidRDefault="00745249" w:rsidP="00745249">
      <w:pPr>
        <w:spacing w:before="13" w:line="240" w:lineRule="exact"/>
        <w:rPr>
          <w:rFonts w:ascii="Times New Roman" w:hAnsi="Times New Roman" w:cs="Times New Roman"/>
          <w:sz w:val="24"/>
          <w:szCs w:val="24"/>
        </w:rPr>
      </w:pPr>
    </w:p>
    <w:p w14:paraId="5D6E5F77" w14:textId="77777777" w:rsidR="00745249" w:rsidRPr="00824699" w:rsidRDefault="00745249" w:rsidP="00745249">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6E514B8B" w14:textId="77777777" w:rsidR="00745249" w:rsidRPr="00824699" w:rsidRDefault="00745249" w:rsidP="00745249">
      <w:pPr>
        <w:spacing w:before="12" w:line="240" w:lineRule="exact"/>
        <w:rPr>
          <w:rFonts w:ascii="Times New Roman" w:hAnsi="Times New Roman" w:cs="Times New Roman"/>
          <w:sz w:val="24"/>
          <w:szCs w:val="24"/>
          <w:lang w:val="it-IT"/>
        </w:rPr>
      </w:pPr>
    </w:p>
    <w:p w14:paraId="3FCC023E" w14:textId="1760A727" w:rsidR="00745249" w:rsidRPr="00824699" w:rsidRDefault="00745249" w:rsidP="00787805">
      <w:pPr>
        <w:pStyle w:val="a3"/>
        <w:numPr>
          <w:ilvl w:val="0"/>
          <w:numId w:val="15"/>
        </w:numPr>
        <w:ind w:left="660" w:hanging="660"/>
        <w:rPr>
          <w:lang w:val="it-IT"/>
        </w:rPr>
      </w:pPr>
      <w:r w:rsidRPr="00C35766">
        <w:rPr>
          <w:rFonts w:eastAsia="Times New Roman"/>
          <w:lang w:val="it-IT"/>
        </w:rPr>
        <w:t>livelli elevati di bilirubina (esame del sangue relativo al fegato)</w:t>
      </w:r>
    </w:p>
    <w:p w14:paraId="107EC9FC" w14:textId="77777777" w:rsidR="00745249" w:rsidRPr="00824699" w:rsidRDefault="00745249" w:rsidP="00745249">
      <w:pPr>
        <w:spacing w:before="13" w:line="240" w:lineRule="exact"/>
        <w:rPr>
          <w:rFonts w:ascii="Times New Roman" w:hAnsi="Times New Roman" w:cs="Times New Roman"/>
          <w:sz w:val="24"/>
          <w:szCs w:val="24"/>
          <w:lang w:val="it-IT"/>
        </w:rPr>
      </w:pPr>
    </w:p>
    <w:p w14:paraId="6B178AA2" w14:textId="59C6E23C" w:rsidR="00745249" w:rsidRPr="00824699" w:rsidRDefault="00745249" w:rsidP="00745249">
      <w:pPr>
        <w:pStyle w:val="a3"/>
        <w:rPr>
          <w:lang w:val="it-IT"/>
        </w:rPr>
      </w:pPr>
      <w:r w:rsidRPr="00C35766">
        <w:rPr>
          <w:rFonts w:eastAsia="Times New Roman"/>
          <w:b/>
          <w:bCs/>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012E4AA3" w14:textId="77777777" w:rsidR="00745249" w:rsidRPr="00824699" w:rsidRDefault="00745249" w:rsidP="00745249">
      <w:pPr>
        <w:spacing w:before="14" w:line="240" w:lineRule="exact"/>
        <w:rPr>
          <w:rFonts w:ascii="Times New Roman" w:hAnsi="Times New Roman" w:cs="Times New Roman"/>
          <w:sz w:val="24"/>
          <w:szCs w:val="24"/>
          <w:lang w:val="it-IT"/>
        </w:rPr>
      </w:pPr>
    </w:p>
    <w:p w14:paraId="67F20456" w14:textId="77777777" w:rsidR="00745249" w:rsidRPr="00C35766" w:rsidRDefault="00745249" w:rsidP="00787805">
      <w:pPr>
        <w:pStyle w:val="a3"/>
        <w:numPr>
          <w:ilvl w:val="0"/>
          <w:numId w:val="15"/>
        </w:numPr>
        <w:ind w:left="660" w:hanging="660"/>
        <w:rPr>
          <w:lang w:val="pt-BR"/>
        </w:rPr>
      </w:pPr>
      <w:r w:rsidRPr="00C35766">
        <w:rPr>
          <w:rFonts w:eastAsia="Times New Roman"/>
          <w:lang w:val="it-IT"/>
        </w:rPr>
        <w:t xml:space="preserve">bassa conta dei globuli bianchi, dei globuli rossi e delle piastrine. </w:t>
      </w:r>
    </w:p>
    <w:p w14:paraId="79D434E2" w14:textId="77777777" w:rsidR="00953B2E" w:rsidRPr="00C35766" w:rsidRDefault="00953B2E">
      <w:pPr>
        <w:spacing w:before="15" w:line="240" w:lineRule="exact"/>
        <w:rPr>
          <w:rFonts w:ascii="Times New Roman" w:hAnsi="Times New Roman" w:cs="Times New Roman"/>
          <w:sz w:val="24"/>
          <w:szCs w:val="24"/>
          <w:lang w:val="pt-BR"/>
        </w:rPr>
      </w:pPr>
    </w:p>
    <w:p w14:paraId="5CFDB99C" w14:textId="77777777" w:rsidR="00953B2E" w:rsidRPr="00C35766" w:rsidRDefault="005F0C19">
      <w:pPr>
        <w:pStyle w:val="a3"/>
        <w:rPr>
          <w:b/>
          <w:lang w:val="pt-BR"/>
        </w:rPr>
      </w:pPr>
      <w:r w:rsidRPr="00C35766">
        <w:rPr>
          <w:rFonts w:eastAsia="Times New Roman"/>
          <w:b/>
          <w:bCs/>
          <w:lang w:val="it-IT"/>
        </w:rPr>
        <w:t>Segnalazione degli effetti indesiderati</w:t>
      </w:r>
    </w:p>
    <w:p w14:paraId="0CC68B17" w14:textId="77777777" w:rsidR="00953B2E" w:rsidRPr="00C35766" w:rsidRDefault="00953B2E">
      <w:pPr>
        <w:pStyle w:val="a3"/>
        <w:rPr>
          <w:sz w:val="10"/>
          <w:szCs w:val="10"/>
          <w:lang w:val="pt-BR"/>
        </w:rPr>
      </w:pPr>
    </w:p>
    <w:p w14:paraId="37D296AC" w14:textId="1FE1C7A4" w:rsidR="00953B2E" w:rsidRPr="00C35766" w:rsidRDefault="005F0C19">
      <w:pPr>
        <w:pStyle w:val="a3"/>
        <w:rPr>
          <w:lang w:val="it-IT"/>
        </w:rPr>
      </w:pPr>
      <w:r w:rsidRPr="00C35766">
        <w:rPr>
          <w:rFonts w:eastAsia="Times New Roman"/>
          <w:lang w:val="it-IT"/>
        </w:rPr>
        <w:t xml:space="preserve">Se manifesta un qualsiasi effetto indesiderato, compresi quelli non elencati in questo foglio, si rivolga al medico, o al farmacista o all’infermiere. Può inoltre segnalare gli effetti indesiderati direttamente tramite il </w:t>
      </w:r>
      <w:r w:rsidRPr="00C35766">
        <w:rPr>
          <w:rFonts w:eastAsia="Times New Roman"/>
          <w:highlight w:val="lightGray"/>
          <w:lang w:val="it-IT"/>
        </w:rPr>
        <w:t xml:space="preserve">sistema nazionale di segnalazione riportato </w:t>
      </w:r>
      <w:hyperlink r:id="rId76" w:history="1">
        <w:r w:rsidRPr="00C35766">
          <w:rPr>
            <w:rStyle w:val="ad"/>
            <w:rFonts w:eastAsia="Times New Roman"/>
            <w:highlight w:val="lightGray"/>
            <w:lang w:val="it-IT"/>
          </w:rPr>
          <w:t>nell’</w:t>
        </w:r>
        <w:r w:rsidR="00F77554" w:rsidRPr="00C35766">
          <w:rPr>
            <w:rStyle w:val="ad"/>
            <w:rFonts w:eastAsia="Times New Roman"/>
            <w:highlight w:val="lightGray"/>
            <w:lang w:val="it-IT"/>
          </w:rPr>
          <w:t xml:space="preserve"> </w:t>
        </w:r>
        <w:r w:rsidRPr="00C35766">
          <w:rPr>
            <w:rStyle w:val="ad"/>
            <w:rFonts w:eastAsia="Times New Roman"/>
            <w:highlight w:val="lightGray"/>
            <w:lang w:val="it-IT"/>
          </w:rPr>
          <w:t>allegato V</w:t>
        </w:r>
      </w:hyperlink>
      <w:r w:rsidRPr="00C35766">
        <w:rPr>
          <w:rFonts w:eastAsia="Times New Roman"/>
          <w:lang w:val="it-IT"/>
        </w:rPr>
        <w:t>. Segnalando gli effetti indesiderati può contribuire a fornire maggiori informazioni sulla sicurezza di questo medicinale.</w:t>
      </w:r>
    </w:p>
    <w:p w14:paraId="24EB097F" w14:textId="77777777" w:rsidR="00953B2E" w:rsidRPr="00C35766" w:rsidRDefault="00953B2E">
      <w:pPr>
        <w:spacing w:line="200" w:lineRule="exact"/>
        <w:rPr>
          <w:rFonts w:ascii="Times New Roman" w:hAnsi="Times New Roman" w:cs="Times New Roman"/>
          <w:sz w:val="20"/>
          <w:szCs w:val="20"/>
          <w:lang w:val="it-IT"/>
        </w:rPr>
      </w:pPr>
    </w:p>
    <w:p w14:paraId="67D80BC6" w14:textId="77777777" w:rsidR="00953B2E" w:rsidRPr="00C35766" w:rsidRDefault="005F0C19" w:rsidP="00787805">
      <w:pPr>
        <w:pStyle w:val="a4"/>
        <w:numPr>
          <w:ilvl w:val="0"/>
          <w:numId w:val="37"/>
        </w:numPr>
        <w:spacing w:line="240" w:lineRule="exact"/>
        <w:ind w:left="357" w:hanging="357"/>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Come conservare Yuflyma</w:t>
      </w:r>
    </w:p>
    <w:p w14:paraId="6648A56F" w14:textId="77777777" w:rsidR="00953B2E" w:rsidRPr="00C35766" w:rsidRDefault="00953B2E">
      <w:pPr>
        <w:pStyle w:val="a3"/>
      </w:pPr>
    </w:p>
    <w:p w14:paraId="0BFF92DB" w14:textId="77777777" w:rsidR="00953B2E" w:rsidRPr="00C35766" w:rsidRDefault="005F0C19">
      <w:pPr>
        <w:pStyle w:val="a3"/>
        <w:rPr>
          <w:lang w:val="it-IT"/>
        </w:rPr>
      </w:pPr>
      <w:r w:rsidRPr="00C35766">
        <w:rPr>
          <w:rFonts w:eastAsia="Times New Roman"/>
          <w:lang w:val="it-IT"/>
        </w:rPr>
        <w:lastRenderedPageBreak/>
        <w:t>Conservi questo medicinale fuori dalla vista e dalla portata dei bambini.</w:t>
      </w:r>
    </w:p>
    <w:p w14:paraId="66B194E0" w14:textId="77777777" w:rsidR="00953B2E" w:rsidRPr="00C35766" w:rsidRDefault="00953B2E">
      <w:pPr>
        <w:pStyle w:val="a3"/>
        <w:rPr>
          <w:lang w:val="it-IT"/>
        </w:rPr>
      </w:pPr>
    </w:p>
    <w:p w14:paraId="45A953DB" w14:textId="77777777" w:rsidR="00953B2E" w:rsidRPr="00C35766" w:rsidRDefault="005F0C19">
      <w:pPr>
        <w:pStyle w:val="a3"/>
        <w:rPr>
          <w:lang w:val="it-IT"/>
        </w:rPr>
      </w:pPr>
      <w:r w:rsidRPr="00C35766">
        <w:rPr>
          <w:rFonts w:eastAsia="Times New Roman"/>
          <w:lang w:val="it-IT"/>
        </w:rPr>
        <w:t>Non usi questo medicinale dopo la data di scadenza che è riportata sull’etichetta/imballaggio esterno dopo la scritta Scad..</w:t>
      </w:r>
    </w:p>
    <w:p w14:paraId="0C02C36A" w14:textId="77777777" w:rsidR="00953B2E" w:rsidRPr="00C35766" w:rsidRDefault="00953B2E">
      <w:pPr>
        <w:pStyle w:val="a3"/>
        <w:rPr>
          <w:lang w:val="it-IT"/>
        </w:rPr>
      </w:pPr>
    </w:p>
    <w:p w14:paraId="610F7E97" w14:textId="77777777" w:rsidR="00953B2E" w:rsidRPr="00C35766" w:rsidRDefault="005F0C19">
      <w:pPr>
        <w:pStyle w:val="a3"/>
        <w:rPr>
          <w:lang w:val="es-ES"/>
        </w:rPr>
      </w:pPr>
      <w:r w:rsidRPr="00C35766">
        <w:rPr>
          <w:rFonts w:eastAsia="Times New Roman"/>
          <w:lang w:val="it-IT"/>
        </w:rPr>
        <w:t>Conservare in frigorifero (2°C – 8°C). Non congelare.</w:t>
      </w:r>
    </w:p>
    <w:p w14:paraId="2A7852D4" w14:textId="77777777" w:rsidR="00953B2E" w:rsidRPr="00C35766" w:rsidRDefault="00953B2E">
      <w:pPr>
        <w:pStyle w:val="a3"/>
        <w:rPr>
          <w:lang w:val="es-ES"/>
        </w:rPr>
      </w:pPr>
    </w:p>
    <w:p w14:paraId="650E5F09" w14:textId="0D366DAF" w:rsidR="00953B2E" w:rsidRPr="00C35766" w:rsidRDefault="00EB3D47">
      <w:pPr>
        <w:pStyle w:val="a3"/>
        <w:rPr>
          <w:lang w:val="es-ES"/>
        </w:rPr>
      </w:pPr>
      <w:r>
        <w:rPr>
          <w:rFonts w:eastAsia="Times New Roman"/>
          <w:lang w:val="it-IT"/>
        </w:rPr>
        <w:t>Tenere</w:t>
      </w:r>
      <w:r w:rsidRPr="00C35766">
        <w:rPr>
          <w:rFonts w:eastAsia="Times New Roman"/>
          <w:lang w:val="it-IT"/>
        </w:rPr>
        <w:t xml:space="preserve"> </w:t>
      </w:r>
      <w:r w:rsidR="005F0C19" w:rsidRPr="00C35766">
        <w:rPr>
          <w:rFonts w:eastAsia="Times New Roman"/>
          <w:lang w:val="it-IT"/>
        </w:rPr>
        <w:t xml:space="preserve">la penna </w:t>
      </w:r>
      <w:r w:rsidR="0092097A" w:rsidRPr="00C35766">
        <w:rPr>
          <w:rFonts w:eastAsia="Times New Roman"/>
          <w:lang w:val="it-IT"/>
        </w:rPr>
        <w:t>pre-riempita</w:t>
      </w:r>
      <w:r w:rsidR="005F0C19" w:rsidRPr="00C35766">
        <w:rPr>
          <w:rFonts w:eastAsia="Times New Roman"/>
          <w:lang w:val="it-IT"/>
        </w:rPr>
        <w:t xml:space="preserve"> nell’imballaggio esterno per </w:t>
      </w:r>
      <w:r w:rsidRPr="00C35766">
        <w:rPr>
          <w:rFonts w:eastAsia="Times New Roman"/>
          <w:lang w:val="it-IT"/>
        </w:rPr>
        <w:t>protegger</w:t>
      </w:r>
      <w:r>
        <w:rPr>
          <w:rFonts w:eastAsia="Times New Roman"/>
          <w:lang w:val="it-IT"/>
        </w:rPr>
        <w:t>e</w:t>
      </w:r>
      <w:r w:rsidRPr="00C35766">
        <w:rPr>
          <w:rFonts w:eastAsia="Times New Roman"/>
          <w:lang w:val="it-IT"/>
        </w:rPr>
        <w:t xml:space="preserve"> </w:t>
      </w:r>
      <w:r w:rsidR="00A073E7">
        <w:rPr>
          <w:rFonts w:eastAsia="Times New Roman"/>
          <w:lang w:val="it-IT"/>
        </w:rPr>
        <w:t xml:space="preserve">il medicinale </w:t>
      </w:r>
      <w:r w:rsidR="005F0C19" w:rsidRPr="00C35766">
        <w:rPr>
          <w:rFonts w:eastAsia="Times New Roman"/>
          <w:lang w:val="it-IT"/>
        </w:rPr>
        <w:t>dalla luce.</w:t>
      </w:r>
    </w:p>
    <w:p w14:paraId="7360DC2B" w14:textId="77777777" w:rsidR="00953B2E" w:rsidRPr="00C35766" w:rsidRDefault="00953B2E">
      <w:pPr>
        <w:spacing w:before="13" w:line="240" w:lineRule="exact"/>
        <w:rPr>
          <w:rFonts w:ascii="Times New Roman" w:hAnsi="Times New Roman" w:cs="Times New Roman"/>
          <w:sz w:val="24"/>
          <w:szCs w:val="24"/>
          <w:lang w:val="es-ES"/>
        </w:rPr>
      </w:pPr>
    </w:p>
    <w:p w14:paraId="65EB6025" w14:textId="77777777" w:rsidR="00953B2E" w:rsidRPr="00C35766" w:rsidRDefault="005F0C19">
      <w:pPr>
        <w:pStyle w:val="a3"/>
        <w:rPr>
          <w:lang w:val="es-ES"/>
        </w:rPr>
      </w:pPr>
      <w:r w:rsidRPr="00C35766">
        <w:rPr>
          <w:rFonts w:eastAsia="Times New Roman"/>
          <w:lang w:val="it-IT"/>
        </w:rPr>
        <w:t>Condizioni di conservazione alternative:</w:t>
      </w:r>
    </w:p>
    <w:p w14:paraId="11D45578" w14:textId="77777777" w:rsidR="00953B2E" w:rsidRPr="00C35766" w:rsidRDefault="00953B2E">
      <w:pPr>
        <w:spacing w:before="14" w:line="240" w:lineRule="exact"/>
        <w:rPr>
          <w:rFonts w:ascii="Times New Roman" w:hAnsi="Times New Roman" w:cs="Times New Roman"/>
          <w:sz w:val="24"/>
          <w:szCs w:val="24"/>
          <w:lang w:val="es-ES"/>
        </w:rPr>
      </w:pPr>
    </w:p>
    <w:p w14:paraId="19DF90E5" w14:textId="220EB7CF" w:rsidR="00953B2E" w:rsidRPr="00C35766" w:rsidRDefault="005F0C19">
      <w:pPr>
        <w:pStyle w:val="a3"/>
        <w:rPr>
          <w:lang w:val="pt-BR"/>
        </w:rPr>
      </w:pPr>
      <w:r w:rsidRPr="00C35766">
        <w:rPr>
          <w:rFonts w:eastAsia="Times New Roman"/>
          <w:lang w:val="it-IT"/>
        </w:rPr>
        <w:t xml:space="preserve">Quando necessario (per esempio quando viaggia) una singola penna </w:t>
      </w:r>
      <w:r w:rsidR="0092097A" w:rsidRPr="00C35766">
        <w:rPr>
          <w:rFonts w:eastAsia="Times New Roman"/>
          <w:lang w:val="it-IT"/>
        </w:rPr>
        <w:t>pre-riempita</w:t>
      </w:r>
      <w:r w:rsidRPr="00C35766">
        <w:rPr>
          <w:rFonts w:eastAsia="Times New Roman"/>
          <w:lang w:val="it-IT"/>
        </w:rPr>
        <w:t xml:space="preserve"> di Yuflyma può essere conservata a temperatura ambiente (fino a 25°C) per un periodo massimo di 3</w:t>
      </w:r>
      <w:r w:rsidR="00A62C62">
        <w:rPr>
          <w:rFonts w:eastAsia="Times New Roman"/>
          <w:lang w:val="it-IT"/>
        </w:rPr>
        <w:t>1</w:t>
      </w:r>
      <w:r w:rsidRPr="00C35766">
        <w:rPr>
          <w:rFonts w:eastAsia="Times New Roman"/>
          <w:lang w:val="it-IT"/>
        </w:rPr>
        <w:t xml:space="preserve"> giorni; assicurarsi di proteggere il medicinale dalla luce. Una volta che viene rimossa dal frigorifero per essere conservata a temperatura ambiente, la penna </w:t>
      </w:r>
      <w:r w:rsidRPr="00C35766">
        <w:rPr>
          <w:rFonts w:eastAsia="Times New Roman"/>
          <w:b/>
          <w:bCs/>
          <w:lang w:val="it-IT"/>
        </w:rPr>
        <w:t>deve essere usata entro 3</w:t>
      </w:r>
      <w:r w:rsidR="00A62C62">
        <w:rPr>
          <w:rFonts w:eastAsia="Times New Roman"/>
          <w:b/>
          <w:bCs/>
          <w:lang w:val="it-IT"/>
        </w:rPr>
        <w:t>1</w:t>
      </w:r>
      <w:r w:rsidRPr="00C35766">
        <w:rPr>
          <w:rFonts w:eastAsia="Times New Roman"/>
          <w:b/>
          <w:bCs/>
          <w:lang w:val="it-IT"/>
        </w:rPr>
        <w:t xml:space="preserve"> giorni o buttata via</w:t>
      </w:r>
      <w:r w:rsidRPr="00C35766">
        <w:rPr>
          <w:rFonts w:eastAsia="Times New Roman"/>
          <w:lang w:val="it-IT"/>
        </w:rPr>
        <w:t>, anche se viene posta di nuovo nel frigorifero.</w:t>
      </w:r>
    </w:p>
    <w:p w14:paraId="30C672CA" w14:textId="77777777" w:rsidR="00953B2E" w:rsidRPr="00C35766" w:rsidRDefault="00953B2E">
      <w:pPr>
        <w:spacing w:before="17" w:line="240" w:lineRule="exact"/>
        <w:rPr>
          <w:rFonts w:ascii="Times New Roman" w:hAnsi="Times New Roman" w:cs="Times New Roman"/>
          <w:sz w:val="24"/>
          <w:szCs w:val="24"/>
          <w:lang w:val="pt-BR"/>
        </w:rPr>
      </w:pPr>
    </w:p>
    <w:p w14:paraId="482E81CE" w14:textId="277FAE46" w:rsidR="00953B2E" w:rsidRPr="00C35766" w:rsidRDefault="005F0C19">
      <w:pPr>
        <w:pStyle w:val="a3"/>
        <w:rPr>
          <w:lang w:val="pt-BR"/>
        </w:rPr>
      </w:pPr>
      <w:r w:rsidRPr="00C35766">
        <w:rPr>
          <w:rFonts w:eastAsia="Times New Roman"/>
          <w:lang w:val="it-IT"/>
        </w:rPr>
        <w:t xml:space="preserve">Deve registrare la data in cui la penna viene tolta dal frigorifero la prima volta e la data dopo la quale la </w:t>
      </w:r>
      <w:r w:rsidR="005665EC" w:rsidRPr="00C35766">
        <w:rPr>
          <w:rFonts w:eastAsia="Times New Roman"/>
          <w:lang w:val="it-IT"/>
        </w:rPr>
        <w:t xml:space="preserve">penna </w:t>
      </w:r>
      <w:r w:rsidRPr="00C35766">
        <w:rPr>
          <w:rFonts w:eastAsia="Times New Roman"/>
          <w:lang w:val="it-IT"/>
        </w:rPr>
        <w:t>deve essere buttata via.</w:t>
      </w:r>
    </w:p>
    <w:p w14:paraId="3B368E2F" w14:textId="77777777" w:rsidR="00953B2E" w:rsidRPr="00C35766" w:rsidRDefault="00953B2E">
      <w:pPr>
        <w:spacing w:before="14" w:line="240" w:lineRule="exact"/>
        <w:rPr>
          <w:rFonts w:ascii="Times New Roman" w:hAnsi="Times New Roman" w:cs="Times New Roman"/>
          <w:sz w:val="24"/>
          <w:szCs w:val="24"/>
          <w:lang w:val="pt-BR"/>
        </w:rPr>
      </w:pPr>
    </w:p>
    <w:p w14:paraId="36F96C74" w14:textId="77777777" w:rsidR="00953B2E" w:rsidRPr="00C35766" w:rsidRDefault="005F0C19">
      <w:pPr>
        <w:pStyle w:val="a3"/>
      </w:pPr>
      <w:r w:rsidRPr="00C35766">
        <w:rPr>
          <w:rFonts w:eastAsia="Times New Roman"/>
          <w:lang w:val="it-IT"/>
        </w:rPr>
        <w:t>Non getti alcun medicinale nell’acqua di scarico e nei rifiuti domestici. Chieda al medico o al farmacista come eliminare i medicinali che non utilizza più. Questo aiuterà a proteggere l’ambiente.</w:t>
      </w:r>
    </w:p>
    <w:p w14:paraId="19C26DA4" w14:textId="77777777" w:rsidR="00953B2E" w:rsidRPr="00C35766" w:rsidRDefault="00953B2E">
      <w:pPr>
        <w:spacing w:before="7" w:line="100" w:lineRule="exact"/>
        <w:rPr>
          <w:rFonts w:ascii="Times New Roman" w:hAnsi="Times New Roman" w:cs="Times New Roman"/>
          <w:sz w:val="10"/>
          <w:szCs w:val="10"/>
        </w:rPr>
      </w:pPr>
    </w:p>
    <w:p w14:paraId="52F4FBB4" w14:textId="77777777" w:rsidR="00953B2E" w:rsidRPr="00C35766" w:rsidRDefault="00953B2E">
      <w:pPr>
        <w:spacing w:line="200" w:lineRule="exact"/>
        <w:rPr>
          <w:rFonts w:ascii="Times New Roman" w:hAnsi="Times New Roman" w:cs="Times New Roman"/>
          <w:sz w:val="20"/>
          <w:szCs w:val="20"/>
        </w:rPr>
      </w:pPr>
    </w:p>
    <w:p w14:paraId="1B68FB0A" w14:textId="77777777" w:rsidR="00953B2E" w:rsidRPr="00C35766" w:rsidRDefault="00953B2E">
      <w:pPr>
        <w:spacing w:line="200" w:lineRule="exact"/>
        <w:rPr>
          <w:rFonts w:ascii="Times New Roman" w:hAnsi="Times New Roman" w:cs="Times New Roman"/>
          <w:sz w:val="20"/>
          <w:szCs w:val="20"/>
        </w:rPr>
      </w:pPr>
    </w:p>
    <w:p w14:paraId="25736F86" w14:textId="77777777" w:rsidR="00953B2E" w:rsidRPr="00C35766" w:rsidRDefault="005F0C19" w:rsidP="00787805">
      <w:pPr>
        <w:pStyle w:val="a4"/>
        <w:numPr>
          <w:ilvl w:val="0"/>
          <w:numId w:val="37"/>
        </w:numPr>
        <w:spacing w:line="240" w:lineRule="exact"/>
        <w:ind w:left="357" w:hanging="357"/>
        <w:rPr>
          <w:rFonts w:ascii="Times New Roman" w:hAnsi="Times New Roman" w:cs="Times New Roman"/>
          <w:b/>
          <w:lang w:val="it-IT"/>
        </w:rPr>
      </w:pPr>
      <w:r w:rsidRPr="00C35766">
        <w:rPr>
          <w:rFonts w:ascii="Times New Roman" w:eastAsia="Times New Roman" w:hAnsi="Times New Roman" w:cs="Times New Roman"/>
          <w:b/>
          <w:bCs/>
          <w:noProof/>
          <w:lang w:val="it-IT"/>
        </w:rPr>
        <w:t>Contenuto della confezione e altre informazioni</w:t>
      </w:r>
    </w:p>
    <w:p w14:paraId="588A26B1" w14:textId="77777777" w:rsidR="00953B2E" w:rsidRPr="00C35766" w:rsidRDefault="00953B2E">
      <w:pPr>
        <w:widowControl/>
        <w:tabs>
          <w:tab w:val="left" w:pos="567"/>
        </w:tabs>
        <w:spacing w:line="260" w:lineRule="exact"/>
        <w:ind w:left="360"/>
        <w:rPr>
          <w:rFonts w:ascii="Times New Roman" w:hAnsi="Times New Roman" w:cs="Times New Roman"/>
          <w:b/>
          <w:lang w:val="it-IT"/>
        </w:rPr>
      </w:pPr>
    </w:p>
    <w:p w14:paraId="46FB4B49" w14:textId="77777777" w:rsidR="00953B2E" w:rsidRPr="00C35766" w:rsidRDefault="005F0C19">
      <w:pPr>
        <w:pStyle w:val="a3"/>
        <w:rPr>
          <w:b/>
          <w:lang w:val="it-IT"/>
        </w:rPr>
      </w:pPr>
      <w:r w:rsidRPr="00C35766">
        <w:rPr>
          <w:rFonts w:eastAsia="Times New Roman"/>
          <w:b/>
          <w:bCs/>
          <w:lang w:val="it-IT"/>
        </w:rPr>
        <w:t>Cosa contiene Yuflyma</w:t>
      </w:r>
    </w:p>
    <w:p w14:paraId="31841A72" w14:textId="77777777" w:rsidR="00953B2E" w:rsidRPr="00C35766" w:rsidRDefault="00953B2E">
      <w:pPr>
        <w:pStyle w:val="a3"/>
        <w:rPr>
          <w:b/>
          <w:lang w:val="it-IT"/>
        </w:rPr>
      </w:pPr>
    </w:p>
    <w:p w14:paraId="33F7429C" w14:textId="77777777" w:rsidR="00953B2E" w:rsidRPr="00C35766" w:rsidRDefault="005F0C19">
      <w:pPr>
        <w:pStyle w:val="a3"/>
        <w:rPr>
          <w:lang w:val="it-IT"/>
        </w:rPr>
      </w:pPr>
      <w:r w:rsidRPr="00C35766">
        <w:rPr>
          <w:rFonts w:eastAsia="Times New Roman"/>
          <w:lang w:val="it-IT"/>
        </w:rPr>
        <w:t>Il principio attivo è adalimumab.</w:t>
      </w:r>
    </w:p>
    <w:p w14:paraId="2FC3212E" w14:textId="77777777" w:rsidR="00953B2E" w:rsidRPr="00C35766" w:rsidRDefault="005F0C19">
      <w:pPr>
        <w:pStyle w:val="a3"/>
        <w:rPr>
          <w:lang w:val="pt-BR"/>
        </w:rPr>
      </w:pPr>
      <w:r w:rsidRPr="00C35766">
        <w:rPr>
          <w:rFonts w:eastAsia="Times New Roman"/>
          <w:lang w:val="it-IT"/>
        </w:rPr>
        <w:t>Gli altri componenti sono acido acetico, acetato di sodio triidrato, glicina, polisorbato 80, e acqua per preparazioni iniettabili.</w:t>
      </w:r>
    </w:p>
    <w:p w14:paraId="6BDCB8A0" w14:textId="77777777" w:rsidR="00953B2E" w:rsidRPr="00C35766" w:rsidRDefault="00953B2E">
      <w:pPr>
        <w:pStyle w:val="a3"/>
        <w:rPr>
          <w:lang w:val="pt-BR"/>
        </w:rPr>
      </w:pPr>
    </w:p>
    <w:p w14:paraId="0DA3C6F1" w14:textId="496ACEA8" w:rsidR="00953B2E" w:rsidRPr="00C35766" w:rsidRDefault="005F0C19">
      <w:pPr>
        <w:pStyle w:val="a3"/>
        <w:rPr>
          <w:b/>
          <w:bCs/>
          <w:lang w:val="pt-BR"/>
        </w:rPr>
      </w:pPr>
      <w:r w:rsidRPr="00C35766">
        <w:rPr>
          <w:rFonts w:eastAsia="Times New Roman"/>
          <w:b/>
          <w:bCs/>
          <w:lang w:val="it-IT"/>
        </w:rPr>
        <w:t xml:space="preserve">Descrizione dell’aspetto di Yuflyma penna </w:t>
      </w:r>
      <w:r w:rsidR="0092097A" w:rsidRPr="00C35766">
        <w:rPr>
          <w:rFonts w:eastAsia="Times New Roman"/>
          <w:b/>
          <w:bCs/>
          <w:lang w:val="it-IT"/>
        </w:rPr>
        <w:t>pre-riempita</w:t>
      </w:r>
      <w:r w:rsidRPr="00C35766">
        <w:rPr>
          <w:rFonts w:eastAsia="Times New Roman"/>
          <w:b/>
          <w:bCs/>
          <w:lang w:val="it-IT"/>
        </w:rPr>
        <w:t xml:space="preserve">  e contenuto della confezione</w:t>
      </w:r>
    </w:p>
    <w:p w14:paraId="5F13C5EB" w14:textId="77777777" w:rsidR="00953B2E" w:rsidRPr="00C35766" w:rsidRDefault="00953B2E">
      <w:pPr>
        <w:spacing w:before="12" w:line="240" w:lineRule="exact"/>
        <w:rPr>
          <w:rFonts w:ascii="Times New Roman" w:hAnsi="Times New Roman" w:cs="Times New Roman"/>
          <w:sz w:val="24"/>
          <w:szCs w:val="24"/>
          <w:lang w:val="pt-BR"/>
        </w:rPr>
      </w:pPr>
    </w:p>
    <w:p w14:paraId="149CB552" w14:textId="71402D3B" w:rsidR="00953B2E" w:rsidRPr="00C35766" w:rsidRDefault="005F0C19">
      <w:pPr>
        <w:pStyle w:val="a3"/>
        <w:rPr>
          <w:lang w:val="pt-BR"/>
        </w:rPr>
      </w:pPr>
      <w:r w:rsidRPr="00C35766">
        <w:rPr>
          <w:rFonts w:eastAsia="Times New Roman"/>
          <w:lang w:val="it-IT"/>
        </w:rPr>
        <w:t xml:space="preserve">Yuflyma 40 mg soluzione iniettabile in penna </w:t>
      </w:r>
      <w:r w:rsidR="0092097A" w:rsidRPr="00C35766">
        <w:rPr>
          <w:rFonts w:eastAsia="Times New Roman"/>
          <w:lang w:val="it-IT"/>
        </w:rPr>
        <w:t>pre-riempita</w:t>
      </w:r>
      <w:r w:rsidRPr="00C35766">
        <w:rPr>
          <w:rFonts w:eastAsia="Times New Roman"/>
          <w:lang w:val="it-IT"/>
        </w:rPr>
        <w:t xml:space="preserve"> è </w:t>
      </w:r>
      <w:r w:rsidR="00A710B5" w:rsidRPr="00C35766">
        <w:rPr>
          <w:rFonts w:eastAsia="Times New Roman"/>
          <w:lang w:val="it-IT"/>
        </w:rPr>
        <w:t>fornit</w:t>
      </w:r>
      <w:r w:rsidR="00A710B5">
        <w:rPr>
          <w:rFonts w:eastAsia="Times New Roman"/>
          <w:lang w:val="it-IT"/>
        </w:rPr>
        <w:t>a</w:t>
      </w:r>
      <w:r w:rsidR="00A710B5" w:rsidRPr="00C35766">
        <w:rPr>
          <w:rFonts w:eastAsia="Times New Roman"/>
          <w:lang w:val="it-IT"/>
        </w:rPr>
        <w:t xml:space="preserve"> </w:t>
      </w:r>
      <w:r w:rsidRPr="00C35766">
        <w:rPr>
          <w:rFonts w:eastAsia="Times New Roman"/>
          <w:lang w:val="it-IT"/>
        </w:rPr>
        <w:t xml:space="preserve">come soluzione sterile di 40 mg di adalimumab disciolti in 0,4 </w:t>
      </w:r>
      <w:r w:rsidR="00331973" w:rsidRPr="00C35766">
        <w:rPr>
          <w:rFonts w:eastAsia="Times New Roman"/>
          <w:lang w:val="it-IT"/>
        </w:rPr>
        <w:t>mL</w:t>
      </w:r>
      <w:r w:rsidRPr="00C35766">
        <w:rPr>
          <w:rFonts w:eastAsia="Times New Roman"/>
          <w:lang w:val="it-IT"/>
        </w:rPr>
        <w:t xml:space="preserve"> di soluzione.</w:t>
      </w:r>
    </w:p>
    <w:p w14:paraId="5AE4C24F" w14:textId="77777777" w:rsidR="00953B2E" w:rsidRPr="00C35766" w:rsidRDefault="00953B2E">
      <w:pPr>
        <w:spacing w:before="11" w:line="240" w:lineRule="exact"/>
        <w:rPr>
          <w:rFonts w:ascii="Times New Roman" w:hAnsi="Times New Roman" w:cs="Times New Roman"/>
          <w:sz w:val="24"/>
          <w:szCs w:val="24"/>
          <w:lang w:val="pt-BR"/>
        </w:rPr>
      </w:pPr>
    </w:p>
    <w:p w14:paraId="14FF4165" w14:textId="0D0F1F7B" w:rsidR="00953B2E" w:rsidRPr="00C35766" w:rsidRDefault="005F0C19">
      <w:pPr>
        <w:pStyle w:val="a3"/>
        <w:rPr>
          <w:lang w:val="es-ES"/>
        </w:rPr>
      </w:pPr>
      <w:r w:rsidRPr="00C35766">
        <w:rPr>
          <w:rFonts w:eastAsia="Times New Roman"/>
          <w:lang w:val="it-IT"/>
        </w:rPr>
        <w:t xml:space="preserve">Yuflyma penna </w:t>
      </w:r>
      <w:r w:rsidR="0092097A" w:rsidRPr="00C35766">
        <w:rPr>
          <w:rFonts w:eastAsia="Times New Roman"/>
          <w:lang w:val="it-IT"/>
        </w:rPr>
        <w:t>pre-riempita</w:t>
      </w:r>
      <w:r w:rsidRPr="00C35766">
        <w:rPr>
          <w:rFonts w:eastAsia="Times New Roman"/>
          <w:lang w:val="it-IT"/>
        </w:rPr>
        <w:t xml:space="preserve"> è un sistema di iniezione monouso tramite ago con funzioni automatiche. Su ciascun lato della penna è presente una finestra attraverso cui è possibile vedere </w:t>
      </w:r>
      <w:r w:rsidR="00643F07" w:rsidRPr="00C35766">
        <w:rPr>
          <w:rFonts w:eastAsia="Times New Roman"/>
          <w:lang w:val="it-IT"/>
        </w:rPr>
        <w:t xml:space="preserve">la soluzione di </w:t>
      </w:r>
      <w:r w:rsidRPr="00C35766">
        <w:rPr>
          <w:rFonts w:eastAsia="Times New Roman"/>
          <w:lang w:val="it-IT"/>
        </w:rPr>
        <w:t>Yuflyma all'interno della penna.</w:t>
      </w:r>
    </w:p>
    <w:p w14:paraId="1F7C7A5D" w14:textId="77777777" w:rsidR="00953B2E" w:rsidRPr="00C35766" w:rsidRDefault="00953B2E">
      <w:pPr>
        <w:spacing w:before="13" w:line="240" w:lineRule="exact"/>
        <w:rPr>
          <w:rFonts w:ascii="Times New Roman" w:hAnsi="Times New Roman" w:cs="Times New Roman"/>
          <w:sz w:val="24"/>
          <w:szCs w:val="24"/>
          <w:lang w:val="es-ES"/>
        </w:rPr>
      </w:pPr>
    </w:p>
    <w:p w14:paraId="056EFDE2" w14:textId="7C182B16" w:rsidR="00953B2E" w:rsidRPr="00C35766" w:rsidRDefault="005F0C19">
      <w:pPr>
        <w:pStyle w:val="a3"/>
        <w:rPr>
          <w:lang w:val="it-IT"/>
        </w:rPr>
      </w:pPr>
      <w:r w:rsidRPr="00C35766">
        <w:rPr>
          <w:rFonts w:eastAsia="Times New Roman"/>
          <w:lang w:val="it-IT"/>
        </w:rPr>
        <w:t xml:space="preserve">Yuflyma penna </w:t>
      </w:r>
      <w:r w:rsidR="0092097A" w:rsidRPr="00C35766">
        <w:rPr>
          <w:rFonts w:eastAsia="Times New Roman"/>
          <w:lang w:val="it-IT"/>
        </w:rPr>
        <w:t>pre-riempita</w:t>
      </w:r>
      <w:r w:rsidRPr="00C35766">
        <w:rPr>
          <w:rFonts w:eastAsia="Times New Roman"/>
          <w:lang w:val="it-IT"/>
        </w:rPr>
        <w:t xml:space="preserve"> è disponibile in confezioni contenenti 1, 2, 4 e 6 penne </w:t>
      </w:r>
      <w:r w:rsidR="00B82D29" w:rsidRPr="00C35766">
        <w:rPr>
          <w:rFonts w:eastAsia="Times New Roman"/>
          <w:lang w:val="it-IT"/>
        </w:rPr>
        <w:t>pre-riempite</w:t>
      </w:r>
      <w:r w:rsidRPr="00C35766">
        <w:rPr>
          <w:rFonts w:eastAsia="Times New Roman"/>
          <w:lang w:val="it-IT"/>
        </w:rPr>
        <w:t xml:space="preserve">. La confezione da 1 penna </w:t>
      </w:r>
      <w:r w:rsidR="0092097A" w:rsidRPr="00C35766">
        <w:rPr>
          <w:rFonts w:eastAsia="Times New Roman"/>
          <w:lang w:val="it-IT"/>
        </w:rPr>
        <w:t>pre-riempita</w:t>
      </w:r>
      <w:r w:rsidRPr="00C35766">
        <w:rPr>
          <w:rFonts w:eastAsia="Times New Roman"/>
          <w:lang w:val="it-IT"/>
        </w:rPr>
        <w:t xml:space="preserve"> è fornita con 2 tamponi imbevuti di alcol (1 di riserva). Nelle confezioni da 2, 4 e 6 penne </w:t>
      </w:r>
      <w:r w:rsidR="00B82D29" w:rsidRPr="00C35766">
        <w:rPr>
          <w:rFonts w:eastAsia="Times New Roman"/>
          <w:lang w:val="it-IT"/>
        </w:rPr>
        <w:t>pre-riempite</w:t>
      </w:r>
      <w:r w:rsidRPr="00C35766">
        <w:rPr>
          <w:rFonts w:eastAsia="Times New Roman"/>
          <w:lang w:val="it-IT"/>
        </w:rPr>
        <w:t xml:space="preserve">, ciascuna penna </w:t>
      </w:r>
      <w:r w:rsidR="0092097A" w:rsidRPr="00C35766">
        <w:rPr>
          <w:rFonts w:eastAsia="Times New Roman"/>
          <w:lang w:val="it-IT"/>
        </w:rPr>
        <w:t>pre-riempita</w:t>
      </w:r>
      <w:r w:rsidRPr="00C35766">
        <w:rPr>
          <w:rFonts w:eastAsia="Times New Roman"/>
          <w:lang w:val="it-IT"/>
        </w:rPr>
        <w:t xml:space="preserve"> è fornita con 1 tampone imbevuto di alcol.</w:t>
      </w:r>
    </w:p>
    <w:p w14:paraId="0E0E6E25" w14:textId="77777777" w:rsidR="00953B2E" w:rsidRPr="00C35766" w:rsidRDefault="00953B2E">
      <w:pPr>
        <w:spacing w:before="11" w:line="240" w:lineRule="exact"/>
        <w:rPr>
          <w:rFonts w:ascii="Times New Roman" w:hAnsi="Times New Roman" w:cs="Times New Roman"/>
          <w:sz w:val="24"/>
          <w:szCs w:val="24"/>
          <w:lang w:val="it-IT"/>
        </w:rPr>
      </w:pPr>
    </w:p>
    <w:p w14:paraId="5AA426E7" w14:textId="77777777" w:rsidR="00953B2E" w:rsidRPr="00C35766" w:rsidRDefault="005F0C19">
      <w:pPr>
        <w:pStyle w:val="a3"/>
        <w:rPr>
          <w:lang w:val="it-IT"/>
        </w:rPr>
      </w:pPr>
      <w:r w:rsidRPr="00C35766">
        <w:rPr>
          <w:rFonts w:eastAsia="Times New Roman"/>
          <w:lang w:val="it-IT"/>
        </w:rPr>
        <w:t>È possibile che non tutte le confezioni siano commercializzate.</w:t>
      </w:r>
    </w:p>
    <w:p w14:paraId="6675653A" w14:textId="77777777" w:rsidR="00953B2E" w:rsidRPr="00C35766" w:rsidRDefault="00953B2E">
      <w:pPr>
        <w:spacing w:before="13" w:line="240" w:lineRule="exact"/>
        <w:rPr>
          <w:rFonts w:ascii="Times New Roman" w:hAnsi="Times New Roman" w:cs="Times New Roman"/>
          <w:sz w:val="24"/>
          <w:szCs w:val="24"/>
          <w:lang w:val="it-IT"/>
        </w:rPr>
      </w:pPr>
    </w:p>
    <w:p w14:paraId="40B93ED5" w14:textId="36C171C2" w:rsidR="00953B2E" w:rsidRPr="00C35766" w:rsidRDefault="005F0C19">
      <w:pPr>
        <w:pStyle w:val="a3"/>
        <w:rPr>
          <w:lang w:val="pt-BR"/>
        </w:rPr>
      </w:pPr>
      <w:r w:rsidRPr="00C35766">
        <w:rPr>
          <w:rFonts w:eastAsia="Times New Roman"/>
          <w:lang w:val="it-IT"/>
        </w:rPr>
        <w:t xml:space="preserve">Yuflyma può essere disponibile come siringa </w:t>
      </w:r>
      <w:r w:rsidR="0092097A" w:rsidRPr="00C35766">
        <w:rPr>
          <w:rFonts w:eastAsia="Times New Roman"/>
          <w:lang w:val="it-IT"/>
        </w:rPr>
        <w:t>pre-riempita</w:t>
      </w:r>
      <w:r w:rsidRPr="00C35766">
        <w:rPr>
          <w:rFonts w:eastAsia="Times New Roman"/>
          <w:lang w:val="it-IT"/>
        </w:rPr>
        <w:t xml:space="preserve"> e/o penna </w:t>
      </w:r>
      <w:r w:rsidR="0092097A" w:rsidRPr="00C35766">
        <w:rPr>
          <w:rFonts w:eastAsia="Times New Roman"/>
          <w:lang w:val="it-IT"/>
        </w:rPr>
        <w:t>pre-riempita</w:t>
      </w:r>
      <w:r w:rsidRPr="00C35766">
        <w:rPr>
          <w:rFonts w:eastAsia="Times New Roman"/>
          <w:lang w:val="it-IT"/>
        </w:rPr>
        <w:t>.</w:t>
      </w:r>
    </w:p>
    <w:p w14:paraId="1DAC4646" w14:textId="77777777" w:rsidR="00953B2E" w:rsidRPr="00C35766" w:rsidRDefault="00953B2E">
      <w:pPr>
        <w:spacing w:before="18" w:line="240" w:lineRule="exact"/>
        <w:rPr>
          <w:rFonts w:ascii="Times New Roman" w:hAnsi="Times New Roman" w:cs="Times New Roman"/>
          <w:sz w:val="24"/>
          <w:szCs w:val="24"/>
          <w:lang w:val="pt-BR"/>
        </w:rPr>
      </w:pPr>
    </w:p>
    <w:p w14:paraId="7510BD8C" w14:textId="77777777" w:rsidR="00953B2E" w:rsidRPr="00C35766" w:rsidRDefault="005F0C19">
      <w:pPr>
        <w:pStyle w:val="a3"/>
        <w:rPr>
          <w:b/>
          <w:lang w:val="it-IT"/>
        </w:rPr>
      </w:pPr>
      <w:r w:rsidRPr="00C35766">
        <w:rPr>
          <w:rFonts w:eastAsia="Times New Roman"/>
          <w:b/>
          <w:bCs/>
          <w:lang w:val="it-IT"/>
        </w:rPr>
        <w:t>Titolare dell’autorizzazione all’immissione in commercio</w:t>
      </w:r>
    </w:p>
    <w:p w14:paraId="1E44A710" w14:textId="77777777" w:rsidR="00953B2E" w:rsidRPr="00C35766" w:rsidRDefault="00953B2E">
      <w:pPr>
        <w:spacing w:before="12" w:line="240" w:lineRule="exact"/>
        <w:rPr>
          <w:rFonts w:ascii="Times New Roman" w:hAnsi="Times New Roman" w:cs="Times New Roman"/>
          <w:sz w:val="24"/>
          <w:lang w:val="it-IT"/>
        </w:rPr>
      </w:pPr>
    </w:p>
    <w:p w14:paraId="4AC9C663" w14:textId="77777777" w:rsidR="00D84998" w:rsidRPr="00C35766" w:rsidRDefault="00D84998" w:rsidP="00D84998">
      <w:pPr>
        <w:spacing w:before="12" w:line="240" w:lineRule="exact"/>
        <w:rPr>
          <w:rFonts w:ascii="Times New Roman" w:hAnsi="Times New Roman" w:cs="Times New Roman"/>
          <w:lang w:val="it-IT"/>
        </w:rPr>
      </w:pPr>
      <w:r w:rsidRPr="00C35766">
        <w:rPr>
          <w:rFonts w:ascii="Times New Roman" w:hAnsi="Times New Roman" w:cs="Times New Roman"/>
          <w:lang w:val="it-IT"/>
        </w:rPr>
        <w:t xml:space="preserve">Celltrion Healthcare Hungary Kft. </w:t>
      </w:r>
    </w:p>
    <w:p w14:paraId="39CC98EF" w14:textId="77777777" w:rsidR="00D84998" w:rsidRPr="00C35766" w:rsidRDefault="00D84998" w:rsidP="00D84998">
      <w:pPr>
        <w:spacing w:before="12" w:line="240" w:lineRule="exact"/>
        <w:rPr>
          <w:rFonts w:ascii="Times New Roman" w:hAnsi="Times New Roman" w:cs="Times New Roman"/>
        </w:rPr>
      </w:pPr>
      <w:r w:rsidRPr="00C35766">
        <w:rPr>
          <w:rFonts w:ascii="Times New Roman" w:hAnsi="Times New Roman" w:cs="Times New Roman"/>
        </w:rPr>
        <w:t>1062 Budapest</w:t>
      </w:r>
    </w:p>
    <w:p w14:paraId="65C856E4" w14:textId="48D90A88" w:rsidR="00953B2E" w:rsidRPr="00C35766" w:rsidRDefault="00D84998" w:rsidP="00FB5293">
      <w:pPr>
        <w:pStyle w:val="a3"/>
        <w:rPr>
          <w:vanish/>
        </w:rPr>
      </w:pPr>
      <w:r w:rsidRPr="00C35766">
        <w:t>Váci út 1-3. WestEnd Office Building B torony</w:t>
      </w:r>
      <w:r w:rsidRPr="00C35766">
        <w:rPr>
          <w:vanish/>
        </w:rPr>
        <w:t xml:space="preserve"> </w:t>
      </w:r>
    </w:p>
    <w:p w14:paraId="51BA57CC" w14:textId="77777777" w:rsidR="00953B2E" w:rsidRPr="00C35766" w:rsidRDefault="005F0C19">
      <w:pPr>
        <w:pStyle w:val="a3"/>
      </w:pPr>
      <w:r w:rsidRPr="00C35766">
        <w:t>Ungheria</w:t>
      </w:r>
    </w:p>
    <w:p w14:paraId="1270C94E" w14:textId="77777777" w:rsidR="00953B2E" w:rsidRPr="00C35766" w:rsidRDefault="005F0C19">
      <w:pPr>
        <w:pStyle w:val="a3"/>
        <w:rPr>
          <w:b/>
          <w:bCs/>
        </w:rPr>
      </w:pPr>
      <w:r w:rsidRPr="00C35766">
        <w:rPr>
          <w:b/>
        </w:rPr>
        <w:lastRenderedPageBreak/>
        <w:t>Produttore</w:t>
      </w:r>
    </w:p>
    <w:p w14:paraId="0BE77A33" w14:textId="77777777" w:rsidR="00953B2E" w:rsidRPr="00C35766" w:rsidRDefault="00953B2E">
      <w:pPr>
        <w:spacing w:before="12" w:line="240" w:lineRule="exact"/>
        <w:rPr>
          <w:rFonts w:ascii="Times New Roman" w:hAnsi="Times New Roman" w:cs="Times New Roman"/>
          <w:sz w:val="24"/>
          <w:szCs w:val="24"/>
        </w:rPr>
      </w:pPr>
    </w:p>
    <w:p w14:paraId="4A47A73B" w14:textId="7C280CAF" w:rsidR="00D84998" w:rsidRPr="00BD232C" w:rsidDel="009328A5" w:rsidRDefault="00D84998" w:rsidP="00D84998">
      <w:pPr>
        <w:spacing w:before="12" w:line="240" w:lineRule="exact"/>
        <w:rPr>
          <w:del w:id="81" w:author="만든 이"/>
          <w:rFonts w:ascii="Times New Roman" w:hAnsi="Times New Roman" w:cs="Times New Roman"/>
        </w:rPr>
      </w:pPr>
      <w:del w:id="82" w:author="만든 이">
        <w:r w:rsidRPr="00BD232C" w:rsidDel="009328A5">
          <w:rPr>
            <w:rFonts w:ascii="Times New Roman" w:hAnsi="Times New Roman" w:cs="Times New Roman"/>
          </w:rPr>
          <w:delText>Millmount Healthcare Ltd.</w:delText>
        </w:r>
      </w:del>
    </w:p>
    <w:p w14:paraId="39E75ED2" w14:textId="4B30A4D6" w:rsidR="00D84998" w:rsidRPr="00BD232C" w:rsidDel="009328A5" w:rsidRDefault="00D84998" w:rsidP="00D84998">
      <w:pPr>
        <w:spacing w:before="12" w:line="240" w:lineRule="exact"/>
        <w:rPr>
          <w:del w:id="83" w:author="만든 이"/>
          <w:rFonts w:ascii="Times New Roman" w:hAnsi="Times New Roman" w:cs="Times New Roman"/>
        </w:rPr>
      </w:pPr>
      <w:del w:id="84" w:author="만든 이">
        <w:r w:rsidRPr="00BD232C" w:rsidDel="009328A5">
          <w:rPr>
            <w:rFonts w:ascii="Times New Roman" w:hAnsi="Times New Roman" w:cs="Times New Roman"/>
          </w:rPr>
          <w:delText>Block 7</w:delText>
        </w:r>
      </w:del>
    </w:p>
    <w:p w14:paraId="7C2D76B3" w14:textId="72EBF0B0" w:rsidR="00D84998" w:rsidRPr="00BD232C" w:rsidDel="009328A5" w:rsidRDefault="00D84998" w:rsidP="00D84998">
      <w:pPr>
        <w:spacing w:before="12" w:line="240" w:lineRule="exact"/>
        <w:rPr>
          <w:del w:id="85" w:author="만든 이"/>
          <w:rFonts w:ascii="Times New Roman" w:hAnsi="Times New Roman" w:cs="Times New Roman"/>
        </w:rPr>
      </w:pPr>
      <w:del w:id="86" w:author="만든 이">
        <w:r w:rsidRPr="00BD232C" w:rsidDel="009328A5">
          <w:rPr>
            <w:rFonts w:ascii="Times New Roman" w:hAnsi="Times New Roman" w:cs="Times New Roman"/>
          </w:rPr>
          <w:delText xml:space="preserve">City North Business Campus </w:delText>
        </w:r>
      </w:del>
    </w:p>
    <w:p w14:paraId="772FBE1D" w14:textId="500E18D5" w:rsidR="00953B2E" w:rsidRPr="00BD232C" w:rsidDel="009328A5" w:rsidRDefault="00D84998" w:rsidP="00D84998">
      <w:pPr>
        <w:pStyle w:val="a3"/>
        <w:rPr>
          <w:del w:id="87" w:author="만든 이"/>
        </w:rPr>
      </w:pPr>
      <w:del w:id="88" w:author="만든 이">
        <w:r w:rsidRPr="00BD232C" w:rsidDel="009328A5">
          <w:delText>Stamullen, Co. Meath K32 YD60</w:delText>
        </w:r>
        <w:r w:rsidR="005F0C19" w:rsidRPr="00BD232C" w:rsidDel="009328A5">
          <w:rPr>
            <w:vanish/>
          </w:rPr>
          <w:delText>Millmount Healthcare Ltd.</w:delText>
        </w:r>
      </w:del>
    </w:p>
    <w:p w14:paraId="7D9D5FEF" w14:textId="47DB8CA7" w:rsidR="00D84998" w:rsidRPr="00BD232C" w:rsidDel="009328A5" w:rsidRDefault="00D84998">
      <w:pPr>
        <w:pStyle w:val="a3"/>
        <w:rPr>
          <w:del w:id="89" w:author="만든 이"/>
          <w:vanish/>
        </w:rPr>
      </w:pPr>
    </w:p>
    <w:p w14:paraId="19764857" w14:textId="0E0D6B53" w:rsidR="00953B2E" w:rsidRPr="00BD232C" w:rsidDel="009328A5" w:rsidRDefault="005F0C19">
      <w:pPr>
        <w:pStyle w:val="a3"/>
        <w:rPr>
          <w:del w:id="90" w:author="만든 이"/>
          <w:vanish/>
        </w:rPr>
      </w:pPr>
      <w:del w:id="91" w:author="만든 이">
        <w:r w:rsidRPr="00BD232C" w:rsidDel="009328A5">
          <w:rPr>
            <w:vanish/>
          </w:rPr>
          <w:delText>Block 7</w:delText>
        </w:r>
      </w:del>
    </w:p>
    <w:p w14:paraId="69C1F676" w14:textId="72545F6D" w:rsidR="00953B2E" w:rsidRPr="00BD232C" w:rsidDel="009328A5" w:rsidRDefault="005F0C19">
      <w:pPr>
        <w:pStyle w:val="a3"/>
        <w:rPr>
          <w:del w:id="92" w:author="만든 이"/>
          <w:vanish/>
        </w:rPr>
      </w:pPr>
      <w:del w:id="93" w:author="만든 이">
        <w:r w:rsidRPr="00BD232C" w:rsidDel="009328A5">
          <w:rPr>
            <w:vanish/>
          </w:rPr>
          <w:delText xml:space="preserve">City North Business Campus </w:delText>
        </w:r>
      </w:del>
    </w:p>
    <w:p w14:paraId="51190A4C" w14:textId="3ECA6288" w:rsidR="00953B2E" w:rsidRPr="00BD232C" w:rsidDel="009328A5" w:rsidRDefault="005F0C19">
      <w:pPr>
        <w:pStyle w:val="a3"/>
        <w:rPr>
          <w:del w:id="94" w:author="만든 이"/>
          <w:vanish/>
        </w:rPr>
      </w:pPr>
      <w:del w:id="95" w:author="만든 이">
        <w:r w:rsidRPr="00BD232C" w:rsidDel="009328A5">
          <w:rPr>
            <w:vanish/>
          </w:rPr>
          <w:delText>Stamullen, Co. Meath K32 YD60</w:delText>
        </w:r>
      </w:del>
    </w:p>
    <w:p w14:paraId="48ACE1FF" w14:textId="3BF4AEFF" w:rsidR="00953B2E" w:rsidRPr="00BD232C" w:rsidDel="009328A5" w:rsidRDefault="00643F07">
      <w:pPr>
        <w:pStyle w:val="a3"/>
        <w:rPr>
          <w:del w:id="96" w:author="만든 이"/>
          <w:lang w:val="it-IT"/>
        </w:rPr>
      </w:pPr>
      <w:del w:id="97" w:author="만든 이">
        <w:r w:rsidRPr="00BD232C" w:rsidDel="009328A5">
          <w:rPr>
            <w:rFonts w:eastAsia="Times New Roman"/>
            <w:lang w:val="it-IT"/>
          </w:rPr>
          <w:delText>Irlanda</w:delText>
        </w:r>
      </w:del>
    </w:p>
    <w:p w14:paraId="2B66CC0E" w14:textId="34EA4308" w:rsidR="00953B2E" w:rsidRPr="00BD232C" w:rsidDel="009328A5" w:rsidRDefault="00953B2E">
      <w:pPr>
        <w:spacing w:before="14" w:line="240" w:lineRule="exact"/>
        <w:rPr>
          <w:del w:id="98" w:author="만든 이"/>
          <w:rFonts w:ascii="Times New Roman" w:hAnsi="Times New Roman" w:cs="Times New Roman"/>
          <w:sz w:val="24"/>
          <w:lang w:val="it-IT"/>
        </w:rPr>
      </w:pPr>
    </w:p>
    <w:p w14:paraId="7BD8432A" w14:textId="77777777" w:rsidR="009328A5" w:rsidRPr="00BD232C" w:rsidRDefault="009328A5" w:rsidP="009328A5">
      <w:pPr>
        <w:spacing w:before="10" w:line="240" w:lineRule="exact"/>
        <w:rPr>
          <w:moveTo w:id="99" w:author="만든 이" w16du:dateUtc="2025-09-09T05:42:00Z"/>
          <w:rFonts w:ascii="Times New Roman" w:eastAsia="Times New Roman" w:hAnsi="Times New Roman" w:cs="Times New Roman"/>
          <w:lang w:val="it-IT"/>
        </w:rPr>
      </w:pPr>
      <w:moveToRangeStart w:id="100" w:author="만든 이" w:name="move208321344"/>
      <w:moveTo w:id="101" w:author="만든 이" w16du:dateUtc="2025-09-09T05:42:00Z">
        <w:r w:rsidRPr="00BD232C">
          <w:rPr>
            <w:rFonts w:ascii="Times New Roman" w:eastAsia="Times New Roman" w:hAnsi="Times New Roman" w:cs="Times New Roman"/>
            <w:lang w:val="it-IT"/>
          </w:rPr>
          <w:t>Nuvisan France SARL</w:t>
        </w:r>
      </w:moveTo>
    </w:p>
    <w:p w14:paraId="3295A5C2" w14:textId="77777777" w:rsidR="009328A5" w:rsidRPr="00BD232C" w:rsidRDefault="009328A5" w:rsidP="009328A5">
      <w:pPr>
        <w:spacing w:before="10" w:line="240" w:lineRule="exact"/>
        <w:rPr>
          <w:moveTo w:id="102" w:author="만든 이" w16du:dateUtc="2025-09-09T05:42:00Z"/>
          <w:rFonts w:ascii="Times New Roman" w:hAnsi="Times New Roman" w:cs="Times New Roman"/>
          <w:lang w:val="it-IT" w:eastAsia="ko-KR"/>
        </w:rPr>
      </w:pPr>
      <w:moveTo w:id="103" w:author="만든 이" w16du:dateUtc="2025-09-09T05:42:00Z">
        <w:r w:rsidRPr="00BD232C">
          <w:rPr>
            <w:rFonts w:ascii="Times New Roman" w:eastAsia="Times New Roman" w:hAnsi="Times New Roman" w:cs="Times New Roman"/>
            <w:lang w:val="it-IT"/>
          </w:rPr>
          <w:t>2400, Route des Colles</w:t>
        </w:r>
      </w:moveTo>
    </w:p>
    <w:p w14:paraId="3204D4ED" w14:textId="77777777" w:rsidR="009328A5" w:rsidRPr="00BD232C" w:rsidRDefault="009328A5" w:rsidP="009328A5">
      <w:pPr>
        <w:spacing w:before="10" w:line="240" w:lineRule="exact"/>
        <w:rPr>
          <w:moveTo w:id="104" w:author="만든 이" w16du:dateUtc="2025-09-09T05:42:00Z"/>
          <w:rFonts w:ascii="Times New Roman" w:hAnsi="Times New Roman" w:cs="Times New Roman"/>
          <w:lang w:val="it-IT" w:eastAsia="ko-KR"/>
        </w:rPr>
      </w:pPr>
      <w:moveTo w:id="105" w:author="만든 이" w16du:dateUtc="2025-09-09T05:42:00Z">
        <w:r w:rsidRPr="00BD232C">
          <w:rPr>
            <w:rFonts w:ascii="Times New Roman" w:eastAsia="Times New Roman" w:hAnsi="Times New Roman" w:cs="Times New Roman"/>
            <w:lang w:val="it-IT"/>
          </w:rPr>
          <w:t>06410, Biot</w:t>
        </w:r>
      </w:moveTo>
    </w:p>
    <w:p w14:paraId="7E694C94" w14:textId="77777777" w:rsidR="009328A5" w:rsidRPr="00BD232C" w:rsidRDefault="009328A5" w:rsidP="009328A5">
      <w:pPr>
        <w:autoSpaceDE w:val="0"/>
        <w:autoSpaceDN w:val="0"/>
        <w:adjustRightInd w:val="0"/>
        <w:rPr>
          <w:moveTo w:id="106" w:author="만든 이" w16du:dateUtc="2025-09-09T05:42:00Z"/>
          <w:rFonts w:ascii="Times New Roman" w:eastAsia="Times New Roman" w:hAnsi="Times New Roman" w:cs="Times New Roman"/>
          <w:lang w:val="it-IT"/>
        </w:rPr>
      </w:pPr>
      <w:moveTo w:id="107" w:author="만든 이" w16du:dateUtc="2025-09-09T05:42:00Z">
        <w:r w:rsidRPr="00BD232C">
          <w:rPr>
            <w:rFonts w:ascii="Times New Roman" w:eastAsia="Times New Roman" w:hAnsi="Times New Roman" w:cs="Times New Roman"/>
            <w:lang w:val="it-IT"/>
          </w:rPr>
          <w:t>Francia</w:t>
        </w:r>
      </w:moveTo>
    </w:p>
    <w:p w14:paraId="28ABCAB8" w14:textId="77777777" w:rsidR="009328A5" w:rsidRPr="00BD232C" w:rsidRDefault="009328A5" w:rsidP="009328A5">
      <w:pPr>
        <w:pStyle w:val="a3"/>
        <w:rPr>
          <w:moveTo w:id="108" w:author="만든 이" w16du:dateUtc="2025-09-09T05:42:00Z"/>
          <w:rFonts w:eastAsia="Times New Roman"/>
          <w:lang w:val="it-IT"/>
        </w:rPr>
      </w:pPr>
    </w:p>
    <w:moveToRangeEnd w:id="100"/>
    <w:p w14:paraId="58F9C427" w14:textId="77777777" w:rsidR="00545576" w:rsidRPr="00146E60" w:rsidRDefault="00545576" w:rsidP="00545576">
      <w:pPr>
        <w:spacing w:before="10" w:line="240" w:lineRule="exact"/>
        <w:rPr>
          <w:rFonts w:ascii="Times New Roman" w:eastAsia="Times New Roman" w:hAnsi="Times New Roman" w:cs="Times New Roman"/>
          <w:shd w:val="pct15" w:color="auto" w:fill="FFFFFF"/>
          <w:lang w:val="de-CH"/>
        </w:rPr>
      </w:pPr>
      <w:r w:rsidRPr="00146E60">
        <w:rPr>
          <w:rFonts w:ascii="Times New Roman" w:eastAsia="Times New Roman" w:hAnsi="Times New Roman" w:cs="Times New Roman"/>
          <w:shd w:val="pct15" w:color="auto" w:fill="FFFFFF"/>
          <w:lang w:val="de-CH"/>
        </w:rPr>
        <w:t>Nuvisan GmbH</w:t>
      </w:r>
    </w:p>
    <w:p w14:paraId="00E6E3D7" w14:textId="5EA42096" w:rsidR="00545576" w:rsidRPr="00D74B3A" w:rsidRDefault="00545576" w:rsidP="00545576">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Wegenerstraße 13</w:t>
      </w:r>
    </w:p>
    <w:p w14:paraId="34BF5026" w14:textId="751CC8FE" w:rsidR="00545576" w:rsidRPr="00D74B3A" w:rsidRDefault="00545576" w:rsidP="00545576">
      <w:pPr>
        <w:spacing w:before="10" w:line="240" w:lineRule="exact"/>
        <w:rPr>
          <w:rFonts w:ascii="Times New Roman" w:hAnsi="Times New Roman" w:cs="Times New Roman"/>
          <w:shd w:val="pct15" w:color="auto" w:fill="FFFFFF"/>
          <w:lang w:val="it-IT" w:eastAsia="ko-KR"/>
        </w:rPr>
      </w:pPr>
      <w:r w:rsidRPr="00824699">
        <w:rPr>
          <w:rFonts w:ascii="Times New Roman" w:eastAsia="Times New Roman" w:hAnsi="Times New Roman" w:cs="Times New Roman"/>
          <w:shd w:val="pct15" w:color="auto" w:fill="FFFFFF"/>
          <w:lang w:val="it-IT"/>
        </w:rPr>
        <w:t>89231 Neu</w:t>
      </w:r>
      <w:r w:rsidR="003A4F8F">
        <w:rPr>
          <w:rFonts w:ascii="Times New Roman" w:hAnsi="Times New Roman" w:cs="Times New Roman" w:hint="eastAsia"/>
          <w:shd w:val="pct15" w:color="auto" w:fill="FFFFFF"/>
          <w:lang w:val="it-IT" w:eastAsia="ko-KR"/>
        </w:rPr>
        <w:t>-</w:t>
      </w:r>
      <w:r w:rsidRPr="00824699">
        <w:rPr>
          <w:rFonts w:ascii="Times New Roman" w:eastAsia="Times New Roman" w:hAnsi="Times New Roman" w:cs="Times New Roman"/>
          <w:shd w:val="pct15" w:color="auto" w:fill="FFFFFF"/>
          <w:lang w:val="it-IT"/>
        </w:rPr>
        <w:t>Ulm</w:t>
      </w:r>
    </w:p>
    <w:p w14:paraId="2A729F9E" w14:textId="77777777" w:rsidR="00545576" w:rsidRPr="00824699" w:rsidRDefault="00545576" w:rsidP="00545576">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Germania</w:t>
      </w:r>
    </w:p>
    <w:p w14:paraId="0A623F44" w14:textId="77777777" w:rsidR="00545576" w:rsidRPr="00824699" w:rsidRDefault="00545576" w:rsidP="00545576">
      <w:pPr>
        <w:spacing w:before="10" w:line="240" w:lineRule="exact"/>
        <w:rPr>
          <w:rFonts w:ascii="Times New Roman" w:eastAsia="Times New Roman" w:hAnsi="Times New Roman" w:cs="Times New Roman"/>
          <w:shd w:val="pct15" w:color="auto" w:fill="FFFFFF"/>
          <w:lang w:val="it-IT"/>
        </w:rPr>
      </w:pPr>
    </w:p>
    <w:p w14:paraId="7621BAC6" w14:textId="48E5D06F" w:rsidR="00545576" w:rsidRPr="00824699" w:rsidDel="009328A5" w:rsidRDefault="00545576" w:rsidP="00545576">
      <w:pPr>
        <w:spacing w:before="10" w:line="240" w:lineRule="exact"/>
        <w:rPr>
          <w:moveFrom w:id="109" w:author="만든 이" w16du:dateUtc="2025-09-09T05:42:00Z"/>
          <w:rFonts w:ascii="Times New Roman" w:eastAsia="Times New Roman" w:hAnsi="Times New Roman" w:cs="Times New Roman"/>
          <w:shd w:val="pct15" w:color="auto" w:fill="FFFFFF"/>
          <w:lang w:val="it-IT"/>
        </w:rPr>
      </w:pPr>
      <w:moveFromRangeStart w:id="110" w:author="만든 이" w:name="move208321344"/>
      <w:moveFrom w:id="111" w:author="만든 이" w16du:dateUtc="2025-09-09T05:42:00Z">
        <w:r w:rsidRPr="00824699" w:rsidDel="009328A5">
          <w:rPr>
            <w:rFonts w:ascii="Times New Roman" w:eastAsia="Times New Roman" w:hAnsi="Times New Roman" w:cs="Times New Roman"/>
            <w:shd w:val="pct15" w:color="auto" w:fill="FFFFFF"/>
            <w:lang w:val="it-IT"/>
          </w:rPr>
          <w:t>Nuvisan France SARL</w:t>
        </w:r>
      </w:moveFrom>
    </w:p>
    <w:p w14:paraId="070746CA" w14:textId="6AD5A893" w:rsidR="00545576" w:rsidRPr="00D74B3A" w:rsidDel="009328A5" w:rsidRDefault="00545576" w:rsidP="00545576">
      <w:pPr>
        <w:spacing w:before="10" w:line="240" w:lineRule="exact"/>
        <w:rPr>
          <w:moveFrom w:id="112" w:author="만든 이" w16du:dateUtc="2025-09-09T05:42:00Z"/>
          <w:rFonts w:ascii="Times New Roman" w:hAnsi="Times New Roman" w:cs="Times New Roman"/>
          <w:shd w:val="pct15" w:color="auto" w:fill="FFFFFF"/>
          <w:lang w:val="it-IT" w:eastAsia="ko-KR"/>
        </w:rPr>
      </w:pPr>
      <w:moveFrom w:id="113" w:author="만든 이" w16du:dateUtc="2025-09-09T05:42:00Z">
        <w:r w:rsidRPr="00824699" w:rsidDel="009328A5">
          <w:rPr>
            <w:rFonts w:ascii="Times New Roman" w:eastAsia="Times New Roman" w:hAnsi="Times New Roman" w:cs="Times New Roman"/>
            <w:shd w:val="pct15" w:color="auto" w:fill="FFFFFF"/>
            <w:lang w:val="it-IT"/>
          </w:rPr>
          <w:t>2400, Route des Colles</w:t>
        </w:r>
      </w:moveFrom>
    </w:p>
    <w:p w14:paraId="3D337133" w14:textId="209C5FE3" w:rsidR="00545576" w:rsidRPr="00D74B3A" w:rsidDel="009328A5" w:rsidRDefault="00545576" w:rsidP="00545576">
      <w:pPr>
        <w:spacing w:before="10" w:line="240" w:lineRule="exact"/>
        <w:rPr>
          <w:moveFrom w:id="114" w:author="만든 이" w16du:dateUtc="2025-09-09T05:42:00Z"/>
          <w:rFonts w:ascii="Times New Roman" w:hAnsi="Times New Roman" w:cs="Times New Roman"/>
          <w:shd w:val="pct15" w:color="auto" w:fill="FFFFFF"/>
          <w:lang w:val="it-IT" w:eastAsia="ko-KR"/>
        </w:rPr>
      </w:pPr>
      <w:moveFrom w:id="115" w:author="만든 이" w16du:dateUtc="2025-09-09T05:42:00Z">
        <w:r w:rsidRPr="00824699" w:rsidDel="009328A5">
          <w:rPr>
            <w:rFonts w:ascii="Times New Roman" w:eastAsia="Times New Roman" w:hAnsi="Times New Roman" w:cs="Times New Roman"/>
            <w:shd w:val="pct15" w:color="auto" w:fill="FFFFFF"/>
            <w:lang w:val="it-IT"/>
          </w:rPr>
          <w:t>06410, Biot</w:t>
        </w:r>
      </w:moveFrom>
    </w:p>
    <w:p w14:paraId="798A85BE" w14:textId="5C7E7035" w:rsidR="00545576" w:rsidRPr="00824699" w:rsidDel="009328A5" w:rsidRDefault="00545576" w:rsidP="00545576">
      <w:pPr>
        <w:autoSpaceDE w:val="0"/>
        <w:autoSpaceDN w:val="0"/>
        <w:adjustRightInd w:val="0"/>
        <w:rPr>
          <w:moveFrom w:id="116" w:author="만든 이" w16du:dateUtc="2025-09-09T05:42:00Z"/>
          <w:rFonts w:ascii="Times New Roman" w:eastAsia="Times New Roman" w:hAnsi="Times New Roman" w:cs="Times New Roman"/>
          <w:shd w:val="pct15" w:color="auto" w:fill="FFFFFF"/>
          <w:lang w:val="it-IT"/>
        </w:rPr>
      </w:pPr>
      <w:moveFrom w:id="117" w:author="만든 이" w16du:dateUtc="2025-09-09T05:42:00Z">
        <w:r w:rsidRPr="00824699" w:rsidDel="009328A5">
          <w:rPr>
            <w:rFonts w:ascii="Times New Roman" w:eastAsia="Times New Roman" w:hAnsi="Times New Roman" w:cs="Times New Roman"/>
            <w:shd w:val="pct15" w:color="auto" w:fill="FFFFFF"/>
            <w:lang w:val="it-IT"/>
          </w:rPr>
          <w:t>Francia</w:t>
        </w:r>
      </w:moveFrom>
    </w:p>
    <w:p w14:paraId="35288CDA" w14:textId="79A385A8" w:rsidR="0007460C" w:rsidRPr="00824699" w:rsidDel="009328A5" w:rsidRDefault="0007460C" w:rsidP="0007460C">
      <w:pPr>
        <w:pStyle w:val="a3"/>
        <w:rPr>
          <w:moveFrom w:id="118" w:author="만든 이" w16du:dateUtc="2025-09-09T05:42:00Z"/>
          <w:rFonts w:eastAsia="Times New Roman"/>
          <w:shd w:val="pct15" w:color="auto" w:fill="FFFFFF"/>
          <w:lang w:val="it-IT"/>
        </w:rPr>
      </w:pPr>
    </w:p>
    <w:moveFromRangeEnd w:id="110"/>
    <w:p w14:paraId="6FB0599D" w14:textId="77777777" w:rsidR="0007460C" w:rsidRPr="00BD232C" w:rsidRDefault="0007460C" w:rsidP="0007460C">
      <w:pPr>
        <w:pStyle w:val="a3"/>
        <w:rPr>
          <w:rFonts w:eastAsia="Times New Roman"/>
          <w:shd w:val="pct15" w:color="auto" w:fill="FFFFFF"/>
          <w:lang w:val="it-IT"/>
        </w:rPr>
      </w:pPr>
      <w:r w:rsidRPr="00BD232C">
        <w:rPr>
          <w:rFonts w:eastAsia="Times New Roman"/>
          <w:shd w:val="pct15" w:color="auto" w:fill="FFFFFF"/>
          <w:lang w:val="it-IT"/>
        </w:rPr>
        <w:t>Midas Pharma GmbH</w:t>
      </w:r>
    </w:p>
    <w:p w14:paraId="5B6AD4BE" w14:textId="609C678A" w:rsidR="0007460C" w:rsidRPr="00BD232C" w:rsidRDefault="0007460C" w:rsidP="0007460C">
      <w:pPr>
        <w:pStyle w:val="a3"/>
        <w:rPr>
          <w:shd w:val="pct15" w:color="auto" w:fill="FFFFFF"/>
          <w:lang w:val="it-IT" w:eastAsia="ko-KR"/>
        </w:rPr>
      </w:pPr>
      <w:r w:rsidRPr="00BD232C">
        <w:rPr>
          <w:rFonts w:eastAsia="Times New Roman"/>
          <w:shd w:val="pct15" w:color="auto" w:fill="FFFFFF"/>
          <w:lang w:val="it-IT"/>
        </w:rPr>
        <w:t>Rheinstr. 49</w:t>
      </w:r>
    </w:p>
    <w:p w14:paraId="2C706ED7" w14:textId="6B3D133A" w:rsidR="0007460C" w:rsidRPr="00BD232C" w:rsidRDefault="0007460C" w:rsidP="0007460C">
      <w:pPr>
        <w:pStyle w:val="a3"/>
        <w:rPr>
          <w:shd w:val="pct15" w:color="auto" w:fill="FFFFFF"/>
          <w:lang w:val="it-IT" w:eastAsia="ko-KR"/>
        </w:rPr>
      </w:pPr>
      <w:r w:rsidRPr="00BD232C">
        <w:rPr>
          <w:rFonts w:eastAsia="Times New Roman"/>
          <w:shd w:val="pct15" w:color="auto" w:fill="FFFFFF"/>
          <w:lang w:val="it-IT"/>
        </w:rPr>
        <w:t>55218 Ingelheim</w:t>
      </w:r>
    </w:p>
    <w:p w14:paraId="70590492" w14:textId="77777777" w:rsidR="0007460C" w:rsidRPr="00BD232C" w:rsidRDefault="0007460C" w:rsidP="0007460C">
      <w:pPr>
        <w:pStyle w:val="a3"/>
        <w:rPr>
          <w:rFonts w:eastAsia="Times New Roman"/>
          <w:shd w:val="pct15" w:color="auto" w:fill="FFFFFF"/>
          <w:lang w:val="it-IT"/>
        </w:rPr>
      </w:pPr>
      <w:r w:rsidRPr="00BD232C">
        <w:rPr>
          <w:rFonts w:eastAsia="Times New Roman"/>
          <w:shd w:val="pct15" w:color="auto" w:fill="FFFFFF"/>
          <w:lang w:val="it-IT"/>
        </w:rPr>
        <w:t>Germania</w:t>
      </w:r>
    </w:p>
    <w:p w14:paraId="22114668" w14:textId="77777777" w:rsidR="0007460C" w:rsidRPr="00BD232C" w:rsidRDefault="0007460C" w:rsidP="0007460C">
      <w:pPr>
        <w:pStyle w:val="a3"/>
        <w:rPr>
          <w:rFonts w:eastAsia="Times New Roman"/>
          <w:shd w:val="pct15" w:color="auto" w:fill="FFFFFF"/>
          <w:lang w:val="it-IT"/>
        </w:rPr>
      </w:pPr>
    </w:p>
    <w:p w14:paraId="0BC6D6E1" w14:textId="2117846B" w:rsidR="0007460C" w:rsidRPr="00BD232C" w:rsidRDefault="0007460C" w:rsidP="0007460C">
      <w:pPr>
        <w:pStyle w:val="a3"/>
        <w:rPr>
          <w:shd w:val="pct15" w:color="auto" w:fill="FFFFFF"/>
          <w:lang w:val="it-IT" w:eastAsia="ko-KR"/>
        </w:rPr>
      </w:pPr>
      <w:r w:rsidRPr="00BD232C">
        <w:rPr>
          <w:rFonts w:eastAsia="Times New Roman"/>
          <w:shd w:val="pct15" w:color="auto" w:fill="FFFFFF"/>
          <w:lang w:val="it-IT"/>
        </w:rPr>
        <w:t>KYMOS S.L.</w:t>
      </w:r>
    </w:p>
    <w:p w14:paraId="662E3A12" w14:textId="1E3FC986" w:rsidR="0007460C" w:rsidRPr="00BD232C" w:rsidRDefault="0007460C" w:rsidP="0007460C">
      <w:pPr>
        <w:pStyle w:val="a3"/>
        <w:rPr>
          <w:shd w:val="pct15" w:color="auto" w:fill="FFFFFF"/>
          <w:lang w:val="it-IT" w:eastAsia="ko-KR"/>
        </w:rPr>
      </w:pPr>
      <w:r w:rsidRPr="00BD232C">
        <w:rPr>
          <w:rFonts w:eastAsia="Times New Roman"/>
          <w:shd w:val="pct15" w:color="auto" w:fill="FFFFFF"/>
          <w:lang w:val="it-IT"/>
        </w:rPr>
        <w:t>Ronda Can Fatjó, 7B.</w:t>
      </w:r>
    </w:p>
    <w:p w14:paraId="1676B78F" w14:textId="26D9B304" w:rsidR="0007460C" w:rsidRPr="00BD232C" w:rsidRDefault="0007460C" w:rsidP="0007460C">
      <w:pPr>
        <w:pStyle w:val="a3"/>
        <w:rPr>
          <w:shd w:val="pct15" w:color="auto" w:fill="FFFFFF"/>
          <w:lang w:val="it-IT" w:eastAsia="ko-KR"/>
        </w:rPr>
      </w:pPr>
      <w:r w:rsidRPr="00BD232C">
        <w:rPr>
          <w:rFonts w:eastAsia="Times New Roman"/>
          <w:shd w:val="pct15" w:color="auto" w:fill="FFFFFF"/>
          <w:lang w:val="it-IT"/>
        </w:rPr>
        <w:t>08290 Cerdanyola del Vallès</w:t>
      </w:r>
    </w:p>
    <w:p w14:paraId="636C9574" w14:textId="3501C257" w:rsidR="0007460C" w:rsidRPr="00D74B3A" w:rsidRDefault="0007460C" w:rsidP="0007460C">
      <w:pPr>
        <w:pStyle w:val="a3"/>
        <w:rPr>
          <w:shd w:val="pct15" w:color="auto" w:fill="FFFFFF"/>
          <w:lang w:val="fr-FR" w:eastAsia="ko-KR"/>
        </w:rPr>
      </w:pPr>
      <w:r w:rsidRPr="00146E60">
        <w:rPr>
          <w:rFonts w:eastAsia="Times New Roman"/>
          <w:shd w:val="pct15" w:color="auto" w:fill="FFFFFF"/>
          <w:lang w:val="fr-FR"/>
        </w:rPr>
        <w:t>Barcelona</w:t>
      </w:r>
    </w:p>
    <w:p w14:paraId="57AE7F4C" w14:textId="77777777" w:rsidR="0007460C" w:rsidRPr="00146E60" w:rsidRDefault="0007460C" w:rsidP="0007460C">
      <w:pPr>
        <w:pStyle w:val="a3"/>
        <w:rPr>
          <w:rFonts w:eastAsia="Times New Roman"/>
          <w:shd w:val="pct15" w:color="auto" w:fill="FFFFFF"/>
          <w:lang w:val="fr-FR"/>
        </w:rPr>
      </w:pPr>
      <w:r w:rsidRPr="00146E60">
        <w:rPr>
          <w:rFonts w:eastAsia="Times New Roman"/>
          <w:shd w:val="pct15" w:color="auto" w:fill="FFFFFF"/>
          <w:lang w:val="fr-FR"/>
        </w:rPr>
        <w:t>Spagna</w:t>
      </w:r>
    </w:p>
    <w:p w14:paraId="276E993F" w14:textId="77777777" w:rsidR="00545576" w:rsidRPr="00FB7F5C" w:rsidRDefault="00545576">
      <w:pPr>
        <w:spacing w:before="14" w:line="240" w:lineRule="exact"/>
        <w:rPr>
          <w:rFonts w:ascii="Times New Roman" w:hAnsi="Times New Roman" w:cs="Times New Roman"/>
          <w:sz w:val="24"/>
          <w:lang w:val="fr-FR"/>
        </w:rPr>
      </w:pPr>
    </w:p>
    <w:p w14:paraId="21AEF574" w14:textId="77777777" w:rsidR="00953B2E" w:rsidRPr="00C35766" w:rsidRDefault="005F0C19">
      <w:pPr>
        <w:pStyle w:val="a3"/>
        <w:rPr>
          <w:rFonts w:eastAsia="Times New Roman"/>
          <w:lang w:val="it-IT"/>
        </w:rPr>
      </w:pPr>
      <w:r w:rsidRPr="00C35766">
        <w:rPr>
          <w:rFonts w:eastAsia="Times New Roman"/>
          <w:lang w:val="it-IT"/>
        </w:rPr>
        <w:t>Per ulteriori informazioni su questo medicinale, contatti il rappresentante locale del titolare dell’autorizzazione all’immissione in commercio:</w:t>
      </w:r>
    </w:p>
    <w:p w14:paraId="500B17BD" w14:textId="77777777" w:rsidR="00D84998" w:rsidRPr="00C35766" w:rsidRDefault="00D84998">
      <w:pPr>
        <w:pStyle w:val="a3"/>
        <w:rPr>
          <w:rFonts w:eastAsia="Times New Roman"/>
          <w:lang w:val="it-IT"/>
        </w:rPr>
      </w:pPr>
    </w:p>
    <w:tbl>
      <w:tblPr>
        <w:tblW w:w="5000" w:type="pct"/>
        <w:tblLook w:val="04A0" w:firstRow="1" w:lastRow="0" w:firstColumn="1" w:lastColumn="0" w:noHBand="0" w:noVBand="1"/>
      </w:tblPr>
      <w:tblGrid>
        <w:gridCol w:w="4800"/>
        <w:gridCol w:w="4800"/>
      </w:tblGrid>
      <w:tr w:rsidR="00D84998" w:rsidRPr="00C35766" w14:paraId="0C78C4C3" w14:textId="77777777" w:rsidTr="00A96C58">
        <w:tc>
          <w:tcPr>
            <w:tcW w:w="2500" w:type="pct"/>
            <w:hideMark/>
          </w:tcPr>
          <w:p w14:paraId="549A9B21" w14:textId="77777777" w:rsidR="00D84998" w:rsidRPr="00C35766" w:rsidRDefault="00D84998" w:rsidP="00A96C58">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België/Belgique/Belgien</w:t>
            </w:r>
          </w:p>
          <w:p w14:paraId="4A3E294A"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Belgium BVBA</w:t>
            </w:r>
          </w:p>
          <w:p w14:paraId="4DC2CFBA" w14:textId="77777777" w:rsidR="00D84998" w:rsidRPr="00C35766" w:rsidRDefault="00D84998" w:rsidP="00A96C58">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Tél/Tel: + 32 1528 7418</w:t>
            </w:r>
          </w:p>
        </w:tc>
        <w:tc>
          <w:tcPr>
            <w:tcW w:w="2500" w:type="pct"/>
          </w:tcPr>
          <w:p w14:paraId="45A7F63A" w14:textId="77777777" w:rsidR="00D84998" w:rsidRPr="00C35766" w:rsidRDefault="00D84998" w:rsidP="00A96C58">
            <w:pPr>
              <w:tabs>
                <w:tab w:val="left" w:pos="-720"/>
              </w:tabs>
              <w:suppressAutoHyphens/>
              <w:rPr>
                <w:rFonts w:ascii="Times New Roman" w:hAnsi="Times New Roman" w:cs="Times New Roman"/>
                <w:b/>
                <w:noProof/>
                <w:lang w:eastAsia="fr-FR"/>
              </w:rPr>
            </w:pPr>
            <w:r w:rsidRPr="00C35766">
              <w:rPr>
                <w:rFonts w:ascii="Times New Roman" w:hAnsi="Times New Roman" w:cs="Times New Roman"/>
                <w:b/>
                <w:noProof/>
                <w:lang w:eastAsia="fr-FR"/>
              </w:rPr>
              <w:t>Lietuva</w:t>
            </w:r>
          </w:p>
          <w:p w14:paraId="199E3185"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BAFFAFF" w14:textId="129F5168" w:rsidR="00D34AD1" w:rsidRPr="00C35766" w:rsidRDefault="009E2439" w:rsidP="00F35EB0">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59BEEC36" w14:textId="77777777" w:rsidR="00D84998" w:rsidRPr="00C35766" w:rsidRDefault="00D84998" w:rsidP="00A96C58">
            <w:pPr>
              <w:autoSpaceDE w:val="0"/>
              <w:autoSpaceDN w:val="0"/>
              <w:adjustRightInd w:val="0"/>
              <w:rPr>
                <w:rFonts w:ascii="Times New Roman" w:hAnsi="Times New Roman" w:cs="Times New Roman"/>
                <w:noProof/>
                <w:lang w:eastAsia="fr-FR"/>
              </w:rPr>
            </w:pPr>
          </w:p>
        </w:tc>
      </w:tr>
      <w:tr w:rsidR="00D84998" w:rsidRPr="00C35766" w14:paraId="29D2BE22" w14:textId="77777777" w:rsidTr="00A96C58">
        <w:trPr>
          <w:trHeight w:val="619"/>
        </w:trPr>
        <w:tc>
          <w:tcPr>
            <w:tcW w:w="2500" w:type="pct"/>
          </w:tcPr>
          <w:p w14:paraId="10212AF5" w14:textId="77777777"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bCs/>
              </w:rPr>
              <w:t>България</w:t>
            </w:r>
          </w:p>
          <w:p w14:paraId="05C345BC"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4B29A1FA" w14:textId="054D5635" w:rsidR="00D84998" w:rsidRPr="00C35766" w:rsidRDefault="00952C44" w:rsidP="00A96C58">
            <w:pPr>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Teл.: </w:t>
            </w:r>
            <w:r w:rsidR="00F35EB0" w:rsidRPr="00C35766">
              <w:rPr>
                <w:rFonts w:ascii="Times New Roman" w:eastAsia="맑은 고딕" w:hAnsi="Times New Roman" w:cs="Times New Roman"/>
                <w:noProof/>
                <w:lang w:eastAsia="fr-FR"/>
              </w:rPr>
              <w:t>+36 1 231 0493</w:t>
            </w:r>
          </w:p>
        </w:tc>
        <w:tc>
          <w:tcPr>
            <w:tcW w:w="2500" w:type="pct"/>
            <w:hideMark/>
          </w:tcPr>
          <w:p w14:paraId="1737BE3A" w14:textId="77777777" w:rsidR="00D84998" w:rsidRPr="002062B2" w:rsidRDefault="00D84998" w:rsidP="00A96C58">
            <w:pPr>
              <w:tabs>
                <w:tab w:val="left" w:pos="-720"/>
              </w:tabs>
              <w:suppressAutoHyphens/>
              <w:rPr>
                <w:rFonts w:ascii="Times New Roman" w:hAnsi="Times New Roman" w:cs="Times New Roman"/>
                <w:noProof/>
                <w:lang w:val="de-CH" w:eastAsia="fr-FR"/>
              </w:rPr>
            </w:pPr>
            <w:r w:rsidRPr="002062B2">
              <w:rPr>
                <w:rFonts w:ascii="Times New Roman" w:eastAsia="맑은 고딕" w:hAnsi="Times New Roman" w:cs="Times New Roman"/>
                <w:b/>
                <w:noProof/>
                <w:lang w:val="de-CH" w:eastAsia="fr-FR"/>
              </w:rPr>
              <w:t>Luxembourg/Luxemburg</w:t>
            </w:r>
          </w:p>
          <w:p w14:paraId="508978B5" w14:textId="77777777" w:rsidR="00D84998" w:rsidRPr="002062B2" w:rsidRDefault="00D84998" w:rsidP="00A96C58">
            <w:pPr>
              <w:tabs>
                <w:tab w:val="left" w:pos="-720"/>
              </w:tabs>
              <w:suppressAutoHyphens/>
              <w:rPr>
                <w:rFonts w:ascii="Times New Roman" w:eastAsia="맑은 고딕" w:hAnsi="Times New Roman" w:cs="Times New Roman"/>
                <w:iCs/>
                <w:noProof/>
                <w:lang w:val="de-CH" w:eastAsia="fr-FR"/>
              </w:rPr>
            </w:pPr>
            <w:r w:rsidRPr="002062B2">
              <w:rPr>
                <w:rFonts w:ascii="Times New Roman" w:eastAsia="맑은 고딕" w:hAnsi="Times New Roman" w:cs="Times New Roman"/>
                <w:iCs/>
                <w:noProof/>
                <w:lang w:val="de-CH" w:eastAsia="fr-FR"/>
              </w:rPr>
              <w:t>Celltrion Healthcare Belgium BVBA</w:t>
            </w:r>
          </w:p>
          <w:p w14:paraId="3B8D84C0" w14:textId="77777777" w:rsidR="00D84998" w:rsidRPr="00C35766" w:rsidRDefault="00D84998" w:rsidP="00A96C58">
            <w:pPr>
              <w:tabs>
                <w:tab w:val="left" w:pos="-720"/>
              </w:tabs>
              <w:suppressAutoHyphens/>
              <w:rPr>
                <w:rFonts w:ascii="Times New Roman" w:eastAsia="맑은 고딕" w:hAnsi="Times New Roman" w:cs="Times New Roman"/>
                <w:iCs/>
                <w:noProof/>
                <w:lang w:val="pt-PT" w:eastAsia="fr-FR"/>
              </w:rPr>
            </w:pPr>
            <w:r w:rsidRPr="00C35766">
              <w:rPr>
                <w:rFonts w:ascii="Times New Roman" w:eastAsia="맑은 고딕" w:hAnsi="Times New Roman" w:cs="Times New Roman"/>
                <w:noProof/>
                <w:lang w:val="fr-FR" w:eastAsia="fr-FR"/>
              </w:rPr>
              <w:t xml:space="preserve">Tél/Tel: </w:t>
            </w:r>
            <w:r w:rsidRPr="00C35766">
              <w:rPr>
                <w:rFonts w:ascii="Times New Roman" w:eastAsia="맑은 고딕" w:hAnsi="Times New Roman" w:cs="Times New Roman"/>
                <w:iCs/>
                <w:noProof/>
                <w:lang w:val="pt-PT" w:eastAsia="fr-FR"/>
              </w:rPr>
              <w:t>+ 32 1528 7418</w:t>
            </w:r>
          </w:p>
          <w:p w14:paraId="44E89617" w14:textId="493CC63A" w:rsidR="00D34AD1" w:rsidRPr="00C35766" w:rsidRDefault="00D34AD1" w:rsidP="00A96C58">
            <w:pPr>
              <w:tabs>
                <w:tab w:val="left" w:pos="-720"/>
              </w:tabs>
              <w:suppressAutoHyphens/>
              <w:rPr>
                <w:rFonts w:ascii="Times New Roman" w:eastAsia="맑은 고딕" w:hAnsi="Times New Roman" w:cs="Times New Roman"/>
                <w:lang w:val="pt-PT" w:eastAsia="ko-KR"/>
              </w:rPr>
            </w:pPr>
          </w:p>
        </w:tc>
      </w:tr>
      <w:tr w:rsidR="00D84998" w:rsidRPr="00C35766" w14:paraId="1E15EC1C" w14:textId="77777777" w:rsidTr="00A96C58">
        <w:tc>
          <w:tcPr>
            <w:tcW w:w="2500" w:type="pct"/>
            <w:hideMark/>
          </w:tcPr>
          <w:p w14:paraId="755C989D" w14:textId="77777777" w:rsidR="00F45088" w:rsidRDefault="00F45088" w:rsidP="00A96C58">
            <w:pPr>
              <w:tabs>
                <w:tab w:val="left" w:pos="-720"/>
              </w:tabs>
              <w:suppressAutoHyphens/>
              <w:rPr>
                <w:rFonts w:ascii="Times New Roman" w:eastAsia="맑은 고딕" w:hAnsi="Times New Roman" w:cs="Times New Roman"/>
                <w:b/>
                <w:noProof/>
                <w:lang w:eastAsia="fr-FR"/>
              </w:rPr>
            </w:pPr>
          </w:p>
          <w:p w14:paraId="14D4E6A9" w14:textId="3CB48B9B" w:rsidR="00D84998" w:rsidRPr="00C35766" w:rsidRDefault="00D84998" w:rsidP="00A96C58">
            <w:pPr>
              <w:tabs>
                <w:tab w:val="left" w:pos="-720"/>
              </w:tabs>
              <w:suppressAutoHyphen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Česká republika</w:t>
            </w:r>
          </w:p>
          <w:p w14:paraId="74E3E9EF"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8DE0D1B" w14:textId="45EA7096" w:rsidR="00D84998" w:rsidRPr="00C35766" w:rsidRDefault="009E2439" w:rsidP="00A96C58">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c>
          <w:tcPr>
            <w:tcW w:w="2500" w:type="pct"/>
          </w:tcPr>
          <w:p w14:paraId="0672184A" w14:textId="77777777" w:rsidR="00F45088" w:rsidRDefault="00F45088" w:rsidP="00A96C58">
            <w:pPr>
              <w:rPr>
                <w:rFonts w:ascii="Times New Roman" w:hAnsi="Times New Roman" w:cs="Times New Roman"/>
                <w:b/>
                <w:noProof/>
              </w:rPr>
            </w:pPr>
          </w:p>
          <w:p w14:paraId="79A9C95B" w14:textId="0F3885CF"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noProof/>
              </w:rPr>
              <w:t>Magyarország</w:t>
            </w:r>
          </w:p>
          <w:p w14:paraId="5218F6AB"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C78DB8A" w14:textId="415C6934" w:rsidR="00D34AD1" w:rsidRPr="00C35766" w:rsidRDefault="009E2439" w:rsidP="00F35EB0">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0B74E22F" w14:textId="77777777" w:rsidR="00D84998" w:rsidRPr="00C35766" w:rsidRDefault="00D84998" w:rsidP="00A96C58">
            <w:pPr>
              <w:rPr>
                <w:rFonts w:ascii="Times New Roman" w:eastAsia="맑은 고딕" w:hAnsi="Times New Roman" w:cs="Times New Roman"/>
                <w:noProof/>
                <w:lang w:eastAsia="ko-KR"/>
              </w:rPr>
            </w:pPr>
          </w:p>
        </w:tc>
      </w:tr>
      <w:tr w:rsidR="008B5A7A" w:rsidRPr="00C35766" w14:paraId="7B3A3654" w14:textId="77777777" w:rsidTr="00A96C58">
        <w:tc>
          <w:tcPr>
            <w:tcW w:w="2500" w:type="pct"/>
            <w:hideMark/>
          </w:tcPr>
          <w:p w14:paraId="42BFE5D2" w14:textId="77777777" w:rsidR="008B5A7A" w:rsidRPr="00741905" w:rsidRDefault="008B5A7A" w:rsidP="008B5A7A">
            <w:pPr>
              <w:tabs>
                <w:tab w:val="left" w:pos="-720"/>
              </w:tabs>
              <w:suppressAutoHyphens/>
              <w:rPr>
                <w:rFonts w:ascii="Times New Roman" w:hAnsi="Times New Roman" w:cs="Times New Roman"/>
                <w:b/>
                <w:bCs/>
                <w:i/>
                <w:iCs/>
                <w:noProof/>
                <w:lang w:eastAsia="fr-FR"/>
              </w:rPr>
            </w:pPr>
            <w:r w:rsidRPr="00741905">
              <w:rPr>
                <w:rFonts w:ascii="Times New Roman" w:hAnsi="Times New Roman" w:cs="Times New Roman"/>
                <w:b/>
                <w:noProof/>
              </w:rPr>
              <w:t>Danmark</w:t>
            </w:r>
          </w:p>
          <w:p w14:paraId="56E07029" w14:textId="53B557FD" w:rsidR="008B5A7A" w:rsidRPr="00741905" w:rsidRDefault="008B5A7A" w:rsidP="008B5A7A">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Celltrion Healthcare Denmark ApS</w:t>
            </w:r>
          </w:p>
          <w:p w14:paraId="1860B748" w14:textId="77777777" w:rsidR="00970422" w:rsidRPr="00741905" w:rsidRDefault="00970422" w:rsidP="00970422">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Tlf: +</w:t>
            </w:r>
            <w:r w:rsidRPr="00741905">
              <w:rPr>
                <w:rFonts w:ascii="Times New Roman" w:eastAsia="맑은 고딕" w:hAnsi="Times New Roman" w:cs="Times New Roman"/>
                <w:noProof/>
                <w:lang w:eastAsia="ko-KR"/>
              </w:rPr>
              <w:t>45 35352989</w:t>
            </w:r>
          </w:p>
          <w:p w14:paraId="53055E36" w14:textId="77777777" w:rsidR="008B5A7A" w:rsidRPr="00741905" w:rsidRDefault="008B5A7A" w:rsidP="008B5A7A">
            <w:pPr>
              <w:tabs>
                <w:tab w:val="left" w:pos="-720"/>
              </w:tabs>
              <w:suppressAutoHyphens/>
              <w:rPr>
                <w:rStyle w:val="ad"/>
                <w:rFonts w:ascii="Times New Roman" w:hAnsi="Times New Roman" w:cs="Times New Roman"/>
                <w:lang w:eastAsia="ko-KR"/>
              </w:rPr>
            </w:pPr>
            <w:r w:rsidRPr="00741905">
              <w:rPr>
                <w:rStyle w:val="ad"/>
                <w:rFonts w:ascii="Times New Roman" w:eastAsia="맑은 고딕" w:hAnsi="Times New Roman" w:cs="Times New Roman"/>
                <w:noProof/>
                <w:lang w:eastAsia="ko-KR"/>
              </w:rPr>
              <w:t>Contact_dk@celltrionhc.com</w:t>
            </w:r>
          </w:p>
          <w:p w14:paraId="54565E19" w14:textId="77777777" w:rsidR="008B5A7A" w:rsidRPr="00741905" w:rsidRDefault="008B5A7A" w:rsidP="008B5A7A">
            <w:pPr>
              <w:tabs>
                <w:tab w:val="left" w:pos="-720"/>
              </w:tabs>
              <w:suppressAutoHyphens/>
              <w:rPr>
                <w:rFonts w:ascii="Times New Roman" w:eastAsia="맑은 고딕" w:hAnsi="Times New Roman" w:cs="Times New Roman"/>
                <w:noProof/>
                <w:lang w:eastAsia="fr-FR"/>
              </w:rPr>
            </w:pPr>
          </w:p>
          <w:p w14:paraId="72CD6346" w14:textId="0569B135" w:rsidR="008B5A7A" w:rsidRPr="00741905" w:rsidRDefault="008B5A7A" w:rsidP="008B5A7A">
            <w:pPr>
              <w:tabs>
                <w:tab w:val="left" w:pos="-720"/>
              </w:tabs>
              <w:suppressAutoHyphens/>
              <w:rPr>
                <w:rFonts w:ascii="Times New Roman" w:eastAsia="맑은 고딕" w:hAnsi="Times New Roman" w:cs="Times New Roman"/>
                <w:noProof/>
                <w:lang w:eastAsia="fr-FR"/>
              </w:rPr>
            </w:pPr>
          </w:p>
        </w:tc>
        <w:tc>
          <w:tcPr>
            <w:tcW w:w="2500" w:type="pct"/>
          </w:tcPr>
          <w:p w14:paraId="1064CE49" w14:textId="77777777" w:rsidR="008B5A7A" w:rsidRPr="00741905" w:rsidRDefault="008B5A7A" w:rsidP="008B5A7A">
            <w:pPr>
              <w:rPr>
                <w:rFonts w:ascii="Times New Roman" w:hAnsi="Times New Roman" w:cs="Times New Roman"/>
                <w:noProof/>
                <w:lang w:eastAsia="fr-FR"/>
              </w:rPr>
            </w:pPr>
            <w:r w:rsidRPr="00741905">
              <w:rPr>
                <w:rFonts w:ascii="Times New Roman" w:eastAsia="맑은 고딕" w:hAnsi="Times New Roman" w:cs="Times New Roman"/>
                <w:b/>
                <w:noProof/>
                <w:lang w:eastAsia="fr-FR"/>
              </w:rPr>
              <w:t>Malta</w:t>
            </w:r>
          </w:p>
          <w:p w14:paraId="064A7AE6" w14:textId="77777777" w:rsidR="008B5A7A" w:rsidRPr="00741905" w:rsidRDefault="008B5A7A" w:rsidP="008B5A7A">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Mint Health Ltd.</w:t>
            </w:r>
          </w:p>
          <w:p w14:paraId="72597BC1" w14:textId="77777777" w:rsidR="008B5A7A" w:rsidRPr="00741905" w:rsidRDefault="008B5A7A" w:rsidP="008B5A7A">
            <w:pPr>
              <w:rPr>
                <w:rFonts w:ascii="Times New Roman" w:eastAsia="맑은 고딕" w:hAnsi="Times New Roman" w:cs="Times New Roman"/>
                <w:noProof/>
                <w:lang w:eastAsia="ko-KR"/>
              </w:rPr>
            </w:pPr>
            <w:r w:rsidRPr="00741905">
              <w:rPr>
                <w:rFonts w:ascii="Times New Roman" w:eastAsia="맑은 고딕" w:hAnsi="Times New Roman" w:cs="Times New Roman"/>
                <w:noProof/>
                <w:lang w:eastAsia="fr-FR"/>
              </w:rPr>
              <w:t>Tel: +356 2093 9800</w:t>
            </w:r>
          </w:p>
          <w:p w14:paraId="7209C0E6" w14:textId="77777777" w:rsidR="008B5A7A" w:rsidRPr="00741905" w:rsidRDefault="008B5A7A" w:rsidP="008B5A7A">
            <w:pPr>
              <w:rPr>
                <w:rFonts w:ascii="Times New Roman" w:eastAsia="맑은 고딕" w:hAnsi="Times New Roman" w:cs="Times New Roman"/>
                <w:noProof/>
                <w:lang w:eastAsia="ko-KR"/>
              </w:rPr>
            </w:pPr>
          </w:p>
        </w:tc>
      </w:tr>
      <w:tr w:rsidR="008B5A7A" w:rsidRPr="00C35766" w14:paraId="4B50F2DE" w14:textId="77777777" w:rsidTr="00A96C58">
        <w:tc>
          <w:tcPr>
            <w:tcW w:w="2500" w:type="pct"/>
            <w:hideMark/>
          </w:tcPr>
          <w:p w14:paraId="6DED8FC6" w14:textId="77777777" w:rsidR="008B5A7A" w:rsidRPr="00741905" w:rsidRDefault="008B5A7A" w:rsidP="008B5A7A">
            <w:pPr>
              <w:rPr>
                <w:rFonts w:ascii="Times New Roman" w:hAnsi="Times New Roman" w:cs="Times New Roman"/>
                <w:b/>
                <w:noProof/>
                <w:lang w:eastAsia="fr-FR"/>
              </w:rPr>
            </w:pPr>
            <w:r w:rsidRPr="00741905">
              <w:rPr>
                <w:rFonts w:ascii="Times New Roman" w:eastAsia="맑은 고딕" w:hAnsi="Times New Roman" w:cs="Times New Roman"/>
                <w:b/>
                <w:noProof/>
                <w:lang w:eastAsia="fr-FR"/>
              </w:rPr>
              <w:t>Deutschland</w:t>
            </w:r>
          </w:p>
          <w:p w14:paraId="4DB19817" w14:textId="77777777" w:rsidR="008B5A7A" w:rsidRPr="00741905" w:rsidRDefault="008B5A7A" w:rsidP="008B5A7A">
            <w:pPr>
              <w:rPr>
                <w:rFonts w:ascii="Times New Roman" w:hAnsi="Times New Roman" w:cs="Times New Roman"/>
                <w:noProof/>
                <w:lang w:eastAsia="ko-KR"/>
              </w:rPr>
            </w:pPr>
            <w:r w:rsidRPr="00741905">
              <w:rPr>
                <w:rFonts w:ascii="Times New Roman" w:hAnsi="Times New Roman" w:cs="Times New Roman"/>
                <w:noProof/>
                <w:lang w:eastAsia="ko-KR"/>
              </w:rPr>
              <w:t xml:space="preserve">Celltrion Healthcare Deutschland </w:t>
            </w:r>
            <w:r w:rsidRPr="00741905">
              <w:rPr>
                <w:rFonts w:ascii="Times New Roman" w:eastAsia="바탕" w:hAnsi="Times New Roman" w:cs="Times New Roman"/>
                <w:noProof/>
                <w:lang w:eastAsia="ko-KR"/>
              </w:rPr>
              <w:t>GmbH</w:t>
            </w:r>
          </w:p>
          <w:p w14:paraId="31247942" w14:textId="5AB978DF" w:rsidR="008B5A7A" w:rsidRPr="00741905" w:rsidRDefault="008B5A7A" w:rsidP="008B5A7A">
            <w:pPr>
              <w:tabs>
                <w:tab w:val="left" w:pos="-720"/>
              </w:tabs>
              <w:suppressAutoHyphens/>
              <w:rPr>
                <w:rFonts w:ascii="Times New Roman" w:hAnsi="Times New Roman" w:cs="Times New Roman"/>
                <w:noProof/>
                <w:lang w:eastAsia="ko-KR"/>
              </w:rPr>
            </w:pPr>
            <w:r w:rsidRPr="00741905">
              <w:rPr>
                <w:rFonts w:ascii="Times New Roman" w:hAnsi="Times New Roman" w:cs="Times New Roman"/>
                <w:noProof/>
                <w:lang w:eastAsia="ko-KR"/>
              </w:rPr>
              <w:t>T</w:t>
            </w:r>
            <w:r w:rsidR="006A5438">
              <w:rPr>
                <w:rFonts w:ascii="Times New Roman" w:hAnsi="Times New Roman" w:cs="Times New Roman" w:hint="eastAsia"/>
                <w:noProof/>
                <w:lang w:eastAsia="ko-KR"/>
              </w:rPr>
              <w:t>e</w:t>
            </w:r>
            <w:r w:rsidRPr="00741905">
              <w:rPr>
                <w:rFonts w:ascii="Times New Roman" w:hAnsi="Times New Roman" w:cs="Times New Roman"/>
                <w:noProof/>
                <w:lang w:eastAsia="ko-KR"/>
              </w:rPr>
              <w:t>l.: +49 (0)30 346494150</w:t>
            </w:r>
          </w:p>
          <w:p w14:paraId="183EDE19" w14:textId="135AE4E3" w:rsidR="008B5A7A" w:rsidRPr="00741905" w:rsidRDefault="008B5A7A" w:rsidP="008B5A7A">
            <w:pPr>
              <w:tabs>
                <w:tab w:val="left" w:pos="-720"/>
              </w:tabs>
              <w:suppressAutoHyphens/>
              <w:rPr>
                <w:rFonts w:ascii="Times New Roman" w:eastAsia="맑은 고딕" w:hAnsi="Times New Roman" w:cs="Times New Roman"/>
                <w:noProof/>
                <w:lang w:eastAsia="ko-KR"/>
              </w:rPr>
            </w:pPr>
            <w:hyperlink r:id="rId77" w:history="1">
              <w:r w:rsidRPr="00741905">
                <w:rPr>
                  <w:rStyle w:val="ad"/>
                  <w:rFonts w:ascii="Times New Roman" w:eastAsia="맑은 고딕" w:hAnsi="Times New Roman" w:cs="Times New Roman"/>
                  <w:noProof/>
                  <w:lang w:eastAsia="ko-KR"/>
                </w:rPr>
                <w:t>infoDE@celltrionhc.com</w:t>
              </w:r>
            </w:hyperlink>
          </w:p>
          <w:p w14:paraId="20E166F7" w14:textId="77777777" w:rsidR="008B5A7A" w:rsidRPr="00741905" w:rsidRDefault="008B5A7A" w:rsidP="008B5A7A">
            <w:pPr>
              <w:tabs>
                <w:tab w:val="left" w:pos="-720"/>
              </w:tabs>
              <w:suppressAutoHyphens/>
              <w:rPr>
                <w:rFonts w:ascii="Times New Roman" w:eastAsia="맑은 고딕" w:hAnsi="Times New Roman" w:cs="Times New Roman"/>
                <w:noProof/>
                <w:lang w:eastAsia="fr-FR"/>
              </w:rPr>
            </w:pPr>
          </w:p>
        </w:tc>
        <w:tc>
          <w:tcPr>
            <w:tcW w:w="2500" w:type="pct"/>
          </w:tcPr>
          <w:p w14:paraId="3EDB22F9" w14:textId="77777777" w:rsidR="008B5A7A" w:rsidRPr="00741905" w:rsidRDefault="008B5A7A" w:rsidP="008B5A7A">
            <w:pPr>
              <w:rPr>
                <w:rFonts w:ascii="Times New Roman" w:hAnsi="Times New Roman" w:cs="Times New Roman"/>
                <w:noProof/>
                <w:lang w:eastAsia="fr-FR"/>
              </w:rPr>
            </w:pPr>
            <w:r w:rsidRPr="00741905">
              <w:rPr>
                <w:rFonts w:ascii="Times New Roman" w:eastAsia="맑은 고딕" w:hAnsi="Times New Roman" w:cs="Times New Roman"/>
                <w:b/>
                <w:noProof/>
                <w:lang w:eastAsia="fr-FR"/>
              </w:rPr>
              <w:t>Nederland</w:t>
            </w:r>
          </w:p>
          <w:p w14:paraId="77D985A4" w14:textId="77777777" w:rsidR="008B5A7A" w:rsidRPr="00741905" w:rsidRDefault="008B5A7A" w:rsidP="008B5A7A">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Celltrion Healthcare Netherlands B.V.</w:t>
            </w:r>
          </w:p>
          <w:p w14:paraId="6EE8E6F3" w14:textId="77777777" w:rsidR="008B5A7A" w:rsidRPr="00741905" w:rsidRDefault="008B5A7A" w:rsidP="008B5A7A">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Tel: + 31 20 888 7300</w:t>
            </w:r>
          </w:p>
          <w:p w14:paraId="0C3794B7" w14:textId="77777777" w:rsidR="008B5A7A" w:rsidRPr="00741905" w:rsidRDefault="008B5A7A" w:rsidP="008B5A7A">
            <w:pPr>
              <w:rPr>
                <w:rFonts w:ascii="Times New Roman" w:eastAsia="맑은 고딕" w:hAnsi="Times New Roman" w:cs="Times New Roman"/>
                <w:noProof/>
                <w:lang w:eastAsia="fr-FR"/>
              </w:rPr>
            </w:pPr>
          </w:p>
        </w:tc>
      </w:tr>
      <w:tr w:rsidR="008B5A7A" w:rsidRPr="00C35766" w14:paraId="15E89095" w14:textId="77777777" w:rsidTr="00A96C58">
        <w:tc>
          <w:tcPr>
            <w:tcW w:w="2500" w:type="pct"/>
            <w:hideMark/>
          </w:tcPr>
          <w:p w14:paraId="77F0FA93" w14:textId="77777777" w:rsidR="008B5A7A" w:rsidRPr="00741905" w:rsidRDefault="008B5A7A" w:rsidP="008B5A7A">
            <w:pPr>
              <w:tabs>
                <w:tab w:val="left" w:pos="-720"/>
                <w:tab w:val="left" w:pos="4536"/>
              </w:tabs>
              <w:suppressAutoHyphens/>
              <w:rPr>
                <w:rFonts w:ascii="Times New Roman" w:hAnsi="Times New Roman" w:cs="Times New Roman"/>
                <w:b/>
                <w:noProof/>
                <w:lang w:val="en-GB" w:eastAsia="fr-FR"/>
              </w:rPr>
            </w:pPr>
            <w:r w:rsidRPr="00741905">
              <w:rPr>
                <w:rFonts w:ascii="Times New Roman" w:eastAsia="맑은 고딕" w:hAnsi="Times New Roman" w:cs="Times New Roman"/>
                <w:b/>
                <w:noProof/>
                <w:lang w:val="en-GB" w:eastAsia="fr-FR"/>
              </w:rPr>
              <w:t>Eesti</w:t>
            </w:r>
          </w:p>
          <w:p w14:paraId="72C9D4CE" w14:textId="77777777" w:rsidR="008B5A7A" w:rsidRPr="00741905" w:rsidRDefault="008B5A7A" w:rsidP="008B5A7A">
            <w:pPr>
              <w:rPr>
                <w:rFonts w:ascii="Times New Roman" w:eastAsia="맑은 고딕" w:hAnsi="Times New Roman" w:cs="Times New Roman"/>
                <w:noProof/>
                <w:lang w:val="en-GB" w:eastAsia="fr-FR"/>
              </w:rPr>
            </w:pPr>
            <w:r w:rsidRPr="00741905">
              <w:rPr>
                <w:rFonts w:ascii="Times New Roman" w:eastAsia="맑은 고딕" w:hAnsi="Times New Roman" w:cs="Times New Roman"/>
                <w:noProof/>
                <w:lang w:val="en-GB" w:eastAsia="fr-FR"/>
              </w:rPr>
              <w:t>Celltrion Healthcare Hungary Kft.</w:t>
            </w:r>
          </w:p>
          <w:p w14:paraId="43F5E955" w14:textId="77777777" w:rsidR="008B5A7A" w:rsidRPr="00741905" w:rsidRDefault="008B5A7A" w:rsidP="008B5A7A">
            <w:pPr>
              <w:tabs>
                <w:tab w:val="left" w:pos="-720"/>
              </w:tabs>
              <w:suppressAutoHyphens/>
              <w:rPr>
                <w:rFonts w:ascii="Times New Roman" w:eastAsia="맑은 고딕" w:hAnsi="Times New Roman" w:cs="Times New Roman"/>
                <w:noProof/>
                <w:lang w:val="fi-FI" w:eastAsia="fr-FR"/>
              </w:rPr>
            </w:pPr>
            <w:r w:rsidRPr="00741905">
              <w:rPr>
                <w:rFonts w:ascii="Times New Roman" w:eastAsia="맑은 고딕" w:hAnsi="Times New Roman" w:cs="Times New Roman"/>
                <w:noProof/>
                <w:lang w:eastAsia="fr-FR"/>
              </w:rPr>
              <w:t xml:space="preserve">Tel: </w:t>
            </w:r>
            <w:r w:rsidRPr="00741905">
              <w:rPr>
                <w:rFonts w:ascii="Times New Roman" w:eastAsia="맑은 고딕" w:hAnsi="Times New Roman" w:cs="Times New Roman"/>
                <w:noProof/>
                <w:lang w:val="fi-FI" w:eastAsia="fr-FR"/>
              </w:rPr>
              <w:t>+36 1 231 0493</w:t>
            </w:r>
          </w:p>
          <w:p w14:paraId="413D6726" w14:textId="77777777" w:rsidR="008B5A7A" w:rsidRPr="00741905" w:rsidRDefault="008B5A7A" w:rsidP="008B5A7A">
            <w:pPr>
              <w:tabs>
                <w:tab w:val="left" w:pos="-720"/>
              </w:tabs>
              <w:suppressAutoHyphens/>
              <w:rPr>
                <w:rFonts w:ascii="Times New Roman" w:eastAsia="맑은 고딕" w:hAnsi="Times New Roman" w:cs="Times New Roman"/>
                <w:noProof/>
                <w:lang w:val="fi-FI" w:eastAsia="ko-KR"/>
              </w:rPr>
            </w:pPr>
          </w:p>
        </w:tc>
        <w:tc>
          <w:tcPr>
            <w:tcW w:w="2500" w:type="pct"/>
          </w:tcPr>
          <w:p w14:paraId="4C053D84" w14:textId="77777777" w:rsidR="008B5A7A" w:rsidRPr="00741905" w:rsidRDefault="008B5A7A" w:rsidP="008B5A7A">
            <w:pPr>
              <w:tabs>
                <w:tab w:val="left" w:pos="-720"/>
              </w:tabs>
              <w:suppressAutoHyphens/>
              <w:rPr>
                <w:rFonts w:ascii="Times New Roman" w:hAnsi="Times New Roman" w:cs="Times New Roman"/>
                <w:noProof/>
                <w:lang w:eastAsia="fr-FR"/>
              </w:rPr>
            </w:pPr>
            <w:r w:rsidRPr="00741905">
              <w:rPr>
                <w:rFonts w:ascii="Times New Roman" w:eastAsia="맑은 고딕" w:hAnsi="Times New Roman" w:cs="Times New Roman"/>
                <w:b/>
                <w:noProof/>
                <w:lang w:eastAsia="fr-FR"/>
              </w:rPr>
              <w:t>Norge</w:t>
            </w:r>
          </w:p>
          <w:p w14:paraId="0015D06A" w14:textId="0AACCBF7" w:rsidR="008B5A7A" w:rsidRPr="00741905" w:rsidRDefault="008B5A7A" w:rsidP="008B5A7A">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 xml:space="preserve">Celltrion Healthcare </w:t>
            </w:r>
            <w:r w:rsidRPr="00741905">
              <w:rPr>
                <w:rFonts w:ascii="Times New Roman" w:eastAsia="맑은 고딕" w:hAnsi="Times New Roman" w:cs="Times New Roman"/>
                <w:noProof/>
                <w:lang w:eastAsia="ko-KR"/>
              </w:rPr>
              <w:t>Norway AS</w:t>
            </w:r>
          </w:p>
          <w:p w14:paraId="7DB55668" w14:textId="48A74098" w:rsidR="008B5A7A" w:rsidRPr="00741905" w:rsidRDefault="008B5A7A" w:rsidP="008B5A7A">
            <w:pPr>
              <w:tabs>
                <w:tab w:val="left" w:pos="-720"/>
              </w:tabs>
              <w:suppressAutoHyphens/>
              <w:rPr>
                <w:rStyle w:val="ad"/>
                <w:rFonts w:ascii="Times New Roman" w:hAnsi="Times New Roman" w:cs="Times New Roman"/>
                <w:lang w:eastAsia="ko-KR"/>
              </w:rPr>
            </w:pPr>
            <w:hyperlink r:id="rId78" w:history="1">
              <w:r w:rsidRPr="00741905">
                <w:rPr>
                  <w:rStyle w:val="ad"/>
                  <w:rFonts w:ascii="Times New Roman" w:eastAsia="맑은 고딕" w:hAnsi="Times New Roman" w:cs="Times New Roman"/>
                  <w:noProof/>
                  <w:lang w:eastAsia="ko-KR"/>
                </w:rPr>
                <w:t>Contact_no@celltrionhc.com</w:t>
              </w:r>
            </w:hyperlink>
          </w:p>
          <w:p w14:paraId="6E42DB6B" w14:textId="77777777" w:rsidR="008B5A7A" w:rsidRPr="00741905" w:rsidRDefault="008B5A7A" w:rsidP="008B5A7A">
            <w:pPr>
              <w:tabs>
                <w:tab w:val="left" w:pos="-720"/>
              </w:tabs>
              <w:suppressAutoHyphens/>
              <w:rPr>
                <w:rFonts w:ascii="Times New Roman" w:eastAsia="맑은 고딕" w:hAnsi="Times New Roman" w:cs="Times New Roman"/>
                <w:noProof/>
                <w:lang w:eastAsia="ko-KR"/>
              </w:rPr>
            </w:pPr>
          </w:p>
        </w:tc>
      </w:tr>
      <w:tr w:rsidR="00D84998" w:rsidRPr="007B2F1E" w14:paraId="638DE435" w14:textId="77777777" w:rsidTr="00A96C58">
        <w:tc>
          <w:tcPr>
            <w:tcW w:w="2500" w:type="pct"/>
            <w:hideMark/>
          </w:tcPr>
          <w:p w14:paraId="15FF6F96" w14:textId="77777777" w:rsidR="00D84998" w:rsidRPr="00C35766" w:rsidRDefault="00D84998" w:rsidP="00BD232C">
            <w:pPr>
              <w:keepNext/>
              <w:keepLines/>
              <w:rPr>
                <w:rFonts w:ascii="Times New Roman" w:hAnsi="Times New Roman" w:cs="Times New Roman"/>
                <w:noProof/>
                <w:lang w:val="es-ES_tradnl" w:eastAsia="fr-FR"/>
              </w:rPr>
            </w:pPr>
            <w:r w:rsidRPr="00C35766">
              <w:rPr>
                <w:rFonts w:ascii="Times New Roman" w:hAnsi="Times New Roman" w:cs="Times New Roman"/>
                <w:b/>
                <w:noProof/>
                <w:lang w:val="es-ES_tradnl"/>
              </w:rPr>
              <w:lastRenderedPageBreak/>
              <w:t>España</w:t>
            </w:r>
          </w:p>
          <w:p w14:paraId="03687D9A" w14:textId="77777777" w:rsidR="00D84998" w:rsidRPr="00C35766" w:rsidRDefault="00D84998" w:rsidP="00BD232C">
            <w:pPr>
              <w:keepNext/>
              <w:keepLines/>
              <w:rPr>
                <w:rFonts w:ascii="Times New Roman" w:eastAsia="맑은 고딕" w:hAnsi="Times New Roman" w:cs="Times New Roman"/>
                <w:noProof/>
                <w:lang w:val="es-ES_tradnl" w:eastAsia="fr-FR"/>
              </w:rPr>
            </w:pPr>
            <w:r w:rsidRPr="00C35766">
              <w:rPr>
                <w:rFonts w:ascii="Times New Roman" w:eastAsia="맑은 고딕" w:hAnsi="Times New Roman" w:cs="Times New Roman"/>
                <w:noProof/>
                <w:lang w:val="es-ES_tradnl" w:eastAsia="fr-FR"/>
              </w:rPr>
              <w:t>Kern Pharma, S.L.</w:t>
            </w:r>
          </w:p>
          <w:p w14:paraId="5AA72195" w14:textId="77777777" w:rsidR="00D84998" w:rsidRPr="00C35766" w:rsidRDefault="00D84998" w:rsidP="00BD232C">
            <w:pPr>
              <w:keepNext/>
              <w:keepLine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+34 93 700 2525</w:t>
            </w:r>
          </w:p>
          <w:p w14:paraId="58C04A83" w14:textId="77777777" w:rsidR="00D84998" w:rsidRPr="00C35766" w:rsidRDefault="00D84998" w:rsidP="00BD232C">
            <w:pPr>
              <w:keepNext/>
              <w:keepLines/>
              <w:rPr>
                <w:rFonts w:ascii="Times New Roman" w:hAnsi="Times New Roman" w:cs="Times New Roman"/>
                <w:b/>
                <w:noProof/>
                <w:lang w:eastAsia="fr-FR"/>
              </w:rPr>
            </w:pPr>
          </w:p>
        </w:tc>
        <w:tc>
          <w:tcPr>
            <w:tcW w:w="2500" w:type="pct"/>
          </w:tcPr>
          <w:p w14:paraId="63F76751" w14:textId="77777777" w:rsidR="00D84998" w:rsidRPr="00C35766" w:rsidRDefault="00D84998" w:rsidP="00BD232C">
            <w:pPr>
              <w:keepNext/>
              <w:keepLines/>
              <w:rPr>
                <w:rFonts w:ascii="Times New Roman" w:hAnsi="Times New Roman" w:cs="Times New Roman"/>
                <w:noProof/>
                <w:lang w:val="de-DE" w:eastAsia="fr-FR"/>
              </w:rPr>
            </w:pPr>
            <w:r w:rsidRPr="00C35766">
              <w:rPr>
                <w:rFonts w:ascii="Times New Roman" w:hAnsi="Times New Roman" w:cs="Times New Roman"/>
                <w:b/>
                <w:noProof/>
                <w:lang w:val="de-DE"/>
              </w:rPr>
              <w:t>Österreich</w:t>
            </w:r>
          </w:p>
          <w:p w14:paraId="25438590" w14:textId="77777777" w:rsidR="00D84998" w:rsidRPr="00C35766" w:rsidRDefault="00D84998" w:rsidP="00BD232C">
            <w:pPr>
              <w:keepNext/>
              <w:keepLines/>
              <w:rPr>
                <w:rFonts w:ascii="Times New Roman" w:eastAsia="맑은 고딕" w:hAnsi="Times New Roman" w:cs="Times New Roman"/>
                <w:noProof/>
                <w:lang w:val="de-DE" w:eastAsia="ko-KR"/>
              </w:rPr>
            </w:pPr>
            <w:r w:rsidRPr="00C35766">
              <w:rPr>
                <w:rFonts w:ascii="Times New Roman" w:eastAsia="맑은 고딕" w:hAnsi="Times New Roman" w:cs="Times New Roman"/>
                <w:noProof/>
                <w:lang w:val="de-DE" w:eastAsia="fr-FR"/>
              </w:rPr>
              <w:t>Astro-Pharma GmbH</w:t>
            </w:r>
          </w:p>
          <w:p w14:paraId="2A67B7CF" w14:textId="77777777" w:rsidR="00D84998" w:rsidRPr="00C35766" w:rsidRDefault="00D84998" w:rsidP="00BD232C">
            <w:pPr>
              <w:keepNext/>
              <w:keepLines/>
              <w:tabs>
                <w:tab w:val="left" w:pos="-720"/>
              </w:tabs>
              <w:suppressAutoHyphens/>
              <w:rPr>
                <w:rFonts w:ascii="Times New Roman" w:eastAsia="맑은 고딕" w:hAnsi="Times New Roman" w:cs="Times New Roman"/>
                <w:noProof/>
                <w:lang w:val="de-DE" w:eastAsia="fr-FR"/>
              </w:rPr>
            </w:pPr>
            <w:r w:rsidRPr="00C35766">
              <w:rPr>
                <w:rFonts w:ascii="Times New Roman" w:eastAsia="맑은 고딕" w:hAnsi="Times New Roman" w:cs="Times New Roman"/>
                <w:noProof/>
                <w:lang w:val="de-DE" w:eastAsia="fr-FR"/>
              </w:rPr>
              <w:t>Tel: +43 1 97 99 860</w:t>
            </w:r>
          </w:p>
          <w:p w14:paraId="68035983" w14:textId="77777777" w:rsidR="00D84998" w:rsidRPr="00C35766" w:rsidRDefault="00D84998" w:rsidP="00BD232C">
            <w:pPr>
              <w:keepNext/>
              <w:keepLines/>
              <w:tabs>
                <w:tab w:val="left" w:pos="-720"/>
              </w:tabs>
              <w:suppressAutoHyphens/>
              <w:rPr>
                <w:rFonts w:ascii="Times New Roman" w:hAnsi="Times New Roman" w:cs="Times New Roman"/>
                <w:noProof/>
                <w:lang w:val="de-DE" w:eastAsia="fr-FR"/>
              </w:rPr>
            </w:pPr>
          </w:p>
        </w:tc>
      </w:tr>
      <w:tr w:rsidR="00D84998" w:rsidRPr="00C35766" w14:paraId="2133D2FE" w14:textId="77777777" w:rsidTr="00A96C58">
        <w:tc>
          <w:tcPr>
            <w:tcW w:w="2500" w:type="pct"/>
          </w:tcPr>
          <w:p w14:paraId="5578BB7D" w14:textId="77777777" w:rsidR="00D84998" w:rsidRPr="00C35766" w:rsidRDefault="00D84998" w:rsidP="00A96C58">
            <w:pPr>
              <w:rPr>
                <w:rFonts w:ascii="Times New Roman" w:hAnsi="Times New Roman" w:cs="Times New Roman"/>
                <w:b/>
                <w:noProof/>
                <w:lang w:val="el-GR" w:eastAsia="fr-FR"/>
              </w:rPr>
            </w:pPr>
            <w:r w:rsidRPr="00C35766">
              <w:rPr>
                <w:rFonts w:ascii="Times New Roman" w:hAnsi="Times New Roman" w:cs="Times New Roman"/>
                <w:b/>
                <w:noProof/>
                <w:lang w:val="el-GR" w:eastAsia="fr-FR"/>
              </w:rPr>
              <w:t>Ελλάδα</w:t>
            </w:r>
          </w:p>
          <w:p w14:paraId="13BD9C61" w14:textId="77777777" w:rsidR="00D84998" w:rsidRPr="00C35766" w:rsidRDefault="00D84998" w:rsidP="00A96C58">
            <w:pPr>
              <w:rPr>
                <w:rFonts w:ascii="Times New Roman" w:hAnsi="Times New Roman" w:cs="Times New Roman"/>
                <w:noProof/>
                <w:lang w:val="el-GR" w:eastAsia="fr-FR"/>
              </w:rPr>
            </w:pPr>
            <w:r w:rsidRPr="00C35766">
              <w:rPr>
                <w:rFonts w:ascii="Times New Roman" w:hAnsi="Times New Roman" w:cs="Times New Roman"/>
                <w:noProof/>
                <w:lang w:val="el-GR" w:eastAsia="fr-FR"/>
              </w:rPr>
              <w:t>ΒΙΑΝΕΞ Α.Ε.</w:t>
            </w:r>
          </w:p>
          <w:p w14:paraId="6C24F347" w14:textId="7376603E" w:rsidR="00D84998" w:rsidRPr="00C35766" w:rsidRDefault="00D84998" w:rsidP="00A96C58">
            <w:pPr>
              <w:rPr>
                <w:rFonts w:ascii="Times New Roman" w:hAnsi="Times New Roman" w:cs="Times New Roman"/>
                <w:noProof/>
                <w:lang w:val="el-GR" w:eastAsia="fr-FR"/>
              </w:rPr>
            </w:pPr>
            <w:r w:rsidRPr="00C35766">
              <w:rPr>
                <w:rFonts w:ascii="Times New Roman" w:hAnsi="Times New Roman" w:cs="Times New Roman"/>
                <w:noProof/>
                <w:lang w:val="el-GR" w:eastAsia="fr-FR"/>
              </w:rPr>
              <w:t>Τηλ: +30 210 8009111</w:t>
            </w:r>
          </w:p>
          <w:p w14:paraId="6095D3EA" w14:textId="77777777" w:rsidR="00D84998" w:rsidRPr="00C35766" w:rsidRDefault="00D84998" w:rsidP="00A96C58">
            <w:pPr>
              <w:rPr>
                <w:rFonts w:ascii="Times New Roman" w:eastAsia="맑은 고딕" w:hAnsi="Times New Roman" w:cs="Times New Roman"/>
                <w:noProof/>
                <w:lang w:val="el-GR" w:eastAsia="fr-FR"/>
              </w:rPr>
            </w:pPr>
          </w:p>
        </w:tc>
        <w:tc>
          <w:tcPr>
            <w:tcW w:w="2500" w:type="pct"/>
          </w:tcPr>
          <w:p w14:paraId="6EEFB237" w14:textId="77777777" w:rsidR="00D84998" w:rsidRPr="00C35766" w:rsidRDefault="00D84998" w:rsidP="00A96C58">
            <w:pPr>
              <w:rPr>
                <w:rFonts w:ascii="Times New Roman" w:eastAsia="맑은 고딕" w:hAnsi="Times New Roman" w:cs="Times New Roman"/>
                <w:b/>
                <w:noProof/>
                <w:lang w:val="pl-PL" w:eastAsia="fr-FR"/>
              </w:rPr>
            </w:pPr>
            <w:r w:rsidRPr="00C35766">
              <w:rPr>
                <w:rFonts w:ascii="Times New Roman" w:eastAsia="맑은 고딕" w:hAnsi="Times New Roman" w:cs="Times New Roman"/>
                <w:b/>
                <w:noProof/>
                <w:lang w:val="pl-PL" w:eastAsia="fr-FR"/>
              </w:rPr>
              <w:t>Polska</w:t>
            </w:r>
          </w:p>
          <w:p w14:paraId="6A0999AF"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D74B441" w14:textId="714D284E" w:rsidR="00D84998" w:rsidRPr="00C35766" w:rsidRDefault="00952C44" w:rsidP="00A96C58">
            <w:pPr>
              <w:rPr>
                <w:rFonts w:ascii="Times New Roman" w:hAnsi="Times New Roman" w:cs="Times New Roman"/>
                <w:b/>
                <w:noProof/>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r>
      <w:tr w:rsidR="00D84998" w:rsidRPr="006501B3" w14:paraId="456C157C" w14:textId="77777777" w:rsidTr="00A96C58">
        <w:tc>
          <w:tcPr>
            <w:tcW w:w="2500" w:type="pct"/>
          </w:tcPr>
          <w:p w14:paraId="5C3228A6" w14:textId="77777777" w:rsidR="00D84998" w:rsidRPr="00C35766" w:rsidRDefault="00D84998" w:rsidP="00A96C58">
            <w:pPr>
              <w:rPr>
                <w:rFonts w:ascii="Times New Roman" w:hAnsi="Times New Roman" w:cs="Times New Roman"/>
                <w:b/>
                <w:noProof/>
                <w:lang w:eastAsia="ko-KR"/>
              </w:rPr>
            </w:pPr>
            <w:r w:rsidRPr="00C35766">
              <w:rPr>
                <w:rFonts w:ascii="Times New Roman" w:hAnsi="Times New Roman" w:cs="Times New Roman"/>
                <w:b/>
                <w:noProof/>
                <w:lang w:eastAsia="ko-KR"/>
              </w:rPr>
              <w:t>France</w:t>
            </w:r>
          </w:p>
          <w:p w14:paraId="0B4E41FF" w14:textId="431F6ECD" w:rsidR="00D84998" w:rsidRPr="00C35766" w:rsidRDefault="00B5072D" w:rsidP="00A96C58">
            <w:pPr>
              <w:rPr>
                <w:rFonts w:ascii="Times New Roman" w:hAnsi="Times New Roman" w:cs="Times New Roman"/>
                <w:noProof/>
                <w:lang w:eastAsia="ko-KR"/>
              </w:rPr>
            </w:pPr>
            <w:r w:rsidRPr="00B5072D">
              <w:rPr>
                <w:rFonts w:ascii="Times New Roman" w:hAnsi="Times New Roman" w:cs="Times New Roman"/>
                <w:noProof/>
                <w:lang w:eastAsia="ko-KR"/>
              </w:rPr>
              <w:t>Celltrion Healthcare France SAS</w:t>
            </w:r>
          </w:p>
          <w:p w14:paraId="5446975F" w14:textId="77777777" w:rsidR="00D84998" w:rsidRPr="00C35766" w:rsidRDefault="00D84998" w:rsidP="00A96C58">
            <w:pPr>
              <w:rPr>
                <w:rFonts w:ascii="Times New Roman" w:eastAsia="맑은 고딕" w:hAnsi="Times New Roman" w:cs="Times New Roman"/>
                <w:noProof/>
                <w:lang w:eastAsia="ko-KR"/>
              </w:rPr>
            </w:pPr>
            <w:r w:rsidRPr="00C35766">
              <w:rPr>
                <w:rFonts w:ascii="Times New Roman" w:hAnsi="Times New Roman" w:cs="Times New Roman"/>
                <w:noProof/>
                <w:lang w:eastAsia="ko-KR"/>
              </w:rPr>
              <w:t>T</w:t>
            </w:r>
            <w:r w:rsidRPr="00C35766">
              <w:rPr>
                <w:rFonts w:ascii="Times New Roman" w:hAnsi="Times New Roman" w:cs="Times New Roman"/>
              </w:rPr>
              <w:t>é</w:t>
            </w:r>
            <w:r w:rsidRPr="00C35766">
              <w:rPr>
                <w:rFonts w:ascii="Times New Roman" w:hAnsi="Times New Roman" w:cs="Times New Roman"/>
                <w:noProof/>
                <w:lang w:eastAsia="ko-KR"/>
              </w:rPr>
              <w:t>l.: +33 (0)1 71 25 27 00</w:t>
            </w:r>
          </w:p>
          <w:p w14:paraId="3329F925"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1A5523F3" w14:textId="77777777" w:rsidR="00B71A1B" w:rsidRPr="002F72A3" w:rsidRDefault="00B71A1B" w:rsidP="00B71A1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4F50F44C" w14:textId="6C50B331" w:rsidR="00B71A1B" w:rsidRDefault="00B71A1B" w:rsidP="00B71A1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6FB8EB56" w14:textId="6EF7514A" w:rsidR="00B71A1B" w:rsidRPr="00BD232C" w:rsidRDefault="00B71A1B" w:rsidP="00B71A1B">
            <w:pPr>
              <w:rPr>
                <w:rFonts w:ascii="Times New Roman" w:eastAsia="맑은 고딕" w:hAnsi="Times New Roman" w:cs="Times New Roman"/>
                <w:noProof/>
                <w:lang w:val="fr-CA" w:eastAsia="fr-FR"/>
              </w:rPr>
            </w:pPr>
            <w:r w:rsidRPr="00BD232C">
              <w:rPr>
                <w:rFonts w:ascii="Times New Roman" w:eastAsia="맑은 고딕" w:hAnsi="Times New Roman" w:cs="Times New Roman"/>
                <w:noProof/>
                <w:lang w:val="fr-CA" w:eastAsia="fr-FR"/>
              </w:rPr>
              <w:t>Tel: +351 21 936 8542</w:t>
            </w:r>
          </w:p>
          <w:p w14:paraId="3F47ED6C" w14:textId="77777777" w:rsidR="00D84998" w:rsidRPr="00BD232C" w:rsidRDefault="00D84998" w:rsidP="00A96C58">
            <w:pPr>
              <w:rPr>
                <w:rFonts w:ascii="Times New Roman" w:hAnsi="Times New Roman" w:cs="Times New Roman"/>
                <w:b/>
                <w:noProof/>
                <w:lang w:val="fr-CA"/>
              </w:rPr>
            </w:pPr>
          </w:p>
        </w:tc>
      </w:tr>
      <w:tr w:rsidR="00D84998" w:rsidRPr="00C35766" w14:paraId="0699E775" w14:textId="77777777" w:rsidTr="00A96C58">
        <w:tc>
          <w:tcPr>
            <w:tcW w:w="2500" w:type="pct"/>
          </w:tcPr>
          <w:p w14:paraId="5E811A4D" w14:textId="77777777" w:rsidR="00D84998" w:rsidRPr="002062B2" w:rsidRDefault="00D84998" w:rsidP="00A96C58">
            <w:pPr>
              <w:rPr>
                <w:rFonts w:ascii="Times New Roman" w:hAnsi="Times New Roman" w:cs="Times New Roman"/>
                <w:b/>
                <w:noProof/>
                <w:lang w:val="de-CH" w:eastAsia="ko-KR"/>
              </w:rPr>
            </w:pPr>
            <w:r w:rsidRPr="002062B2">
              <w:rPr>
                <w:rFonts w:ascii="Times New Roman" w:hAnsi="Times New Roman" w:cs="Times New Roman"/>
                <w:b/>
                <w:noProof/>
                <w:lang w:val="de-CH" w:eastAsia="ko-KR"/>
              </w:rPr>
              <w:t>Hrvatska</w:t>
            </w:r>
          </w:p>
          <w:p w14:paraId="19DAD72A" w14:textId="77777777" w:rsidR="00D84998" w:rsidRPr="002062B2" w:rsidRDefault="00D84998" w:rsidP="00A96C58">
            <w:pPr>
              <w:rPr>
                <w:rFonts w:ascii="Times New Roman" w:hAnsi="Times New Roman" w:cs="Times New Roman"/>
                <w:noProof/>
                <w:lang w:val="de-CH" w:eastAsia="ko-KR"/>
              </w:rPr>
            </w:pPr>
            <w:r w:rsidRPr="002062B2">
              <w:rPr>
                <w:rFonts w:ascii="Times New Roman" w:hAnsi="Times New Roman" w:cs="Times New Roman"/>
                <w:noProof/>
                <w:lang w:val="de-CH" w:eastAsia="ko-KR"/>
              </w:rPr>
              <w:t>Oktal Pharma d.o.o.</w:t>
            </w:r>
          </w:p>
          <w:p w14:paraId="7B7D1BE7" w14:textId="77777777" w:rsidR="00D84998" w:rsidRPr="00C35766" w:rsidRDefault="00D84998" w:rsidP="00A96C58">
            <w:pPr>
              <w:rPr>
                <w:rFonts w:ascii="Times New Roman" w:hAnsi="Times New Roman" w:cs="Times New Roman"/>
                <w:noProof/>
                <w:lang w:eastAsia="ko-KR"/>
              </w:rPr>
            </w:pPr>
            <w:r w:rsidRPr="00C35766">
              <w:rPr>
                <w:rFonts w:ascii="Times New Roman" w:hAnsi="Times New Roman" w:cs="Times New Roman"/>
                <w:noProof/>
                <w:lang w:eastAsia="ko-KR"/>
              </w:rPr>
              <w:t>Tel: +385 1 6595 777</w:t>
            </w:r>
          </w:p>
          <w:p w14:paraId="09A46F39"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044B8C64" w14:textId="77777777" w:rsidR="00D84998" w:rsidRPr="00C35766" w:rsidRDefault="00D84998" w:rsidP="00A96C58">
            <w:pPr>
              <w:tabs>
                <w:tab w:val="left" w:pos="-720"/>
              </w:tabs>
              <w:suppressAutoHyphens/>
              <w:rPr>
                <w:rFonts w:ascii="Times New Roman" w:eastAsia="맑은 고딕" w:hAnsi="Times New Roman" w:cs="Times New Roman"/>
                <w:b/>
                <w:noProof/>
                <w:lang w:eastAsia="fr-FR"/>
              </w:rPr>
            </w:pPr>
            <w:r w:rsidRPr="00C35766">
              <w:rPr>
                <w:rFonts w:ascii="Times New Roman" w:hAnsi="Times New Roman" w:cs="Times New Roman"/>
                <w:b/>
                <w:noProof/>
              </w:rPr>
              <w:t>România</w:t>
            </w:r>
          </w:p>
          <w:p w14:paraId="1530CBDB"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FBCBC8A" w14:textId="75F21EB5" w:rsidR="00D84998" w:rsidRPr="00C35766" w:rsidRDefault="00952C44" w:rsidP="00A96C58">
            <w:pPr>
              <w:rPr>
                <w:rFonts w:ascii="Times New Roman" w:hAnsi="Times New Roman" w:cs="Times New Roman"/>
                <w:b/>
                <w:noProof/>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tc>
      </w:tr>
      <w:tr w:rsidR="00D84998" w:rsidRPr="00C35766" w14:paraId="4B6E8EF1" w14:textId="77777777" w:rsidTr="00A96C58">
        <w:tc>
          <w:tcPr>
            <w:tcW w:w="2500" w:type="pct"/>
          </w:tcPr>
          <w:p w14:paraId="59512794" w14:textId="77777777" w:rsidR="00D84998" w:rsidRPr="00C35766" w:rsidRDefault="00D84998" w:rsidP="00A96C58">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Ireland</w:t>
            </w:r>
          </w:p>
          <w:p w14:paraId="19683BD3"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Ireland Limited</w:t>
            </w:r>
          </w:p>
          <w:p w14:paraId="4ECBC613"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+353 1 223 4026</w:t>
            </w:r>
          </w:p>
          <w:p w14:paraId="7A7A981F"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4C2AD991" w14:textId="77777777" w:rsidR="00D84998" w:rsidRPr="00C35766" w:rsidRDefault="00D84998" w:rsidP="00A96C58">
            <w:pPr>
              <w:rPr>
                <w:rFonts w:ascii="Times New Roman" w:eastAsia="맑은 고딕" w:hAnsi="Times New Roman" w:cs="Times New Roman"/>
                <w:b/>
                <w:noProof/>
                <w:lang w:val="it-IT" w:eastAsia="fr-FR"/>
              </w:rPr>
            </w:pPr>
            <w:r w:rsidRPr="00C35766">
              <w:rPr>
                <w:rFonts w:ascii="Times New Roman" w:eastAsia="맑은 고딕" w:hAnsi="Times New Roman" w:cs="Times New Roman"/>
                <w:b/>
                <w:noProof/>
                <w:lang w:val="it-IT" w:eastAsia="fr-FR"/>
              </w:rPr>
              <w:t>Slovenija</w:t>
            </w:r>
          </w:p>
          <w:p w14:paraId="22E976B4" w14:textId="77777777" w:rsidR="00D84998" w:rsidRPr="00C35766" w:rsidRDefault="00D84998" w:rsidP="00A96C58">
            <w:pPr>
              <w:rPr>
                <w:rFonts w:ascii="Times New Roman" w:eastAsia="맑은 고딕" w:hAnsi="Times New Roman" w:cs="Times New Roman"/>
                <w:noProof/>
                <w:lang w:val="it-IT" w:eastAsia="fr-FR"/>
              </w:rPr>
            </w:pPr>
            <w:r w:rsidRPr="00C35766">
              <w:rPr>
                <w:rFonts w:ascii="Times New Roman" w:eastAsia="맑은 고딕" w:hAnsi="Times New Roman" w:cs="Times New Roman"/>
                <w:noProof/>
                <w:lang w:val="it-IT" w:eastAsia="fr-FR"/>
              </w:rPr>
              <w:t>OPH Oktal Pharma d.o.o.</w:t>
            </w:r>
          </w:p>
          <w:p w14:paraId="717BA7DC"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+386 1 519 29 22</w:t>
            </w:r>
          </w:p>
          <w:p w14:paraId="2FE3A646" w14:textId="77777777" w:rsidR="00D84998" w:rsidRPr="00C35766" w:rsidRDefault="00D84998" w:rsidP="00A96C58">
            <w:pPr>
              <w:rPr>
                <w:rFonts w:ascii="Times New Roman" w:hAnsi="Times New Roman" w:cs="Times New Roman"/>
                <w:b/>
                <w:noProof/>
              </w:rPr>
            </w:pPr>
          </w:p>
        </w:tc>
      </w:tr>
      <w:tr w:rsidR="00D84998" w:rsidRPr="00C35766" w14:paraId="7652AFF8" w14:textId="77777777" w:rsidTr="00A96C58">
        <w:tc>
          <w:tcPr>
            <w:tcW w:w="2500" w:type="pct"/>
          </w:tcPr>
          <w:p w14:paraId="6B6E8046"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b/>
                <w:noProof/>
                <w:lang w:eastAsia="fr-FR"/>
              </w:rPr>
              <w:t>Ísland</w:t>
            </w:r>
          </w:p>
          <w:p w14:paraId="093BFDA3"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D7E0199" w14:textId="77777777"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Sími: +36 1 231 0493</w:t>
            </w:r>
          </w:p>
        </w:tc>
        <w:tc>
          <w:tcPr>
            <w:tcW w:w="2500" w:type="pct"/>
          </w:tcPr>
          <w:p w14:paraId="46102AF1" w14:textId="77777777" w:rsidR="00D84998" w:rsidRPr="00C35766" w:rsidRDefault="00D84998" w:rsidP="00A96C58">
            <w:pPr>
              <w:rPr>
                <w:rFonts w:ascii="Times New Roman" w:eastAsia="맑은 고딕" w:hAnsi="Times New Roman" w:cs="Times New Roman"/>
                <w:b/>
                <w:noProof/>
                <w:lang w:eastAsia="fr-FR"/>
              </w:rPr>
            </w:pPr>
            <w:r w:rsidRPr="00C35766">
              <w:rPr>
                <w:rFonts w:ascii="Times New Roman" w:hAnsi="Times New Roman" w:cs="Times New Roman"/>
                <w:b/>
                <w:noProof/>
              </w:rPr>
              <w:t>Slovenská republika</w:t>
            </w:r>
          </w:p>
          <w:p w14:paraId="72779D88" w14:textId="77777777" w:rsidR="00F35EB0" w:rsidRPr="00C35766" w:rsidRDefault="00F35EB0" w:rsidP="00F35EB0">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9980757" w14:textId="2ADAB6F6" w:rsidR="00952C44" w:rsidRPr="00C35766" w:rsidRDefault="00952C44" w:rsidP="00F35EB0">
            <w:pPr>
              <w:rPr>
                <w:rFonts w:ascii="Times New Roman" w:eastAsia="맑은 고딕" w:hAnsi="Times New Roman" w:cs="Times New Roman"/>
                <w:b/>
                <w:noProof/>
                <w:lang w:eastAsia="fr-FR"/>
              </w:rPr>
            </w:pPr>
            <w:r w:rsidRPr="00C35766">
              <w:rPr>
                <w:rFonts w:ascii="Times New Roman" w:eastAsia="맑은 고딕" w:hAnsi="Times New Roman" w:cs="Times New Roman"/>
                <w:noProof/>
                <w:lang w:eastAsia="fr-FR"/>
              </w:rPr>
              <w:t xml:space="preserve">Tel: </w:t>
            </w:r>
            <w:r w:rsidR="00F35EB0" w:rsidRPr="00C35766">
              <w:rPr>
                <w:rFonts w:ascii="Times New Roman" w:eastAsia="맑은 고딕" w:hAnsi="Times New Roman" w:cs="Times New Roman"/>
                <w:noProof/>
                <w:lang w:eastAsia="fr-FR"/>
              </w:rPr>
              <w:t>+36 1 231 0493</w:t>
            </w:r>
          </w:p>
          <w:p w14:paraId="04E5935B" w14:textId="77777777" w:rsidR="00D84998" w:rsidRPr="00C35766" w:rsidRDefault="00D84998" w:rsidP="00A96C58">
            <w:pPr>
              <w:rPr>
                <w:rFonts w:ascii="Times New Roman" w:eastAsia="맑은 고딕" w:hAnsi="Times New Roman" w:cs="Times New Roman"/>
                <w:b/>
                <w:noProof/>
                <w:lang w:eastAsia="fr-FR"/>
              </w:rPr>
            </w:pPr>
          </w:p>
        </w:tc>
      </w:tr>
      <w:tr w:rsidR="00D84998" w:rsidRPr="00C35766" w14:paraId="52595372" w14:textId="77777777" w:rsidTr="00A96C58">
        <w:tc>
          <w:tcPr>
            <w:tcW w:w="2500" w:type="pct"/>
          </w:tcPr>
          <w:p w14:paraId="5D35B9D9"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Italia</w:t>
            </w:r>
          </w:p>
          <w:p w14:paraId="7127A44D" w14:textId="6C1A4F9E"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Italy S.</w:t>
            </w:r>
            <w:r w:rsidR="00B5072D">
              <w:rPr>
                <w:rFonts w:ascii="Times New Roman" w:eastAsia="맑은 고딕" w:hAnsi="Times New Roman" w:cs="Times New Roman"/>
                <w:noProof/>
                <w:lang w:eastAsia="fr-FR"/>
              </w:rPr>
              <w:t>r</w:t>
            </w:r>
            <w:r w:rsidRPr="00C35766">
              <w:rPr>
                <w:rFonts w:ascii="Times New Roman" w:eastAsia="맑은 고딕" w:hAnsi="Times New Roman" w:cs="Times New Roman"/>
                <w:noProof/>
                <w:lang w:eastAsia="fr-FR"/>
              </w:rPr>
              <w:t>.</w:t>
            </w:r>
            <w:r w:rsidR="00B5072D">
              <w:rPr>
                <w:rFonts w:ascii="Times New Roman" w:eastAsia="맑은 고딕" w:hAnsi="Times New Roman" w:cs="Times New Roman"/>
                <w:noProof/>
                <w:lang w:eastAsia="fr-FR"/>
              </w:rPr>
              <w:t>l</w:t>
            </w:r>
            <w:r w:rsidRPr="00C35766">
              <w:rPr>
                <w:rFonts w:ascii="Times New Roman" w:eastAsia="맑은 고딕" w:hAnsi="Times New Roman" w:cs="Times New Roman"/>
                <w:noProof/>
                <w:lang w:eastAsia="fr-FR"/>
              </w:rPr>
              <w:t>.</w:t>
            </w:r>
          </w:p>
          <w:p w14:paraId="18D72273" w14:textId="24F75CC9" w:rsidR="00D84998" w:rsidRPr="00C35766" w:rsidRDefault="00D84998" w:rsidP="00A96C58">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+39 </w:t>
            </w:r>
            <w:r w:rsidR="00B5072D" w:rsidRPr="00B5072D">
              <w:rPr>
                <w:rFonts w:ascii="Times New Roman" w:eastAsia="맑은 고딕" w:hAnsi="Times New Roman" w:cs="Times New Roman"/>
                <w:noProof/>
                <w:lang w:eastAsia="fr-FR"/>
              </w:rPr>
              <w:t>02</w:t>
            </w:r>
            <w:r w:rsidR="00471BD2">
              <w:rPr>
                <w:rFonts w:ascii="Times New Roman" w:eastAsia="맑은 고딕" w:hAnsi="Times New Roman" w:cs="Times New Roman"/>
                <w:noProof/>
                <w:lang w:eastAsia="fr-FR"/>
              </w:rPr>
              <w:t xml:space="preserve"> </w:t>
            </w:r>
            <w:r w:rsidR="00B5072D" w:rsidRPr="00B5072D">
              <w:rPr>
                <w:rFonts w:ascii="Times New Roman" w:eastAsia="맑은 고딕" w:hAnsi="Times New Roman" w:cs="Times New Roman"/>
                <w:noProof/>
                <w:lang w:eastAsia="fr-FR"/>
              </w:rPr>
              <w:t>47927040</w:t>
            </w:r>
          </w:p>
          <w:p w14:paraId="10514EA7" w14:textId="77777777" w:rsidR="00D84998" w:rsidRPr="00C35766" w:rsidRDefault="00D84998" w:rsidP="00A96C58">
            <w:pPr>
              <w:rPr>
                <w:rFonts w:ascii="Times New Roman" w:eastAsia="맑은 고딕" w:hAnsi="Times New Roman" w:cs="Times New Roman"/>
                <w:noProof/>
                <w:lang w:eastAsia="fr-FR"/>
              </w:rPr>
            </w:pPr>
          </w:p>
        </w:tc>
        <w:tc>
          <w:tcPr>
            <w:tcW w:w="2500" w:type="pct"/>
          </w:tcPr>
          <w:p w14:paraId="1A430AFA" w14:textId="77777777" w:rsidR="00D84998" w:rsidRPr="00C35766" w:rsidRDefault="00D84998" w:rsidP="00A96C58">
            <w:pPr>
              <w:rPr>
                <w:rFonts w:ascii="Times New Roman" w:hAnsi="Times New Roman" w:cs="Times New Roman"/>
                <w:noProof/>
                <w:lang w:eastAsia="fr-FR"/>
              </w:rPr>
            </w:pPr>
            <w:r w:rsidRPr="00C35766">
              <w:rPr>
                <w:rFonts w:ascii="Times New Roman" w:eastAsia="맑은 고딕" w:hAnsi="Times New Roman" w:cs="Times New Roman"/>
                <w:b/>
                <w:noProof/>
                <w:lang w:eastAsia="fr-FR"/>
              </w:rPr>
              <w:t>Suomi/Finland</w:t>
            </w:r>
          </w:p>
          <w:p w14:paraId="3A511E5E" w14:textId="77777777" w:rsidR="00471BD2" w:rsidRDefault="00471BD2" w:rsidP="00471BD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Finland Oy. </w:t>
            </w:r>
          </w:p>
          <w:p w14:paraId="03080079" w14:textId="61F95055" w:rsidR="00D84998" w:rsidRPr="00C35766" w:rsidRDefault="00471BD2" w:rsidP="00A96C58">
            <w:pPr>
              <w:autoSpaceDE w:val="0"/>
              <w:autoSpaceDN w:val="0"/>
              <w:adjustRightInd w:val="0"/>
              <w:rPr>
                <w:rFonts w:ascii="Times New Roman" w:eastAsia="맑은 고딕" w:hAnsi="Times New Roman" w:cs="Times New Roman"/>
                <w:noProof/>
                <w:lang w:val="sv-SE" w:eastAsia="fr-FR"/>
              </w:rPr>
            </w:pPr>
            <w:r>
              <w:rPr>
                <w:rFonts w:ascii="Times New Roman" w:eastAsia="맑은 고딕" w:hAnsi="Times New Roman" w:cs="Times New Roman"/>
                <w:noProof/>
                <w:lang w:eastAsia="fr-FR"/>
              </w:rPr>
              <w:t>Puh/Tel: +358 29 170 7755</w:t>
            </w:r>
          </w:p>
          <w:p w14:paraId="6506D654" w14:textId="77777777" w:rsidR="00D84998" w:rsidRPr="00C35766" w:rsidRDefault="00D84998" w:rsidP="00A96C58">
            <w:pPr>
              <w:autoSpaceDE w:val="0"/>
              <w:autoSpaceDN w:val="0"/>
              <w:adjustRightInd w:val="0"/>
              <w:rPr>
                <w:rFonts w:ascii="Times New Roman" w:eastAsia="맑은 고딕" w:hAnsi="Times New Roman" w:cs="Times New Roman"/>
                <w:noProof/>
                <w:lang w:val="sv-SE" w:eastAsia="ko-KR"/>
              </w:rPr>
            </w:pPr>
          </w:p>
        </w:tc>
      </w:tr>
      <w:tr w:rsidR="00B71A1B" w:rsidRPr="00C35766" w14:paraId="4A019015" w14:textId="77777777" w:rsidTr="00A96C58">
        <w:tc>
          <w:tcPr>
            <w:tcW w:w="2500" w:type="pct"/>
          </w:tcPr>
          <w:p w14:paraId="47E321B8" w14:textId="77777777" w:rsidR="00B71A1B" w:rsidRPr="00C35766" w:rsidRDefault="00B71A1B" w:rsidP="00B71A1B">
            <w:pPr>
              <w:tabs>
                <w:tab w:val="left" w:pos="-720"/>
              </w:tabs>
              <w:suppressAutoHyphens/>
              <w:rPr>
                <w:rFonts w:ascii="Times New Roman" w:hAnsi="Times New Roman" w:cs="Times New Roman"/>
                <w:b/>
                <w:bCs/>
                <w:noProof/>
                <w:lang w:eastAsia="fr-FR"/>
              </w:rPr>
            </w:pPr>
            <w:r w:rsidRPr="00C35766">
              <w:rPr>
                <w:rFonts w:ascii="Times New Roman" w:hAnsi="Times New Roman" w:cs="Times New Roman"/>
                <w:b/>
                <w:noProof/>
              </w:rPr>
              <w:t>Κύπρος</w:t>
            </w:r>
          </w:p>
          <w:p w14:paraId="6F91597F" w14:textId="77777777" w:rsidR="00B71A1B" w:rsidRPr="00C35766" w:rsidRDefault="00B71A1B" w:rsidP="00B71A1B">
            <w:pPr>
              <w:tabs>
                <w:tab w:val="left" w:pos="-720"/>
              </w:tabs>
              <w:suppressAutoHyphen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C.A. Papaellinas Ltd</w:t>
            </w:r>
          </w:p>
          <w:p w14:paraId="36234C2E"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hAnsi="Times New Roman" w:cs="Times New Roman"/>
                <w:noProof/>
              </w:rPr>
              <w:t xml:space="preserve">Τηλ: </w:t>
            </w:r>
            <w:r w:rsidRPr="00C35766">
              <w:rPr>
                <w:rFonts w:ascii="Times New Roman" w:eastAsia="맑은 고딕" w:hAnsi="Times New Roman" w:cs="Times New Roman"/>
                <w:noProof/>
                <w:lang w:eastAsia="fr-FR"/>
              </w:rPr>
              <w:t>+357 22741741</w:t>
            </w:r>
          </w:p>
          <w:p w14:paraId="032E620C" w14:textId="77777777" w:rsidR="00B71A1B" w:rsidRPr="00C35766" w:rsidRDefault="00B71A1B" w:rsidP="00B71A1B">
            <w:pPr>
              <w:autoSpaceDE w:val="0"/>
              <w:autoSpaceDN w:val="0"/>
              <w:adjustRightInd w:val="0"/>
              <w:rPr>
                <w:rFonts w:ascii="Times New Roman" w:eastAsia="맑은 고딕" w:hAnsi="Times New Roman" w:cs="Times New Roman"/>
                <w:b/>
                <w:noProof/>
                <w:lang w:eastAsia="fr-FR"/>
              </w:rPr>
            </w:pPr>
          </w:p>
        </w:tc>
        <w:tc>
          <w:tcPr>
            <w:tcW w:w="2500" w:type="pct"/>
          </w:tcPr>
          <w:p w14:paraId="1D89CB08" w14:textId="77777777" w:rsidR="00B71A1B" w:rsidRPr="001166DC" w:rsidRDefault="00B71A1B" w:rsidP="00B71A1B">
            <w:pPr>
              <w:tabs>
                <w:tab w:val="left" w:pos="-720"/>
              </w:tabs>
              <w:suppressAutoHyphens/>
              <w:rPr>
                <w:rFonts w:ascii="Times New Roman" w:hAnsi="Times New Roman" w:cs="Times New Roman"/>
                <w:b/>
                <w:noProof/>
                <w:lang w:eastAsia="fr-FR"/>
              </w:rPr>
            </w:pPr>
            <w:r w:rsidRPr="001166DC">
              <w:rPr>
                <w:rFonts w:ascii="Times New Roman" w:hAnsi="Times New Roman" w:cs="Times New Roman"/>
                <w:b/>
                <w:noProof/>
              </w:rPr>
              <w:t>Sverige</w:t>
            </w:r>
          </w:p>
          <w:p w14:paraId="64AE207B" w14:textId="299B2FBF" w:rsidR="00B71A1B" w:rsidRPr="001166DC" w:rsidRDefault="00B71A1B" w:rsidP="00B71A1B">
            <w:pPr>
              <w:tabs>
                <w:tab w:val="left" w:pos="-720"/>
              </w:tabs>
              <w:suppressAutoHyphens/>
              <w:rPr>
                <w:rFonts w:ascii="Times New Roman" w:eastAsia="맑은 고딕" w:hAnsi="Times New Roman" w:cs="Times New Roman"/>
                <w:noProof/>
                <w:lang w:eastAsia="ko-KR"/>
              </w:rPr>
            </w:pPr>
            <w:r w:rsidRPr="001166DC">
              <w:rPr>
                <w:rFonts w:ascii="Times New Roman" w:eastAsia="맑은 고딕" w:hAnsi="Times New Roman" w:cs="Times New Roman"/>
                <w:noProof/>
                <w:lang w:eastAsia="ko-KR"/>
              </w:rPr>
              <w:t>Celltrion Sweden AB</w:t>
            </w:r>
          </w:p>
          <w:p w14:paraId="072100BA" w14:textId="77777777" w:rsidR="00B71A1B" w:rsidRPr="001166DC" w:rsidRDefault="00B71A1B" w:rsidP="00B71A1B">
            <w:pPr>
              <w:tabs>
                <w:tab w:val="left" w:pos="-720"/>
              </w:tabs>
              <w:suppressAutoHyphens/>
              <w:rPr>
                <w:rFonts w:ascii="Times New Roman" w:eastAsia="맑은 고딕" w:hAnsi="Times New Roman" w:cs="Times New Roman"/>
                <w:bCs/>
                <w:noProof/>
                <w:u w:val="single"/>
                <w:lang w:eastAsia="ko-KR"/>
              </w:rPr>
            </w:pPr>
            <w:hyperlink r:id="rId79" w:history="1">
              <w:r w:rsidRPr="001166DC">
                <w:rPr>
                  <w:rStyle w:val="ad"/>
                  <w:rFonts w:ascii="Times New Roman" w:eastAsia="맑은 고딕" w:hAnsi="Times New Roman" w:cs="Times New Roman"/>
                  <w:noProof/>
                  <w:lang w:eastAsia="ko-KR"/>
                </w:rPr>
                <w:t>contact_se@celltrionhc.com</w:t>
              </w:r>
            </w:hyperlink>
          </w:p>
          <w:p w14:paraId="24D993A3" w14:textId="23E83018"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r w:rsidR="00B71A1B" w:rsidRPr="00C35766" w14:paraId="6221B9D5" w14:textId="77777777" w:rsidTr="00A96C58">
        <w:tc>
          <w:tcPr>
            <w:tcW w:w="2500" w:type="pct"/>
          </w:tcPr>
          <w:p w14:paraId="3901547D" w14:textId="77777777" w:rsidR="00B71A1B" w:rsidRPr="00C35766" w:rsidRDefault="00B71A1B" w:rsidP="00B71A1B">
            <w:pPr>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Latvija</w:t>
            </w:r>
          </w:p>
          <w:p w14:paraId="0CC2F7A0" w14:textId="77777777" w:rsidR="00B71A1B" w:rsidRPr="00C35766" w:rsidRDefault="00B71A1B" w:rsidP="00B71A1B">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601A317" w14:textId="77777777" w:rsidR="00B71A1B" w:rsidRDefault="00B71A1B" w:rsidP="00B71A1B">
            <w:pPr>
              <w:autoSpaceDE w:val="0"/>
              <w:autoSpaceDN w:val="0"/>
              <w:adjustRightInd w:val="0"/>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Tālr.: +36 1 231 0493</w:t>
            </w:r>
          </w:p>
          <w:p w14:paraId="762A8687" w14:textId="3A7574E4" w:rsidR="00EF70FD" w:rsidRPr="00C35766" w:rsidRDefault="00EF70FD" w:rsidP="00B71A1B">
            <w:pPr>
              <w:autoSpaceDE w:val="0"/>
              <w:autoSpaceDN w:val="0"/>
              <w:adjustRightInd w:val="0"/>
              <w:rPr>
                <w:rFonts w:ascii="Times New Roman" w:eastAsia="맑은 고딕" w:hAnsi="Times New Roman" w:cs="Times New Roman"/>
                <w:b/>
                <w:bCs/>
                <w:lang w:eastAsia="fr-FR"/>
              </w:rPr>
            </w:pPr>
          </w:p>
        </w:tc>
        <w:tc>
          <w:tcPr>
            <w:tcW w:w="2500" w:type="pct"/>
          </w:tcPr>
          <w:p w14:paraId="6A76943C" w14:textId="77777777"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bl>
    <w:p w14:paraId="1C58097D" w14:textId="77777777" w:rsidR="00953B2E" w:rsidRPr="00C35766" w:rsidRDefault="005F0C19">
      <w:pPr>
        <w:numPr>
          <w:ilvl w:val="12"/>
          <w:numId w:val="0"/>
        </w:numPr>
        <w:rPr>
          <w:rFonts w:ascii="Times New Roman" w:eastAsia="맑은 고딕" w:hAnsi="Times New Roman" w:cs="Times New Roman"/>
          <w:noProof/>
          <w:lang w:val="pt-BR" w:eastAsia="ko-KR"/>
        </w:rPr>
      </w:pPr>
      <w:r w:rsidRPr="00C35766">
        <w:rPr>
          <w:rFonts w:ascii="Times New Roman" w:eastAsia="Times New Roman" w:hAnsi="Times New Roman" w:cs="Times New Roman"/>
          <w:b/>
          <w:bCs/>
          <w:noProof/>
          <w:lang w:val="it-IT"/>
        </w:rPr>
        <w:t>Questo foglio illustrativo è stato aggiornato il</w:t>
      </w:r>
    </w:p>
    <w:p w14:paraId="7870B382" w14:textId="77777777" w:rsidR="00953B2E" w:rsidRPr="00C35766" w:rsidRDefault="00953B2E">
      <w:pPr>
        <w:numPr>
          <w:ilvl w:val="12"/>
          <w:numId w:val="0"/>
        </w:numPr>
        <w:rPr>
          <w:rFonts w:ascii="Times New Roman" w:hAnsi="Times New Roman" w:cs="Times New Roman"/>
          <w:noProof/>
          <w:lang w:val="pt-BR"/>
        </w:rPr>
      </w:pPr>
    </w:p>
    <w:p w14:paraId="16A37DC9" w14:textId="77777777" w:rsidR="00953B2E" w:rsidRPr="00C35766" w:rsidRDefault="005F0C19">
      <w:pPr>
        <w:numPr>
          <w:ilvl w:val="12"/>
          <w:numId w:val="0"/>
        </w:numPr>
        <w:rPr>
          <w:rFonts w:ascii="Times New Roman" w:hAnsi="Times New Roman" w:cs="Times New Roman"/>
          <w:b/>
          <w:noProof/>
          <w:lang w:val="pt-BR"/>
        </w:rPr>
      </w:pPr>
      <w:r w:rsidRPr="00C35766">
        <w:rPr>
          <w:rFonts w:ascii="Times New Roman" w:eastAsia="Times New Roman" w:hAnsi="Times New Roman" w:cs="Times New Roman"/>
          <w:b/>
          <w:bCs/>
          <w:noProof/>
          <w:lang w:val="it-IT"/>
        </w:rPr>
        <w:t>Altre fonti d’informazioni</w:t>
      </w:r>
    </w:p>
    <w:p w14:paraId="191D4FBB" w14:textId="77777777" w:rsidR="00953B2E" w:rsidRPr="00C35766" w:rsidRDefault="00953B2E">
      <w:pPr>
        <w:pStyle w:val="a3"/>
        <w:rPr>
          <w:lang w:val="pt-BR"/>
        </w:rPr>
      </w:pPr>
    </w:p>
    <w:p w14:paraId="148865E5" w14:textId="77777777" w:rsidR="00953B2E" w:rsidRPr="00C35766" w:rsidRDefault="005F0C19">
      <w:pPr>
        <w:numPr>
          <w:ilvl w:val="12"/>
          <w:numId w:val="0"/>
        </w:numPr>
        <w:rPr>
          <w:rFonts w:ascii="Times New Roman" w:eastAsia="맑은 고딕" w:hAnsi="Times New Roman" w:cs="Times New Roman"/>
          <w:noProof/>
          <w:color w:val="0000FF"/>
          <w:lang w:val="pt-BR" w:eastAsia="ko-KR"/>
        </w:rPr>
      </w:pPr>
      <w:r w:rsidRPr="00C35766">
        <w:rPr>
          <w:rFonts w:ascii="Times New Roman" w:eastAsia="Times New Roman" w:hAnsi="Times New Roman" w:cs="Times New Roman"/>
          <w:lang w:val="it-IT"/>
        </w:rPr>
        <w:t xml:space="preserve">Informazioni più dettagliate su questo medicinale sono disponibili sul sito web dell’Agenzia europea per i medicinali, </w:t>
      </w:r>
      <w:r w:rsidRPr="00C35766">
        <w:rPr>
          <w:rFonts w:ascii="Times New Roman" w:eastAsia="Times New Roman" w:hAnsi="Times New Roman" w:cs="Times New Roman"/>
          <w:color w:val="0000FF"/>
          <w:u w:val="single"/>
          <w:lang w:val="it-IT"/>
        </w:rPr>
        <w:t>http://www.ema.europa.eu</w:t>
      </w:r>
    </w:p>
    <w:p w14:paraId="4FB9B511" w14:textId="2DE43F3A" w:rsidR="00953B2E" w:rsidRPr="00C35766" w:rsidRDefault="00953B2E">
      <w:pPr>
        <w:spacing w:line="252" w:lineRule="exact"/>
        <w:rPr>
          <w:rFonts w:ascii="Times New Roman" w:hAnsi="Times New Roman" w:cs="Times New Roman"/>
          <w:b/>
          <w:lang w:val="pt-BR"/>
        </w:rPr>
      </w:pPr>
    </w:p>
    <w:p w14:paraId="2AAF97F3" w14:textId="63F83E9A" w:rsidR="00DB3318" w:rsidRPr="00C35766" w:rsidRDefault="00DB3318" w:rsidP="00787805">
      <w:pPr>
        <w:pStyle w:val="a4"/>
        <w:numPr>
          <w:ilvl w:val="0"/>
          <w:numId w:val="37"/>
        </w:numPr>
        <w:spacing w:line="24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spacing w:val="-1"/>
          <w:lang w:val="it-IT"/>
        </w:rPr>
        <w:t>Istruzioni per l’uso</w:t>
      </w:r>
    </w:p>
    <w:p w14:paraId="3BAF8F23" w14:textId="77777777" w:rsidR="00DB3318" w:rsidRPr="00C35766" w:rsidRDefault="00DB3318" w:rsidP="00C7325A">
      <w:pPr>
        <w:spacing w:line="240" w:lineRule="exact"/>
        <w:rPr>
          <w:rFonts w:ascii="Times New Roman" w:eastAsia="Times New Roman" w:hAnsi="Times New Roman" w:cs="Times New Roman"/>
          <w:b/>
          <w:noProof/>
          <w:lang w:val="en-GB"/>
        </w:rPr>
      </w:pPr>
    </w:p>
    <w:p w14:paraId="79252002" w14:textId="77777777" w:rsidR="00953B2E" w:rsidRPr="00C35766" w:rsidRDefault="00953B2E">
      <w:pPr>
        <w:spacing w:before="16" w:line="280" w:lineRule="exact"/>
        <w:rPr>
          <w:rFonts w:ascii="Times New Roman" w:hAnsi="Times New Roman" w:cs="Times New Roman"/>
          <w:sz w:val="28"/>
          <w:szCs w:val="28"/>
        </w:rPr>
      </w:pPr>
    </w:p>
    <w:p w14:paraId="2049DE52" w14:textId="458681B9" w:rsidR="00953B2E" w:rsidRPr="00C35766" w:rsidRDefault="005F0C19">
      <w:pPr>
        <w:pStyle w:val="a3"/>
        <w:numPr>
          <w:ilvl w:val="1"/>
          <w:numId w:val="2"/>
        </w:numPr>
        <w:ind w:left="660" w:hanging="660"/>
        <w:rPr>
          <w:lang w:val="pt-BR"/>
        </w:rPr>
      </w:pPr>
      <w:r w:rsidRPr="00C35766">
        <w:rPr>
          <w:rFonts w:eastAsia="Times New Roman"/>
          <w:lang w:val="it-IT"/>
        </w:rPr>
        <w:t xml:space="preserve">Le seguenti istruzioni spiegano come effettuare l’autoiniezione sottocutanea di Yuflyma utilizzando la penna </w:t>
      </w:r>
      <w:r w:rsidR="0092097A" w:rsidRPr="00C35766">
        <w:rPr>
          <w:rFonts w:eastAsia="Times New Roman"/>
          <w:lang w:val="it-IT"/>
        </w:rPr>
        <w:t>pre-riempita</w:t>
      </w:r>
      <w:r w:rsidRPr="00C35766">
        <w:rPr>
          <w:rFonts w:eastAsia="Times New Roman"/>
          <w:lang w:val="it-IT"/>
        </w:rPr>
        <w:t>. Prima di tutto legga attentamente le istruzioni e le segua passo dopo passo.</w:t>
      </w:r>
    </w:p>
    <w:p w14:paraId="4CE2B15A" w14:textId="77777777" w:rsidR="00953B2E" w:rsidRPr="00C35766" w:rsidRDefault="00953B2E">
      <w:pPr>
        <w:spacing w:before="12" w:line="240" w:lineRule="exact"/>
        <w:rPr>
          <w:rFonts w:ascii="Times New Roman" w:hAnsi="Times New Roman" w:cs="Times New Roman"/>
          <w:sz w:val="24"/>
          <w:szCs w:val="24"/>
          <w:lang w:val="pt-BR"/>
        </w:rPr>
      </w:pPr>
    </w:p>
    <w:p w14:paraId="2FBAA110" w14:textId="77777777" w:rsidR="00953B2E" w:rsidRPr="00C35766" w:rsidRDefault="005F0C19">
      <w:pPr>
        <w:pStyle w:val="a3"/>
        <w:numPr>
          <w:ilvl w:val="1"/>
          <w:numId w:val="2"/>
        </w:numPr>
        <w:ind w:left="660" w:hanging="660"/>
        <w:rPr>
          <w:lang w:val="it-IT"/>
        </w:rPr>
      </w:pPr>
      <w:r w:rsidRPr="00C35766">
        <w:rPr>
          <w:rFonts w:eastAsia="Times New Roman"/>
          <w:lang w:val="it-IT"/>
        </w:rPr>
        <w:t>Riceverà istruzioni dal medico, dall’infermiere o dal farmacista sulla tecnica dell’autoiniezione.</w:t>
      </w:r>
    </w:p>
    <w:p w14:paraId="25C1B4B6" w14:textId="77777777" w:rsidR="00953B2E" w:rsidRPr="00C35766" w:rsidRDefault="00953B2E">
      <w:pPr>
        <w:spacing w:before="11" w:line="260" w:lineRule="exact"/>
        <w:rPr>
          <w:rFonts w:ascii="Times New Roman" w:hAnsi="Times New Roman" w:cs="Times New Roman"/>
          <w:sz w:val="26"/>
          <w:lang w:val="it-IT"/>
        </w:rPr>
      </w:pPr>
    </w:p>
    <w:p w14:paraId="133E720D" w14:textId="77777777" w:rsidR="00953B2E" w:rsidRPr="00C35766" w:rsidRDefault="005F0C19">
      <w:pPr>
        <w:pStyle w:val="a3"/>
        <w:numPr>
          <w:ilvl w:val="1"/>
          <w:numId w:val="2"/>
        </w:numPr>
        <w:ind w:left="660" w:hanging="660"/>
        <w:rPr>
          <w:lang w:val="it-IT"/>
        </w:rPr>
      </w:pPr>
      <w:r w:rsidRPr="00C35766">
        <w:rPr>
          <w:rFonts w:eastAsia="Times New Roman"/>
          <w:b/>
          <w:bCs/>
          <w:spacing w:val="-2"/>
          <w:lang w:val="it-IT"/>
        </w:rPr>
        <w:t>Non</w:t>
      </w:r>
      <w:r w:rsidRPr="00C35766">
        <w:rPr>
          <w:rFonts w:eastAsia="Times New Roman"/>
          <w:spacing w:val="-2"/>
          <w:lang w:val="it-IT"/>
        </w:rPr>
        <w:t xml:space="preserve"> proceda all’iniezione da solo finché non è sicuro di aver capito come preparare ed eseguire l’iniezione.</w:t>
      </w:r>
    </w:p>
    <w:p w14:paraId="5DAA1E95" w14:textId="77777777" w:rsidR="00953B2E" w:rsidRPr="00C35766" w:rsidRDefault="00953B2E">
      <w:pPr>
        <w:spacing w:before="11" w:line="260" w:lineRule="exact"/>
        <w:rPr>
          <w:rFonts w:ascii="Times New Roman" w:hAnsi="Times New Roman" w:cs="Times New Roman"/>
          <w:sz w:val="26"/>
          <w:lang w:val="it-IT"/>
        </w:rPr>
      </w:pPr>
    </w:p>
    <w:p w14:paraId="62642D5E" w14:textId="77777777" w:rsidR="00953B2E" w:rsidRPr="00C35766" w:rsidRDefault="005F0C19">
      <w:pPr>
        <w:pStyle w:val="a3"/>
        <w:numPr>
          <w:ilvl w:val="1"/>
          <w:numId w:val="2"/>
        </w:numPr>
        <w:ind w:left="660" w:hanging="660"/>
        <w:rPr>
          <w:lang w:val="it-IT"/>
        </w:rPr>
      </w:pPr>
      <w:r w:rsidRPr="00C35766">
        <w:rPr>
          <w:rFonts w:eastAsia="Times New Roman"/>
          <w:lang w:val="it-IT"/>
        </w:rPr>
        <w:lastRenderedPageBreak/>
        <w:t>Dopo adeguate istruzioni l’iniezione può essere eseguita da lei o da altre persone quali, ad esempio, un familiare o un amico.</w:t>
      </w:r>
    </w:p>
    <w:p w14:paraId="382D56ED" w14:textId="77777777" w:rsidR="00953B2E" w:rsidRPr="00C35766" w:rsidRDefault="00953B2E">
      <w:pPr>
        <w:spacing w:before="12" w:line="240" w:lineRule="exact"/>
        <w:rPr>
          <w:rFonts w:ascii="Times New Roman" w:hAnsi="Times New Roman" w:cs="Times New Roman"/>
          <w:sz w:val="24"/>
          <w:lang w:val="it-IT"/>
        </w:rPr>
      </w:pPr>
    </w:p>
    <w:p w14:paraId="3E6C8B87" w14:textId="542B5FA3" w:rsidR="00953B2E" w:rsidRPr="00C35766" w:rsidRDefault="005F0C19">
      <w:pPr>
        <w:pStyle w:val="a3"/>
        <w:numPr>
          <w:ilvl w:val="1"/>
          <w:numId w:val="2"/>
        </w:numPr>
        <w:ind w:left="660" w:hanging="660"/>
        <w:rPr>
          <w:lang w:val="es-ES"/>
        </w:rPr>
      </w:pPr>
      <w:r w:rsidRPr="00C35766">
        <w:rPr>
          <w:rFonts w:eastAsia="Times New Roman"/>
          <w:lang w:val="it-IT"/>
        </w:rPr>
        <w:t xml:space="preserve">Usi ciascuna penna </w:t>
      </w:r>
      <w:r w:rsidR="0092097A" w:rsidRPr="00C35766">
        <w:rPr>
          <w:rFonts w:eastAsia="Times New Roman"/>
          <w:lang w:val="it-IT"/>
        </w:rPr>
        <w:t>pre-riempita</w:t>
      </w:r>
      <w:r w:rsidRPr="00C35766">
        <w:rPr>
          <w:rFonts w:eastAsia="Times New Roman"/>
          <w:lang w:val="it-IT"/>
        </w:rPr>
        <w:t xml:space="preserve"> esclusivamente per una sola iniezione.</w:t>
      </w:r>
    </w:p>
    <w:p w14:paraId="6531942E" w14:textId="2A8DB448" w:rsidR="00CD2A6C" w:rsidRPr="00C35766" w:rsidRDefault="00CD2A6C">
      <w:pPr>
        <w:rPr>
          <w:rFonts w:ascii="Times New Roman" w:hAnsi="Times New Roman" w:cs="Times New Roman"/>
          <w:sz w:val="24"/>
          <w:szCs w:val="24"/>
          <w:lang w:val="es-ES"/>
        </w:rPr>
      </w:pPr>
      <w:r w:rsidRPr="00C35766">
        <w:rPr>
          <w:rFonts w:ascii="Times New Roman" w:hAnsi="Times New Roman" w:cs="Times New Roman"/>
          <w:sz w:val="24"/>
          <w:szCs w:val="24"/>
          <w:lang w:val="es-ES"/>
        </w:rPr>
        <w:br w:type="page"/>
      </w:r>
    </w:p>
    <w:p w14:paraId="3A0E9642" w14:textId="1F00CA5B" w:rsidR="00953B2E" w:rsidRPr="00C35766" w:rsidRDefault="005F0C19">
      <w:pPr>
        <w:pStyle w:val="a3"/>
        <w:rPr>
          <w:b/>
          <w:bCs/>
        </w:rPr>
      </w:pPr>
      <w:r w:rsidRPr="00C35766">
        <w:rPr>
          <w:rFonts w:eastAsia="Times New Roman"/>
          <w:b/>
          <w:bCs/>
          <w:spacing w:val="-1"/>
          <w:lang w:val="it-IT"/>
        </w:rPr>
        <w:lastRenderedPageBreak/>
        <w:t xml:space="preserve">Yuflyma Penna </w:t>
      </w:r>
      <w:r w:rsidR="0092097A" w:rsidRPr="00C35766">
        <w:rPr>
          <w:rFonts w:eastAsia="Times New Roman"/>
          <w:b/>
          <w:bCs/>
          <w:spacing w:val="-1"/>
          <w:lang w:val="it-IT"/>
        </w:rPr>
        <w:t>pre-riempita</w:t>
      </w:r>
    </w:p>
    <w:p w14:paraId="5CA72AE1" w14:textId="4B49A1FC" w:rsidR="00953B2E" w:rsidRPr="00C35766" w:rsidRDefault="00953B2E">
      <w:pPr>
        <w:spacing w:before="13" w:line="240" w:lineRule="exact"/>
        <w:rPr>
          <w:rFonts w:ascii="Times New Roman" w:hAnsi="Times New Roman" w:cs="Times New Roman"/>
          <w:sz w:val="24"/>
          <w:szCs w:val="24"/>
        </w:rPr>
      </w:pPr>
    </w:p>
    <w:p w14:paraId="7C10E0DB" w14:textId="073C3920" w:rsidR="00953B2E" w:rsidRPr="00C35766" w:rsidRDefault="00CD2A6C">
      <w:pPr>
        <w:tabs>
          <w:tab w:val="left" w:pos="3004"/>
          <w:tab w:val="left" w:pos="5932"/>
        </w:tabs>
        <w:spacing w:before="33" w:line="480" w:lineRule="auto"/>
        <w:ind w:left="111" w:right="1474" w:firstLine="1653"/>
        <w:rPr>
          <w:rFonts w:ascii="Times New Roman" w:hAnsi="Times New Roman" w:cs="Times New Roman"/>
          <w:b/>
          <w:lang w:val="it-IT"/>
        </w:rPr>
      </w:pPr>
      <w:r w:rsidRPr="00C35766">
        <w:rPr>
          <w:rFonts w:ascii="Times New Roman" w:hAnsi="Times New Roman" w:cs="Times New Roman"/>
          <w:noProof/>
          <w:sz w:val="24"/>
          <w:szCs w:val="24"/>
          <w:lang w:eastAsia="ko-KR"/>
        </w:rPr>
        <w:drawing>
          <wp:inline distT="0" distB="0" distL="0" distR="0" wp14:anchorId="2C683A8C" wp14:editId="0CBD0D0B">
            <wp:extent cx="3712786" cy="3468925"/>
            <wp:effectExtent l="19050" t="19050" r="21590" b="17780"/>
            <wp:docPr id="1037" name="그림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그림3.png"/>
                    <pic:cNvPicPr/>
                  </pic:nvPicPr>
                  <pic:blipFill>
                    <a:blip r:embed="rId80">
                      <a:extLst>
                        <a:ext uri="{28A0092B-C50C-407E-A947-70E740481C1C}">
                          <a14:useLocalDpi xmlns:a14="http://schemas.microsoft.com/office/drawing/2010/main" val="0"/>
                        </a:ext>
                      </a:extLst>
                    </a:blip>
                    <a:stretch>
                      <a:fillRect/>
                    </a:stretch>
                  </pic:blipFill>
                  <pic:spPr>
                    <a:xfrm>
                      <a:off x="0" y="0"/>
                      <a:ext cx="3712786" cy="3468925"/>
                    </a:xfrm>
                    <a:prstGeom prst="rect">
                      <a:avLst/>
                    </a:prstGeom>
                    <a:ln>
                      <a:solidFill>
                        <a:schemeClr val="tx1"/>
                      </a:solidFill>
                    </a:ln>
                  </pic:spPr>
                </pic:pic>
              </a:graphicData>
            </a:graphic>
          </wp:inline>
        </w:drawing>
      </w:r>
    </w:p>
    <w:p w14:paraId="123CA333" w14:textId="17D0EC34" w:rsidR="00CD2A6C" w:rsidRPr="00C35766" w:rsidRDefault="00CD2A6C" w:rsidP="00C7325A">
      <w:pPr>
        <w:pStyle w:val="af0"/>
        <w:ind w:left="4320" w:firstLineChars="1300" w:firstLine="2603"/>
        <w:rPr>
          <w:rFonts w:ascii="Times New Roman" w:hAnsi="Times New Roman" w:cs="Times New Roman"/>
          <w:lang w:val="it-IT"/>
        </w:rPr>
      </w:pPr>
      <w:r w:rsidRPr="00C35766">
        <w:rPr>
          <w:rFonts w:ascii="Times New Roman" w:eastAsia="Times New Roman" w:hAnsi="Times New Roman" w:cs="Times New Roman"/>
          <w:lang w:val="it-IT"/>
        </w:rPr>
        <w:t>Figura </w:t>
      </w:r>
      <w:r w:rsidR="00340954" w:rsidRPr="00824699">
        <w:rPr>
          <w:rFonts w:ascii="Times New Roman" w:hAnsi="Times New Roman" w:cs="Times New Roman"/>
          <w:lang w:val="it-IT"/>
        </w:rPr>
        <w:t>A</w:t>
      </w:r>
    </w:p>
    <w:p w14:paraId="567752F6" w14:textId="77777777" w:rsidR="00CD2A6C" w:rsidRPr="00C35766" w:rsidRDefault="00CD2A6C">
      <w:pPr>
        <w:tabs>
          <w:tab w:val="left" w:pos="3004"/>
          <w:tab w:val="left" w:pos="5932"/>
        </w:tabs>
        <w:spacing w:before="33" w:line="480" w:lineRule="auto"/>
        <w:ind w:left="113" w:right="1474"/>
        <w:rPr>
          <w:rFonts w:ascii="Times New Roman" w:eastAsia="Times New Roman" w:hAnsi="Times New Roman" w:cs="Times New Roman"/>
          <w:bCs/>
          <w:spacing w:val="-1"/>
          <w:lang w:val="it-IT"/>
        </w:rPr>
      </w:pPr>
    </w:p>
    <w:p w14:paraId="2E8F19EF" w14:textId="37C47CB5" w:rsidR="00953B2E" w:rsidRPr="00C35766" w:rsidRDefault="005F0C19">
      <w:pPr>
        <w:tabs>
          <w:tab w:val="left" w:pos="3004"/>
          <w:tab w:val="left" w:pos="5932"/>
        </w:tabs>
        <w:spacing w:before="33" w:line="480" w:lineRule="auto"/>
        <w:ind w:left="113" w:right="1474"/>
        <w:rPr>
          <w:rFonts w:ascii="Times New Roman" w:hAnsi="Times New Roman" w:cs="Times New Roman"/>
          <w:b/>
          <w:lang w:val="it-IT"/>
        </w:rPr>
      </w:pPr>
      <w:r w:rsidRPr="00C35766">
        <w:rPr>
          <w:rFonts w:ascii="Times New Roman" w:eastAsia="Times New Roman" w:hAnsi="Times New Roman" w:cs="Times New Roman"/>
          <w:b/>
          <w:spacing w:val="-1"/>
          <w:lang w:val="it-IT"/>
        </w:rPr>
        <w:t xml:space="preserve">Non usi la penna </w:t>
      </w:r>
      <w:r w:rsidR="0092097A" w:rsidRPr="00C35766">
        <w:rPr>
          <w:rFonts w:ascii="Times New Roman" w:eastAsia="Times New Roman" w:hAnsi="Times New Roman" w:cs="Times New Roman"/>
          <w:b/>
          <w:spacing w:val="-1"/>
          <w:lang w:val="it-IT"/>
        </w:rPr>
        <w:t>pre-riempita</w:t>
      </w:r>
      <w:r w:rsidRPr="00C35766">
        <w:rPr>
          <w:rFonts w:ascii="Times New Roman" w:eastAsia="Times New Roman" w:hAnsi="Times New Roman" w:cs="Times New Roman"/>
          <w:b/>
          <w:spacing w:val="-1"/>
          <w:lang w:val="it-IT"/>
        </w:rPr>
        <w:t xml:space="preserve"> se:</w:t>
      </w:r>
    </w:p>
    <w:p w14:paraId="42E2C0B6" w14:textId="77777777" w:rsidR="00953B2E" w:rsidRPr="00C35766" w:rsidRDefault="005F0C19">
      <w:pPr>
        <w:pStyle w:val="a3"/>
        <w:numPr>
          <w:ilvl w:val="1"/>
          <w:numId w:val="2"/>
        </w:numPr>
        <w:ind w:left="660" w:hanging="660"/>
      </w:pPr>
      <w:r w:rsidRPr="00C35766">
        <w:rPr>
          <w:rFonts w:eastAsia="Times New Roman"/>
          <w:lang w:val="it-IT"/>
        </w:rPr>
        <w:t>è incrinata o danneggiata.</w:t>
      </w:r>
    </w:p>
    <w:p w14:paraId="1007EC9F" w14:textId="77777777" w:rsidR="00953B2E" w:rsidRPr="00613304" w:rsidRDefault="005F0C19">
      <w:pPr>
        <w:pStyle w:val="a3"/>
        <w:numPr>
          <w:ilvl w:val="1"/>
          <w:numId w:val="2"/>
        </w:numPr>
        <w:ind w:left="660" w:hanging="660"/>
        <w:rPr>
          <w:sz w:val="26"/>
          <w:szCs w:val="26"/>
          <w:lang w:val="es-ES"/>
        </w:rPr>
      </w:pPr>
      <w:r w:rsidRPr="00C35766">
        <w:rPr>
          <w:rFonts w:eastAsia="Times New Roman"/>
          <w:lang w:val="it-IT"/>
        </w:rPr>
        <w:t>è stata superata la data di scadenza.</w:t>
      </w:r>
    </w:p>
    <w:p w14:paraId="11639D40" w14:textId="35945FB7" w:rsidR="00F21E03" w:rsidRPr="00C35766" w:rsidRDefault="00F21E03">
      <w:pPr>
        <w:pStyle w:val="a3"/>
        <w:numPr>
          <w:ilvl w:val="1"/>
          <w:numId w:val="2"/>
        </w:numPr>
        <w:ind w:left="660" w:hanging="660"/>
        <w:rPr>
          <w:sz w:val="26"/>
          <w:szCs w:val="26"/>
          <w:lang w:val="es-ES"/>
        </w:rPr>
      </w:pPr>
      <w:r w:rsidRPr="00F21E03">
        <w:rPr>
          <w:rFonts w:hint="eastAsia"/>
          <w:lang w:val="es-ES"/>
        </w:rPr>
        <w:t>è</w:t>
      </w:r>
      <w:r w:rsidRPr="00F21E03">
        <w:rPr>
          <w:lang w:val="es-ES"/>
        </w:rPr>
        <w:t xml:space="preserve"> caduta su una superficie dura</w:t>
      </w:r>
      <w:r>
        <w:rPr>
          <w:lang w:val="es-ES"/>
        </w:rPr>
        <w:t>.</w:t>
      </w:r>
    </w:p>
    <w:p w14:paraId="1B0D55D2" w14:textId="77777777" w:rsidR="00953B2E" w:rsidRPr="00C35766" w:rsidRDefault="00953B2E">
      <w:pPr>
        <w:pStyle w:val="a3"/>
        <w:rPr>
          <w:lang w:val="es-ES"/>
        </w:rPr>
      </w:pPr>
    </w:p>
    <w:p w14:paraId="69A22CC2" w14:textId="3D93FD74" w:rsidR="00953B2E" w:rsidRPr="00C35766" w:rsidRDefault="005F0C19">
      <w:pPr>
        <w:pStyle w:val="a3"/>
        <w:rPr>
          <w:b/>
          <w:bCs/>
        </w:rPr>
      </w:pPr>
      <w:r w:rsidRPr="00C35766">
        <w:rPr>
          <w:rFonts w:eastAsia="Times New Roman"/>
          <w:b/>
          <w:bCs/>
          <w:lang w:val="it-IT"/>
        </w:rPr>
        <w:t>Non rimuova il cappuccio fino a quando non è pronto per effettuare l'iniezione. Tenga Yuflyma fuori dalla portata dei bambini.</w:t>
      </w:r>
    </w:p>
    <w:tbl>
      <w:tblPr>
        <w:tblStyle w:val="ac"/>
        <w:tblW w:w="0" w:type="auto"/>
        <w:tblLook w:val="04A0" w:firstRow="1" w:lastRow="0" w:firstColumn="1" w:lastColumn="0" w:noHBand="0" w:noVBand="1"/>
      </w:tblPr>
      <w:tblGrid>
        <w:gridCol w:w="9550"/>
      </w:tblGrid>
      <w:tr w:rsidR="00953B2E" w:rsidRPr="00494E69" w14:paraId="5F8E7DD6" w14:textId="77777777">
        <w:trPr>
          <w:trHeight w:val="2551"/>
        </w:trPr>
        <w:tc>
          <w:tcPr>
            <w:tcW w:w="9550" w:type="dxa"/>
          </w:tcPr>
          <w:p w14:paraId="0D9BF5A8" w14:textId="77777777" w:rsidR="00953B2E" w:rsidRPr="00C35766" w:rsidRDefault="00953B2E">
            <w:pPr>
              <w:spacing w:line="260" w:lineRule="exact"/>
              <w:rPr>
                <w:rFonts w:ascii="Times New Roman" w:eastAsia="Times New Roman" w:hAnsi="Times New Roman" w:cs="Times New Roman"/>
                <w:b/>
                <w:bCs/>
                <w:spacing w:val="-1"/>
              </w:rPr>
            </w:pPr>
          </w:p>
          <w:p w14:paraId="332BE614" w14:textId="77777777" w:rsidR="00953B2E" w:rsidRPr="00C35766" w:rsidRDefault="005F0C19" w:rsidP="00787805">
            <w:pPr>
              <w:pStyle w:val="a3"/>
              <w:numPr>
                <w:ilvl w:val="0"/>
                <w:numId w:val="24"/>
              </w:numPr>
              <w:ind w:leftChars="50" w:left="470"/>
              <w:rPr>
                <w:b/>
              </w:rPr>
            </w:pPr>
            <w:r w:rsidRPr="00C35766">
              <w:rPr>
                <w:rFonts w:eastAsia="Times New Roman"/>
                <w:b/>
                <w:bCs/>
                <w:lang w:val="it-IT"/>
              </w:rPr>
              <w:t>Prepari i materiali per l’iniezione</w:t>
            </w:r>
          </w:p>
          <w:p w14:paraId="36266203" w14:textId="77777777" w:rsidR="00953B2E" w:rsidRPr="00C35766" w:rsidRDefault="00953B2E">
            <w:pPr>
              <w:pStyle w:val="a3"/>
              <w:numPr>
                <w:ilvl w:val="0"/>
                <w:numId w:val="0"/>
              </w:numPr>
              <w:ind w:left="470"/>
              <w:rPr>
                <w:b/>
              </w:rPr>
            </w:pPr>
          </w:p>
          <w:p w14:paraId="798AD145" w14:textId="07F0EEF8" w:rsidR="00953B2E" w:rsidRPr="00C35766" w:rsidRDefault="005F0C19">
            <w:pPr>
              <w:pStyle w:val="a3"/>
              <w:ind w:leftChars="50" w:left="110"/>
              <w:rPr>
                <w:lang w:val="es-ES" w:eastAsia="ko-KR"/>
              </w:rPr>
            </w:pPr>
            <w:r w:rsidRPr="00C35766">
              <w:rPr>
                <w:rFonts w:eastAsia="Times New Roman"/>
                <w:b/>
                <w:bCs/>
                <w:lang w:val="it-IT" w:eastAsia="ko-KR"/>
              </w:rPr>
              <w:t xml:space="preserve">    a.</w:t>
            </w:r>
            <w:r w:rsidRPr="00C35766">
              <w:rPr>
                <w:rFonts w:eastAsia="Times New Roman"/>
                <w:lang w:val="it-IT" w:eastAsia="ko-KR"/>
              </w:rPr>
              <w:t xml:space="preserve"> Prepari una superficie piana pulita, ad esempio un tavolo o ripiano, in un luogo ben illuminato.</w:t>
            </w:r>
          </w:p>
          <w:p w14:paraId="5D8B4F82" w14:textId="410C50F2" w:rsidR="00953B2E" w:rsidRPr="00C35766" w:rsidRDefault="005F0C19">
            <w:pPr>
              <w:pStyle w:val="a3"/>
              <w:ind w:leftChars="50" w:left="110"/>
              <w:rPr>
                <w:lang w:val="pt-BR" w:eastAsia="ko-KR"/>
              </w:rPr>
            </w:pPr>
            <w:r w:rsidRPr="00C35766">
              <w:rPr>
                <w:rFonts w:eastAsia="Times New Roman"/>
                <w:b/>
                <w:bCs/>
                <w:lang w:val="it-IT" w:eastAsia="ko-KR"/>
              </w:rPr>
              <w:t xml:space="preserve">    b.</w:t>
            </w:r>
            <w:r w:rsidRPr="00C35766">
              <w:rPr>
                <w:rFonts w:eastAsia="Times New Roman"/>
                <w:lang w:val="it-IT" w:eastAsia="ko-KR"/>
              </w:rPr>
              <w:t xml:space="preserve"> Rimuova 1 penna </w:t>
            </w:r>
            <w:r w:rsidR="0092097A" w:rsidRPr="00C35766">
              <w:rPr>
                <w:rFonts w:eastAsia="Times New Roman"/>
                <w:lang w:val="it-IT" w:eastAsia="ko-KR"/>
              </w:rPr>
              <w:t>pre-riempita</w:t>
            </w:r>
            <w:r w:rsidRPr="00C35766">
              <w:rPr>
                <w:rFonts w:eastAsia="Times New Roman"/>
                <w:lang w:val="it-IT" w:eastAsia="ko-KR"/>
              </w:rPr>
              <w:t xml:space="preserve"> dalla scatola conservata in frigorifero.</w:t>
            </w:r>
          </w:p>
          <w:p w14:paraId="4476096A" w14:textId="77777777" w:rsidR="00953B2E" w:rsidRPr="00C35766" w:rsidRDefault="005F0C19">
            <w:pPr>
              <w:pStyle w:val="a3"/>
              <w:ind w:leftChars="50" w:left="110"/>
              <w:rPr>
                <w:lang w:val="pt-BR" w:eastAsia="ko-KR"/>
              </w:rPr>
            </w:pPr>
            <w:r w:rsidRPr="00C35766">
              <w:rPr>
                <w:rFonts w:eastAsia="Times New Roman"/>
                <w:b/>
                <w:bCs/>
                <w:lang w:val="it-IT" w:eastAsia="ko-KR"/>
              </w:rPr>
              <w:t xml:space="preserve">    c.</w:t>
            </w:r>
            <w:r w:rsidRPr="00C35766">
              <w:rPr>
                <w:rFonts w:eastAsia="Times New Roman"/>
                <w:lang w:val="it-IT" w:eastAsia="ko-KR"/>
              </w:rPr>
              <w:t xml:space="preserve"> Si assicuri di avere i seguenti materiali:</w:t>
            </w:r>
          </w:p>
          <w:p w14:paraId="7F540384" w14:textId="108A3E3E" w:rsidR="00953B2E" w:rsidRPr="00C35766" w:rsidRDefault="005F0C19">
            <w:pPr>
              <w:pStyle w:val="a3"/>
              <w:ind w:leftChars="402" w:left="884"/>
              <w:rPr>
                <w:lang w:val="pt-BR" w:eastAsia="ko-KR"/>
              </w:rPr>
            </w:pPr>
            <w:r w:rsidRPr="00C35766">
              <w:rPr>
                <w:rFonts w:eastAsia="Times New Roman"/>
                <w:lang w:val="it-IT" w:eastAsia="ko-KR"/>
              </w:rPr>
              <w:t xml:space="preserve">- Penna </w:t>
            </w:r>
            <w:r w:rsidR="0092097A" w:rsidRPr="00C35766">
              <w:rPr>
                <w:rFonts w:eastAsia="Times New Roman"/>
                <w:lang w:val="it-IT" w:eastAsia="ko-KR"/>
              </w:rPr>
              <w:t>pre-riempita</w:t>
            </w:r>
          </w:p>
          <w:p w14:paraId="5517E141" w14:textId="77777777" w:rsidR="00953B2E" w:rsidRPr="00C35766" w:rsidRDefault="00347E60">
            <w:pPr>
              <w:pStyle w:val="a3"/>
              <w:ind w:leftChars="402" w:left="1659" w:hanging="775"/>
              <w:rPr>
                <w:lang w:val="pt-BR" w:eastAsia="ko-KR"/>
              </w:rPr>
            </w:pPr>
            <w:r w:rsidRPr="00C35766">
              <w:rPr>
                <w:rFonts w:eastAsia="Times New Roman"/>
                <w:lang w:val="it-IT" w:eastAsia="ko-KR"/>
              </w:rPr>
              <w:t xml:space="preserve">- </w:t>
            </w:r>
            <w:r w:rsidR="005F0C19" w:rsidRPr="00C35766">
              <w:rPr>
                <w:rFonts w:eastAsia="Times New Roman"/>
                <w:lang w:val="it-IT" w:eastAsia="ko-KR"/>
              </w:rPr>
              <w:t>1 tampone imbevuto di alcol</w:t>
            </w:r>
          </w:p>
          <w:p w14:paraId="10294FA9" w14:textId="77777777" w:rsidR="00953B2E" w:rsidRPr="00C35766" w:rsidRDefault="00953B2E">
            <w:pPr>
              <w:pStyle w:val="a3"/>
              <w:ind w:leftChars="402" w:left="1659" w:hanging="775"/>
              <w:rPr>
                <w:lang w:val="pt-BR" w:eastAsia="ko-KR"/>
              </w:rPr>
            </w:pPr>
          </w:p>
          <w:p w14:paraId="1BE1C018" w14:textId="77777777" w:rsidR="00953B2E" w:rsidRPr="00C35766" w:rsidRDefault="005F0C19">
            <w:pPr>
              <w:pStyle w:val="a3"/>
              <w:ind w:left="720"/>
              <w:rPr>
                <w:b/>
                <w:lang w:val="pt-BR" w:eastAsia="ko-KR"/>
              </w:rPr>
            </w:pPr>
            <w:r w:rsidRPr="00C35766">
              <w:rPr>
                <w:rFonts w:eastAsia="Times New Roman"/>
                <w:b/>
                <w:bCs/>
                <w:lang w:val="it-IT" w:eastAsia="ko-KR"/>
              </w:rPr>
              <w:t>Non compreso nella scatola:</w:t>
            </w:r>
          </w:p>
          <w:p w14:paraId="3E9306F3" w14:textId="77777777" w:rsidR="00953B2E" w:rsidRPr="00C35766" w:rsidRDefault="005F0C19">
            <w:pPr>
              <w:pStyle w:val="a3"/>
              <w:ind w:left="720"/>
              <w:rPr>
                <w:lang w:val="pt-BR" w:eastAsia="ko-KR"/>
              </w:rPr>
            </w:pPr>
            <w:r w:rsidRPr="00C35766">
              <w:rPr>
                <w:rFonts w:eastAsia="Times New Roman"/>
                <w:lang w:val="it-IT" w:eastAsia="ko-KR"/>
              </w:rPr>
              <w:t>- batuffolo di cotone idrofilo o garza</w:t>
            </w:r>
          </w:p>
          <w:p w14:paraId="297E74E4" w14:textId="77777777" w:rsidR="00953B2E" w:rsidRPr="00C35766" w:rsidRDefault="005F0C19">
            <w:pPr>
              <w:pStyle w:val="a3"/>
              <w:ind w:left="720"/>
              <w:rPr>
                <w:lang w:val="pt-BR" w:eastAsia="ko-KR"/>
              </w:rPr>
            </w:pPr>
            <w:r w:rsidRPr="00C35766">
              <w:rPr>
                <w:rFonts w:eastAsia="Times New Roman"/>
                <w:lang w:val="it-IT" w:eastAsia="ko-KR"/>
              </w:rPr>
              <w:t>- cerotto adesivo</w:t>
            </w:r>
          </w:p>
          <w:p w14:paraId="735715C8" w14:textId="77777777" w:rsidR="00953B2E" w:rsidRPr="00C35766" w:rsidRDefault="005F0C19">
            <w:pPr>
              <w:pStyle w:val="a3"/>
              <w:ind w:left="720"/>
              <w:rPr>
                <w:lang w:val="pt-BR" w:eastAsia="ko-KR"/>
              </w:rPr>
            </w:pPr>
            <w:r w:rsidRPr="00C35766">
              <w:rPr>
                <w:rFonts w:eastAsia="Times New Roman"/>
                <w:lang w:val="it-IT" w:eastAsia="ko-KR"/>
              </w:rPr>
              <w:t>- contenitore per smaltimento di materiale tagliente</w:t>
            </w:r>
          </w:p>
          <w:p w14:paraId="6EEB9A61" w14:textId="77777777" w:rsidR="00953B2E" w:rsidRPr="00C35766" w:rsidRDefault="00953B2E">
            <w:pPr>
              <w:pStyle w:val="a3"/>
              <w:ind w:leftChars="402" w:left="1659" w:hanging="775"/>
              <w:rPr>
                <w:sz w:val="26"/>
                <w:szCs w:val="26"/>
                <w:lang w:val="pt-BR"/>
              </w:rPr>
            </w:pPr>
          </w:p>
        </w:tc>
      </w:tr>
      <w:tr w:rsidR="00953B2E" w:rsidRPr="006501B3" w14:paraId="57E7A1B1" w14:textId="77777777">
        <w:trPr>
          <w:trHeight w:val="5025"/>
        </w:trPr>
        <w:tc>
          <w:tcPr>
            <w:tcW w:w="9550" w:type="dxa"/>
          </w:tcPr>
          <w:p w14:paraId="787E6BA8" w14:textId="07F92B70" w:rsidR="00953B2E" w:rsidRPr="00C35766" w:rsidRDefault="00CD2A6C">
            <w:pPr>
              <w:spacing w:line="260" w:lineRule="exact"/>
              <w:rPr>
                <w:rFonts w:ascii="Times New Roman" w:hAnsi="Times New Roman" w:cs="Times New Roman"/>
                <w:sz w:val="26"/>
                <w:szCs w:val="26"/>
                <w:lang w:val="pt-BR"/>
              </w:rPr>
            </w:pPr>
            <w:r w:rsidRPr="00C35766">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8276" behindDoc="0" locked="0" layoutInCell="1" allowOverlap="1" wp14:anchorId="7D040ECC" wp14:editId="4BAA043C">
                      <wp:simplePos x="0" y="0"/>
                      <wp:positionH relativeFrom="column">
                        <wp:posOffset>62865</wp:posOffset>
                      </wp:positionH>
                      <wp:positionV relativeFrom="paragraph">
                        <wp:posOffset>105410</wp:posOffset>
                      </wp:positionV>
                      <wp:extent cx="2033905" cy="2635250"/>
                      <wp:effectExtent l="0" t="0" r="4445" b="0"/>
                      <wp:wrapSquare wrapText="bothSides"/>
                      <wp:docPr id="1085" name="그룹 1085"/>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37" name="그룹 37"/>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3F373A25" w14:textId="79ECAC40"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914400" y="1348740"/>
                                  <a:ext cx="930275" cy="3416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65FD2A" w14:textId="77777777" w:rsidR="00D97785" w:rsidRPr="004F566E" w:rsidRDefault="00D97785">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D040ECC" id="그룹 1085" o:spid="_x0000_s1142" style="position:absolute;margin-left:4.95pt;margin-top:8.3pt;width:160.15pt;height:207.5pt;z-index:251658276"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">
                      <v:group id="그룹 37" o:spid="_x0000_s1143"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144"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82" o:title=""/>
                        </v:shape>
                        <v:shape id="Text Box 5" o:spid="_x0000_s1145"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3F373A25" w14:textId="79ECAC40" w:rsidR="00D97785" w:rsidRDefault="00D97785">
                                <w:pPr>
                                  <w:pStyle w:val="af0"/>
                                  <w:jc w:val="right"/>
                                  <w:rPr>
                                    <w:rFonts w:ascii="Times New Roman" w:hAnsi="Times New Roman" w:cs="Times New Roman"/>
                                    <w:noProof/>
                                    <w:spacing w:val="-1"/>
                                  </w:rPr>
                                </w:pPr>
                                <w:r>
                                  <w:rPr>
                                    <w:rFonts w:ascii="Times New Roman" w:eastAsia="Times New Roman" w:hAnsi="Times New Roman" w:cs="Times New Roman"/>
                                    <w:lang w:val="it-IT"/>
                                  </w:rPr>
                                  <w:t>Figura </w:t>
                                </w:r>
                                <w:r>
                                  <w:rPr>
                                    <w:rFonts w:ascii="Times New Roman" w:hAnsi="Times New Roman" w:cs="Times New Roman"/>
                                  </w:rPr>
                                  <w:t>B</w:t>
                                </w:r>
                              </w:p>
                            </w:txbxContent>
                          </v:textbox>
                        </v:shape>
                      </v:group>
                      <v:shape id="Text Box 123" o:spid="_x0000_s1146" type="#_x0000_t202" style="position:absolute;left:9144;top:13487;width:9302;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5965FD2A" w14:textId="77777777" w:rsidR="00D97785" w:rsidRPr="004F566E" w:rsidRDefault="00D97785">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v:textbox>
                      </v:shape>
                      <w10:wrap type="square"/>
                    </v:group>
                  </w:pict>
                </mc:Fallback>
              </mc:AlternateContent>
            </w:r>
          </w:p>
          <w:p w14:paraId="24F501F8" w14:textId="22827A56" w:rsidR="00953B2E" w:rsidRPr="00C35766" w:rsidRDefault="005F0C19" w:rsidP="00787805">
            <w:pPr>
              <w:pStyle w:val="a3"/>
              <w:numPr>
                <w:ilvl w:val="0"/>
                <w:numId w:val="24"/>
              </w:numPr>
              <w:rPr>
                <w:b/>
              </w:rPr>
            </w:pPr>
            <w:r w:rsidRPr="00C35766">
              <w:rPr>
                <w:rFonts w:eastAsia="Times New Roman"/>
                <w:b/>
                <w:bCs/>
                <w:lang w:val="it-IT"/>
              </w:rPr>
              <w:t xml:space="preserve">Ispezioni la penna </w:t>
            </w:r>
            <w:r w:rsidR="0092097A" w:rsidRPr="00C35766">
              <w:rPr>
                <w:rFonts w:eastAsia="Times New Roman"/>
                <w:b/>
                <w:bCs/>
                <w:lang w:val="it-IT"/>
              </w:rPr>
              <w:t>pre-riempita</w:t>
            </w:r>
          </w:p>
          <w:p w14:paraId="66595D56" w14:textId="77777777" w:rsidR="00953B2E" w:rsidRPr="00C35766" w:rsidRDefault="00953B2E">
            <w:pPr>
              <w:pStyle w:val="a3"/>
              <w:numPr>
                <w:ilvl w:val="0"/>
                <w:numId w:val="0"/>
              </w:numPr>
              <w:ind w:left="471"/>
              <w:rPr>
                <w:b/>
              </w:rPr>
            </w:pPr>
          </w:p>
          <w:p w14:paraId="1C70D661" w14:textId="690AEA5E" w:rsidR="009C00CA" w:rsidRPr="00C35766" w:rsidRDefault="005F0C19">
            <w:pPr>
              <w:pStyle w:val="a3"/>
              <w:rPr>
                <w:rFonts w:eastAsia="Times New Roman"/>
                <w:b/>
                <w:bCs/>
                <w:lang w:val="it-IT" w:eastAsia="ko-KR"/>
              </w:rPr>
            </w:pPr>
            <w:r w:rsidRPr="00C35766">
              <w:rPr>
                <w:rFonts w:eastAsia="Times New Roman"/>
                <w:b/>
                <w:bCs/>
                <w:lang w:val="it-IT" w:eastAsia="ko-KR"/>
              </w:rPr>
              <w:t>a.</w:t>
            </w:r>
            <w:r w:rsidRPr="00C35766">
              <w:rPr>
                <w:rFonts w:eastAsia="Times New Roman"/>
                <w:lang w:val="it-IT" w:eastAsia="ko-KR"/>
              </w:rPr>
              <w:t xml:space="preserve"> Si assicuri di avere il medicinale (Yuflyma) e il dosaggio corretti</w:t>
            </w:r>
            <w:r w:rsidRPr="00C35766">
              <w:rPr>
                <w:rFonts w:eastAsia="Times New Roman"/>
                <w:b/>
                <w:bCs/>
                <w:lang w:val="it-IT" w:eastAsia="ko-KR"/>
              </w:rPr>
              <w:t xml:space="preserve">     </w:t>
            </w:r>
          </w:p>
          <w:p w14:paraId="6484391B" w14:textId="7318FB9F" w:rsidR="00953B2E" w:rsidRPr="00C35766" w:rsidRDefault="005F0C19">
            <w:pPr>
              <w:pStyle w:val="a3"/>
              <w:rPr>
                <w:lang w:val="it-IT"/>
              </w:rPr>
            </w:pPr>
            <w:r w:rsidRPr="00C35766">
              <w:rPr>
                <w:rFonts w:eastAsia="Times New Roman"/>
                <w:b/>
                <w:bCs/>
                <w:lang w:val="it-IT" w:eastAsia="ko-KR"/>
              </w:rPr>
              <w:t>b.</w:t>
            </w:r>
            <w:r w:rsidRPr="00C35766">
              <w:rPr>
                <w:rFonts w:eastAsia="Times New Roman"/>
                <w:lang w:val="it-IT" w:eastAsia="ko-KR"/>
              </w:rPr>
              <w:t xml:space="preserve"> Guardi la </w:t>
            </w:r>
            <w:r w:rsidR="009B005D" w:rsidRPr="00C35766">
              <w:rPr>
                <w:rFonts w:eastAsia="Times New Roman"/>
                <w:lang w:val="it-IT" w:eastAsia="ko-KR"/>
              </w:rPr>
              <w:t xml:space="preserve">penna </w:t>
            </w:r>
            <w:r w:rsidR="0092097A" w:rsidRPr="00C35766">
              <w:rPr>
                <w:rFonts w:eastAsia="Times New Roman"/>
                <w:lang w:val="it-IT" w:eastAsia="ko-KR"/>
              </w:rPr>
              <w:t>pre-riempita</w:t>
            </w:r>
            <w:r w:rsidRPr="00C35766">
              <w:rPr>
                <w:rFonts w:eastAsia="Times New Roman"/>
                <w:lang w:val="it-IT" w:eastAsia="ko-KR"/>
              </w:rPr>
              <w:t xml:space="preserve"> e si accerti che non sia incrinata o danneggiata. </w:t>
            </w:r>
          </w:p>
          <w:p w14:paraId="0596A82D" w14:textId="3E7E53D4" w:rsidR="00953B2E" w:rsidRPr="00C35766" w:rsidRDefault="005F0C19">
            <w:pPr>
              <w:spacing w:line="260" w:lineRule="exact"/>
              <w:rPr>
                <w:rFonts w:ascii="Times New Roman" w:hAnsi="Times New Roman" w:cs="Times New Roman"/>
                <w:spacing w:val="-1"/>
                <w:lang w:val="it-IT"/>
              </w:rPr>
            </w:pPr>
            <w:r w:rsidRPr="00C35766">
              <w:rPr>
                <w:rFonts w:ascii="Times New Roman" w:eastAsia="Times New Roman" w:hAnsi="Times New Roman" w:cs="Times New Roman"/>
                <w:b/>
                <w:bCs/>
                <w:spacing w:val="-1"/>
                <w:lang w:val="it-IT" w:eastAsia="ko-KR"/>
              </w:rPr>
              <w:t>c</w:t>
            </w:r>
            <w:r w:rsidRPr="00C35766">
              <w:rPr>
                <w:rFonts w:ascii="Times New Roman" w:eastAsia="Calibri" w:hAnsi="Times New Roman" w:cs="Times New Roman"/>
                <w:b/>
                <w:bCs/>
                <w:spacing w:val="-1"/>
                <w:lang w:val="it-IT" w:eastAsia="ko-KR"/>
              </w:rPr>
              <w:t>.</w:t>
            </w:r>
            <w:r w:rsidRPr="00C35766">
              <w:rPr>
                <w:rFonts w:ascii="Times New Roman" w:eastAsia="Calibri" w:hAnsi="Times New Roman" w:cs="Times New Roman"/>
                <w:spacing w:val="-1"/>
                <w:lang w:val="it-IT" w:eastAsia="ko-KR"/>
              </w:rPr>
              <w:t xml:space="preserve"> </w:t>
            </w:r>
            <w:r w:rsidRPr="00C35766">
              <w:rPr>
                <w:rFonts w:ascii="Times New Roman" w:eastAsia="Times New Roman" w:hAnsi="Times New Roman" w:cs="Times New Roman"/>
                <w:spacing w:val="-1"/>
                <w:lang w:val="it-IT" w:eastAsia="ko-KR"/>
              </w:rPr>
              <w:t>Controlli la data di scadenza sull’etichetta della penna</w:t>
            </w:r>
            <w:r w:rsidR="00347E60" w:rsidRPr="00C35766">
              <w:rPr>
                <w:rFonts w:ascii="Times New Roman" w:eastAsia="Times New Roman" w:hAnsi="Times New Roman" w:cs="Times New Roman"/>
                <w:spacing w:val="-1"/>
                <w:lang w:val="it-IT" w:eastAsia="ko-KR"/>
              </w:rPr>
              <w:t xml:space="preserve"> </w:t>
            </w:r>
            <w:r w:rsidR="0092097A" w:rsidRPr="00C35766">
              <w:rPr>
                <w:rFonts w:ascii="Times New Roman" w:eastAsia="Times New Roman" w:hAnsi="Times New Roman" w:cs="Times New Roman"/>
                <w:spacing w:val="-1"/>
                <w:lang w:val="it-IT" w:eastAsia="ko-KR"/>
              </w:rPr>
              <w:t>pre-riempita</w:t>
            </w:r>
          </w:p>
          <w:p w14:paraId="7FBE75B3" w14:textId="2158CEC8" w:rsidR="00953B2E" w:rsidRPr="00C35766" w:rsidRDefault="00953B2E">
            <w:pPr>
              <w:pStyle w:val="a3"/>
              <w:numPr>
                <w:ilvl w:val="0"/>
                <w:numId w:val="0"/>
              </w:numPr>
              <w:ind w:left="1384"/>
              <w:rPr>
                <w:lang w:val="it-IT"/>
              </w:rPr>
            </w:pPr>
          </w:p>
          <w:p w14:paraId="48B64C70" w14:textId="0845FFFD" w:rsidR="00953B2E" w:rsidRPr="00C35766" w:rsidRDefault="00953B2E">
            <w:pPr>
              <w:pStyle w:val="a3"/>
              <w:numPr>
                <w:ilvl w:val="0"/>
                <w:numId w:val="0"/>
              </w:numPr>
              <w:ind w:left="984"/>
              <w:rPr>
                <w:b/>
                <w:lang w:val="it-IT"/>
              </w:rPr>
            </w:pPr>
          </w:p>
          <w:p w14:paraId="149F3AA2" w14:textId="0F62B393" w:rsidR="00953B2E" w:rsidRPr="00C35766" w:rsidRDefault="005F0C19">
            <w:pPr>
              <w:pStyle w:val="a3"/>
              <w:numPr>
                <w:ilvl w:val="0"/>
                <w:numId w:val="0"/>
              </w:numPr>
              <w:ind w:left="984"/>
              <w:rPr>
                <w:lang w:val="it-IT"/>
              </w:rPr>
            </w:pPr>
            <w:r w:rsidRPr="00C35766">
              <w:rPr>
                <w:rFonts w:eastAsia="Times New Roman"/>
                <w:b/>
                <w:bCs/>
                <w:lang w:val="it-IT" w:eastAsia="ko-KR"/>
              </w:rPr>
              <w:t>Non</w:t>
            </w:r>
            <w:r w:rsidRPr="00C35766">
              <w:rPr>
                <w:rFonts w:eastAsia="Times New Roman"/>
                <w:lang w:val="it-IT" w:eastAsia="ko-KR"/>
              </w:rPr>
              <w:t xml:space="preserve"> usi la penna </w:t>
            </w:r>
            <w:r w:rsidR="0092097A" w:rsidRPr="00C35766">
              <w:rPr>
                <w:rFonts w:eastAsia="Times New Roman"/>
                <w:lang w:val="it-IT" w:eastAsia="ko-KR"/>
              </w:rPr>
              <w:t>pre-riempita</w:t>
            </w:r>
            <w:r w:rsidRPr="00C35766">
              <w:rPr>
                <w:rFonts w:eastAsia="Times New Roman"/>
                <w:lang w:val="it-IT" w:eastAsia="ko-KR"/>
              </w:rPr>
              <w:t xml:space="preserve"> se:</w:t>
            </w:r>
          </w:p>
          <w:p w14:paraId="3B991971" w14:textId="5E472A28" w:rsidR="00953B2E" w:rsidRPr="00C35766" w:rsidRDefault="005F0C19" w:rsidP="00787805">
            <w:pPr>
              <w:pStyle w:val="a3"/>
              <w:numPr>
                <w:ilvl w:val="0"/>
                <w:numId w:val="17"/>
              </w:numPr>
              <w:rPr>
                <w:lang w:eastAsia="ko-KR"/>
              </w:rPr>
            </w:pPr>
            <w:r w:rsidRPr="00C35766">
              <w:rPr>
                <w:rFonts w:eastAsia="Times New Roman"/>
                <w:lang w:val="it-IT" w:eastAsia="ko-KR"/>
              </w:rPr>
              <w:t xml:space="preserve">è incrinata o danneggiata </w:t>
            </w:r>
          </w:p>
          <w:p w14:paraId="74E31A96" w14:textId="77777777" w:rsidR="00953B2E" w:rsidRPr="00613304" w:rsidRDefault="005F0C19" w:rsidP="00787805">
            <w:pPr>
              <w:pStyle w:val="a3"/>
              <w:numPr>
                <w:ilvl w:val="0"/>
                <w:numId w:val="17"/>
              </w:numPr>
              <w:rPr>
                <w:sz w:val="26"/>
                <w:szCs w:val="26"/>
                <w:lang w:val="es-ES"/>
              </w:rPr>
            </w:pPr>
            <w:r w:rsidRPr="00C35766">
              <w:rPr>
                <w:rFonts w:eastAsia="Times New Roman"/>
                <w:lang w:val="it-IT" w:eastAsia="ko-KR"/>
              </w:rPr>
              <w:t xml:space="preserve">è stata superata la data di scadenza. </w:t>
            </w:r>
          </w:p>
          <w:p w14:paraId="7B71CD8D" w14:textId="477FE13B" w:rsidR="00F21E03" w:rsidRPr="00C35766" w:rsidRDefault="00F21E03" w:rsidP="00787805">
            <w:pPr>
              <w:pStyle w:val="a3"/>
              <w:numPr>
                <w:ilvl w:val="0"/>
                <w:numId w:val="17"/>
              </w:numPr>
              <w:rPr>
                <w:sz w:val="26"/>
                <w:szCs w:val="26"/>
                <w:lang w:val="es-ES"/>
              </w:rPr>
            </w:pPr>
            <w:r w:rsidRPr="00F21E03">
              <w:rPr>
                <w:rFonts w:hint="eastAsia"/>
                <w:lang w:val="es-ES"/>
              </w:rPr>
              <w:t>è</w:t>
            </w:r>
            <w:r w:rsidRPr="00F21E03">
              <w:rPr>
                <w:lang w:val="es-ES"/>
              </w:rPr>
              <w:t xml:space="preserve"> caduta su una superficie dura</w:t>
            </w:r>
            <w:r>
              <w:rPr>
                <w:lang w:val="es-ES"/>
              </w:rPr>
              <w:t>.</w:t>
            </w:r>
          </w:p>
        </w:tc>
      </w:tr>
      <w:tr w:rsidR="00953B2E" w:rsidRPr="00C35766" w14:paraId="46B68473" w14:textId="77777777">
        <w:trPr>
          <w:trHeight w:val="4969"/>
        </w:trPr>
        <w:tc>
          <w:tcPr>
            <w:tcW w:w="9550" w:type="dxa"/>
          </w:tcPr>
          <w:p w14:paraId="6C32ECB9" w14:textId="77777777" w:rsidR="00953B2E" w:rsidRPr="00C35766" w:rsidRDefault="00953B2E">
            <w:pPr>
              <w:spacing w:line="260" w:lineRule="exact"/>
              <w:rPr>
                <w:rFonts w:ascii="Times New Roman" w:eastAsia="Times New Roman" w:hAnsi="Times New Roman" w:cs="Times New Roman"/>
                <w:b/>
                <w:bCs/>
                <w:spacing w:val="-1"/>
                <w:lang w:val="es-ES"/>
              </w:rPr>
            </w:pPr>
          </w:p>
          <w:p w14:paraId="78B064D9" w14:textId="77777777" w:rsidR="00953B2E" w:rsidRPr="00C35766" w:rsidRDefault="00953B2E">
            <w:pPr>
              <w:spacing w:line="260" w:lineRule="exact"/>
              <w:rPr>
                <w:rFonts w:ascii="Times New Roman" w:hAnsi="Times New Roman" w:cs="Times New Roman"/>
                <w:sz w:val="26"/>
                <w:szCs w:val="26"/>
                <w:lang w:val="es-ES"/>
              </w:rPr>
            </w:pPr>
          </w:p>
          <w:p w14:paraId="2219CB8D" w14:textId="77777777" w:rsidR="00953B2E" w:rsidRPr="00C35766" w:rsidRDefault="005F0C19">
            <w:pPr>
              <w:spacing w:line="260" w:lineRule="exact"/>
              <w:rPr>
                <w:rFonts w:ascii="Times New Roman" w:hAnsi="Times New Roman" w:cs="Times New Roman"/>
                <w:sz w:val="26"/>
                <w:szCs w:val="26"/>
                <w:lang w:val="es-ES"/>
              </w:rPr>
            </w:pPr>
            <w:r w:rsidRPr="00C35766">
              <w:rPr>
                <w:rFonts w:ascii="Times New Roman" w:hAnsi="Times New Roman" w:cs="Times New Roman"/>
                <w:noProof/>
                <w:sz w:val="26"/>
                <w:szCs w:val="26"/>
                <w:lang w:eastAsia="ko-KR"/>
              </w:rPr>
              <mc:AlternateContent>
                <mc:Choice Requires="wpg">
                  <w:drawing>
                    <wp:anchor distT="0" distB="0" distL="114300" distR="114300" simplePos="0" relativeHeight="251658246" behindDoc="0" locked="0" layoutInCell="1" allowOverlap="1" wp14:anchorId="3C18D88F" wp14:editId="54715633">
                      <wp:simplePos x="0" y="0"/>
                      <wp:positionH relativeFrom="column">
                        <wp:posOffset>67945</wp:posOffset>
                      </wp:positionH>
                      <wp:positionV relativeFrom="paragraph">
                        <wp:posOffset>19050</wp:posOffset>
                      </wp:positionV>
                      <wp:extent cx="2084705" cy="2673350"/>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34" name="그림 34"/>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64615" y="2527300"/>
                                  <a:ext cx="720090" cy="146050"/>
                                </a:xfrm>
                                <a:prstGeom prst="rect">
                                  <a:avLst/>
                                </a:prstGeom>
                                <a:solidFill>
                                  <a:prstClr val="white"/>
                                </a:solidFill>
                                <a:ln>
                                  <a:noFill/>
                                </a:ln>
                              </wps:spPr>
                              <wps:txbx>
                                <w:txbxContent>
                                  <w:p w14:paraId="09D27613" w14:textId="21F22811" w:rsidR="00D97785" w:rsidRDefault="00D97785">
                                    <w:pPr>
                                      <w:pStyle w:val="af0"/>
                                      <w:jc w:val="right"/>
                                      <w:rPr>
                                        <w:rFonts w:ascii="Times New Roman" w:hAnsi="Times New Roman" w:cs="Times New Roman"/>
                                      </w:rPr>
                                    </w:pPr>
                                    <w:r>
                                      <w:rPr>
                                        <w:rFonts w:ascii="Times New Roman" w:eastAsia="Times New Roman" w:hAnsi="Times New Roman" w:cs="Times New Roman"/>
                                        <w:lang w:val="it-IT"/>
                                      </w:rPr>
                                      <w:t>Figura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C18D88F" id="그룹 36" o:spid="_x0000_s1147" style="position:absolute;margin-left:5.35pt;margin-top:1.5pt;width:164.15pt;height:210.5pt;z-index:251658246"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">
                      <v:shape id="그림 34" o:spid="_x0000_s1148"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84" o:title=""/>
                      </v:shape>
                      <v:shape id="Text Box 6" o:spid="_x0000_s1149"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09D27613" w14:textId="21F22811" w:rsidR="00D97785" w:rsidRDefault="00D97785">
                              <w:pPr>
                                <w:pStyle w:val="af0"/>
                                <w:jc w:val="right"/>
                                <w:rPr>
                                  <w:rFonts w:ascii="Times New Roman" w:hAnsi="Times New Roman" w:cs="Times New Roman"/>
                                </w:rPr>
                              </w:pPr>
                              <w:r>
                                <w:rPr>
                                  <w:rFonts w:ascii="Times New Roman" w:eastAsia="Times New Roman" w:hAnsi="Times New Roman" w:cs="Times New Roman"/>
                                  <w:lang w:val="it-IT"/>
                                </w:rPr>
                                <w:t>Figura </w:t>
                              </w:r>
                              <w:r>
                                <w:rPr>
                                  <w:rFonts w:ascii="Times New Roman" w:hAnsi="Times New Roman" w:cs="Times New Roman"/>
                                </w:rPr>
                                <w:t>C</w:t>
                              </w:r>
                            </w:p>
                          </w:txbxContent>
                        </v:textbox>
                      </v:shape>
                      <w10:wrap type="square"/>
                    </v:group>
                  </w:pict>
                </mc:Fallback>
              </mc:AlternateContent>
            </w:r>
          </w:p>
          <w:p w14:paraId="52A2974B" w14:textId="77777777" w:rsidR="00953B2E" w:rsidRPr="00C35766" w:rsidRDefault="005F0C19" w:rsidP="00787805">
            <w:pPr>
              <w:pStyle w:val="a3"/>
              <w:numPr>
                <w:ilvl w:val="0"/>
                <w:numId w:val="24"/>
              </w:numPr>
              <w:rPr>
                <w:b/>
              </w:rPr>
            </w:pPr>
            <w:r w:rsidRPr="00C35766">
              <w:rPr>
                <w:rFonts w:eastAsia="Times New Roman"/>
                <w:b/>
                <w:bCs/>
                <w:spacing w:val="-1"/>
                <w:lang w:val="it-IT"/>
              </w:rPr>
              <w:t>Ispezioni il farmaco.</w:t>
            </w:r>
          </w:p>
          <w:p w14:paraId="4293057E" w14:textId="77777777" w:rsidR="00953B2E" w:rsidRPr="00C35766" w:rsidRDefault="00953B2E">
            <w:pPr>
              <w:spacing w:line="260" w:lineRule="exact"/>
              <w:rPr>
                <w:rFonts w:ascii="Times New Roman" w:hAnsi="Times New Roman" w:cs="Times New Roman"/>
                <w:sz w:val="26"/>
                <w:szCs w:val="26"/>
              </w:rPr>
            </w:pPr>
          </w:p>
          <w:p w14:paraId="3595FFD4" w14:textId="31BC2950" w:rsidR="00953B2E" w:rsidRPr="00C35766" w:rsidRDefault="005F0C19" w:rsidP="00C0539A">
            <w:pPr>
              <w:pStyle w:val="a3"/>
              <w:rPr>
                <w:lang w:val="pt-BR"/>
              </w:rPr>
            </w:pPr>
            <w:r w:rsidRPr="00C35766">
              <w:rPr>
                <w:rFonts w:eastAsia="Times New Roman"/>
                <w:b/>
                <w:bCs/>
                <w:lang w:val="it-IT"/>
              </w:rPr>
              <w:t>a.</w:t>
            </w:r>
            <w:r w:rsidRPr="00C35766">
              <w:rPr>
                <w:rFonts w:eastAsia="Times New Roman"/>
                <w:lang w:val="it-IT"/>
              </w:rPr>
              <w:t>Guardi attraverso la finestra e si assicuri che il liquido</w:t>
            </w:r>
            <w:r w:rsidR="00BA5FEC" w:rsidRPr="00C35766">
              <w:rPr>
                <w:rFonts w:eastAsia="Times New Roman"/>
                <w:lang w:val="it-IT"/>
              </w:rPr>
              <w:t xml:space="preserve"> </w:t>
            </w:r>
            <w:r w:rsidR="00EA38CA" w:rsidRPr="00C35766">
              <w:rPr>
                <w:rFonts w:eastAsia="Times New Roman"/>
                <w:lang w:val="it-IT"/>
              </w:rPr>
              <w:t>sia limpido, da incolore a marrone chiaro e privo di particelle</w:t>
            </w:r>
            <w:r w:rsidRPr="00C35766">
              <w:rPr>
                <w:rFonts w:eastAsia="Times New Roman"/>
                <w:lang w:val="it-IT"/>
              </w:rPr>
              <w:t>.</w:t>
            </w:r>
          </w:p>
          <w:p w14:paraId="56844A8C" w14:textId="77777777" w:rsidR="00953B2E" w:rsidRPr="00C35766" w:rsidRDefault="00953B2E" w:rsidP="00C0539A">
            <w:pPr>
              <w:pStyle w:val="a3"/>
              <w:rPr>
                <w:lang w:val="pt-BR"/>
              </w:rPr>
            </w:pPr>
          </w:p>
          <w:p w14:paraId="2A8EC64C" w14:textId="24FA7FED" w:rsidR="00953B2E" w:rsidRPr="00C35766" w:rsidRDefault="005F0C19" w:rsidP="00787805">
            <w:pPr>
              <w:pStyle w:val="a3"/>
              <w:numPr>
                <w:ilvl w:val="0"/>
                <w:numId w:val="17"/>
              </w:numPr>
              <w:rPr>
                <w:rFonts w:eastAsia="Times New Roman"/>
                <w:bCs/>
                <w:lang w:val="it-IT"/>
              </w:rPr>
            </w:pPr>
            <w:r w:rsidRPr="00C35766">
              <w:rPr>
                <w:rFonts w:eastAsia="Times New Roman"/>
                <w:b/>
                <w:bCs/>
                <w:lang w:val="it-IT"/>
              </w:rPr>
              <w:t xml:space="preserve">Non </w:t>
            </w:r>
            <w:r w:rsidRPr="00C35766">
              <w:rPr>
                <w:rFonts w:eastAsia="Times New Roman"/>
                <w:bCs/>
                <w:lang w:val="it-IT"/>
              </w:rPr>
              <w:t xml:space="preserve">usi la </w:t>
            </w:r>
            <w:r w:rsidR="00347E60" w:rsidRPr="00C35766">
              <w:rPr>
                <w:rFonts w:eastAsia="Times New Roman"/>
                <w:bCs/>
                <w:lang w:val="it-IT"/>
              </w:rPr>
              <w:t xml:space="preserve">penna </w:t>
            </w:r>
            <w:r w:rsidR="0092097A" w:rsidRPr="00C35766">
              <w:rPr>
                <w:rFonts w:eastAsia="Times New Roman"/>
                <w:bCs/>
                <w:lang w:val="it-IT"/>
              </w:rPr>
              <w:t>pre-riempita</w:t>
            </w:r>
            <w:r w:rsidRPr="00C35766">
              <w:rPr>
                <w:rFonts w:eastAsia="Times New Roman"/>
                <w:bCs/>
                <w:lang w:val="it-IT"/>
              </w:rPr>
              <w:t xml:space="preserve"> se il liquido è</w:t>
            </w:r>
            <w:r w:rsidR="00EA38CA" w:rsidRPr="00C35766">
              <w:rPr>
                <w:rFonts w:eastAsia="Times New Roman"/>
                <w:bCs/>
                <w:lang w:val="it-IT"/>
              </w:rPr>
              <w:t xml:space="preserve"> </w:t>
            </w:r>
            <w:r w:rsidRPr="00C35766">
              <w:rPr>
                <w:rFonts w:eastAsia="Times New Roman"/>
                <w:bCs/>
                <w:lang w:val="it-IT"/>
              </w:rPr>
              <w:t>di colore alterato (giallo o marrone scuro), torbido o contiene</w:t>
            </w:r>
            <w:r w:rsidR="00347E60" w:rsidRPr="00C35766">
              <w:rPr>
                <w:rFonts w:eastAsia="Times New Roman"/>
                <w:bCs/>
                <w:lang w:val="it-IT"/>
              </w:rPr>
              <w:t xml:space="preserve"> </w:t>
            </w:r>
            <w:r w:rsidR="00EA38CA" w:rsidRPr="00C35766">
              <w:rPr>
                <w:rFonts w:eastAsia="Times New Roman"/>
                <w:bCs/>
                <w:lang w:val="it-IT"/>
              </w:rPr>
              <w:t>particelle</w:t>
            </w:r>
          </w:p>
          <w:p w14:paraId="425A11E6" w14:textId="77777777" w:rsidR="00953B2E" w:rsidRPr="00613304" w:rsidRDefault="005F0C19" w:rsidP="00787805">
            <w:pPr>
              <w:pStyle w:val="a3"/>
              <w:numPr>
                <w:ilvl w:val="0"/>
                <w:numId w:val="17"/>
              </w:numPr>
              <w:rPr>
                <w:rFonts w:eastAsia="Times New Roman"/>
                <w:lang w:val="it-IT"/>
              </w:rPr>
            </w:pPr>
            <w:r w:rsidRPr="00613304">
              <w:rPr>
                <w:rFonts w:eastAsia="Times New Roman"/>
                <w:lang w:val="it-IT"/>
              </w:rPr>
              <w:t>Potrebbe vedere bolle d’aria nel liquido. Questo è normale.</w:t>
            </w:r>
          </w:p>
          <w:p w14:paraId="146D788D" w14:textId="77777777" w:rsidR="00953B2E" w:rsidRPr="00C35766" w:rsidRDefault="00953B2E">
            <w:pPr>
              <w:pStyle w:val="a3"/>
              <w:rPr>
                <w:lang w:val="it-IT"/>
              </w:rPr>
            </w:pPr>
          </w:p>
        </w:tc>
      </w:tr>
    </w:tbl>
    <w:p w14:paraId="630417B3" w14:textId="0F43326A" w:rsidR="00953B2E" w:rsidRPr="00C35766" w:rsidRDefault="00953B2E">
      <w:pPr>
        <w:spacing w:line="260" w:lineRule="exact"/>
        <w:rPr>
          <w:rFonts w:ascii="Times New Roman" w:hAnsi="Times New Roman" w:cs="Times New Roman"/>
          <w:sz w:val="26"/>
          <w:lang w:val="it-IT"/>
        </w:rPr>
      </w:pPr>
    </w:p>
    <w:p w14:paraId="2F0E2BC2" w14:textId="77777777" w:rsidR="00953B2E" w:rsidRPr="00C35766" w:rsidRDefault="00953B2E">
      <w:pPr>
        <w:spacing w:line="260" w:lineRule="exact"/>
        <w:rPr>
          <w:rFonts w:ascii="Times New Roman" w:hAnsi="Times New Roman" w:cs="Times New Roman"/>
          <w:sz w:val="26"/>
          <w:lang w:val="it-IT"/>
        </w:rPr>
      </w:pPr>
    </w:p>
    <w:p w14:paraId="4DB1835F" w14:textId="77777777" w:rsidR="00953B2E" w:rsidRPr="00C35766" w:rsidRDefault="00953B2E">
      <w:pPr>
        <w:spacing w:line="260" w:lineRule="exact"/>
        <w:rPr>
          <w:rFonts w:ascii="Times New Roman" w:hAnsi="Times New Roman" w:cs="Times New Roman"/>
          <w:sz w:val="26"/>
          <w:lang w:val="it-IT"/>
        </w:rPr>
      </w:pPr>
    </w:p>
    <w:p w14:paraId="2E09C1CF" w14:textId="77777777" w:rsidR="00953B2E" w:rsidRPr="00C35766" w:rsidRDefault="00953B2E">
      <w:pPr>
        <w:rPr>
          <w:rFonts w:ascii="Times New Roman" w:hAnsi="Times New Roman" w:cs="Times New Roman"/>
          <w:lang w:val="it-IT"/>
        </w:rPr>
      </w:pPr>
    </w:p>
    <w:tbl>
      <w:tblPr>
        <w:tblStyle w:val="ac"/>
        <w:tblW w:w="0" w:type="auto"/>
        <w:tblLook w:val="04A0" w:firstRow="1" w:lastRow="0" w:firstColumn="1" w:lastColumn="0" w:noHBand="0" w:noVBand="1"/>
      </w:tblPr>
      <w:tblGrid>
        <w:gridCol w:w="9550"/>
      </w:tblGrid>
      <w:tr w:rsidR="00953B2E" w:rsidRPr="006501B3" w14:paraId="1AB40F97" w14:textId="77777777">
        <w:trPr>
          <w:trHeight w:val="5238"/>
        </w:trPr>
        <w:tc>
          <w:tcPr>
            <w:tcW w:w="9550" w:type="dxa"/>
          </w:tcPr>
          <w:p w14:paraId="475CE410" w14:textId="77777777" w:rsidR="00953B2E" w:rsidRPr="00C35766" w:rsidRDefault="00953B2E">
            <w:pPr>
              <w:spacing w:line="260" w:lineRule="exact"/>
              <w:rPr>
                <w:rFonts w:ascii="Times New Roman" w:hAnsi="Times New Roman" w:cs="Times New Roman"/>
                <w:b/>
                <w:spacing w:val="-1"/>
                <w:lang w:val="it-IT"/>
              </w:rPr>
            </w:pPr>
          </w:p>
          <w:p w14:paraId="51A606B0" w14:textId="0DCEE63C" w:rsidR="00953B2E" w:rsidRPr="00C35766" w:rsidRDefault="00CD2A6C">
            <w:pPr>
              <w:spacing w:line="260" w:lineRule="exact"/>
              <w:rPr>
                <w:rFonts w:ascii="Times New Roman" w:hAnsi="Times New Roman" w:cs="Times New Roman"/>
                <w:b/>
                <w:lang w:val="it-IT"/>
              </w:rPr>
            </w:pPr>
            <w:r w:rsidRPr="00C35766">
              <w:rPr>
                <w:rFonts w:ascii="Times New Roman" w:hAnsi="Times New Roman" w:cs="Times New Roman"/>
                <w:b/>
                <w:noProof/>
                <w:lang w:eastAsia="ko-KR"/>
              </w:rPr>
              <mc:AlternateContent>
                <mc:Choice Requires="wpg">
                  <w:drawing>
                    <wp:anchor distT="0" distB="0" distL="114300" distR="114300" simplePos="0" relativeHeight="251658275" behindDoc="0" locked="0" layoutInCell="1" allowOverlap="1" wp14:anchorId="556339A7" wp14:editId="1B04CBA8">
                      <wp:simplePos x="0" y="0"/>
                      <wp:positionH relativeFrom="column">
                        <wp:posOffset>55245</wp:posOffset>
                      </wp:positionH>
                      <wp:positionV relativeFrom="paragraph">
                        <wp:posOffset>161290</wp:posOffset>
                      </wp:positionV>
                      <wp:extent cx="2154555" cy="2774950"/>
                      <wp:effectExtent l="0" t="0" r="0" b="6350"/>
                      <wp:wrapSquare wrapText="bothSides"/>
                      <wp:docPr id="1086" name="그룹 1086"/>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wpg:grpSp>
                              <wpg:cNvPr id="35" name="그룹 35"/>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60A6743E" w14:textId="03FC4D84" w:rsidR="00D97785" w:rsidRDefault="00D97785">
                                      <w:pPr>
                                        <w:pStyle w:val="af0"/>
                                        <w:jc w:val="right"/>
                                        <w:rPr>
                                          <w:rFonts w:ascii="Times New Roman" w:hAnsi="Times New Roman" w:cs="Times New Roman"/>
                                          <w:szCs w:val="22"/>
                                        </w:rPr>
                                      </w:pPr>
                                      <w:r>
                                        <w:rPr>
                                          <w:rFonts w:ascii="Times New Roman" w:eastAsia="Times New Roman" w:hAnsi="Times New Roman" w:cs="Times New Roman"/>
                                          <w:lang w:val="it-IT"/>
                                        </w:rPr>
                                        <w:t>Figura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74420" y="2286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F1515" w14:textId="56518354" w:rsidR="00D97785" w:rsidRDefault="00D97785">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56339A7" id="그룹 1086" o:spid="_x0000_s1150" style="position:absolute;margin-left:4.35pt;margin-top:12.7pt;width:169.65pt;height:218.5pt;z-index:251658275"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">
                      <v:group id="그룹 35" o:spid="_x0000_s1151" style="position:absolute;width:21545;height:27749" coordsize="21545,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152"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86" o:title=""/>
                        </v:shape>
                        <v:shape id="Text Box 7" o:spid="_x0000_s1153"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60A6743E" w14:textId="03FC4D84" w:rsidR="00D97785" w:rsidRDefault="00D97785">
                                <w:pPr>
                                  <w:pStyle w:val="af0"/>
                                  <w:jc w:val="right"/>
                                  <w:rPr>
                                    <w:rFonts w:ascii="Times New Roman" w:hAnsi="Times New Roman" w:cs="Times New Roman"/>
                                    <w:szCs w:val="22"/>
                                  </w:rPr>
                                </w:pPr>
                                <w:r>
                                  <w:rPr>
                                    <w:rFonts w:ascii="Times New Roman" w:eastAsia="Times New Roman" w:hAnsi="Times New Roman" w:cs="Times New Roman"/>
                                    <w:lang w:val="it-IT"/>
                                  </w:rPr>
                                  <w:t>Figura </w:t>
                                </w:r>
                                <w:r>
                                  <w:rPr>
                                    <w:rFonts w:ascii="Times New Roman" w:hAnsi="Times New Roman" w:cs="Times New Roman"/>
                                  </w:rPr>
                                  <w:t>D</w:t>
                                </w:r>
                              </w:p>
                            </w:txbxContent>
                          </v:textbox>
                        </v:shape>
                      </v:group>
                      <v:shape id="Text Box 122" o:spid="_x0000_s1154" type="#_x0000_t202" style="position:absolute;left:10744;top:228;width:8585;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125F1515" w14:textId="56518354" w:rsidR="00D97785" w:rsidRDefault="00D97785">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it-IT"/>
                                </w:rPr>
                                <w:t>15 – 30 minuti</w:t>
                              </w:r>
                            </w:p>
                          </w:txbxContent>
                        </v:textbox>
                      </v:shape>
                      <w10:wrap type="square"/>
                    </v:group>
                  </w:pict>
                </mc:Fallback>
              </mc:AlternateContent>
            </w:r>
          </w:p>
          <w:p w14:paraId="695B75B6" w14:textId="616D9443" w:rsidR="00953B2E" w:rsidRPr="00C35766" w:rsidRDefault="00953B2E">
            <w:pPr>
              <w:spacing w:line="260" w:lineRule="exact"/>
              <w:rPr>
                <w:rFonts w:ascii="Times New Roman" w:hAnsi="Times New Roman" w:cs="Times New Roman"/>
                <w:b/>
                <w:lang w:val="it-IT"/>
              </w:rPr>
            </w:pPr>
          </w:p>
          <w:p w14:paraId="74BFB6E8" w14:textId="77777777" w:rsidR="00953B2E" w:rsidRPr="00C35766" w:rsidRDefault="00953B2E">
            <w:pPr>
              <w:spacing w:line="260" w:lineRule="exact"/>
              <w:rPr>
                <w:rFonts w:ascii="Times New Roman" w:hAnsi="Times New Roman" w:cs="Times New Roman"/>
                <w:b/>
                <w:lang w:val="it-IT"/>
              </w:rPr>
            </w:pPr>
          </w:p>
          <w:p w14:paraId="79D8E2C8" w14:textId="77777777" w:rsidR="00953B2E" w:rsidRPr="00C35766" w:rsidRDefault="005F0C19" w:rsidP="00787805">
            <w:pPr>
              <w:pStyle w:val="a3"/>
              <w:numPr>
                <w:ilvl w:val="0"/>
                <w:numId w:val="24"/>
              </w:numPr>
              <w:rPr>
                <w:b/>
              </w:rPr>
            </w:pPr>
            <w:r w:rsidRPr="00C35766">
              <w:rPr>
                <w:rFonts w:eastAsia="Times New Roman"/>
                <w:b/>
                <w:bCs/>
                <w:lang w:val="it-IT"/>
              </w:rPr>
              <w:t xml:space="preserve">Attenda 15-30 minuti </w:t>
            </w:r>
          </w:p>
          <w:p w14:paraId="10810048" w14:textId="77777777" w:rsidR="00953B2E" w:rsidRPr="00C35766" w:rsidRDefault="005F0C19">
            <w:pPr>
              <w:pStyle w:val="Default"/>
              <w:rPr>
                <w:rFonts w:ascii="Times New Roman" w:hAnsi="Times New Roman" w:cs="Times New Roman"/>
              </w:rPr>
            </w:pPr>
            <w:r w:rsidRPr="00C35766">
              <w:rPr>
                <w:rFonts w:ascii="Times New Roman" w:hAnsi="Times New Roman" w:cs="Times New Roman"/>
              </w:rPr>
              <w:t xml:space="preserve"> </w:t>
            </w:r>
          </w:p>
          <w:p w14:paraId="20091299" w14:textId="357C89EE" w:rsidR="00953B2E" w:rsidRPr="00C35766" w:rsidRDefault="005F0C19" w:rsidP="00C7325A">
            <w:pPr>
              <w:pStyle w:val="a3"/>
              <w:ind w:left="3964" w:hangingChars="1800" w:hanging="3964"/>
              <w:rPr>
                <w:lang w:val="pt-BR"/>
              </w:rPr>
            </w:pPr>
            <w:r w:rsidRPr="00C35766">
              <w:rPr>
                <w:rFonts w:eastAsia="Times New Roman"/>
                <w:b/>
                <w:bCs/>
                <w:lang w:val="it-IT"/>
              </w:rPr>
              <w:t xml:space="preserve">     a.</w:t>
            </w:r>
            <w:r w:rsidRPr="00C35766">
              <w:rPr>
                <w:rFonts w:eastAsia="Times New Roman"/>
                <w:lang w:val="it-IT"/>
              </w:rPr>
              <w:t xml:space="preserve"> Lasci la penna </w:t>
            </w:r>
            <w:r w:rsidR="0092097A" w:rsidRPr="00C35766">
              <w:rPr>
                <w:rFonts w:eastAsia="Times New Roman"/>
                <w:lang w:val="it-IT"/>
              </w:rPr>
              <w:t>pre-riempita</w:t>
            </w:r>
            <w:r w:rsidRPr="00C35766">
              <w:rPr>
                <w:rFonts w:eastAsia="Times New Roman"/>
                <w:lang w:val="it-IT"/>
              </w:rPr>
              <w:t xml:space="preserve"> a temperatura ambiente per </w:t>
            </w:r>
            <w:r w:rsidR="00CD2A6C" w:rsidRPr="00C35766">
              <w:rPr>
                <w:rFonts w:eastAsia="Times New Roman"/>
                <w:lang w:val="it-IT"/>
              </w:rPr>
              <w:br/>
            </w:r>
            <w:r w:rsidRPr="00C35766">
              <w:rPr>
                <w:rFonts w:eastAsia="Times New Roman"/>
                <w:lang w:val="it-IT"/>
              </w:rPr>
              <w:t>15-30 minuti in modo che si possa scaldare.</w:t>
            </w:r>
          </w:p>
          <w:p w14:paraId="171B3181" w14:textId="77777777" w:rsidR="00953B2E" w:rsidRPr="00C35766" w:rsidRDefault="00953B2E">
            <w:pPr>
              <w:pStyle w:val="Default"/>
              <w:rPr>
                <w:rFonts w:ascii="Times New Roman" w:hAnsi="Times New Roman" w:cs="Times New Roman"/>
                <w:color w:val="211D1E"/>
                <w:sz w:val="20"/>
                <w:szCs w:val="20"/>
                <w:lang w:val="pt-BR"/>
              </w:rPr>
            </w:pPr>
          </w:p>
          <w:p w14:paraId="0946E501" w14:textId="77777777" w:rsidR="00953B2E" w:rsidRPr="00C35766" w:rsidRDefault="00953B2E">
            <w:pPr>
              <w:pStyle w:val="a3"/>
              <w:numPr>
                <w:ilvl w:val="0"/>
                <w:numId w:val="0"/>
              </w:numPr>
              <w:ind w:left="911"/>
              <w:rPr>
                <w:b/>
                <w:lang w:val="pt-BR"/>
              </w:rPr>
            </w:pPr>
          </w:p>
          <w:p w14:paraId="6C97317B" w14:textId="5348E2A8" w:rsidR="00EE140E" w:rsidRPr="00C35766" w:rsidRDefault="00EE140E" w:rsidP="00787805">
            <w:pPr>
              <w:pStyle w:val="a3"/>
              <w:numPr>
                <w:ilvl w:val="0"/>
                <w:numId w:val="17"/>
              </w:numPr>
              <w:rPr>
                <w:rFonts w:eastAsia="Times New Roman"/>
                <w:b/>
                <w:bCs/>
                <w:lang w:val="it-IT"/>
              </w:rPr>
            </w:pPr>
            <w:r w:rsidRPr="00C35766">
              <w:rPr>
                <w:rFonts w:eastAsia="Times New Roman"/>
                <w:b/>
                <w:bCs/>
                <w:lang w:val="it-IT"/>
              </w:rPr>
              <w:t>Non</w:t>
            </w:r>
            <w:r w:rsidRPr="00C35766">
              <w:rPr>
                <w:rFonts w:eastAsia="Times New Roman"/>
                <w:lang w:val="it-IT"/>
              </w:rPr>
              <w:t xml:space="preserve"> riscaldi la penna </w:t>
            </w:r>
            <w:r w:rsidR="0092097A" w:rsidRPr="00C35766">
              <w:rPr>
                <w:rFonts w:eastAsia="Times New Roman"/>
                <w:lang w:val="it-IT"/>
              </w:rPr>
              <w:t>pre-riempita</w:t>
            </w:r>
            <w:r w:rsidRPr="00C35766">
              <w:rPr>
                <w:rFonts w:eastAsia="Times New Roman"/>
                <w:lang w:val="it-IT"/>
              </w:rPr>
              <w:t xml:space="preserve"> utilizzando fonti di </w:t>
            </w:r>
            <w:r w:rsidR="00CD2A6C" w:rsidRPr="00C35766">
              <w:rPr>
                <w:rFonts w:eastAsia="Times New Roman"/>
                <w:lang w:val="it-IT"/>
              </w:rPr>
              <w:br/>
              <w:t xml:space="preserve">            </w:t>
            </w:r>
            <w:r w:rsidRPr="00C35766">
              <w:rPr>
                <w:rFonts w:eastAsia="Times New Roman"/>
                <w:lang w:val="it-IT"/>
              </w:rPr>
              <w:t xml:space="preserve">calore come acqua calda o microonde. </w:t>
            </w:r>
          </w:p>
          <w:p w14:paraId="773DD8D3" w14:textId="77777777" w:rsidR="00953B2E" w:rsidRPr="00C35766" w:rsidRDefault="00953B2E" w:rsidP="00C0539A">
            <w:pPr>
              <w:pStyle w:val="a3"/>
              <w:rPr>
                <w:lang w:val="pt-BR"/>
              </w:rPr>
            </w:pPr>
          </w:p>
        </w:tc>
      </w:tr>
      <w:tr w:rsidR="00953B2E" w:rsidRPr="00494E69" w14:paraId="61CEFC15" w14:textId="77777777">
        <w:trPr>
          <w:trHeight w:val="5025"/>
        </w:trPr>
        <w:tc>
          <w:tcPr>
            <w:tcW w:w="9550" w:type="dxa"/>
          </w:tcPr>
          <w:p w14:paraId="08C6CDEE" w14:textId="77777777" w:rsidR="00953B2E" w:rsidRPr="00C35766" w:rsidRDefault="00953B2E">
            <w:pPr>
              <w:spacing w:line="260" w:lineRule="exact"/>
              <w:rPr>
                <w:rFonts w:ascii="Times New Roman" w:eastAsia="Times New Roman" w:hAnsi="Times New Roman" w:cs="Times New Roman"/>
                <w:b/>
                <w:bCs/>
                <w:spacing w:val="-1"/>
                <w:lang w:val="pt-BR"/>
              </w:rPr>
            </w:pPr>
          </w:p>
          <w:p w14:paraId="5F89E4D5" w14:textId="45472579" w:rsidR="00953B2E" w:rsidRPr="00C35766" w:rsidRDefault="00CB576E">
            <w:pPr>
              <w:pStyle w:val="a3"/>
              <w:rPr>
                <w:lang w:val="pt-BR"/>
              </w:rPr>
            </w:pPr>
            <w:r w:rsidRPr="00C35766">
              <w:rPr>
                <w:noProof/>
                <w:lang w:eastAsia="ko-KR"/>
              </w:rPr>
              <mc:AlternateContent>
                <mc:Choice Requires="wpg">
                  <w:drawing>
                    <wp:anchor distT="0" distB="0" distL="114300" distR="114300" simplePos="0" relativeHeight="251658293" behindDoc="0" locked="0" layoutInCell="1" allowOverlap="1" wp14:anchorId="0D648741" wp14:editId="22059971">
                      <wp:simplePos x="0" y="0"/>
                      <wp:positionH relativeFrom="column">
                        <wp:posOffset>-6985</wp:posOffset>
                      </wp:positionH>
                      <wp:positionV relativeFrom="paragraph">
                        <wp:posOffset>109855</wp:posOffset>
                      </wp:positionV>
                      <wp:extent cx="2213610" cy="4239260"/>
                      <wp:effectExtent l="0" t="0" r="0" b="8890"/>
                      <wp:wrapSquare wrapText="bothSides"/>
                      <wp:docPr id="1087" name="그룹 1087"/>
                      <wp:cNvGraphicFramePr/>
                      <a:graphic xmlns:a="http://schemas.openxmlformats.org/drawingml/2006/main">
                        <a:graphicData uri="http://schemas.microsoft.com/office/word/2010/wordprocessingGroup">
                          <wpg:wgp>
                            <wpg:cNvGrpSpPr/>
                            <wpg:grpSpPr>
                              <a:xfrm>
                                <a:off x="0" y="0"/>
                                <a:ext cx="2213610" cy="4239260"/>
                                <a:chOff x="0" y="0"/>
                                <a:chExt cx="1824658" cy="3219450"/>
                              </a:xfrm>
                            </wpg:grpSpPr>
                            <wpg:grpSp>
                              <wpg:cNvPr id="1049" name="그룹 1049"/>
                              <wpg:cNvGrpSpPr/>
                              <wpg:grpSpPr>
                                <a:xfrm>
                                  <a:off x="0" y="0"/>
                                  <a:ext cx="1824658" cy="3219450"/>
                                  <a:chOff x="0" y="0"/>
                                  <a:chExt cx="1824658" cy="3219450"/>
                                </a:xfrm>
                              </wpg:grpSpPr>
                              <pic:pic xmlns:pic="http://schemas.openxmlformats.org/drawingml/2006/picture">
                                <pic:nvPicPr>
                                  <pic:cNvPr id="1050" name="그림 105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051" name="Text Box 1051"/>
                                <wps:cNvSpPr txBox="1"/>
                                <wps:spPr>
                                  <a:xfrm>
                                    <a:off x="1104900" y="3073400"/>
                                    <a:ext cx="719758" cy="146050"/>
                                  </a:xfrm>
                                  <a:prstGeom prst="rect">
                                    <a:avLst/>
                                  </a:prstGeom>
                                  <a:solidFill>
                                    <a:prstClr val="white"/>
                                  </a:solidFill>
                                  <a:ln>
                                    <a:noFill/>
                                  </a:ln>
                                </wps:spPr>
                                <wps:txbx>
                                  <w:txbxContent>
                                    <w:p w14:paraId="471F1989" w14:textId="0CFBDBD0" w:rsidR="00D97785" w:rsidRDefault="00D97785" w:rsidP="00D022B9">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8" name="Text Box 128"/>
                              <wps:cNvSpPr txBox="1"/>
                              <wps:spPr>
                                <a:xfrm>
                                  <a:off x="518161" y="2247900"/>
                                  <a:ext cx="1247433" cy="708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9052A6" w14:textId="77777777" w:rsidR="00D97785" w:rsidRPr="00824699" w:rsidRDefault="00D97785" w:rsidP="002E3B19">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67BF6AF7" w14:textId="77777777" w:rsidR="00D97785" w:rsidRPr="00824699" w:rsidRDefault="00D97785" w:rsidP="002E3B19">
                                    <w:pPr>
                                      <w:rPr>
                                        <w:rFonts w:asciiTheme="majorBidi" w:hAnsiTheme="majorBidi"/>
                                        <w:b/>
                                        <w:sz w:val="8"/>
                                        <w:szCs w:val="8"/>
                                        <w:lang w:val="it-IT"/>
                                      </w:rPr>
                                    </w:pPr>
                                  </w:p>
                                  <w:p w14:paraId="35777C91" w14:textId="77777777" w:rsidR="00D97785" w:rsidRPr="002062B2" w:rsidRDefault="00D97785" w:rsidP="002E3B19">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48741" id="그룹 1087" o:spid="_x0000_s1155" style="position:absolute;margin-left:-.55pt;margin-top:8.65pt;width:174.3pt;height:333.8pt;z-index:251658293;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">
                      <v:group id="그룹 1049" o:spid="_x0000_s1156"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그림 1050" o:spid="_x0000_s1157"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">
                          <v:imagedata r:id="rId44" o:title=""/>
                        </v:shape>
                        <v:shape id="Text Box 1051" o:spid="_x0000_s1158"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" stroked="f">
                          <v:textbox inset="0,0,0,0">
                            <w:txbxContent>
                              <w:p w14:paraId="471F1989" w14:textId="0CFBDBD0" w:rsidR="00D97785" w:rsidRDefault="00D97785" w:rsidP="00D022B9">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v:textbox>
                        </v:shape>
                      </v:group>
                      <v:shape id="Text Box 128" o:spid="_x0000_s1159" type="#_x0000_t202" style="position:absolute;left:5181;top:22479;width:12474;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" fillcolor="white [3212]" stroked="f" strokeweight=".5pt">
                        <v:textbox inset="0,0,0,0">
                          <w:txbxContent>
                            <w:p w14:paraId="1C9052A6" w14:textId="77777777" w:rsidR="00D97785" w:rsidRPr="00824699" w:rsidRDefault="00D97785" w:rsidP="002E3B19">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67BF6AF7" w14:textId="77777777" w:rsidR="00D97785" w:rsidRPr="00824699" w:rsidRDefault="00D97785" w:rsidP="002E3B19">
                              <w:pPr>
                                <w:rPr>
                                  <w:rFonts w:asciiTheme="majorBidi" w:hAnsiTheme="majorBidi"/>
                                  <w:b/>
                                  <w:sz w:val="8"/>
                                  <w:szCs w:val="8"/>
                                  <w:lang w:val="it-IT"/>
                                </w:rPr>
                              </w:pPr>
                            </w:p>
                            <w:p w14:paraId="35777C91" w14:textId="77777777" w:rsidR="00D97785" w:rsidRPr="002062B2" w:rsidRDefault="00D97785" w:rsidP="002E3B19">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v:textbox>
                      </v:shape>
                      <w10:wrap type="square"/>
                    </v:group>
                  </w:pict>
                </mc:Fallback>
              </mc:AlternateContent>
            </w:r>
          </w:p>
          <w:p w14:paraId="4DD6CE2B" w14:textId="4FFD58DE" w:rsidR="00953B2E" w:rsidRPr="00C35766" w:rsidRDefault="005F0C19">
            <w:pPr>
              <w:pStyle w:val="a3"/>
              <w:rPr>
                <w:lang w:val="pt-BR"/>
              </w:rPr>
            </w:pPr>
            <w:r w:rsidRPr="00C35766">
              <w:rPr>
                <w:noProof/>
                <w:lang w:eastAsia="ko-KR"/>
              </w:rPr>
              <mc:AlternateContent>
                <mc:Choice Requires="wpg">
                  <w:drawing>
                    <wp:anchor distT="0" distB="0" distL="114300" distR="114300" simplePos="0" relativeHeight="251658247" behindDoc="0" locked="0" layoutInCell="1" allowOverlap="1" wp14:anchorId="3712D5E7" wp14:editId="4BDC3A60">
                      <wp:simplePos x="0" y="0"/>
                      <wp:positionH relativeFrom="column">
                        <wp:posOffset>55245</wp:posOffset>
                      </wp:positionH>
                      <wp:positionV relativeFrom="paragraph">
                        <wp:posOffset>144145</wp:posOffset>
                      </wp:positionV>
                      <wp:extent cx="1569085" cy="2832100"/>
                      <wp:effectExtent l="0" t="0" r="0" b="6350"/>
                      <wp:wrapSquare wrapText="bothSides"/>
                      <wp:docPr id="31" name="그룹 31"/>
                      <wp:cNvGraphicFramePr/>
                      <a:graphic xmlns:a="http://schemas.openxmlformats.org/drawingml/2006/main">
                        <a:graphicData uri="http://schemas.microsoft.com/office/word/2010/wordprocessingGroup">
                          <wpg:wgp>
                            <wpg:cNvGrpSpPr/>
                            <wpg:grpSpPr>
                              <a:xfrm>
                                <a:off x="0" y="0"/>
                                <a:ext cx="1569085" cy="2832100"/>
                                <a:chOff x="0" y="0"/>
                                <a:chExt cx="1569085" cy="2832100"/>
                              </a:xfrm>
                            </wpg:grpSpPr>
                            <pic:pic xmlns:pic="http://schemas.openxmlformats.org/drawingml/2006/picture">
                              <pic:nvPicPr>
                                <pic:cNvPr id="160" name="그림 16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569085" cy="2654300"/>
                                </a:xfrm>
                                <a:prstGeom prst="rect">
                                  <a:avLst/>
                                </a:prstGeom>
                                <a:noFill/>
                                <a:ln>
                                  <a:noFill/>
                                </a:ln>
                              </pic:spPr>
                            </pic:pic>
                            <wps:wsp>
                              <wps:cNvPr id="8" name="Text Box 8"/>
                              <wps:cNvSpPr txBox="1"/>
                              <wps:spPr>
                                <a:xfrm>
                                  <a:off x="1060450" y="2654300"/>
                                  <a:ext cx="508000" cy="177800"/>
                                </a:xfrm>
                                <a:prstGeom prst="rect">
                                  <a:avLst/>
                                </a:prstGeom>
                                <a:solidFill>
                                  <a:prstClr val="white"/>
                                </a:solidFill>
                                <a:ln>
                                  <a:noFill/>
                                </a:ln>
                              </wps:spPr>
                              <wps:txbx>
                                <w:txbxContent>
                                  <w:p w14:paraId="16FA0F69" w14:textId="3012C8EE" w:rsidR="00D97785" w:rsidRDefault="00D97785">
                                    <w:pPr>
                                      <w:pStyle w:val="af0"/>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A</w:t>
                                    </w:r>
                                    <w:r>
                                      <w:rPr>
                                        <w:rFonts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3712D5E7" id="그룹 31" o:spid="_x0000_s1160" style="position:absolute;margin-left:4.35pt;margin-top:11.35pt;width:123.55pt;height:223pt;z-index:251658247" coordsize="15690,28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">
                      <v:shape id="그림 160" o:spid="_x0000_s1161" type="#_x0000_t75" style="position:absolute;width:15690;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">
                        <v:imagedata r:id="rId46" o:title=""/>
                      </v:shape>
                      <v:shape id="Text Box 8" o:spid="_x0000_s1162" type="#_x0000_t202" style="position:absolute;left:10604;top:26543;width:50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16FA0F69" w14:textId="3012C8EE" w:rsidR="00D97785" w:rsidRDefault="00D97785">
                              <w:pPr>
                                <w:pStyle w:val="af0"/>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A</w:t>
                              </w:r>
                              <w:r>
                                <w:rPr>
                                  <w:rFonts w:ascii="Times New Roman" w:hAnsi="Times New Roman" w:cs="Times New Roman"/>
                                </w:rPr>
                                <w:fldChar w:fldCharType="end"/>
                              </w:r>
                            </w:p>
                          </w:txbxContent>
                        </v:textbox>
                      </v:shape>
                      <w10:wrap type="square"/>
                    </v:group>
                  </w:pict>
                </mc:Fallback>
              </mc:AlternateContent>
            </w:r>
          </w:p>
          <w:p w14:paraId="44B035FE" w14:textId="77777777" w:rsidR="00953B2E" w:rsidRPr="00C35766" w:rsidRDefault="005F0C19" w:rsidP="00787805">
            <w:pPr>
              <w:pStyle w:val="a3"/>
              <w:numPr>
                <w:ilvl w:val="0"/>
                <w:numId w:val="24"/>
              </w:numPr>
              <w:rPr>
                <w:b/>
              </w:rPr>
            </w:pPr>
            <w:r w:rsidRPr="00C35766">
              <w:rPr>
                <w:rFonts w:eastAsia="Times New Roman"/>
                <w:b/>
                <w:bCs/>
                <w:lang w:val="it-IT"/>
              </w:rPr>
              <w:t>Scelga un sito d’iniezione appropriato</w:t>
            </w:r>
          </w:p>
          <w:p w14:paraId="37141A1B" w14:textId="0A8AFD69" w:rsidR="00953B2E" w:rsidRPr="00C35766" w:rsidRDefault="00953B2E">
            <w:pPr>
              <w:pStyle w:val="a3"/>
            </w:pPr>
          </w:p>
          <w:p w14:paraId="304C20C0" w14:textId="77777777" w:rsidR="00EE140E" w:rsidRPr="00C35766" w:rsidRDefault="005F0C19" w:rsidP="00EE140E">
            <w:pPr>
              <w:pStyle w:val="a3"/>
            </w:pPr>
            <w:r w:rsidRPr="00C35766">
              <w:rPr>
                <w:rFonts w:eastAsia="Times New Roman"/>
                <w:b/>
                <w:bCs/>
                <w:lang w:val="it-IT"/>
              </w:rPr>
              <w:t xml:space="preserve">     </w:t>
            </w:r>
            <w:r w:rsidR="00EE140E" w:rsidRPr="00C35766">
              <w:rPr>
                <w:rFonts w:eastAsia="Times New Roman"/>
                <w:b/>
                <w:bCs/>
                <w:lang w:val="it-IT"/>
              </w:rPr>
              <w:t xml:space="preserve">     a.</w:t>
            </w:r>
            <w:r w:rsidR="00EE140E" w:rsidRPr="00C35766">
              <w:rPr>
                <w:rFonts w:eastAsia="Times New Roman"/>
                <w:lang w:val="it-IT"/>
              </w:rPr>
              <w:t xml:space="preserve"> Può eseguire l’iniezione:</w:t>
            </w:r>
          </w:p>
          <w:p w14:paraId="73913A44" w14:textId="77777777" w:rsidR="00EE140E" w:rsidRPr="00C35766" w:rsidRDefault="00EE140E" w:rsidP="00EE140E">
            <w:pPr>
              <w:pStyle w:val="a3"/>
              <w:rPr>
                <w:lang w:val="es-ES"/>
              </w:rPr>
            </w:pPr>
            <w:r w:rsidRPr="00C35766">
              <w:rPr>
                <w:rFonts w:eastAsia="Times New Roman"/>
                <w:lang w:val="it-IT"/>
              </w:rPr>
              <w:t xml:space="preserve">          - nella parte anteriore della coscia. </w:t>
            </w:r>
          </w:p>
          <w:p w14:paraId="25753EB6" w14:textId="00468E11" w:rsidR="00EE140E" w:rsidRPr="00C35766" w:rsidRDefault="00EE140E" w:rsidP="00EE140E">
            <w:pPr>
              <w:pStyle w:val="a3"/>
              <w:ind w:left="3708" w:hanging="709"/>
              <w:rPr>
                <w:lang w:val="es-ES"/>
              </w:rPr>
            </w:pPr>
            <w:r w:rsidRPr="00C35766">
              <w:rPr>
                <w:rFonts w:eastAsia="Times New Roman"/>
                <w:lang w:val="it-IT"/>
              </w:rPr>
              <w:t xml:space="preserve">          - nell’addome, ad eccezione dell'area di 5 cm intorno all’ombelico  </w:t>
            </w:r>
          </w:p>
          <w:p w14:paraId="24FF1307" w14:textId="77777777" w:rsidR="00EE140E" w:rsidRPr="00C35766" w:rsidRDefault="00EE140E" w:rsidP="00644314">
            <w:pPr>
              <w:pStyle w:val="a3"/>
              <w:tabs>
                <w:tab w:val="left" w:pos="2856"/>
                <w:tab w:val="left" w:pos="3861"/>
              </w:tabs>
              <w:rPr>
                <w:lang w:val="es-ES"/>
              </w:rPr>
            </w:pPr>
            <w:r w:rsidRPr="00C35766">
              <w:rPr>
                <w:rFonts w:eastAsia="Times New Roman"/>
                <w:lang w:val="it-IT"/>
              </w:rPr>
              <w:t xml:space="preserve">          - nella zona esterna della parte superiore del braccio (SOLO se Lei è una persona che assiste il paziente). </w:t>
            </w:r>
          </w:p>
          <w:p w14:paraId="6889A8AA" w14:textId="77777777" w:rsidR="00EE140E" w:rsidRPr="00C35766" w:rsidRDefault="00EE140E" w:rsidP="00EE140E">
            <w:pPr>
              <w:pStyle w:val="a3"/>
              <w:rPr>
                <w:lang w:val="es-ES"/>
              </w:rPr>
            </w:pPr>
          </w:p>
          <w:p w14:paraId="39FF7A65" w14:textId="684D7584" w:rsidR="00EE140E" w:rsidRPr="00824699" w:rsidRDefault="00EE140E" w:rsidP="00787805">
            <w:pPr>
              <w:pStyle w:val="a3"/>
              <w:numPr>
                <w:ilvl w:val="0"/>
                <w:numId w:val="17"/>
              </w:numPr>
              <w:rPr>
                <w:lang w:val="it-IT"/>
              </w:rPr>
            </w:pPr>
            <w:r w:rsidRPr="00C35766">
              <w:rPr>
                <w:rFonts w:eastAsia="Times New Roman"/>
                <w:b/>
                <w:bCs/>
                <w:lang w:val="it-IT"/>
              </w:rPr>
              <w:t>Non</w:t>
            </w:r>
            <w:r w:rsidRPr="00C35766">
              <w:rPr>
                <w:rFonts w:eastAsia="Times New Roman"/>
                <w:lang w:val="it-IT"/>
              </w:rPr>
              <w:t xml:space="preserve"> esegua l’iniezione in aree cutanee entro 5 cm dal Suo ombelico o in un’area arrossata, dura, dolorante, </w:t>
            </w:r>
            <w:r w:rsidR="009E2B36" w:rsidRPr="00C35766">
              <w:rPr>
                <w:rFonts w:eastAsia="Times New Roman"/>
                <w:lang w:val="it-IT"/>
              </w:rPr>
              <w:t>danneggiata</w:t>
            </w:r>
            <w:r w:rsidRPr="00C35766">
              <w:rPr>
                <w:rFonts w:eastAsia="Times New Roman"/>
                <w:lang w:val="it-IT"/>
              </w:rPr>
              <w:t xml:space="preserve">, livida, o con cicatrici. </w:t>
            </w:r>
          </w:p>
          <w:p w14:paraId="47DB2EE6" w14:textId="0FBB990F" w:rsidR="00EE140E" w:rsidRPr="00C35766" w:rsidRDefault="00EE140E" w:rsidP="00787805">
            <w:pPr>
              <w:pStyle w:val="a3"/>
              <w:numPr>
                <w:ilvl w:val="0"/>
                <w:numId w:val="17"/>
              </w:numPr>
              <w:rPr>
                <w:lang w:val="es-ES"/>
              </w:rPr>
            </w:pPr>
            <w:r w:rsidRPr="00C35766">
              <w:rPr>
                <w:rFonts w:eastAsia="Times New Roman"/>
                <w:lang w:val="it-IT"/>
              </w:rPr>
              <w:t xml:space="preserve">Se ha la psoriasi, non esegua l’iniezione in nessuna macchia rialzata, ispessita, arrossata o squamosa né su nessuna lesione cutanea. </w:t>
            </w:r>
          </w:p>
          <w:p w14:paraId="3EA30093" w14:textId="77777777" w:rsidR="00EE140E" w:rsidRPr="00C35766" w:rsidRDefault="00EE140E" w:rsidP="00787805">
            <w:pPr>
              <w:pStyle w:val="a3"/>
              <w:numPr>
                <w:ilvl w:val="0"/>
                <w:numId w:val="17"/>
              </w:numPr>
              <w:rPr>
                <w:lang w:val="fr-FR"/>
              </w:rPr>
            </w:pPr>
            <w:r w:rsidRPr="00C35766">
              <w:rPr>
                <w:rFonts w:eastAsia="Times New Roman"/>
                <w:b/>
                <w:bCs/>
                <w:lang w:val="it-IT"/>
              </w:rPr>
              <w:t xml:space="preserve">Non </w:t>
            </w:r>
            <w:r w:rsidRPr="00C35766">
              <w:rPr>
                <w:rFonts w:eastAsia="Times New Roman"/>
                <w:lang w:val="it-IT"/>
              </w:rPr>
              <w:t>esegua l’iniezione attraverso gli indumenti.</w:t>
            </w:r>
          </w:p>
          <w:p w14:paraId="0E59EB23" w14:textId="78B3F5AB" w:rsidR="00EE140E" w:rsidRPr="00C35766" w:rsidRDefault="00EE140E" w:rsidP="00EE140E">
            <w:pPr>
              <w:pStyle w:val="a3"/>
              <w:rPr>
                <w:lang w:val="fr-FR"/>
              </w:rPr>
            </w:pPr>
          </w:p>
          <w:p w14:paraId="2A9E4820" w14:textId="2AEB8441" w:rsidR="00EE140E" w:rsidRPr="00C35766" w:rsidRDefault="00EE140E" w:rsidP="00EE140E">
            <w:pPr>
              <w:pStyle w:val="a3"/>
              <w:rPr>
                <w:lang w:val="es-ES"/>
              </w:rPr>
            </w:pPr>
            <w:r w:rsidRPr="00C35766">
              <w:rPr>
                <w:rFonts w:eastAsia="Times New Roman"/>
                <w:b/>
                <w:bCs/>
                <w:lang w:val="it-IT"/>
              </w:rPr>
              <w:t xml:space="preserve">     b.</w:t>
            </w:r>
            <w:r w:rsidRPr="00C35766">
              <w:rPr>
                <w:rFonts w:eastAsia="Times New Roman"/>
                <w:lang w:val="it-IT"/>
              </w:rPr>
              <w:t xml:space="preserve"> Esegua una rotazione del sito d’iniezione ogni volta che somministra un’iniezione. Ogni nuovo sito d’iniezione deve essere ad almeno 3 cm di distanza dal punto utilizzato in precedenza. </w:t>
            </w:r>
          </w:p>
          <w:p w14:paraId="7E9629D0" w14:textId="0BC8C577" w:rsidR="00953B2E" w:rsidRPr="00C35766" w:rsidRDefault="00953B2E">
            <w:pPr>
              <w:pStyle w:val="a3"/>
              <w:rPr>
                <w:sz w:val="26"/>
                <w:szCs w:val="26"/>
                <w:lang w:val="es-ES" w:eastAsia="ko-KR"/>
              </w:rPr>
            </w:pPr>
          </w:p>
        </w:tc>
      </w:tr>
    </w:tbl>
    <w:p w14:paraId="5CA9A4A4" w14:textId="77777777" w:rsidR="00953B2E" w:rsidRPr="00C35766" w:rsidRDefault="00953B2E">
      <w:pPr>
        <w:ind w:left="224" w:right="1248"/>
        <w:rPr>
          <w:rFonts w:ascii="Times New Roman" w:eastAsia="Times New Roman" w:hAnsi="Times New Roman" w:cs="Times New Roman"/>
          <w:b/>
          <w:bCs/>
          <w:lang w:val="es-ES"/>
        </w:rPr>
      </w:pPr>
    </w:p>
    <w:p w14:paraId="731E20CF" w14:textId="77777777" w:rsidR="00953B2E" w:rsidRPr="00C35766" w:rsidRDefault="00953B2E">
      <w:pPr>
        <w:ind w:left="224" w:right="1248"/>
        <w:rPr>
          <w:rFonts w:ascii="Times New Roman" w:eastAsia="Times New Roman" w:hAnsi="Times New Roman" w:cs="Times New Roman"/>
          <w:b/>
          <w:bCs/>
          <w:lang w:val="es-ES"/>
        </w:rPr>
      </w:pPr>
    </w:p>
    <w:p w14:paraId="65DDA15A" w14:textId="77777777" w:rsidR="00953B2E" w:rsidRPr="00C35766" w:rsidRDefault="00953B2E">
      <w:pPr>
        <w:ind w:left="224" w:right="1248"/>
        <w:rPr>
          <w:rFonts w:ascii="Times New Roman" w:eastAsia="Times New Roman" w:hAnsi="Times New Roman" w:cs="Times New Roman"/>
          <w:b/>
          <w:bCs/>
          <w:lang w:val="es-ES"/>
        </w:rPr>
      </w:pPr>
    </w:p>
    <w:tbl>
      <w:tblPr>
        <w:tblStyle w:val="ac"/>
        <w:tblW w:w="0" w:type="auto"/>
        <w:tblLook w:val="04A0" w:firstRow="1" w:lastRow="0" w:firstColumn="1" w:lastColumn="0" w:noHBand="0" w:noVBand="1"/>
      </w:tblPr>
      <w:tblGrid>
        <w:gridCol w:w="9581"/>
      </w:tblGrid>
      <w:tr w:rsidR="00953B2E" w:rsidRPr="00C35766" w14:paraId="16272C54" w14:textId="77777777">
        <w:trPr>
          <w:trHeight w:val="5805"/>
        </w:trPr>
        <w:tc>
          <w:tcPr>
            <w:tcW w:w="9581" w:type="dxa"/>
          </w:tcPr>
          <w:p w14:paraId="0283F927" w14:textId="77777777" w:rsidR="00953B2E" w:rsidRPr="00C35766" w:rsidRDefault="00953B2E">
            <w:pPr>
              <w:pStyle w:val="1"/>
              <w:spacing w:before="76"/>
              <w:ind w:left="0" w:right="2736"/>
              <w:rPr>
                <w:rFonts w:eastAsiaTheme="minorEastAsia" w:cs="Times New Roman"/>
                <w:lang w:val="es-ES" w:eastAsia="ko-KR"/>
              </w:rPr>
            </w:pPr>
          </w:p>
          <w:p w14:paraId="1BF9FF86" w14:textId="77777777" w:rsidR="00953B2E" w:rsidRPr="00C35766" w:rsidRDefault="005F0C19">
            <w:pPr>
              <w:pStyle w:val="1"/>
              <w:spacing w:before="76"/>
              <w:ind w:left="0" w:right="2736"/>
              <w:rPr>
                <w:rFonts w:eastAsiaTheme="minorEastAsia" w:cs="Times New Roman"/>
                <w:lang w:val="es-ES" w:eastAsia="ko-KR"/>
              </w:rPr>
            </w:pPr>
            <w:r w:rsidRPr="00C35766">
              <w:rPr>
                <w:rFonts w:eastAsiaTheme="minorEastAsia" w:cs="Times New Roman"/>
                <w:noProof/>
                <w:lang w:eastAsia="ko-KR"/>
              </w:rPr>
              <mc:AlternateContent>
                <mc:Choice Requires="wpg">
                  <w:drawing>
                    <wp:anchor distT="0" distB="0" distL="114300" distR="114300" simplePos="0" relativeHeight="251658248" behindDoc="0" locked="0" layoutInCell="1" allowOverlap="1" wp14:anchorId="0F90C5DD" wp14:editId="5AB842CD">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075B686B" w14:textId="4D3AC362"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90C5DD" id="그룹 30" o:spid="_x0000_s1163" style="position:absolute;margin-left:-1.65pt;margin-top:9.15pt;width:189.65pt;height:243.5pt;z-index:251658248"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">
                      <v:shape id="그림 165" o:spid="_x0000_s116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46" o:title=""/>
                      </v:shape>
                      <v:shape id="Text Box 9" o:spid="_x0000_s1165"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075B686B" w14:textId="4D3AC362"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F</w:t>
                              </w:r>
                            </w:p>
                          </w:txbxContent>
                        </v:textbox>
                      </v:shape>
                      <w10:wrap type="square"/>
                    </v:group>
                  </w:pict>
                </mc:Fallback>
              </mc:AlternateContent>
            </w:r>
          </w:p>
          <w:p w14:paraId="60CC6D8E" w14:textId="77777777" w:rsidR="00953B2E" w:rsidRPr="00C35766" w:rsidRDefault="005F0C19" w:rsidP="00787805">
            <w:pPr>
              <w:pStyle w:val="a3"/>
              <w:numPr>
                <w:ilvl w:val="0"/>
                <w:numId w:val="24"/>
              </w:numPr>
              <w:rPr>
                <w:b/>
              </w:rPr>
            </w:pPr>
            <w:r w:rsidRPr="00C35766">
              <w:rPr>
                <w:rFonts w:eastAsia="Times New Roman"/>
                <w:b/>
                <w:bCs/>
                <w:lang w:val="it-IT"/>
              </w:rPr>
              <w:t>Si lavi le mani.</w:t>
            </w:r>
          </w:p>
          <w:p w14:paraId="1D93C212" w14:textId="77777777" w:rsidR="00953B2E" w:rsidRPr="00C35766" w:rsidRDefault="00953B2E">
            <w:pPr>
              <w:pStyle w:val="a3"/>
              <w:rPr>
                <w:b/>
              </w:rPr>
            </w:pPr>
          </w:p>
          <w:p w14:paraId="4888EC14" w14:textId="77777777" w:rsidR="00953B2E" w:rsidRPr="00C35766" w:rsidRDefault="005F0C19">
            <w:pPr>
              <w:pStyle w:val="a3"/>
              <w:rPr>
                <w:lang w:val="it-IT"/>
              </w:rPr>
            </w:pPr>
            <w:r w:rsidRPr="00C35766">
              <w:rPr>
                <w:rFonts w:eastAsia="Times New Roman"/>
                <w:b/>
                <w:bCs/>
                <w:lang w:val="it-IT"/>
              </w:rPr>
              <w:t xml:space="preserve">     a.</w:t>
            </w:r>
            <w:r w:rsidRPr="00C35766">
              <w:rPr>
                <w:rFonts w:eastAsia="Times New Roman"/>
                <w:lang w:val="it-IT"/>
              </w:rPr>
              <w:t xml:space="preserve"> Si lavi le mani con acqua e sapone e le asciughi </w:t>
            </w:r>
          </w:p>
          <w:p w14:paraId="47D5964E" w14:textId="77777777" w:rsidR="00953B2E" w:rsidRPr="00C35766" w:rsidRDefault="005F0C19">
            <w:pPr>
              <w:pStyle w:val="a3"/>
            </w:pPr>
            <w:r w:rsidRPr="00C35766">
              <w:rPr>
                <w:rFonts w:eastAsia="Times New Roman"/>
                <w:lang w:val="it-IT"/>
              </w:rPr>
              <w:t xml:space="preserve">          accuratamente. </w:t>
            </w:r>
          </w:p>
          <w:p w14:paraId="67F3FC69" w14:textId="77777777" w:rsidR="00953B2E" w:rsidRPr="00C35766" w:rsidRDefault="00953B2E">
            <w:pPr>
              <w:pStyle w:val="1"/>
              <w:spacing w:before="76"/>
              <w:ind w:left="0" w:right="2736"/>
              <w:rPr>
                <w:rFonts w:eastAsiaTheme="minorEastAsia" w:cs="Times New Roman"/>
                <w:lang w:eastAsia="ko-KR"/>
              </w:rPr>
            </w:pPr>
          </w:p>
        </w:tc>
      </w:tr>
      <w:tr w:rsidR="00953B2E" w:rsidRPr="006501B3" w14:paraId="5565E68A" w14:textId="77777777">
        <w:trPr>
          <w:trHeight w:val="5201"/>
        </w:trPr>
        <w:tc>
          <w:tcPr>
            <w:tcW w:w="9581" w:type="dxa"/>
          </w:tcPr>
          <w:p w14:paraId="16FA8630" w14:textId="1FAF720D" w:rsidR="00953B2E" w:rsidRPr="00C35766" w:rsidRDefault="00953B2E">
            <w:pPr>
              <w:ind w:left="104"/>
              <w:rPr>
                <w:rFonts w:ascii="Times New Roman" w:eastAsia="Times New Roman" w:hAnsi="Times New Roman" w:cs="Times New Roman"/>
                <w:b/>
                <w:bCs/>
                <w:spacing w:val="-1"/>
              </w:rPr>
            </w:pPr>
          </w:p>
          <w:p w14:paraId="77DC405E" w14:textId="28B72E8C" w:rsidR="00953B2E" w:rsidRPr="00C35766" w:rsidRDefault="00CB576E">
            <w:pPr>
              <w:ind w:left="104"/>
              <w:rPr>
                <w:rFonts w:ascii="Times New Roman" w:eastAsia="Times New Roman" w:hAnsi="Times New Roman" w:cs="Times New Roman"/>
                <w:b/>
                <w:bCs/>
                <w:spacing w:val="-1"/>
              </w:rPr>
            </w:pPr>
            <w:r w:rsidRPr="00C35766">
              <w:rPr>
                <w:rFonts w:ascii="Times New Roman" w:hAnsi="Times New Roman" w:cs="Times New Roman"/>
                <w:noProof/>
                <w:lang w:eastAsia="ko-KR"/>
              </w:rPr>
              <mc:AlternateContent>
                <mc:Choice Requires="wpg">
                  <w:drawing>
                    <wp:anchor distT="0" distB="0" distL="114300" distR="114300" simplePos="0" relativeHeight="251658285" behindDoc="0" locked="0" layoutInCell="1" allowOverlap="1" wp14:anchorId="23FA9A2F" wp14:editId="69E788B6">
                      <wp:simplePos x="0" y="0"/>
                      <wp:positionH relativeFrom="column">
                        <wp:posOffset>68374</wp:posOffset>
                      </wp:positionH>
                      <wp:positionV relativeFrom="paragraph">
                        <wp:posOffset>59690</wp:posOffset>
                      </wp:positionV>
                      <wp:extent cx="2256458" cy="2921000"/>
                      <wp:effectExtent l="0" t="0" r="0" b="0"/>
                      <wp:wrapSquare wrapText="bothSides"/>
                      <wp:docPr id="1055" name="그룹 1055"/>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56" name="그림 105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57" name="Text Box 1057"/>
                              <wps:cNvSpPr txBox="1"/>
                              <wps:spPr>
                                <a:xfrm>
                                  <a:off x="1536700" y="2774950"/>
                                  <a:ext cx="719758" cy="146050"/>
                                </a:xfrm>
                                <a:prstGeom prst="rect">
                                  <a:avLst/>
                                </a:prstGeom>
                                <a:solidFill>
                                  <a:prstClr val="white"/>
                                </a:solidFill>
                                <a:ln>
                                  <a:noFill/>
                                </a:ln>
                              </wps:spPr>
                              <wps:txbx>
                                <w:txbxContent>
                                  <w:p w14:paraId="09CCEABB" w14:textId="23D14196" w:rsidR="00D97785" w:rsidRDefault="00D97785" w:rsidP="00D022B9">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FA9A2F" id="그룹 1055" o:spid="_x0000_s1166" style="position:absolute;left:0;text-align:left;margin-left:5.4pt;margin-top:4.7pt;width:177.65pt;height:230pt;z-index:251658285"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">
                      <v:shape id="그림 1056" o:spid="_x0000_s116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">
                        <v:imagedata r:id="rId48" o:title=""/>
                      </v:shape>
                      <v:shape id="Text Box 1057" o:spid="_x0000_s1168"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" stroked="f">
                        <v:textbox style="mso-fit-shape-to-text:t" inset="0,0,0,0">
                          <w:txbxContent>
                            <w:p w14:paraId="09CCEABB" w14:textId="23D14196" w:rsidR="00D97785" w:rsidRDefault="00D97785" w:rsidP="00D022B9">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v:textbox>
                      </v:shape>
                      <w10:wrap type="square"/>
                    </v:group>
                  </w:pict>
                </mc:Fallback>
              </mc:AlternateContent>
            </w:r>
          </w:p>
          <w:p w14:paraId="579E5CA5" w14:textId="53635C8F" w:rsidR="00953B2E" w:rsidRPr="00C35766" w:rsidRDefault="005F0C19" w:rsidP="00787805">
            <w:pPr>
              <w:pStyle w:val="a3"/>
              <w:numPr>
                <w:ilvl w:val="0"/>
                <w:numId w:val="24"/>
              </w:numPr>
            </w:pPr>
            <w:r w:rsidRPr="00C35766">
              <w:rPr>
                <w:rFonts w:eastAsia="Times New Roman"/>
                <w:b/>
                <w:bCs/>
                <w:lang w:val="it-IT"/>
              </w:rPr>
              <w:t>Pulisca il sito d’iniezione</w:t>
            </w:r>
          </w:p>
          <w:p w14:paraId="71550193" w14:textId="0A987CDD" w:rsidR="00953B2E" w:rsidRPr="00C35766" w:rsidRDefault="00953B2E">
            <w:pPr>
              <w:pStyle w:val="a3"/>
              <w:numPr>
                <w:ilvl w:val="0"/>
                <w:numId w:val="0"/>
              </w:numPr>
              <w:ind w:left="471"/>
            </w:pPr>
          </w:p>
          <w:p w14:paraId="2739F66F" w14:textId="0EAFF32A" w:rsidR="00953B2E" w:rsidRPr="00C35766" w:rsidRDefault="005F0C19">
            <w:pPr>
              <w:pStyle w:val="a3"/>
              <w:rPr>
                <w:lang w:val="es-ES"/>
              </w:rPr>
            </w:pPr>
            <w:r w:rsidRPr="00C35766">
              <w:rPr>
                <w:rFonts w:eastAsia="Times New Roman"/>
                <w:lang w:val="it-IT"/>
              </w:rPr>
              <w:t xml:space="preserve">    </w:t>
            </w:r>
            <w:r w:rsidRPr="00C35766">
              <w:rPr>
                <w:rFonts w:eastAsia="Times New Roman"/>
                <w:b/>
                <w:bCs/>
                <w:lang w:val="it-IT"/>
              </w:rPr>
              <w:t xml:space="preserve"> a.</w:t>
            </w:r>
            <w:r w:rsidRPr="00C35766">
              <w:rPr>
                <w:rFonts w:eastAsia="Times New Roman"/>
                <w:lang w:val="it-IT"/>
              </w:rPr>
              <w:t xml:space="preserve"> Pulisca il sito d’iniezione con un tampone imbevuto di alcol eseguendo un </w:t>
            </w:r>
            <w:r w:rsidR="00EA38CA" w:rsidRPr="00C35766">
              <w:rPr>
                <w:rFonts w:eastAsia="Times New Roman"/>
                <w:lang w:val="it-IT"/>
              </w:rPr>
              <w:t>movimento circolare.</w:t>
            </w:r>
          </w:p>
          <w:p w14:paraId="75AFBF1C" w14:textId="77777777" w:rsidR="00953B2E" w:rsidRPr="00C35766" w:rsidRDefault="005F0C19">
            <w:pPr>
              <w:pStyle w:val="a3"/>
              <w:rPr>
                <w:lang w:val="es-ES"/>
              </w:rPr>
            </w:pPr>
            <w:r w:rsidRPr="00C35766">
              <w:rPr>
                <w:rFonts w:eastAsia="Times New Roman"/>
                <w:lang w:val="it-IT"/>
              </w:rPr>
              <w:t xml:space="preserve">    </w:t>
            </w:r>
            <w:r w:rsidRPr="00C35766">
              <w:rPr>
                <w:rFonts w:eastAsia="Times New Roman"/>
                <w:b/>
                <w:bCs/>
                <w:lang w:val="it-IT"/>
              </w:rPr>
              <w:t>b.</w:t>
            </w:r>
            <w:r w:rsidRPr="00C35766">
              <w:rPr>
                <w:rFonts w:eastAsia="Times New Roman"/>
                <w:lang w:val="it-IT"/>
              </w:rPr>
              <w:t xml:space="preserve"> Lasci asciugare la pelle prima dell’iniezione.</w:t>
            </w:r>
          </w:p>
          <w:p w14:paraId="72439D9D" w14:textId="0EB1AC85" w:rsidR="00953B2E" w:rsidRPr="00C35766" w:rsidRDefault="00953B2E">
            <w:pPr>
              <w:pStyle w:val="a3"/>
              <w:rPr>
                <w:lang w:val="es-ES"/>
              </w:rPr>
            </w:pPr>
          </w:p>
          <w:p w14:paraId="27028766" w14:textId="7D203BD5" w:rsidR="00953B2E" w:rsidRPr="00C35766" w:rsidRDefault="00953B2E">
            <w:pPr>
              <w:pStyle w:val="a3"/>
              <w:rPr>
                <w:lang w:val="es-ES"/>
              </w:rPr>
            </w:pPr>
          </w:p>
          <w:p w14:paraId="2711152B" w14:textId="0A656973" w:rsidR="00953B2E" w:rsidRPr="00C35766" w:rsidRDefault="005F0C19">
            <w:pPr>
              <w:pStyle w:val="a3"/>
              <w:rPr>
                <w:lang w:val="it-IT"/>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soffi sul sito d’iniezione né lo tocchi nuovamente prima di eseguire l’iniezione.</w:t>
            </w:r>
          </w:p>
        </w:tc>
      </w:tr>
      <w:tr w:rsidR="00953B2E" w:rsidRPr="00494E69" w14:paraId="30BB197D" w14:textId="77777777">
        <w:trPr>
          <w:trHeight w:val="5664"/>
        </w:trPr>
        <w:tc>
          <w:tcPr>
            <w:tcW w:w="9581" w:type="dxa"/>
          </w:tcPr>
          <w:p w14:paraId="0A9C49E4" w14:textId="77777777" w:rsidR="00953B2E" w:rsidRPr="00C35766" w:rsidRDefault="00953B2E" w:rsidP="00AF25F1">
            <w:pPr>
              <w:rPr>
                <w:rFonts w:ascii="Times New Roman" w:hAnsi="Times New Roman" w:cs="Times New Roman"/>
                <w:lang w:val="it-IT"/>
              </w:rPr>
            </w:pPr>
          </w:p>
          <w:p w14:paraId="1D03E0A4" w14:textId="6C4B553B" w:rsidR="00953B2E" w:rsidRPr="00C35766" w:rsidRDefault="0063167F" w:rsidP="00F3069E">
            <w:pPr>
              <w:pStyle w:val="a3"/>
              <w:numPr>
                <w:ilvl w:val="0"/>
                <w:numId w:val="24"/>
              </w:numPr>
              <w:rPr>
                <w:b/>
              </w:rPr>
            </w:pPr>
            <w:r w:rsidRPr="00AF25F1">
              <w:rPr>
                <w:rFonts w:eastAsia="Times New Roman"/>
                <w:b/>
                <w:bCs/>
                <w:noProof/>
                <w:color w:val="000000"/>
                <w:sz w:val="24"/>
                <w:szCs w:val="24"/>
                <w:lang w:val="it-IT"/>
              </w:rPr>
              <mc:AlternateContent>
                <mc:Choice Requires="wpg">
                  <w:drawing>
                    <wp:anchor distT="0" distB="0" distL="114300" distR="114300" simplePos="0" relativeHeight="251658286" behindDoc="0" locked="0" layoutInCell="1" allowOverlap="1" wp14:anchorId="1C268046" wp14:editId="7274B0F0">
                      <wp:simplePos x="0" y="0"/>
                      <wp:positionH relativeFrom="column">
                        <wp:posOffset>-5715</wp:posOffset>
                      </wp:positionH>
                      <wp:positionV relativeFrom="paragraph">
                        <wp:posOffset>43815</wp:posOffset>
                      </wp:positionV>
                      <wp:extent cx="2294255" cy="2997200"/>
                      <wp:effectExtent l="19050" t="19050" r="10795" b="0"/>
                      <wp:wrapSquare wrapText="bothSides"/>
                      <wp:docPr id="129" name="그룹 129"/>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22700B8D" w14:textId="1405A65C" w:rsidR="00D97785" w:rsidRDefault="00D97785">
                                      <w:pPr>
                                        <w:pStyle w:val="af0"/>
                                        <w:jc w:val="right"/>
                                        <w:rPr>
                                          <w:rFonts w:ascii="Times New Roman" w:hAnsi="Times New Roman" w:cs="Times New Roman"/>
                                          <w:noProof/>
                                        </w:rPr>
                                      </w:pPr>
                                      <w:r>
                                        <w:rPr>
                                          <w:rFonts w:ascii="Times New Roman" w:eastAsia="Times New Roman" w:hAnsi="Times New Roman" w:cs="Times New Roman"/>
                                          <w:lang w:val="it-IT"/>
                                        </w:rPr>
                                        <w:t>Figura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61" name="Text Box 1061"/>
                              <wps:cNvSpPr txBox="1"/>
                              <wps:spPr>
                                <a:xfrm>
                                  <a:off x="1181100" y="784860"/>
                                  <a:ext cx="1103630" cy="69342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3ABFB" w14:textId="77777777" w:rsidR="00D97785" w:rsidRDefault="00D97785">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C268046" id="그룹 129" o:spid="_x0000_s1169" style="position:absolute;left:0;text-align:left;margin-left:-.45pt;margin-top:3.45pt;width:180.65pt;height:236pt;z-index:251658286"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4ADkFkb2JlAGQAAAAAAf/bAEMA&#10;DAgICAgIDAgIDBALCwsMDw4NDQ4UEg4OExMSFxQSFBQaGxcUFBseHicbFCQnJycnJDI1NTUyOzs7&#10;Ozs7Ozs7O//bAEMBDQsLDgsOEQ8PEhgRERESFxsYFBQXHhcYIBgXHiUeHh4eHh4lIygoKCgoIyww&#10;MDAwLDc7Ozs3Ozs7Ozs7Ozs7O//bAEMCDQsLDgsOEQ8PEhgRERESFxsYFBQXHhcYIBgXHiUeHh4e&#10;Hh4lIygoKCgoIywwMDAwLDc7Ozs3Ozs7Ozs7Ozs7O//AABEIAlkB6QMAIgABEQECEQL/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">
                      <v:group id="그룹 28" o:spid="_x0000_s1170"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71"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8" o:title=""/>
                          <v:path arrowok="t"/>
                        </v:shape>
                        <v:shape id="Text Box 12" o:spid="_x0000_s1172"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22700B8D" w14:textId="1405A65C" w:rsidR="00D97785" w:rsidRDefault="00D97785">
                                <w:pPr>
                                  <w:pStyle w:val="af0"/>
                                  <w:jc w:val="right"/>
                                  <w:rPr>
                                    <w:rFonts w:ascii="Times New Roman" w:hAnsi="Times New Roman" w:cs="Times New Roman"/>
                                    <w:noProof/>
                                  </w:rPr>
                                </w:pPr>
                                <w:r>
                                  <w:rPr>
                                    <w:rFonts w:ascii="Times New Roman" w:eastAsia="Times New Roman" w:hAnsi="Times New Roman" w:cs="Times New Roman"/>
                                    <w:lang w:val="it-IT"/>
                                  </w:rPr>
                                  <w:t>Figura </w:t>
                                </w:r>
                                <w:r>
                                  <w:rPr>
                                    <w:rFonts w:ascii="Times New Roman" w:hAnsi="Times New Roman" w:cs="Times New Roman"/>
                                  </w:rPr>
                                  <w:t>H</w:t>
                                </w:r>
                              </w:p>
                            </w:txbxContent>
                          </v:textbox>
                        </v:shape>
                      </v:group>
                      <v:shape id="Text Box 1061" o:spid="_x0000_s1173" type="#_x0000_t202" style="position:absolute;left:11811;top:7848;width:1103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" fillcolor="white [3212]" stroked="f" strokeweight=".5pt">
                        <v:textbox inset="0,0,0,0">
                          <w:txbxContent>
                            <w:p w14:paraId="1F23ABFB" w14:textId="77777777" w:rsidR="00D97785" w:rsidRDefault="00D97785">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v:textbox>
                      </v:shape>
                      <w10:wrap type="square"/>
                    </v:group>
                  </w:pict>
                </mc:Fallback>
              </mc:AlternateContent>
            </w:r>
            <w:r w:rsidR="005F0C19" w:rsidRPr="00F3069E">
              <w:rPr>
                <w:rFonts w:eastAsia="Times New Roman"/>
                <w:b/>
                <w:bCs/>
                <w:lang w:val="it-IT"/>
              </w:rPr>
              <w:t>Rimuova</w:t>
            </w:r>
            <w:r w:rsidR="005F0C19" w:rsidRPr="00C35766">
              <w:rPr>
                <w:rFonts w:eastAsia="Times New Roman"/>
                <w:b/>
                <w:bCs/>
                <w:lang w:val="it-IT"/>
              </w:rPr>
              <w:t xml:space="preserve"> il cappuccio</w:t>
            </w:r>
          </w:p>
          <w:p w14:paraId="38CDB391" w14:textId="77777777" w:rsidR="00953B2E" w:rsidRPr="00C35766" w:rsidRDefault="00953B2E">
            <w:pPr>
              <w:pStyle w:val="a3"/>
            </w:pPr>
          </w:p>
          <w:p w14:paraId="53426FE9" w14:textId="6C04564B" w:rsidR="00953B2E" w:rsidRPr="00C35766" w:rsidRDefault="005F0C19" w:rsidP="00C7325A">
            <w:pPr>
              <w:pStyle w:val="a3"/>
              <w:ind w:left="4404" w:hangingChars="2000" w:hanging="4404"/>
              <w:rPr>
                <w:rFonts w:eastAsia="Times New Roman"/>
                <w:lang w:val="it-IT"/>
              </w:rPr>
            </w:pPr>
            <w:r w:rsidRPr="00C35766">
              <w:rPr>
                <w:rFonts w:eastAsia="Times New Roman"/>
                <w:b/>
                <w:bCs/>
                <w:lang w:val="it-IT"/>
              </w:rPr>
              <w:t xml:space="preserve">     a.</w:t>
            </w:r>
            <w:r w:rsidRPr="00C35766">
              <w:rPr>
                <w:rFonts w:eastAsia="Times New Roman"/>
                <w:lang w:val="it-IT"/>
              </w:rPr>
              <w:t xml:space="preserve"> Tenga con una mano la penna </w:t>
            </w:r>
            <w:r w:rsidR="0092097A" w:rsidRPr="00C35766">
              <w:rPr>
                <w:rFonts w:eastAsia="Times New Roman"/>
                <w:lang w:val="it-IT"/>
              </w:rPr>
              <w:t>pre-riempita</w:t>
            </w:r>
            <w:r w:rsidRPr="00C35766">
              <w:rPr>
                <w:rFonts w:eastAsia="Times New Roman"/>
                <w:lang w:val="it-IT"/>
              </w:rPr>
              <w:t xml:space="preserve"> dal corpo con </w:t>
            </w:r>
            <w:r w:rsidR="0063167F" w:rsidRPr="00C35766">
              <w:rPr>
                <w:rFonts w:eastAsia="Times New Roman"/>
                <w:lang w:val="it-IT"/>
              </w:rPr>
              <w:br/>
            </w:r>
            <w:r w:rsidRPr="00C35766">
              <w:rPr>
                <w:rFonts w:eastAsia="Times New Roman"/>
                <w:lang w:val="it-IT"/>
              </w:rPr>
              <w:t>il cappuccio inserito. Tiri delicatamente il</w:t>
            </w:r>
            <w:r w:rsidR="00347E60" w:rsidRPr="00C35766">
              <w:rPr>
                <w:rFonts w:eastAsia="Times New Roman"/>
                <w:lang w:val="it-IT"/>
              </w:rPr>
              <w:t xml:space="preserve"> </w:t>
            </w:r>
            <w:r w:rsidR="00671634" w:rsidRPr="00C35766">
              <w:rPr>
                <w:rFonts w:eastAsia="Times New Roman"/>
                <w:lang w:val="it-IT"/>
              </w:rPr>
              <w:t xml:space="preserve">cappuccio con l'altra mano.  </w:t>
            </w:r>
            <w:r w:rsidRPr="00C35766">
              <w:rPr>
                <w:rFonts w:eastAsia="Times New Roman"/>
                <w:lang w:val="it-IT"/>
              </w:rPr>
              <w:t xml:space="preserve">  </w:t>
            </w:r>
          </w:p>
          <w:p w14:paraId="1C06C0BD" w14:textId="44CCD000" w:rsidR="00953B2E" w:rsidRPr="00C35766" w:rsidRDefault="00953B2E">
            <w:pPr>
              <w:pStyle w:val="a3"/>
              <w:rPr>
                <w:lang w:val="it-IT"/>
              </w:rPr>
            </w:pPr>
          </w:p>
          <w:p w14:paraId="4A1CD1C0" w14:textId="77777777" w:rsidR="00953B2E" w:rsidRPr="00C35766" w:rsidRDefault="00953B2E">
            <w:pPr>
              <w:pStyle w:val="a3"/>
              <w:rPr>
                <w:lang w:val="it-IT"/>
              </w:rPr>
            </w:pPr>
          </w:p>
          <w:p w14:paraId="4EA78A57" w14:textId="7C2751F9" w:rsidR="00953B2E" w:rsidRPr="00C35766" w:rsidRDefault="005F0C19" w:rsidP="00787805">
            <w:pPr>
              <w:pStyle w:val="a3"/>
              <w:numPr>
                <w:ilvl w:val="0"/>
                <w:numId w:val="18"/>
              </w:numPr>
              <w:rPr>
                <w:lang w:val="fr-FR"/>
              </w:rPr>
            </w:pPr>
            <w:r w:rsidRPr="00C35766">
              <w:rPr>
                <w:rFonts w:eastAsia="Times New Roman"/>
                <w:b/>
                <w:bCs/>
                <w:lang w:val="it-IT"/>
              </w:rPr>
              <w:t>Non</w:t>
            </w:r>
            <w:r w:rsidRPr="00C35766">
              <w:rPr>
                <w:rFonts w:eastAsia="Times New Roman"/>
                <w:lang w:val="it-IT"/>
              </w:rPr>
              <w:t xml:space="preserve"> rimuova il cappuccio fino a quando non è pronto </w:t>
            </w:r>
            <w:r w:rsidR="0063167F" w:rsidRPr="00C35766">
              <w:rPr>
                <w:rFonts w:eastAsia="Times New Roman"/>
                <w:lang w:val="it-IT"/>
              </w:rPr>
              <w:br/>
              <w:t xml:space="preserve">          </w:t>
            </w:r>
            <w:r w:rsidRPr="00C35766">
              <w:rPr>
                <w:rFonts w:eastAsia="Times New Roman"/>
                <w:lang w:val="it-IT"/>
              </w:rPr>
              <w:t xml:space="preserve">per effettuare l'iniezione. </w:t>
            </w:r>
          </w:p>
          <w:p w14:paraId="0C731269" w14:textId="77777777" w:rsidR="00953B2E" w:rsidRPr="00C35766" w:rsidRDefault="00953B2E">
            <w:pPr>
              <w:pStyle w:val="a3"/>
              <w:numPr>
                <w:ilvl w:val="0"/>
                <w:numId w:val="0"/>
              </w:numPr>
              <w:ind w:left="1384"/>
              <w:rPr>
                <w:lang w:val="fr-FR"/>
              </w:rPr>
            </w:pPr>
          </w:p>
          <w:p w14:paraId="359601B7" w14:textId="0054698B" w:rsidR="00953B2E" w:rsidRPr="00C35766" w:rsidRDefault="005F0C19" w:rsidP="00787805">
            <w:pPr>
              <w:pStyle w:val="a3"/>
              <w:numPr>
                <w:ilvl w:val="0"/>
                <w:numId w:val="18"/>
              </w:numPr>
            </w:pPr>
            <w:r w:rsidRPr="00C35766">
              <w:rPr>
                <w:rFonts w:eastAsia="Times New Roman"/>
                <w:b/>
                <w:bCs/>
                <w:lang w:val="it-IT"/>
              </w:rPr>
              <w:t>Non</w:t>
            </w:r>
            <w:r w:rsidRPr="00C35766">
              <w:rPr>
                <w:rFonts w:eastAsia="Times New Roman"/>
                <w:lang w:val="it-IT"/>
              </w:rPr>
              <w:t xml:space="preserve"> </w:t>
            </w:r>
            <w:r w:rsidR="00347E60" w:rsidRPr="00C35766">
              <w:rPr>
                <w:rFonts w:eastAsia="Times New Roman"/>
                <w:lang w:val="it-IT"/>
              </w:rPr>
              <w:t xml:space="preserve">tocchi </w:t>
            </w:r>
            <w:r w:rsidRPr="00C35766">
              <w:rPr>
                <w:rFonts w:eastAsia="Times New Roman"/>
                <w:lang w:val="it-IT"/>
              </w:rPr>
              <w:t xml:space="preserve">l'ago né il cappuccio dell'ago. Farlo  </w:t>
            </w:r>
          </w:p>
          <w:p w14:paraId="56CC8C77" w14:textId="77777777" w:rsidR="00953B2E" w:rsidRPr="00C35766" w:rsidRDefault="005F0C19">
            <w:pPr>
              <w:pStyle w:val="a3"/>
              <w:numPr>
                <w:ilvl w:val="0"/>
                <w:numId w:val="0"/>
              </w:numPr>
              <w:ind w:left="1384" w:firstLineChars="250" w:firstLine="550"/>
              <w:rPr>
                <w:lang w:val="it-IT"/>
              </w:rPr>
            </w:pPr>
            <w:r w:rsidRPr="00C35766">
              <w:rPr>
                <w:rFonts w:eastAsia="Times New Roman"/>
                <w:lang w:val="it-IT"/>
              </w:rPr>
              <w:t>potrebbe comportare una lesione da puntura da ago.</w:t>
            </w:r>
            <w:r w:rsidRPr="00C35766">
              <w:rPr>
                <w:rFonts w:eastAsia="Times New Roman"/>
                <w:b/>
                <w:bCs/>
                <w:lang w:val="it-IT"/>
              </w:rPr>
              <w:t xml:space="preserve"> </w:t>
            </w:r>
          </w:p>
          <w:p w14:paraId="003599E9" w14:textId="77777777" w:rsidR="00953B2E" w:rsidRPr="00C35766" w:rsidRDefault="00953B2E">
            <w:pPr>
              <w:pStyle w:val="a3"/>
              <w:numPr>
                <w:ilvl w:val="0"/>
                <w:numId w:val="0"/>
              </w:numPr>
              <w:ind w:left="1384"/>
              <w:rPr>
                <w:lang w:val="it-IT"/>
              </w:rPr>
            </w:pPr>
          </w:p>
          <w:p w14:paraId="000BDBF8" w14:textId="604F9868" w:rsidR="00953B2E" w:rsidRPr="00AF25F1" w:rsidRDefault="005F0C19" w:rsidP="00787805">
            <w:pPr>
              <w:pStyle w:val="a3"/>
              <w:numPr>
                <w:ilvl w:val="0"/>
                <w:numId w:val="18"/>
              </w:numPr>
              <w:rPr>
                <w:lang w:val="it-IT"/>
              </w:rPr>
            </w:pPr>
            <w:r w:rsidRPr="00C35766">
              <w:rPr>
                <w:rFonts w:eastAsia="Times New Roman"/>
                <w:b/>
                <w:bCs/>
                <w:lang w:val="it-IT"/>
              </w:rPr>
              <w:t>Non</w:t>
            </w:r>
            <w:r w:rsidRPr="00C35766">
              <w:rPr>
                <w:rFonts w:eastAsia="Times New Roman"/>
                <w:lang w:val="it-IT"/>
              </w:rPr>
              <w:t xml:space="preserve"> rimetta il cappuccio alla penna </w:t>
            </w:r>
            <w:r w:rsidR="0092097A" w:rsidRPr="00C35766">
              <w:rPr>
                <w:rFonts w:eastAsia="Times New Roman"/>
                <w:lang w:val="it-IT"/>
              </w:rPr>
              <w:t>pre-riempita</w:t>
            </w:r>
            <w:r w:rsidRPr="00C35766">
              <w:rPr>
                <w:rFonts w:eastAsia="Times New Roman"/>
                <w:lang w:val="it-IT"/>
              </w:rPr>
              <w:t xml:space="preserve">. </w:t>
            </w:r>
            <w:r w:rsidR="0063167F" w:rsidRPr="00C35766">
              <w:rPr>
                <w:rFonts w:eastAsia="Times New Roman"/>
                <w:lang w:val="it-IT"/>
              </w:rPr>
              <w:br/>
              <w:t xml:space="preserve">         </w:t>
            </w:r>
            <w:r w:rsidRPr="00C35766">
              <w:rPr>
                <w:rFonts w:eastAsia="Times New Roman"/>
                <w:lang w:val="it-IT"/>
              </w:rPr>
              <w:t xml:space="preserve">Smaltisca </w:t>
            </w:r>
            <w:r w:rsidR="006F7048" w:rsidRPr="00C35766">
              <w:rPr>
                <w:rFonts w:eastAsia="Times New Roman"/>
                <w:lang w:val="it-IT"/>
              </w:rPr>
              <w:t xml:space="preserve">immediatamente </w:t>
            </w:r>
            <w:r w:rsidRPr="00C35766">
              <w:rPr>
                <w:rFonts w:eastAsia="Times New Roman"/>
                <w:lang w:val="it-IT"/>
              </w:rPr>
              <w:t>il cappuccio</w:t>
            </w:r>
            <w:r w:rsidR="00347E60" w:rsidRPr="00C35766">
              <w:rPr>
                <w:rFonts w:eastAsia="Times New Roman"/>
                <w:lang w:val="it-IT"/>
              </w:rPr>
              <w:t xml:space="preserve"> </w:t>
            </w:r>
            <w:r w:rsidR="00671634" w:rsidRPr="00C35766">
              <w:rPr>
                <w:rFonts w:eastAsia="Times New Roman"/>
                <w:lang w:val="it-IT"/>
              </w:rPr>
              <w:t xml:space="preserve">nel contenitore </w:t>
            </w:r>
            <w:r w:rsidR="0063167F" w:rsidRPr="00C35766">
              <w:rPr>
                <w:rFonts w:eastAsia="Times New Roman"/>
                <w:lang w:val="it-IT"/>
              </w:rPr>
              <w:br/>
              <w:t xml:space="preserve">         </w:t>
            </w:r>
            <w:r w:rsidR="00671634" w:rsidRPr="00C35766">
              <w:rPr>
                <w:rFonts w:eastAsia="Times New Roman"/>
                <w:lang w:val="it-IT"/>
              </w:rPr>
              <w:t>per lo smaltimento di oggetti taglienti.</w:t>
            </w:r>
          </w:p>
          <w:p w14:paraId="6896AFA3" w14:textId="77777777" w:rsidR="00F3069E" w:rsidRPr="00AF25F1" w:rsidRDefault="00F3069E" w:rsidP="00AF25F1">
            <w:pPr>
              <w:pStyle w:val="a3"/>
              <w:numPr>
                <w:ilvl w:val="0"/>
                <w:numId w:val="0"/>
              </w:numPr>
              <w:ind w:left="1384"/>
              <w:rPr>
                <w:lang w:val="it-IT"/>
              </w:rPr>
            </w:pPr>
          </w:p>
          <w:p w14:paraId="6E6EEE5B" w14:textId="3437BD3B" w:rsidR="00F3069E" w:rsidRPr="00C35766" w:rsidRDefault="00F3069E">
            <w:pPr>
              <w:pStyle w:val="a3"/>
              <w:numPr>
                <w:ilvl w:val="0"/>
                <w:numId w:val="18"/>
              </w:numPr>
              <w:rPr>
                <w:lang w:val="it-IT"/>
              </w:rPr>
            </w:pPr>
            <w:r>
              <w:rPr>
                <w:rFonts w:eastAsia="Times New Roman"/>
              </w:rPr>
              <w:t xml:space="preserve">È </w:t>
            </w:r>
            <w:r w:rsidRPr="00AF25F1">
              <w:rPr>
                <w:rFonts w:eastAsia="Times New Roman"/>
                <w:lang w:val="it-IT"/>
              </w:rPr>
              <w:t>normale</w:t>
            </w:r>
            <w:r>
              <w:rPr>
                <w:rFonts w:eastAsia="Times New Roman"/>
              </w:rPr>
              <w:t xml:space="preserve"> </w:t>
            </w:r>
            <w:r w:rsidRPr="00AF25F1">
              <w:rPr>
                <w:rFonts w:eastAsia="Times New Roman"/>
                <w:lang w:val="it-IT"/>
              </w:rPr>
              <w:t>vedere</w:t>
            </w:r>
            <w:r>
              <w:rPr>
                <w:rFonts w:eastAsia="Times New Roman"/>
              </w:rPr>
              <w:t xml:space="preserve"> fuoriuscire alcune gocce di liquido dall'ago</w:t>
            </w:r>
          </w:p>
        </w:tc>
      </w:tr>
      <w:tr w:rsidR="00953B2E" w:rsidRPr="006501B3" w14:paraId="7C775710" w14:textId="77777777">
        <w:trPr>
          <w:trHeight w:val="7028"/>
        </w:trPr>
        <w:tc>
          <w:tcPr>
            <w:tcW w:w="9581" w:type="dxa"/>
          </w:tcPr>
          <w:p w14:paraId="14CD90C7" w14:textId="77777777" w:rsidR="00953B2E" w:rsidRPr="00C35766" w:rsidRDefault="00953B2E">
            <w:pPr>
              <w:ind w:left="104"/>
              <w:rPr>
                <w:rFonts w:ascii="Times New Roman" w:hAnsi="Times New Roman" w:cs="Times New Roman"/>
                <w:b/>
                <w:spacing w:val="-1"/>
                <w:lang w:val="it-IT"/>
              </w:rPr>
            </w:pPr>
          </w:p>
          <w:p w14:paraId="2D37D6E5" w14:textId="366FC975" w:rsidR="00953B2E" w:rsidRPr="00824699" w:rsidRDefault="0063167F">
            <w:pPr>
              <w:pStyle w:val="1"/>
              <w:spacing w:before="76"/>
              <w:ind w:left="0" w:right="2736"/>
              <w:rPr>
                <w:rFonts w:eastAsiaTheme="minorEastAsia" w:cs="Times New Roman"/>
                <w:lang w:val="it-IT" w:eastAsia="ko-KR"/>
              </w:rPr>
            </w:pPr>
            <w:r w:rsidRPr="00C35766">
              <w:rPr>
                <w:rFonts w:cs="Times New Roman"/>
                <w:noProof/>
                <w:lang w:eastAsia="ko-KR"/>
              </w:rPr>
              <mc:AlternateContent>
                <mc:Choice Requires="wpg">
                  <w:drawing>
                    <wp:anchor distT="0" distB="0" distL="114300" distR="114300" simplePos="0" relativeHeight="251658287" behindDoc="0" locked="0" layoutInCell="1" allowOverlap="1" wp14:anchorId="457CD443" wp14:editId="01B4ECF0">
                      <wp:simplePos x="0" y="0"/>
                      <wp:positionH relativeFrom="column">
                        <wp:posOffset>40005</wp:posOffset>
                      </wp:positionH>
                      <wp:positionV relativeFrom="paragraph">
                        <wp:posOffset>144145</wp:posOffset>
                      </wp:positionV>
                      <wp:extent cx="2255520" cy="3975100"/>
                      <wp:effectExtent l="0" t="19050" r="11430" b="6350"/>
                      <wp:wrapSquare wrapText="bothSides"/>
                      <wp:docPr id="130" name="그룹 130"/>
                      <wp:cNvGraphicFramePr/>
                      <a:graphic xmlns:a="http://schemas.openxmlformats.org/drawingml/2006/main">
                        <a:graphicData uri="http://schemas.microsoft.com/office/word/2010/wordprocessingGroup">
                          <wpg:wgp>
                            <wpg:cNvGrpSpPr/>
                            <wpg:grpSpPr>
                              <a:xfrm>
                                <a:off x="0" y="0"/>
                                <a:ext cx="2255520" cy="3975100"/>
                                <a:chOff x="0" y="0"/>
                                <a:chExt cx="2255520" cy="3975100"/>
                              </a:xfrm>
                            </wpg:grpSpPr>
                            <wpg:grpSp>
                              <wpg:cNvPr id="27" name="그룹 27"/>
                              <wpg:cNvGrpSpPr/>
                              <wpg:grpSpPr>
                                <a:xfrm>
                                  <a:off x="15240"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56FD9102" w14:textId="4DAF0471"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65" name="Text Box 1065"/>
                              <wps:cNvSpPr txBox="1"/>
                              <wps:spPr>
                                <a:xfrm>
                                  <a:off x="0" y="176022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C057B7"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57CD443" id="그룹 130" o:spid="_x0000_s1174" style="position:absolute;margin-left:3.15pt;margin-top:11.35pt;width:177.6pt;height:313pt;z-index:251658287" coordsize="22555,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">
                      <v:group id="그룹 27" o:spid="_x0000_s1175" style="position:absolute;left:152;width:22403;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76"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90" o:title=""/>
                          <v:path arrowok="t"/>
                        </v:shape>
                        <v:shape id="Text Box 14" o:spid="_x0000_s1177"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56FD9102" w14:textId="4DAF0471"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I</w:t>
                                </w:r>
                              </w:p>
                            </w:txbxContent>
                          </v:textbox>
                        </v:shape>
                      </v:group>
                      <v:shape id="Text Box 1065" o:spid="_x0000_s1178" type="#_x0000_t202" style="position:absolute;top:17602;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" fillcolor="black [3213]" stroked="f" strokeweight=".5pt">
                        <v:textbox inset="0,0,0,0">
                          <w:txbxContent>
                            <w:p w14:paraId="4BC057B7" w14:textId="77777777" w:rsidR="00D97785" w:rsidRDefault="00D97785">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523BD64C" w14:textId="79905DE6" w:rsidR="00953B2E" w:rsidRPr="00C35766" w:rsidRDefault="005F0C19" w:rsidP="00787805">
            <w:pPr>
              <w:pStyle w:val="a3"/>
              <w:numPr>
                <w:ilvl w:val="0"/>
                <w:numId w:val="24"/>
              </w:numPr>
              <w:rPr>
                <w:b/>
                <w:lang w:val="es-ES"/>
              </w:rPr>
            </w:pPr>
            <w:r w:rsidRPr="00C35766">
              <w:rPr>
                <w:rFonts w:eastAsia="Times New Roman"/>
                <w:b/>
                <w:bCs/>
                <w:lang w:val="it-IT"/>
              </w:rPr>
              <w:t xml:space="preserve">Posizioni la penna </w:t>
            </w:r>
            <w:r w:rsidR="0092097A" w:rsidRPr="00C35766">
              <w:rPr>
                <w:rFonts w:eastAsia="Times New Roman"/>
                <w:b/>
                <w:bCs/>
                <w:lang w:val="it-IT"/>
              </w:rPr>
              <w:t>pre-riempita</w:t>
            </w:r>
            <w:r w:rsidRPr="00C35766">
              <w:rPr>
                <w:rFonts w:eastAsia="Times New Roman"/>
                <w:b/>
                <w:bCs/>
                <w:lang w:val="it-IT"/>
              </w:rPr>
              <w:t xml:space="preserve"> sul sito d’iniezione.</w:t>
            </w:r>
          </w:p>
          <w:p w14:paraId="5C9909E8" w14:textId="77777777" w:rsidR="00953B2E" w:rsidRPr="00C35766" w:rsidRDefault="00953B2E">
            <w:pPr>
              <w:pStyle w:val="a3"/>
              <w:rPr>
                <w:lang w:val="es-ES"/>
              </w:rPr>
            </w:pPr>
          </w:p>
          <w:p w14:paraId="761E037C" w14:textId="70818ABE" w:rsidR="00953B2E" w:rsidRPr="00C35766" w:rsidRDefault="005F0C19">
            <w:pPr>
              <w:pStyle w:val="a3"/>
              <w:rPr>
                <w:lang w:val="es-ES"/>
              </w:rPr>
            </w:pPr>
            <w:r w:rsidRPr="00C35766">
              <w:rPr>
                <w:rFonts w:eastAsia="Times New Roman"/>
                <w:lang w:val="it-IT"/>
              </w:rPr>
              <w:t xml:space="preserve">    </w:t>
            </w:r>
            <w:r w:rsidRPr="00C35766">
              <w:rPr>
                <w:rFonts w:eastAsia="Times New Roman"/>
                <w:b/>
                <w:bCs/>
                <w:lang w:val="it-IT"/>
              </w:rPr>
              <w:t>a.</w:t>
            </w:r>
            <w:r w:rsidRPr="00C35766">
              <w:rPr>
                <w:rFonts w:eastAsia="Times New Roman"/>
                <w:lang w:val="it-IT"/>
              </w:rPr>
              <w:t xml:space="preserve"> Tenga la penna </w:t>
            </w:r>
            <w:r w:rsidR="0092097A" w:rsidRPr="00C35766">
              <w:rPr>
                <w:rFonts w:eastAsia="Times New Roman"/>
                <w:lang w:val="it-IT"/>
              </w:rPr>
              <w:t>pre-riempita</w:t>
            </w:r>
            <w:r w:rsidRPr="00C35766">
              <w:rPr>
                <w:rFonts w:eastAsia="Times New Roman"/>
                <w:lang w:val="it-IT"/>
              </w:rPr>
              <w:t xml:space="preserve"> in modo da poter vedere   </w:t>
            </w:r>
          </w:p>
          <w:p w14:paraId="7878B610" w14:textId="34B486C5" w:rsidR="00953B2E" w:rsidRPr="00C35766" w:rsidRDefault="005F0C19">
            <w:pPr>
              <w:pStyle w:val="a3"/>
              <w:rPr>
                <w:lang w:val="fr-FR"/>
              </w:rPr>
            </w:pPr>
            <w:r w:rsidRPr="00C35766">
              <w:rPr>
                <w:rFonts w:eastAsia="Times New Roman"/>
                <w:lang w:val="it-IT"/>
              </w:rPr>
              <w:t xml:space="preserve">        la finestra.</w:t>
            </w:r>
          </w:p>
          <w:p w14:paraId="358CFA9E" w14:textId="0C6E95AD" w:rsidR="00953B2E" w:rsidRPr="00C35766" w:rsidRDefault="005F0C19" w:rsidP="00C7325A">
            <w:pPr>
              <w:pStyle w:val="a3"/>
              <w:ind w:left="4180" w:hangingChars="1900" w:hanging="4180"/>
              <w:rPr>
                <w:lang w:val="it-IT"/>
              </w:rPr>
            </w:pPr>
            <w:r w:rsidRPr="00C35766">
              <w:rPr>
                <w:rFonts w:eastAsia="Times New Roman"/>
                <w:lang w:val="it-IT"/>
              </w:rPr>
              <w:t xml:space="preserve">    </w:t>
            </w:r>
            <w:r w:rsidRPr="00C35766">
              <w:rPr>
                <w:rFonts w:eastAsia="Times New Roman"/>
                <w:b/>
                <w:bCs/>
                <w:lang w:val="it-IT"/>
              </w:rPr>
              <w:t>b.</w:t>
            </w:r>
            <w:r w:rsidRPr="00C35766">
              <w:rPr>
                <w:rFonts w:eastAsia="Times New Roman"/>
                <w:lang w:val="it-IT"/>
              </w:rPr>
              <w:t xml:space="preserve"> Senza stringere né tirare la pelle, posizioni la</w:t>
            </w:r>
            <w:r w:rsidR="00347E60" w:rsidRPr="00C35766">
              <w:rPr>
                <w:rFonts w:eastAsia="Times New Roman"/>
                <w:lang w:val="it-IT"/>
              </w:rPr>
              <w:t xml:space="preserve"> </w:t>
            </w:r>
            <w:r w:rsidR="00671634" w:rsidRPr="00C35766">
              <w:rPr>
                <w:rFonts w:eastAsia="Times New Roman"/>
                <w:lang w:val="it-IT"/>
              </w:rPr>
              <w:t>penna</w:t>
            </w:r>
            <w:r w:rsidR="0063167F" w:rsidRPr="00C35766">
              <w:rPr>
                <w:rFonts w:eastAsia="Times New Roman"/>
                <w:lang w:val="it-IT"/>
              </w:rPr>
              <w:br/>
            </w:r>
            <w:r w:rsidR="00671634" w:rsidRPr="00C35766">
              <w:rPr>
                <w:rFonts w:eastAsia="Times New Roman"/>
                <w:lang w:val="it-IT"/>
              </w:rPr>
              <w:t xml:space="preserve"> </w:t>
            </w:r>
            <w:r w:rsidR="0092097A" w:rsidRPr="00C35766">
              <w:rPr>
                <w:rFonts w:eastAsia="Times New Roman"/>
                <w:lang w:val="it-IT"/>
              </w:rPr>
              <w:t>pre-riempita</w:t>
            </w:r>
            <w:r w:rsidR="00671634" w:rsidRPr="00C35766">
              <w:rPr>
                <w:rFonts w:eastAsia="Times New Roman"/>
                <w:lang w:val="it-IT"/>
              </w:rPr>
              <w:t xml:space="preserve"> sul sito d’iniezione</w:t>
            </w:r>
            <w:r w:rsidR="0050089C" w:rsidRPr="00C35766">
              <w:rPr>
                <w:rFonts w:eastAsia="Times New Roman"/>
                <w:lang w:val="it-IT"/>
              </w:rPr>
              <w:t xml:space="preserve"> </w:t>
            </w:r>
            <w:r w:rsidR="00671634" w:rsidRPr="00C35766">
              <w:rPr>
                <w:rFonts w:eastAsia="Times New Roman"/>
                <w:lang w:val="it-IT"/>
              </w:rPr>
              <w:t>a un’angolatura di 90 gradi.</w:t>
            </w:r>
            <w:r w:rsidR="00347E60" w:rsidRPr="00C35766">
              <w:rPr>
                <w:rFonts w:eastAsia="Times New Roman"/>
                <w:lang w:val="it-IT"/>
              </w:rPr>
              <w:t xml:space="preserve"> </w:t>
            </w:r>
          </w:p>
        </w:tc>
      </w:tr>
      <w:tr w:rsidR="00953B2E" w:rsidRPr="006501B3" w14:paraId="515752FC" w14:textId="77777777">
        <w:trPr>
          <w:trHeight w:val="8391"/>
        </w:trPr>
        <w:tc>
          <w:tcPr>
            <w:tcW w:w="9581" w:type="dxa"/>
          </w:tcPr>
          <w:p w14:paraId="0953EE96" w14:textId="77777777" w:rsidR="00953B2E" w:rsidRPr="00C35766" w:rsidRDefault="00953B2E">
            <w:pPr>
              <w:ind w:left="104"/>
              <w:rPr>
                <w:rFonts w:ascii="Times New Roman" w:hAnsi="Times New Roman" w:cs="Times New Roman"/>
                <w:b/>
                <w:spacing w:val="-1"/>
                <w:lang w:val="it-IT"/>
              </w:rPr>
            </w:pPr>
          </w:p>
          <w:p w14:paraId="73F4A803" w14:textId="52D0EFB2" w:rsidR="00953B2E" w:rsidRPr="00824699" w:rsidRDefault="0063167F">
            <w:pPr>
              <w:pStyle w:val="1"/>
              <w:spacing w:before="76"/>
              <w:ind w:left="0" w:right="2736"/>
              <w:rPr>
                <w:rFonts w:eastAsiaTheme="minorEastAsia" w:cs="Times New Roman"/>
                <w:lang w:val="it-IT" w:eastAsia="ko-KR"/>
              </w:rPr>
            </w:pPr>
            <w:r w:rsidRPr="00C35766">
              <w:rPr>
                <w:rFonts w:cs="Times New Roman"/>
                <w:noProof/>
                <w:lang w:eastAsia="ko-KR"/>
              </w:rPr>
              <mc:AlternateContent>
                <mc:Choice Requires="wpg">
                  <w:drawing>
                    <wp:anchor distT="0" distB="0" distL="114300" distR="114300" simplePos="0" relativeHeight="251658288" behindDoc="0" locked="0" layoutInCell="1" allowOverlap="1" wp14:anchorId="303364F6" wp14:editId="14F26F82">
                      <wp:simplePos x="0" y="0"/>
                      <wp:positionH relativeFrom="column">
                        <wp:posOffset>24765</wp:posOffset>
                      </wp:positionH>
                      <wp:positionV relativeFrom="paragraph">
                        <wp:posOffset>188595</wp:posOffset>
                      </wp:positionV>
                      <wp:extent cx="2052955" cy="4870450"/>
                      <wp:effectExtent l="19050" t="19050" r="23495" b="6350"/>
                      <wp:wrapSquare wrapText="bothSides"/>
                      <wp:docPr id="134" name="그룹 134"/>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133" name="그룹 133"/>
                              <wpg:cNvGrpSpPr/>
                              <wpg:grpSpPr>
                                <a:xfrm>
                                  <a:off x="0" y="0"/>
                                  <a:ext cx="2052955" cy="4870450"/>
                                  <a:chOff x="0" y="0"/>
                                  <a:chExt cx="2052955" cy="4870450"/>
                                </a:xfrm>
                              </wpg:grpSpPr>
                              <wpg:grpSp>
                                <wpg:cNvPr id="26" name="그룹 26"/>
                                <wpg:cNvGrpSpPr/>
                                <wpg:grpSpPr>
                                  <a:xfrm>
                                    <a:off x="0" y="0"/>
                                    <a:ext cx="2052955" cy="4870450"/>
                                    <a:chOff x="0" y="0"/>
                                    <a:chExt cx="2052955" cy="4870450"/>
                                  </a:xfrm>
                                </wpg:grpSpPr>
                                <pic:pic xmlns:pic="http://schemas.openxmlformats.org/drawingml/2006/picture">
                                  <pic:nvPicPr>
                                    <pic:cNvPr id="171" name="그림 17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bwMode="auto">
                                    <a:xfrm>
                                      <a:off x="0" y="0"/>
                                      <a:ext cx="2050415" cy="4697730"/>
                                    </a:xfrm>
                                    <a:prstGeom prst="rect">
                                      <a:avLst/>
                                    </a:prstGeom>
                                    <a:noFill/>
                                    <a:ln>
                                      <a:solidFill>
                                        <a:schemeClr val="tx1"/>
                                      </a:solidFill>
                                    </a:ln>
                                  </pic:spPr>
                                </pic:pic>
                                <wps:wsp>
                                  <wps:cNvPr id="15" name="Text Box 15"/>
                                  <wps:cNvSpPr txBox="1"/>
                                  <wps:spPr>
                                    <a:xfrm>
                                      <a:off x="1333500" y="4724400"/>
                                      <a:ext cx="719455" cy="146050"/>
                                    </a:xfrm>
                                    <a:prstGeom prst="rect">
                                      <a:avLst/>
                                    </a:prstGeom>
                                    <a:solidFill>
                                      <a:prstClr val="white"/>
                                    </a:solidFill>
                                    <a:ln>
                                      <a:noFill/>
                                    </a:ln>
                                  </wps:spPr>
                                  <wps:txbx>
                                    <w:txbxContent>
                                      <w:p w14:paraId="6FA83D02" w14:textId="5326B80E"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32" name="그룹 132"/>
                                <wpg:cNvGrpSpPr/>
                                <wpg:grpSpPr>
                                  <a:xfrm>
                                    <a:off x="129540" y="708660"/>
                                    <a:ext cx="681990" cy="2752090"/>
                                    <a:chOff x="0" y="0"/>
                                    <a:chExt cx="681990" cy="2752090"/>
                                  </a:xfrm>
                                </wpg:grpSpPr>
                                <wps:wsp>
                                  <wps:cNvPr id="1038" name="12-Point Star 1038"/>
                                  <wps:cNvSpPr/>
                                  <wps:spPr>
                                    <a:xfrm>
                                      <a:off x="0" y="0"/>
                                      <a:ext cx="681990" cy="68580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FE9037" w14:textId="77777777" w:rsidR="00D97785" w:rsidRPr="004F566E" w:rsidRDefault="00D97785">
                                        <w:pPr>
                                          <w:jc w:val="center"/>
                                          <w:rPr>
                                            <w:rFonts w:asciiTheme="majorBidi" w:hAnsiTheme="majorBidi" w:cstheme="majorBidi"/>
                                            <w:b/>
                                            <w:sz w:val="24"/>
                                          </w:rPr>
                                        </w:pPr>
                                        <w:r w:rsidRPr="004F566E">
                                          <w:rPr>
                                            <w:rFonts w:ascii="Times New Roman" w:eastAsia="Times New Roman" w:hAnsi="Times New Roman" w:cs="Times New Roman"/>
                                            <w:b/>
                                            <w:sz w:val="24"/>
                                            <w:lang w:val="it-IT"/>
                                          </w:rPr>
                                          <w:t>1</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9" name="12-Point Star 1040"/>
                                  <wps:cNvSpPr/>
                                  <wps:spPr>
                                    <a:xfrm>
                                      <a:off x="30480" y="2042160"/>
                                      <a:ext cx="646430" cy="70993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F98071" w14:textId="77777777" w:rsidR="00D97785" w:rsidRPr="004F566E" w:rsidRDefault="00D97785">
                                        <w:pPr>
                                          <w:jc w:val="center"/>
                                          <w:rPr>
                                            <w:rFonts w:asciiTheme="majorBidi" w:hAnsiTheme="majorBidi" w:cstheme="majorBidi"/>
                                            <w:b/>
                                            <w:sz w:val="24"/>
                                          </w:rPr>
                                        </w:pPr>
                                        <w:r w:rsidRPr="004F566E">
                                          <w:rPr>
                                            <w:rFonts w:ascii="Times New Roman" w:eastAsia="Times New Roman" w:hAnsi="Times New Roman" w:cs="Times New Roman"/>
                                            <w:b/>
                                            <w:sz w:val="24"/>
                                            <w:lang w:val="it-IT"/>
                                          </w:rPr>
                                          <w:t>2</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1070" name="Text Box 1070"/>
                              <wps:cNvSpPr txBox="1"/>
                              <wps:spPr>
                                <a:xfrm>
                                  <a:off x="0" y="4107180"/>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DB098D" w14:textId="77777777" w:rsidR="00D97785" w:rsidRDefault="00D97785">
                                    <w:pPr>
                                      <w:jc w:val="center"/>
                                      <w:rPr>
                                        <w:rFonts w:asciiTheme="majorBidi" w:hAnsiTheme="majorBidi" w:cstheme="majorBidi"/>
                                        <w:b/>
                                        <w:bCs/>
                                        <w:color w:val="FFFFFF" w:themeColor="background1"/>
                                        <w:sz w:val="28"/>
                                        <w:szCs w:val="28"/>
                                        <w:lang w:val="pt-BR"/>
                                      </w:rPr>
                                    </w:pPr>
                                    <w:r>
                                      <w:rPr>
                                        <w:rFonts w:ascii="Times New Roman" w:eastAsia="Times New Roman" w:hAnsi="Times New Roman" w:cs="Times New Roman"/>
                                        <w:b/>
                                        <w:bCs/>
                                        <w:color w:val="FFFFFF"/>
                                        <w:sz w:val="28"/>
                                        <w:szCs w:val="28"/>
                                        <w:lang w:val="it-IT"/>
                                      </w:rPr>
                                      <w:t>Quindi, conti lentamente fino a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03364F6" id="그룹 134" o:spid="_x0000_s1179" style="position:absolute;margin-left:1.95pt;margin-top:14.85pt;width:161.65pt;height:383.5pt;z-index:251658288" coordsize="20529,48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CwPgNfv/++Gf8YAx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">
                      <v:group id="그룹 133" o:spid="_x0000_s1180"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그룹 26" o:spid="_x0000_s1181"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그림 171" o:spid="_x0000_s1182" type="#_x0000_t75" style="position:absolute;width:20504;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" stroked="t" strokecolor="black [3213]">
                            <v:imagedata r:id="rId92" o:title=""/>
                            <v:path arrowok="t"/>
                          </v:shape>
                          <v:shape id="Text Box 15" o:spid="_x0000_s1183"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6FA83D02" w14:textId="5326B80E" w:rsidR="00D97785" w:rsidRDefault="00D97785">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J</w:t>
                                  </w:r>
                                </w:p>
                              </w:txbxContent>
                            </v:textbox>
                          </v:shape>
                        </v:group>
                        <v:group id="그룹 132" o:spid="_x0000_s1184" style="position:absolute;left:1295;top:7086;width:6820;height:27521" coordsize="6819,2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12-Point Star 1038" o:spid="_x0000_s1185" style="position:absolute;width:6819;height:6858;visibility:visible;mso-wrap-style:square;v-text-anchor:middle" coordsize="681990,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" adj="-11796480,,5400" path="m,342900l93963,276338,45685,171450,160155,161050,170498,45940,274803,94488,340995,r66192,94488l511493,45940r10342,115110l636305,171450,588027,276338r93963,66562l588027,409462r48278,104888l521835,524750,511493,639860,407187,591312r-66192,94488l274803,591312,170498,639860,160155,524750,45685,514350,93963,409462,,342900xe" fillcolor="black [3213]" strokecolor="black [3213]" strokeweight="2pt">
                            <v:stroke joinstyle="miter"/>
                            <v:formulas/>
                            <v:path arrowok="t" o:connecttype="custom" o:connectlocs="0,342900;93963,276338;45685,171450;160155,161050;170498,45940;274803,94488;340995,0;407187,94488;511493,45940;521835,161050;636305,171450;588027,276338;681990,342900;588027,409462;636305,514350;521835,524750;511493,639860;407187,591312;340995,685800;274803,591312;170498,639860;160155,524750;45685,514350;93963,409462;0,342900" o:connectangles="0,0,0,0,0,0,0,0,0,0,0,0,0,0,0,0,0,0,0,0,0,0,0,0,0" textboxrect="0,0,681990,685800"/>
                            <v:textbox inset="0,0,0,0">
                              <w:txbxContent>
                                <w:p w14:paraId="46FE9037" w14:textId="77777777" w:rsidR="00D97785" w:rsidRPr="004F566E" w:rsidRDefault="00D97785">
                                  <w:pPr>
                                    <w:jc w:val="center"/>
                                    <w:rPr>
                                      <w:rFonts w:asciiTheme="majorBidi" w:hAnsiTheme="majorBidi" w:cstheme="majorBidi"/>
                                      <w:b/>
                                      <w:sz w:val="24"/>
                                    </w:rPr>
                                  </w:pPr>
                                  <w:r w:rsidRPr="004F566E">
                                    <w:rPr>
                                      <w:rFonts w:ascii="Times New Roman" w:eastAsia="Times New Roman" w:hAnsi="Times New Roman" w:cs="Times New Roman"/>
                                      <w:b/>
                                      <w:sz w:val="24"/>
                                      <w:lang w:val="it-IT"/>
                                    </w:rPr>
                                    <w:t>1</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v:textbox>
                          </v:shape>
                          <v:shape id="_x0000_s1186" style="position:absolute;left:304;top:20421;width:6465;height:7099;visibility:visible;mso-wrap-style:square;v-text-anchor:middle" coordsize="646430,7099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" adj="-11796480,,5400" path="m,354965l89064,286061,43303,177483,151804,166716,161608,47556r98866,50257l323215,r62741,97813l484823,47556r9803,119160l603127,177483,557366,286061r89064,68904l557366,423869r45761,108579l494626,543214r-9803,119160l385956,612117r-62741,97813l260474,612117r-98866,50257l151804,543214,43303,532448,89064,423869,,354965xe" fillcolor="black [3213]" strokecolor="black [3213]" strokeweight="2pt">
                            <v:stroke joinstyle="miter"/>
                            <v:formulas/>
                            <v:path arrowok="t" o:connecttype="custom" o:connectlocs="0,354965;89064,286061;43303,177483;151804,166716;161608,47556;260474,97813;323215,0;385956,97813;484823,47556;494626,166716;603127,177483;557366,286061;646430,354965;557366,423869;603127,532448;494626,543214;484823,662374;385956,612117;323215,709930;260474,612117;161608,662374;151804,543214;43303,532448;89064,423869;0,354965" o:connectangles="0,0,0,0,0,0,0,0,0,0,0,0,0,0,0,0,0,0,0,0,0,0,0,0,0" textboxrect="0,0,646430,709930"/>
                            <v:textbox inset="0,0,0,0">
                              <w:txbxContent>
                                <w:p w14:paraId="6FF98071" w14:textId="77777777" w:rsidR="00D97785" w:rsidRPr="004F566E" w:rsidRDefault="00D97785">
                                  <w:pPr>
                                    <w:jc w:val="center"/>
                                    <w:rPr>
                                      <w:rFonts w:asciiTheme="majorBidi" w:hAnsiTheme="majorBidi" w:cstheme="majorBidi"/>
                                      <w:b/>
                                      <w:sz w:val="24"/>
                                    </w:rPr>
                                  </w:pPr>
                                  <w:r w:rsidRPr="004F566E">
                                    <w:rPr>
                                      <w:rFonts w:ascii="Times New Roman" w:eastAsia="Times New Roman" w:hAnsi="Times New Roman" w:cs="Times New Roman"/>
                                      <w:b/>
                                      <w:sz w:val="24"/>
                                      <w:lang w:val="it-IT"/>
                                    </w:rPr>
                                    <w:t>2</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v:textbox>
                          </v:shape>
                        </v:group>
                      </v:group>
                      <v:shape id="Text Box 1070" o:spid="_x0000_s1187" type="#_x0000_t202" style="position:absolute;top:41071;width:20529;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" fillcolor="black [3213]" stroked="f" strokeweight=".5pt">
                        <v:textbox inset="0,0,0,0">
                          <w:txbxContent>
                            <w:p w14:paraId="19DB098D" w14:textId="77777777" w:rsidR="00D97785" w:rsidRDefault="00D97785">
                              <w:pPr>
                                <w:jc w:val="center"/>
                                <w:rPr>
                                  <w:rFonts w:asciiTheme="majorBidi" w:hAnsiTheme="majorBidi" w:cstheme="majorBidi"/>
                                  <w:b/>
                                  <w:bCs/>
                                  <w:color w:val="FFFFFF" w:themeColor="background1"/>
                                  <w:sz w:val="28"/>
                                  <w:szCs w:val="28"/>
                                  <w:lang w:val="pt-BR"/>
                                </w:rPr>
                              </w:pPr>
                              <w:r>
                                <w:rPr>
                                  <w:rFonts w:ascii="Times New Roman" w:eastAsia="Times New Roman" w:hAnsi="Times New Roman" w:cs="Times New Roman"/>
                                  <w:b/>
                                  <w:bCs/>
                                  <w:color w:val="FFFFFF"/>
                                  <w:sz w:val="28"/>
                                  <w:szCs w:val="28"/>
                                  <w:lang w:val="it-IT"/>
                                </w:rPr>
                                <w:t>Quindi, conti lentamente fino a 5</w:t>
                              </w:r>
                            </w:p>
                          </w:txbxContent>
                        </v:textbox>
                      </v:shape>
                      <w10:wrap type="square"/>
                    </v:group>
                  </w:pict>
                </mc:Fallback>
              </mc:AlternateContent>
            </w:r>
          </w:p>
          <w:p w14:paraId="0BDE6BC9" w14:textId="6B166331" w:rsidR="00953B2E" w:rsidRPr="00C35766" w:rsidRDefault="00953B2E">
            <w:pPr>
              <w:pStyle w:val="a3"/>
              <w:rPr>
                <w:lang w:val="it-IT"/>
              </w:rPr>
            </w:pPr>
          </w:p>
          <w:p w14:paraId="6ED9B8B0" w14:textId="77777777" w:rsidR="00953B2E" w:rsidRPr="00C35766" w:rsidRDefault="00953B2E">
            <w:pPr>
              <w:pStyle w:val="Default"/>
              <w:rPr>
                <w:rFonts w:ascii="Times New Roman" w:hAnsi="Times New Roman" w:cs="Times New Roman"/>
                <w:lang w:val="it-IT"/>
              </w:rPr>
            </w:pPr>
          </w:p>
          <w:p w14:paraId="318F1A65" w14:textId="77777777" w:rsidR="00953B2E" w:rsidRPr="00C35766" w:rsidRDefault="005F0C19">
            <w:pPr>
              <w:pStyle w:val="Default"/>
              <w:rPr>
                <w:rFonts w:ascii="Times New Roman" w:hAnsi="Times New Roman" w:cs="Times New Roman"/>
                <w:lang w:val="it-IT"/>
              </w:rPr>
            </w:pPr>
            <w:r w:rsidRPr="00C35766">
              <w:rPr>
                <w:rFonts w:ascii="Times New Roman" w:hAnsi="Times New Roman" w:cs="Times New Roman"/>
                <w:lang w:val="it-IT"/>
              </w:rPr>
              <w:t xml:space="preserve"> </w:t>
            </w:r>
          </w:p>
          <w:p w14:paraId="59F4623E" w14:textId="77777777" w:rsidR="00953B2E" w:rsidRPr="00C35766" w:rsidRDefault="005F0C19" w:rsidP="00787805">
            <w:pPr>
              <w:pStyle w:val="a3"/>
              <w:numPr>
                <w:ilvl w:val="0"/>
                <w:numId w:val="24"/>
              </w:numPr>
              <w:rPr>
                <w:b/>
              </w:rPr>
            </w:pPr>
            <w:r w:rsidRPr="00C35766">
              <w:rPr>
                <w:rFonts w:eastAsia="Times New Roman"/>
                <w:b/>
                <w:bCs/>
                <w:lang w:val="it-IT"/>
              </w:rPr>
              <w:t>Esegua l’iniezione</w:t>
            </w:r>
          </w:p>
          <w:p w14:paraId="0F69BE4A" w14:textId="415ABEAD" w:rsidR="00953B2E" w:rsidRPr="00C35766" w:rsidRDefault="00953B2E">
            <w:pPr>
              <w:pStyle w:val="a3"/>
            </w:pPr>
          </w:p>
          <w:p w14:paraId="6CBF4C54" w14:textId="442B908B" w:rsidR="00953B2E" w:rsidRPr="00C35766" w:rsidRDefault="005F0C19" w:rsidP="00C0539A">
            <w:pPr>
              <w:pStyle w:val="a3"/>
              <w:rPr>
                <w:lang w:val="es-ES"/>
              </w:rPr>
            </w:pPr>
            <w:r w:rsidRPr="00C35766">
              <w:rPr>
                <w:rFonts w:eastAsia="Times New Roman"/>
                <w:b/>
                <w:bCs/>
                <w:lang w:val="it-IT"/>
              </w:rPr>
              <w:t>a.</w:t>
            </w:r>
            <w:r w:rsidRPr="00C35766">
              <w:rPr>
                <w:rFonts w:eastAsia="Times New Roman"/>
                <w:lang w:val="it-IT"/>
              </w:rPr>
              <w:t xml:space="preserve"> Prema con decisione la penna </w:t>
            </w:r>
            <w:r w:rsidR="0092097A" w:rsidRPr="00C35766">
              <w:rPr>
                <w:rFonts w:eastAsia="Times New Roman"/>
                <w:lang w:val="it-IT"/>
              </w:rPr>
              <w:t>pre-riempita</w:t>
            </w:r>
            <w:r w:rsidRPr="00C35766">
              <w:rPr>
                <w:rFonts w:eastAsia="Times New Roman"/>
                <w:lang w:val="it-IT"/>
              </w:rPr>
              <w:t xml:space="preserve"> contro la pelle. Quando l’iniezione inizia sentirà un primo clic forte e chiaro, </w:t>
            </w:r>
            <w:r w:rsidR="00671634" w:rsidRPr="00C35766">
              <w:rPr>
                <w:rFonts w:eastAsia="Times New Roman"/>
                <w:lang w:val="it-IT"/>
              </w:rPr>
              <w:t>e lo stantuffo blu inizierà a riempire la finestra.</w:t>
            </w:r>
          </w:p>
          <w:p w14:paraId="01E01A25" w14:textId="03FFFD44" w:rsidR="00953B2E" w:rsidRPr="00C35766" w:rsidRDefault="005F0C19" w:rsidP="00C0539A">
            <w:pPr>
              <w:pStyle w:val="a3"/>
              <w:rPr>
                <w:lang w:val="es-ES"/>
              </w:rPr>
            </w:pPr>
            <w:r w:rsidRPr="00C35766">
              <w:rPr>
                <w:lang w:val="es-ES"/>
              </w:rPr>
              <w:t xml:space="preserve"> </w:t>
            </w:r>
          </w:p>
          <w:p w14:paraId="79616B13" w14:textId="41EC3983" w:rsidR="00953B2E" w:rsidRPr="00C35766" w:rsidRDefault="005F0C19" w:rsidP="00C0539A">
            <w:pPr>
              <w:pStyle w:val="a3"/>
              <w:numPr>
                <w:ilvl w:val="0"/>
                <w:numId w:val="0"/>
              </w:numPr>
              <w:ind w:left="1024"/>
              <w:rPr>
                <w:lang w:val="it-IT"/>
              </w:rPr>
            </w:pPr>
            <w:r w:rsidRPr="00C35766">
              <w:rPr>
                <w:rFonts w:eastAsia="Times New Roman"/>
                <w:b/>
                <w:bCs/>
                <w:lang w:val="it-IT"/>
              </w:rPr>
              <w:t>b.</w:t>
            </w:r>
            <w:r w:rsidRPr="00C35766">
              <w:rPr>
                <w:rFonts w:eastAsia="Times New Roman"/>
                <w:lang w:val="it-IT"/>
              </w:rPr>
              <w:t xml:space="preserve"> Continui a premere con decisione la penna </w:t>
            </w:r>
            <w:r w:rsidR="0092097A" w:rsidRPr="00C35766">
              <w:rPr>
                <w:rFonts w:eastAsia="Times New Roman"/>
                <w:lang w:val="it-IT"/>
              </w:rPr>
              <w:t>pre-riempita</w:t>
            </w:r>
            <w:r w:rsidRPr="00C35766">
              <w:rPr>
                <w:rFonts w:eastAsia="Times New Roman"/>
                <w:lang w:val="it-IT"/>
              </w:rPr>
              <w:t xml:space="preserve"> contro la pelle</w:t>
            </w:r>
            <w:r w:rsidR="00671634" w:rsidRPr="00C35766">
              <w:rPr>
                <w:lang w:val="it-IT"/>
              </w:rPr>
              <w:t xml:space="preserve"> </w:t>
            </w:r>
            <w:r w:rsidR="00671634" w:rsidRPr="00C35766">
              <w:rPr>
                <w:rFonts w:eastAsia="Times New Roman"/>
                <w:lang w:val="it-IT"/>
              </w:rPr>
              <w:t>fino a sentire un secondo clic forte e chiaro</w:t>
            </w:r>
            <w:r w:rsidR="00347E60" w:rsidRPr="00C35766">
              <w:rPr>
                <w:rFonts w:eastAsia="Times New Roman"/>
                <w:lang w:val="it-IT"/>
              </w:rPr>
              <w:t xml:space="preserve"> </w:t>
            </w:r>
          </w:p>
          <w:p w14:paraId="2955B793" w14:textId="206A6A91" w:rsidR="00953B2E" w:rsidRPr="00C35766" w:rsidRDefault="00953B2E" w:rsidP="00C0539A">
            <w:pPr>
              <w:pStyle w:val="a3"/>
              <w:numPr>
                <w:ilvl w:val="0"/>
                <w:numId w:val="0"/>
              </w:numPr>
              <w:rPr>
                <w:lang w:val="it-IT"/>
              </w:rPr>
            </w:pPr>
          </w:p>
          <w:p w14:paraId="6AA29CC1" w14:textId="7F3DC88D" w:rsidR="00953B2E" w:rsidRPr="00C35766" w:rsidRDefault="005F0C19" w:rsidP="00C0539A">
            <w:pPr>
              <w:pStyle w:val="a3"/>
              <w:rPr>
                <w:lang w:val="es-ES"/>
              </w:rPr>
            </w:pPr>
            <w:r w:rsidRPr="00C35766">
              <w:rPr>
                <w:rFonts w:eastAsia="Times New Roman"/>
                <w:b/>
                <w:bCs/>
                <w:lang w:val="it-IT"/>
              </w:rPr>
              <w:t>c.</w:t>
            </w:r>
            <w:r w:rsidRPr="00C35766">
              <w:rPr>
                <w:rFonts w:eastAsia="Times New Roman"/>
                <w:lang w:val="it-IT"/>
              </w:rPr>
              <w:t xml:space="preserve"> Dopo aver sentito il secondo clic continui a tenere la penna </w:t>
            </w:r>
            <w:r w:rsidR="0092097A" w:rsidRPr="00C35766">
              <w:rPr>
                <w:rFonts w:eastAsia="Times New Roman"/>
                <w:lang w:val="it-IT"/>
              </w:rPr>
              <w:t>pre-riempita</w:t>
            </w:r>
            <w:r w:rsidRPr="00C35766">
              <w:rPr>
                <w:rFonts w:eastAsia="Times New Roman"/>
                <w:lang w:val="it-IT"/>
              </w:rPr>
              <w:t xml:space="preserve"> ben salda contro la pelle e conti</w:t>
            </w:r>
            <w:r w:rsidR="00347E60" w:rsidRPr="00C35766">
              <w:rPr>
                <w:rFonts w:eastAsia="Times New Roman"/>
                <w:lang w:val="it-IT"/>
              </w:rPr>
              <w:t xml:space="preserve"> </w:t>
            </w:r>
            <w:r w:rsidRPr="00C35766">
              <w:rPr>
                <w:rFonts w:eastAsia="Times New Roman"/>
                <w:lang w:val="it-IT"/>
              </w:rPr>
              <w:t xml:space="preserve">lentamente fino a 5 per </w:t>
            </w:r>
            <w:r w:rsidR="00347E60" w:rsidRPr="00C35766">
              <w:rPr>
                <w:rFonts w:eastAsia="Times New Roman"/>
                <w:lang w:val="it-IT"/>
              </w:rPr>
              <w:t xml:space="preserve">avere </w:t>
            </w:r>
            <w:r w:rsidRPr="00C35766">
              <w:rPr>
                <w:rFonts w:eastAsia="Times New Roman"/>
                <w:lang w:val="it-IT"/>
              </w:rPr>
              <w:t>la certezza di iniettare la dose completa.</w:t>
            </w:r>
            <w:r w:rsidRPr="00C35766">
              <w:rPr>
                <w:rFonts w:eastAsia="Times New Roman"/>
                <w:color w:val="211D1E"/>
                <w:sz w:val="20"/>
                <w:szCs w:val="20"/>
                <w:lang w:val="it-IT"/>
              </w:rPr>
              <w:t xml:space="preserve"> </w:t>
            </w:r>
          </w:p>
          <w:p w14:paraId="5931FB44" w14:textId="4F27AC29" w:rsidR="00953B2E" w:rsidRPr="00C35766" w:rsidRDefault="00347E60">
            <w:pPr>
              <w:pStyle w:val="a3"/>
              <w:rPr>
                <w:color w:val="211D1E"/>
                <w:sz w:val="20"/>
                <w:szCs w:val="20"/>
                <w:lang w:val="es-ES"/>
              </w:rPr>
            </w:pPr>
            <w:r w:rsidRPr="00C35766">
              <w:rPr>
                <w:noProof/>
                <w:lang w:eastAsia="ko-KR"/>
              </w:rPr>
              <mc:AlternateContent>
                <mc:Choice Requires="wps">
                  <w:drawing>
                    <wp:anchor distT="0" distB="0" distL="114300" distR="114300" simplePos="0" relativeHeight="251658281" behindDoc="0" locked="0" layoutInCell="1" allowOverlap="1" wp14:anchorId="3E4E24B3" wp14:editId="33AC8A2C">
                      <wp:simplePos x="0" y="0"/>
                      <wp:positionH relativeFrom="column">
                        <wp:posOffset>180975</wp:posOffset>
                      </wp:positionH>
                      <wp:positionV relativeFrom="paragraph">
                        <wp:posOffset>96520</wp:posOffset>
                      </wp:positionV>
                      <wp:extent cx="646430" cy="709930"/>
                      <wp:effectExtent l="19050" t="19050" r="20320" b="33020"/>
                      <wp:wrapNone/>
                      <wp:docPr id="1040" name="12-Point Star 1040"/>
                      <wp:cNvGraphicFramePr/>
                      <a:graphic xmlns:a="http://schemas.openxmlformats.org/drawingml/2006/main">
                        <a:graphicData uri="http://schemas.microsoft.com/office/word/2010/wordprocessingShape">
                          <wps:wsp>
                            <wps:cNvSpPr/>
                            <wps:spPr>
                              <a:xfrm>
                                <a:off x="0" y="0"/>
                                <a:ext cx="646430" cy="70993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B928" w14:textId="77777777" w:rsidR="00D97785" w:rsidRPr="00D84998" w:rsidRDefault="00D97785">
                                  <w:pPr>
                                    <w:jc w:val="center"/>
                                    <w:rPr>
                                      <w:rFonts w:asciiTheme="majorBidi" w:hAnsiTheme="majorBidi" w:cstheme="majorBidi"/>
                                    </w:rPr>
                                  </w:pPr>
                                  <w:r w:rsidRPr="00D84998">
                                    <w:rPr>
                                      <w:rFonts w:ascii="Times New Roman" w:eastAsia="Times New Roman" w:hAnsi="Times New Roman" w:cs="Times New Roman"/>
                                      <w:lang w:val="it-IT"/>
                                    </w:rPr>
                                    <w:t>2</w:t>
                                  </w:r>
                                  <w:r w:rsidRPr="00D84998">
                                    <w:rPr>
                                      <w:rFonts w:ascii="Times New Roman" w:eastAsia="Times New Roman" w:hAnsi="Times New Roman" w:cs="Times New Roman"/>
                                      <w:vertAlign w:val="superscript"/>
                                      <w:lang w:val="it-IT"/>
                                    </w:rPr>
                                    <w:t>°</w:t>
                                  </w:r>
                                  <w:r w:rsidRPr="00D84998">
                                    <w:rPr>
                                      <w:rFonts w:ascii="Times New Roman" w:eastAsia="Times New Roman" w:hAnsi="Times New Roman" w:cs="Times New Roman"/>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E24B3" id="12-Point Star 1040" o:spid="_x0000_s1188" style="position:absolute;margin-left:14.25pt;margin-top:7.6pt;width:50.9pt;height:55.9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6430,709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" adj="-11796480,,5400" path="m,354965l89064,286061,43303,177483,151804,166716,161608,47556r98866,50257l323215,r62741,97813l484823,47556r9803,119160l603127,177483,557366,286061r89064,68904l557366,423869r45761,108579l494626,543214r-9803,119160l385956,612117r-62741,97813l260474,612117r-98866,50257l151804,543214,43303,532448,89064,423869,,354965xe" fillcolor="black [3213]" strokecolor="black [3213]" strokeweight="2pt">
                      <v:stroke joinstyle="miter"/>
                      <v:formulas/>
                      <v:path arrowok="t" o:connecttype="custom" o:connectlocs="0,354965;89064,286061;43303,177483;151804,166716;161608,47556;260474,97813;323215,0;385956,97813;484823,47556;494626,166716;603127,177483;557366,286061;646430,354965;557366,423869;603127,532448;494626,543214;484823,662374;385956,612117;323215,709930;260474,612117;161608,662374;151804,543214;43303,532448;89064,423869;0,354965" o:connectangles="0,0,0,0,0,0,0,0,0,0,0,0,0,0,0,0,0,0,0,0,0,0,0,0,0" textboxrect="0,0,646430,709930"/>
                      <v:textbox inset="0,0,0,0">
                        <w:txbxContent>
                          <w:p w14:paraId="33D8B928" w14:textId="77777777" w:rsidR="00D97785" w:rsidRPr="00D84998" w:rsidRDefault="00D97785">
                            <w:pPr>
                              <w:jc w:val="center"/>
                              <w:rPr>
                                <w:rFonts w:asciiTheme="majorBidi" w:hAnsiTheme="majorBidi" w:cstheme="majorBidi"/>
                              </w:rPr>
                            </w:pPr>
                            <w:r w:rsidRPr="00D84998">
                              <w:rPr>
                                <w:rFonts w:ascii="Times New Roman" w:eastAsia="Times New Roman" w:hAnsi="Times New Roman" w:cs="Times New Roman"/>
                                <w:lang w:val="it-IT"/>
                              </w:rPr>
                              <w:t>2</w:t>
                            </w:r>
                            <w:r w:rsidRPr="00D84998">
                              <w:rPr>
                                <w:rFonts w:ascii="Times New Roman" w:eastAsia="Times New Roman" w:hAnsi="Times New Roman" w:cs="Times New Roman"/>
                                <w:vertAlign w:val="superscript"/>
                                <w:lang w:val="it-IT"/>
                              </w:rPr>
                              <w:t>°</w:t>
                            </w:r>
                            <w:r w:rsidRPr="00D84998">
                              <w:rPr>
                                <w:rFonts w:ascii="Times New Roman" w:eastAsia="Times New Roman" w:hAnsi="Times New Roman" w:cs="Times New Roman"/>
                                <w:lang w:val="it-IT"/>
                              </w:rPr>
                              <w:t xml:space="preserve"> clic </w:t>
                            </w:r>
                          </w:p>
                        </w:txbxContent>
                      </v:textbox>
                    </v:shape>
                  </w:pict>
                </mc:Fallback>
              </mc:AlternateContent>
            </w:r>
          </w:p>
          <w:p w14:paraId="6D814694" w14:textId="52B7D561" w:rsidR="00953B2E" w:rsidRPr="00C35766" w:rsidRDefault="005F0C19" w:rsidP="00787805">
            <w:pPr>
              <w:pStyle w:val="a3"/>
              <w:numPr>
                <w:ilvl w:val="0"/>
                <w:numId w:val="19"/>
              </w:numPr>
              <w:rPr>
                <w:color w:val="211D1E"/>
                <w:sz w:val="20"/>
                <w:szCs w:val="20"/>
                <w:lang w:val="es-ES"/>
              </w:rPr>
            </w:pPr>
            <w:r w:rsidRPr="00C35766">
              <w:rPr>
                <w:rFonts w:eastAsia="Times New Roman"/>
                <w:b/>
                <w:bCs/>
                <w:lang w:val="it-IT"/>
              </w:rPr>
              <w:t>Non</w:t>
            </w:r>
            <w:r w:rsidRPr="00C35766">
              <w:rPr>
                <w:rFonts w:eastAsia="Times New Roman"/>
                <w:lang w:val="it-IT"/>
              </w:rPr>
              <w:t xml:space="preserve"> cambi la posizione della penna </w:t>
            </w:r>
            <w:r w:rsidR="0092097A" w:rsidRPr="00C35766">
              <w:rPr>
                <w:rFonts w:eastAsia="Times New Roman"/>
                <w:lang w:val="it-IT"/>
              </w:rPr>
              <w:t>pre-riempita</w:t>
            </w:r>
            <w:r w:rsidRPr="00C35766">
              <w:rPr>
                <w:rFonts w:eastAsia="Times New Roman"/>
                <w:lang w:val="it-IT"/>
              </w:rPr>
              <w:t xml:space="preserve"> una volta iniziata l’iniezione.</w:t>
            </w:r>
          </w:p>
          <w:p w14:paraId="137D84AB" w14:textId="6305FE70" w:rsidR="00953B2E" w:rsidRPr="00C35766" w:rsidRDefault="00953B2E">
            <w:pPr>
              <w:pStyle w:val="a3"/>
              <w:rPr>
                <w:color w:val="211D1E"/>
                <w:sz w:val="20"/>
                <w:szCs w:val="20"/>
                <w:lang w:val="es-ES"/>
              </w:rPr>
            </w:pPr>
          </w:p>
        </w:tc>
      </w:tr>
      <w:tr w:rsidR="00953B2E" w:rsidRPr="006501B3" w14:paraId="3BA0101A" w14:textId="77777777">
        <w:trPr>
          <w:trHeight w:val="6463"/>
        </w:trPr>
        <w:tc>
          <w:tcPr>
            <w:tcW w:w="9581" w:type="dxa"/>
          </w:tcPr>
          <w:p w14:paraId="2B48A8BC" w14:textId="77777777" w:rsidR="00193724" w:rsidRPr="00C35766" w:rsidRDefault="00193724" w:rsidP="005458B6">
            <w:pPr>
              <w:pStyle w:val="a3"/>
              <w:numPr>
                <w:ilvl w:val="0"/>
                <w:numId w:val="0"/>
              </w:numPr>
              <w:rPr>
                <w:rFonts w:eastAsia="Times New Roman"/>
                <w:lang w:val="es-ES"/>
              </w:rPr>
            </w:pPr>
          </w:p>
          <w:p w14:paraId="3A546DAA" w14:textId="1F525382" w:rsidR="00953B2E" w:rsidRPr="00C35766" w:rsidRDefault="005F0C19" w:rsidP="005458B6">
            <w:pPr>
              <w:pStyle w:val="a3"/>
              <w:numPr>
                <w:ilvl w:val="0"/>
                <w:numId w:val="24"/>
              </w:numPr>
              <w:rPr>
                <w:rFonts w:eastAsia="Times New Roman"/>
                <w:b/>
                <w:bCs/>
                <w:lang w:val="it-IT"/>
              </w:rPr>
            </w:pPr>
            <w:r w:rsidRPr="00C35766">
              <w:rPr>
                <w:rFonts w:eastAsia="Times New Roman"/>
                <w:b/>
                <w:bCs/>
                <w:noProof/>
                <w:lang w:eastAsia="ko-KR"/>
              </w:rPr>
              <mc:AlternateContent>
                <mc:Choice Requires="wpg">
                  <w:drawing>
                    <wp:anchor distT="0" distB="0" distL="114300" distR="114300" simplePos="0" relativeHeight="251658249" behindDoc="0" locked="0" layoutInCell="1" allowOverlap="1" wp14:anchorId="6FB7B614" wp14:editId="7D3D9073">
                      <wp:simplePos x="0" y="0"/>
                      <wp:positionH relativeFrom="column">
                        <wp:posOffset>28575</wp:posOffset>
                      </wp:positionH>
                      <wp:positionV relativeFrom="paragraph">
                        <wp:posOffset>62230</wp:posOffset>
                      </wp:positionV>
                      <wp:extent cx="2077720" cy="2458085"/>
                      <wp:effectExtent l="19050" t="19050" r="17780" b="0"/>
                      <wp:wrapSquare wrapText="bothSides"/>
                      <wp:docPr id="23" name="그룹 23"/>
                      <wp:cNvGraphicFramePr/>
                      <a:graphic xmlns:a="http://schemas.openxmlformats.org/drawingml/2006/main">
                        <a:graphicData uri="http://schemas.microsoft.com/office/word/2010/wordprocessingGroup">
                          <wpg:wgp>
                            <wpg:cNvGrpSpPr/>
                            <wpg:grpSpPr>
                              <a:xfrm>
                                <a:off x="0" y="0"/>
                                <a:ext cx="2077720" cy="2458085"/>
                                <a:chOff x="0" y="0"/>
                                <a:chExt cx="1905000" cy="2247900"/>
                              </a:xfrm>
                            </wpg:grpSpPr>
                            <pic:pic xmlns:pic="http://schemas.openxmlformats.org/drawingml/2006/picture">
                              <pic:nvPicPr>
                                <pic:cNvPr id="172" name="그림 17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16" name="Text Box 16"/>
                              <wps:cNvSpPr txBox="1"/>
                              <wps:spPr>
                                <a:xfrm>
                                  <a:off x="1333500" y="2108200"/>
                                  <a:ext cx="571500" cy="139700"/>
                                </a:xfrm>
                                <a:prstGeom prst="rect">
                                  <a:avLst/>
                                </a:prstGeom>
                                <a:solidFill>
                                  <a:prstClr val="white"/>
                                </a:solidFill>
                                <a:ln>
                                  <a:noFill/>
                                </a:ln>
                              </wps:spPr>
                              <wps:txbx>
                                <w:txbxContent>
                                  <w:p w14:paraId="06548DE3" w14:textId="0E7B5012" w:rsidR="00D97785" w:rsidRDefault="00D97785">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FB7B614" id="그룹 23" o:spid="_x0000_s1189" style="position:absolute;left:0;text-align:left;margin-left:2.25pt;margin-top:4.9pt;width:163.6pt;height:193.55pt;z-index:251658249;mso-width-relative:margin;mso-height-relative:margin"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">
                      <v:shape id="그림 172" o:spid="_x0000_s1190"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94" o:title=""/>
                        <v:path arrowok="t"/>
                      </v:shape>
                      <v:shape id="Text Box 16" o:spid="_x0000_s1191"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06548DE3" w14:textId="0E7B5012" w:rsidR="00D97785" w:rsidRDefault="00D97785">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K</w:t>
                              </w:r>
                            </w:p>
                          </w:txbxContent>
                        </v:textbox>
                      </v:shape>
                      <w10:wrap type="square"/>
                    </v:group>
                  </w:pict>
                </mc:Fallback>
              </mc:AlternateContent>
            </w:r>
            <w:r w:rsidRPr="00C35766">
              <w:rPr>
                <w:rFonts w:eastAsia="Times New Roman"/>
                <w:b/>
                <w:bCs/>
                <w:lang w:val="it-IT"/>
              </w:rPr>
              <w:t xml:space="preserve">Rimuova la penna </w:t>
            </w:r>
            <w:r w:rsidR="0092097A" w:rsidRPr="00C35766">
              <w:rPr>
                <w:rFonts w:eastAsia="Times New Roman"/>
                <w:b/>
                <w:bCs/>
                <w:lang w:val="it-IT"/>
              </w:rPr>
              <w:t>pre-riempita</w:t>
            </w:r>
            <w:r w:rsidRPr="00C35766">
              <w:rPr>
                <w:rFonts w:eastAsia="Times New Roman"/>
                <w:b/>
                <w:bCs/>
                <w:lang w:val="it-IT"/>
              </w:rPr>
              <w:t xml:space="preserve"> dal sito d’iniezione e si </w:t>
            </w:r>
            <w:r w:rsidR="00924552">
              <w:rPr>
                <w:rFonts w:eastAsia="Times New Roman"/>
                <w:b/>
                <w:bCs/>
                <w:lang w:val="it-IT"/>
              </w:rPr>
              <w:t>occupi</w:t>
            </w:r>
            <w:r w:rsidR="00347E60" w:rsidRPr="00C35766">
              <w:rPr>
                <w:rFonts w:eastAsia="Times New Roman"/>
                <w:b/>
                <w:bCs/>
                <w:lang w:val="it-IT"/>
              </w:rPr>
              <w:t xml:space="preserve"> </w:t>
            </w:r>
            <w:r w:rsidR="00671634" w:rsidRPr="00C35766">
              <w:rPr>
                <w:rFonts w:eastAsia="Times New Roman"/>
                <w:b/>
                <w:bCs/>
                <w:lang w:val="it-IT"/>
              </w:rPr>
              <w:t>del sito di iniezione</w:t>
            </w:r>
          </w:p>
          <w:p w14:paraId="2CFFAF0A" w14:textId="77777777" w:rsidR="002E3B19" w:rsidRPr="00824699" w:rsidRDefault="005F0C19" w:rsidP="002E3B19">
            <w:pPr>
              <w:pStyle w:val="a3"/>
              <w:numPr>
                <w:ilvl w:val="0"/>
                <w:numId w:val="0"/>
              </w:numPr>
              <w:ind w:left="471"/>
              <w:rPr>
                <w:b/>
                <w:lang w:val="it-IT"/>
              </w:rPr>
            </w:pPr>
            <w:r w:rsidRPr="00C35766">
              <w:rPr>
                <w:rFonts w:eastAsia="Times New Roman"/>
                <w:b/>
                <w:bCs/>
                <w:lang w:val="it-IT"/>
              </w:rPr>
              <w:t xml:space="preserve">     </w:t>
            </w:r>
          </w:p>
          <w:p w14:paraId="271E8BB5" w14:textId="657C53BA" w:rsidR="002E3B19" w:rsidRPr="00C35766" w:rsidRDefault="002E3B19" w:rsidP="00C7325A">
            <w:pPr>
              <w:pStyle w:val="a3"/>
              <w:rPr>
                <w:lang w:val="es-ES"/>
              </w:rPr>
            </w:pPr>
            <w:r w:rsidRPr="00C35766">
              <w:rPr>
                <w:rFonts w:eastAsia="Times New Roman"/>
                <w:b/>
                <w:bCs/>
                <w:lang w:val="it-IT"/>
              </w:rPr>
              <w:t xml:space="preserve">        a.</w:t>
            </w:r>
            <w:r w:rsidRPr="00C35766">
              <w:rPr>
                <w:rFonts w:eastAsia="Times New Roman"/>
                <w:lang w:val="it-IT"/>
              </w:rPr>
              <w:t xml:space="preserve"> Guardi la penna </w:t>
            </w:r>
            <w:r w:rsidR="0092097A" w:rsidRPr="00C35766">
              <w:rPr>
                <w:rFonts w:eastAsia="Times New Roman"/>
                <w:lang w:val="it-IT"/>
              </w:rPr>
              <w:t>pre-riempita</w:t>
            </w:r>
            <w:r w:rsidRPr="00C35766">
              <w:rPr>
                <w:rFonts w:eastAsia="Times New Roman"/>
                <w:lang w:val="it-IT"/>
              </w:rPr>
              <w:t xml:space="preserve"> e si assicuri che l’asta dello stantuffo blu con il tappo grigio riempia completamente la finestra.</w:t>
            </w:r>
          </w:p>
          <w:p w14:paraId="0A0347DA" w14:textId="77777777" w:rsidR="002E3B19" w:rsidRPr="00C35766" w:rsidRDefault="002E3B19" w:rsidP="002E3B19">
            <w:pPr>
              <w:pStyle w:val="a3"/>
              <w:rPr>
                <w:rFonts w:eastAsia="Times New Roman"/>
                <w:b/>
                <w:bCs/>
                <w:lang w:val="it-IT"/>
              </w:rPr>
            </w:pPr>
            <w:r w:rsidRPr="00C35766">
              <w:rPr>
                <w:rFonts w:eastAsia="Times New Roman"/>
                <w:b/>
                <w:bCs/>
                <w:lang w:val="it-IT"/>
              </w:rPr>
              <w:t xml:space="preserve">         </w:t>
            </w:r>
          </w:p>
          <w:p w14:paraId="59E277D8" w14:textId="6DA4E2A8" w:rsidR="002E3B19" w:rsidRPr="00C35766" w:rsidRDefault="002E3B19" w:rsidP="002E3B19">
            <w:pPr>
              <w:pStyle w:val="a3"/>
              <w:rPr>
                <w:lang w:val="es-ES"/>
              </w:rPr>
            </w:pPr>
            <w:r w:rsidRPr="00C35766">
              <w:rPr>
                <w:rFonts w:eastAsia="Times New Roman"/>
                <w:b/>
                <w:bCs/>
                <w:lang w:val="it-IT"/>
              </w:rPr>
              <w:t xml:space="preserve">        b.</w:t>
            </w:r>
            <w:r w:rsidRPr="00C35766">
              <w:rPr>
                <w:rFonts w:eastAsia="Times New Roman"/>
                <w:lang w:val="it-IT"/>
              </w:rPr>
              <w:t xml:space="preserve"> Rimuova la penna </w:t>
            </w:r>
            <w:r w:rsidR="0092097A" w:rsidRPr="00C35766">
              <w:rPr>
                <w:rFonts w:eastAsia="Times New Roman"/>
                <w:lang w:val="it-IT"/>
              </w:rPr>
              <w:t>pre-riempita</w:t>
            </w:r>
            <w:r w:rsidRPr="00C35766">
              <w:rPr>
                <w:rFonts w:eastAsia="Times New Roman"/>
                <w:lang w:val="it-IT"/>
              </w:rPr>
              <w:t xml:space="preserve"> dalla pelle.</w:t>
            </w:r>
          </w:p>
          <w:p w14:paraId="28DF3FB1" w14:textId="2EE1F1A2" w:rsidR="00953B2E" w:rsidRPr="00C35766" w:rsidRDefault="00953B2E">
            <w:pPr>
              <w:pStyle w:val="a3"/>
              <w:rPr>
                <w:lang w:val="es-ES"/>
              </w:rPr>
            </w:pPr>
          </w:p>
          <w:p w14:paraId="179B2911" w14:textId="699829EF" w:rsidR="00953B2E" w:rsidRPr="00C35766" w:rsidRDefault="005F0C19">
            <w:pPr>
              <w:pStyle w:val="a3"/>
              <w:numPr>
                <w:ilvl w:val="0"/>
                <w:numId w:val="0"/>
              </w:numPr>
              <w:tabs>
                <w:tab w:val="left" w:pos="3153"/>
                <w:tab w:val="left" w:pos="3294"/>
              </w:tabs>
              <w:rPr>
                <w:lang w:val="es-ES"/>
              </w:rPr>
            </w:pPr>
            <w:r w:rsidRPr="00C35766">
              <w:rPr>
                <w:rFonts w:eastAsia="맑은 고딕"/>
                <w:lang w:val="it-IT"/>
              </w:rPr>
              <w:t>•</w:t>
            </w:r>
            <w:r w:rsidRPr="00C35766">
              <w:rPr>
                <w:rFonts w:eastAsia="Times New Roman"/>
                <w:lang w:val="it-IT"/>
              </w:rPr>
              <w:t xml:space="preserve"> Dopo che avrà rimosso la penna </w:t>
            </w:r>
            <w:r w:rsidR="0092097A" w:rsidRPr="00C35766">
              <w:rPr>
                <w:rFonts w:eastAsia="Times New Roman"/>
                <w:lang w:val="it-IT"/>
              </w:rPr>
              <w:t>pre-riempita</w:t>
            </w:r>
            <w:r w:rsidRPr="00C35766">
              <w:rPr>
                <w:rFonts w:eastAsia="Times New Roman"/>
                <w:lang w:val="it-IT"/>
              </w:rPr>
              <w:t xml:space="preserve"> dal sito di iniezione, l’ago si coprirà automaticamente.</w:t>
            </w:r>
            <w:r w:rsidRPr="00C35766">
              <w:rPr>
                <w:rFonts w:eastAsia="Times New Roman"/>
                <w:b/>
                <w:bCs/>
                <w:lang w:val="it-IT"/>
              </w:rPr>
              <w:t xml:space="preserve"> Non</w:t>
            </w:r>
            <w:r w:rsidRPr="00C35766">
              <w:rPr>
                <w:rFonts w:eastAsia="Times New Roman"/>
                <w:lang w:val="it-IT"/>
              </w:rPr>
              <w:t xml:space="preserve"> rimetta il tappo alla penna.</w:t>
            </w:r>
          </w:p>
          <w:p w14:paraId="36833AC2" w14:textId="77777777" w:rsidR="00953B2E" w:rsidRPr="00C35766" w:rsidRDefault="00953B2E">
            <w:pPr>
              <w:pStyle w:val="a3"/>
              <w:rPr>
                <w:lang w:val="es-ES"/>
              </w:rPr>
            </w:pPr>
          </w:p>
          <w:p w14:paraId="6371E630" w14:textId="0D8DAD0A" w:rsidR="00953B2E" w:rsidRPr="00C35766" w:rsidRDefault="0063167F">
            <w:pPr>
              <w:pStyle w:val="a3"/>
              <w:rPr>
                <w:lang w:val="it-IT"/>
              </w:rPr>
            </w:pPr>
            <w:r w:rsidRPr="00C35766">
              <w:rPr>
                <w:noProof/>
                <w:lang w:eastAsia="ko-KR"/>
              </w:rPr>
              <mc:AlternateContent>
                <mc:Choice Requires="wpg">
                  <w:drawing>
                    <wp:anchor distT="0" distB="0" distL="114300" distR="114300" simplePos="0" relativeHeight="251658280" behindDoc="0" locked="0" layoutInCell="1" allowOverlap="1" wp14:anchorId="41D0BD60" wp14:editId="3DDB7D25">
                      <wp:simplePos x="0" y="0"/>
                      <wp:positionH relativeFrom="column">
                        <wp:posOffset>28575</wp:posOffset>
                      </wp:positionH>
                      <wp:positionV relativeFrom="paragraph">
                        <wp:posOffset>565150</wp:posOffset>
                      </wp:positionV>
                      <wp:extent cx="2077720" cy="2054225"/>
                      <wp:effectExtent l="19050" t="19050" r="17780" b="3175"/>
                      <wp:wrapSquare wrapText="bothSides"/>
                      <wp:docPr id="135" name="그룹 135"/>
                      <wp:cNvGraphicFramePr/>
                      <a:graphic xmlns:a="http://schemas.openxmlformats.org/drawingml/2006/main">
                        <a:graphicData uri="http://schemas.microsoft.com/office/word/2010/wordprocessingGroup">
                          <wpg:wgp>
                            <wpg:cNvGrpSpPr/>
                            <wpg:grpSpPr>
                              <a:xfrm>
                                <a:off x="0" y="0"/>
                                <a:ext cx="2077720" cy="2054225"/>
                                <a:chOff x="0" y="0"/>
                                <a:chExt cx="1889760" cy="1805940"/>
                              </a:xfrm>
                            </wpg:grpSpPr>
                            <wpg:grpSp>
                              <wpg:cNvPr id="22" name="그룹 22"/>
                              <wpg:cNvGrpSpPr/>
                              <wpg:grpSpPr>
                                <a:xfrm>
                                  <a:off x="0" y="0"/>
                                  <a:ext cx="1889760" cy="1805940"/>
                                  <a:chOff x="8890" y="0"/>
                                  <a:chExt cx="1889760" cy="1805940"/>
                                </a:xfrm>
                              </wpg:grpSpPr>
                              <pic:pic xmlns:pic="http://schemas.openxmlformats.org/drawingml/2006/picture">
                                <pic:nvPicPr>
                                  <pic:cNvPr id="173" name="그림 17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bwMode="auto">
                                  <a:xfrm>
                                    <a:off x="8890" y="0"/>
                                    <a:ext cx="1889760" cy="1550670"/>
                                  </a:xfrm>
                                  <a:prstGeom prst="rect">
                                    <a:avLst/>
                                  </a:prstGeom>
                                  <a:noFill/>
                                  <a:ln>
                                    <a:solidFill>
                                      <a:schemeClr val="tx1"/>
                                    </a:solidFill>
                                  </a:ln>
                                </pic:spPr>
                              </pic:pic>
                              <wps:wsp>
                                <wps:cNvPr id="17" name="Text Box 17"/>
                                <wps:cNvSpPr txBox="1"/>
                                <wps:spPr>
                                  <a:xfrm>
                                    <a:off x="1352550" y="1574800"/>
                                    <a:ext cx="546100" cy="231140"/>
                                  </a:xfrm>
                                  <a:prstGeom prst="rect">
                                    <a:avLst/>
                                  </a:prstGeom>
                                  <a:solidFill>
                                    <a:prstClr val="white"/>
                                  </a:solidFill>
                                  <a:ln>
                                    <a:noFill/>
                                  </a:ln>
                                </wps:spPr>
                                <wps:txbx>
                                  <w:txbxContent>
                                    <w:p w14:paraId="7F0BFF09" w14:textId="445905B7" w:rsidR="00D97785" w:rsidRDefault="00D97785">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1036320" y="746760"/>
                                  <a:ext cx="828136" cy="6324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DB2680" w14:textId="77777777" w:rsidR="00D97785" w:rsidRDefault="00D97785">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D0BD60" id="그룹 135" o:spid="_x0000_s1192" style="position:absolute;margin-left:2.25pt;margin-top:44.5pt;width:163.6pt;height:161.75pt;z-index:251658280;mso-width-relative:margin;mso-height-relative:margin" coordsize="18897,180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">
                      <v:group id="그룹 22" o:spid="_x0000_s1193" style="position:absolute;width:18897;height:18059" coordorigin="88" coordsize="18897,1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194" type="#_x0000_t75" style="position:absolute;left:88;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96" o:title=""/>
                          <v:path arrowok="t"/>
                        </v:shape>
                        <v:shape id="Text Box 17" o:spid="_x0000_s1195"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7F0BFF09" w14:textId="445905B7" w:rsidR="00D97785" w:rsidRDefault="00D97785">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L</w:t>
                                </w:r>
                              </w:p>
                            </w:txbxContent>
                          </v:textbox>
                        </v:shape>
                      </v:group>
                      <v:shape id="Text Box 1031" o:spid="_x0000_s1196" type="#_x0000_t202" style="position:absolute;left:10363;top:7467;width:8281;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" fillcolor="white [3212]" stroked="f" strokeweight=".5pt">
                        <v:textbox inset="0,0,0,0">
                          <w:txbxContent>
                            <w:p w14:paraId="69DB2680" w14:textId="77777777" w:rsidR="00D97785" w:rsidRDefault="00D97785">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v:textbox>
                      </v:shape>
                      <w10:wrap type="square"/>
                    </v:group>
                  </w:pict>
                </mc:Fallback>
              </mc:AlternateContent>
            </w:r>
            <w:r w:rsidR="005F0C19" w:rsidRPr="00C35766">
              <w:rPr>
                <w:rFonts w:eastAsia="맑은 고딕"/>
                <w:lang w:val="it-IT"/>
              </w:rPr>
              <w:t>•</w:t>
            </w:r>
            <w:r w:rsidR="005F0C19" w:rsidRPr="00C35766">
              <w:rPr>
                <w:rFonts w:eastAsia="Times New Roman"/>
                <w:lang w:val="it-IT"/>
              </w:rPr>
              <w:t xml:space="preserve"> Se la finestra non è diventata completamente blu o se il farmaco viene ancora iniettato, significa che Lei non ha ricevuto una dose completa. Chiami immediatamente il Suo medico</w:t>
            </w:r>
          </w:p>
          <w:p w14:paraId="2398A4BE" w14:textId="77777777" w:rsidR="00953B2E" w:rsidRPr="00C35766" w:rsidRDefault="00953B2E">
            <w:pPr>
              <w:pStyle w:val="a3"/>
              <w:rPr>
                <w:lang w:val="it-IT"/>
              </w:rPr>
            </w:pPr>
          </w:p>
          <w:p w14:paraId="18DC99E5" w14:textId="3CAA82BE" w:rsidR="00953B2E" w:rsidRPr="00C35766" w:rsidRDefault="005F0C19">
            <w:pPr>
              <w:pStyle w:val="a3"/>
              <w:rPr>
                <w:lang w:val="it-IT"/>
              </w:rPr>
            </w:pPr>
            <w:r w:rsidRPr="00C35766">
              <w:rPr>
                <w:rFonts w:eastAsia="Times New Roman"/>
                <w:b/>
                <w:bCs/>
                <w:lang w:val="it-IT"/>
              </w:rPr>
              <w:t xml:space="preserve">         c. </w:t>
            </w:r>
            <w:r w:rsidRPr="00C35766">
              <w:rPr>
                <w:rFonts w:eastAsia="Times New Roman"/>
                <w:lang w:val="it-IT"/>
              </w:rPr>
              <w:t xml:space="preserve">Medichi il sito d’iniezione premendovi delicatamente sopra, senza strofinare,  un batuffolo di cotone o una garza e, se necessario   </w:t>
            </w:r>
          </w:p>
          <w:p w14:paraId="6208A102" w14:textId="1CE92F74" w:rsidR="00953B2E" w:rsidRPr="00C35766" w:rsidRDefault="005F0C19">
            <w:pPr>
              <w:pStyle w:val="a3"/>
              <w:rPr>
                <w:lang w:val="es-ES"/>
              </w:rPr>
            </w:pPr>
            <w:r w:rsidRPr="00C35766">
              <w:rPr>
                <w:rFonts w:eastAsia="Times New Roman"/>
                <w:lang w:val="it-IT"/>
              </w:rPr>
              <w:t>applicando una benda adesiva. Può verificarsi un sanguinamento.</w:t>
            </w:r>
          </w:p>
          <w:p w14:paraId="0015BA20" w14:textId="4E48BBAC" w:rsidR="00953B2E" w:rsidRPr="00C35766" w:rsidRDefault="00953B2E">
            <w:pPr>
              <w:pStyle w:val="a3"/>
              <w:rPr>
                <w:lang w:val="es-ES"/>
              </w:rPr>
            </w:pPr>
          </w:p>
          <w:p w14:paraId="5C91FC6B" w14:textId="38CE246C" w:rsidR="00953B2E" w:rsidRPr="00C35766" w:rsidRDefault="005F0C19">
            <w:pPr>
              <w:pStyle w:val="a3"/>
              <w:rPr>
                <w:lang w:val="fr-FR"/>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riusi la penna </w:t>
            </w:r>
            <w:r w:rsidR="0092097A" w:rsidRPr="00C35766">
              <w:rPr>
                <w:rFonts w:eastAsia="Times New Roman"/>
                <w:lang w:val="it-IT"/>
              </w:rPr>
              <w:t>pre-riempita</w:t>
            </w:r>
            <w:r w:rsidRPr="00C35766">
              <w:rPr>
                <w:rFonts w:eastAsia="Times New Roman"/>
                <w:lang w:val="it-IT"/>
              </w:rPr>
              <w:t>.</w:t>
            </w:r>
          </w:p>
          <w:p w14:paraId="678D87CF" w14:textId="024A2B87" w:rsidR="00953B2E" w:rsidRPr="00C35766" w:rsidRDefault="005F0C19">
            <w:pPr>
              <w:pStyle w:val="a3"/>
              <w:numPr>
                <w:ilvl w:val="0"/>
                <w:numId w:val="0"/>
              </w:numPr>
              <w:ind w:left="1024"/>
              <w:rPr>
                <w:lang w:val="fr-FR" w:eastAsia="ko-KR"/>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strofini il sito di iniezione.</w:t>
            </w:r>
          </w:p>
        </w:tc>
      </w:tr>
      <w:tr w:rsidR="00953B2E" w:rsidRPr="006501B3" w14:paraId="47D1E5B8" w14:textId="77777777">
        <w:trPr>
          <w:trHeight w:val="5329"/>
        </w:trPr>
        <w:tc>
          <w:tcPr>
            <w:tcW w:w="9581" w:type="dxa"/>
          </w:tcPr>
          <w:p w14:paraId="0696919C" w14:textId="09CBA25B" w:rsidR="00953B2E" w:rsidRPr="00C35766" w:rsidRDefault="00953B2E">
            <w:pPr>
              <w:ind w:left="104"/>
              <w:rPr>
                <w:rFonts w:ascii="Times New Roman" w:eastAsia="Times New Roman" w:hAnsi="Times New Roman" w:cs="Times New Roman"/>
                <w:b/>
                <w:bCs/>
                <w:spacing w:val="-1"/>
                <w:lang w:val="fr-FR"/>
              </w:rPr>
            </w:pPr>
          </w:p>
          <w:p w14:paraId="595CD12E" w14:textId="77777777" w:rsidR="00953B2E" w:rsidRPr="00C35766" w:rsidRDefault="00953B2E">
            <w:pPr>
              <w:pStyle w:val="a3"/>
              <w:numPr>
                <w:ilvl w:val="0"/>
                <w:numId w:val="0"/>
              </w:numPr>
              <w:ind w:left="471"/>
              <w:rPr>
                <w:lang w:val="fr-FR"/>
              </w:rPr>
            </w:pPr>
          </w:p>
          <w:p w14:paraId="58D1C4CD" w14:textId="08DB523B" w:rsidR="00953B2E" w:rsidRPr="00C35766" w:rsidRDefault="005F0C19" w:rsidP="00787805">
            <w:pPr>
              <w:pStyle w:val="a3"/>
              <w:numPr>
                <w:ilvl w:val="0"/>
                <w:numId w:val="24"/>
              </w:numPr>
            </w:pPr>
            <w:r w:rsidRPr="00C35766">
              <w:rPr>
                <w:b/>
                <w:noProof/>
                <w:lang w:eastAsia="ko-KR"/>
              </w:rPr>
              <mc:AlternateContent>
                <mc:Choice Requires="wpg">
                  <w:drawing>
                    <wp:anchor distT="0" distB="0" distL="114300" distR="114300" simplePos="0" relativeHeight="251658250" behindDoc="0" locked="0" layoutInCell="1" allowOverlap="1" wp14:anchorId="1230C5FE" wp14:editId="285CC78A">
                      <wp:simplePos x="0" y="0"/>
                      <wp:positionH relativeFrom="column">
                        <wp:posOffset>112395</wp:posOffset>
                      </wp:positionH>
                      <wp:positionV relativeFrom="paragraph">
                        <wp:posOffset>36830</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7B531F05" w14:textId="2A208EC3" w:rsidR="00D97785" w:rsidRDefault="00D97785">
                                    <w:pPr>
                                      <w:pStyle w:val="af0"/>
                                      <w:jc w:val="right"/>
                                      <w:rPr>
                                        <w:b w:val="0"/>
                                        <w:noProof/>
                                      </w:rPr>
                                    </w:pPr>
                                    <w:r>
                                      <w:rPr>
                                        <w:rFonts w:ascii="Times New Roman" w:eastAsia="Times New Roman" w:hAnsi="Times New Roman" w:cs="Times New Roman"/>
                                        <w:lang w:val="it-IT"/>
                                      </w:rPr>
                                      <w:t>Figura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1230C5FE" id="그룹 19" o:spid="_x0000_s1197" style="position:absolute;left:0;text-align:left;margin-left:8.85pt;margin-top:2.9pt;width:175.25pt;height:231.3pt;z-index:251658250"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QwAMCAgICAgMCAgMEAsLCwwPDg0NDhQSDg4TExIXFBIUFBobFxQUGx4eJxsUJCcn&#10;JyckMjU1NTI7Ozs7Ozs7Ozs7/9sAQwENCwsOCw4RDw8SGBERERIXGxgUFBceFxggGBceJR4eHh4e&#10;HiUjKCgoKCgjLDAwMDAsNzs7Ozc7Ozs7Ozs7Ozs7/9sAQwINCwsOCw4RDw8SGBERERIXGxgUFBce&#10;FxggGBceJR4eHh4eHiUjKCgoKCgjLDAwMDAsNzs7Ozc7Ozs7Ozs7Ozs7/8AAEQgCWQHp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">
                      <v:shape id="그림 4" o:spid="_x0000_s1198"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8" o:title=""/>
                        <v:path arrowok="t"/>
                      </v:shape>
                      <v:shape id="Text Box 18" o:spid="_x0000_s1199"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7B531F05" w14:textId="2A208EC3" w:rsidR="00D97785" w:rsidRDefault="00D97785">
                              <w:pPr>
                                <w:pStyle w:val="af0"/>
                                <w:jc w:val="right"/>
                                <w:rPr>
                                  <w:b w:val="0"/>
                                  <w:noProof/>
                                </w:rPr>
                              </w:pPr>
                              <w:r>
                                <w:rPr>
                                  <w:rFonts w:ascii="Times New Roman" w:eastAsia="Times New Roman" w:hAnsi="Times New Roman" w:cs="Times New Roman"/>
                                  <w:lang w:val="it-IT"/>
                                </w:rPr>
                                <w:t>Figura </w:t>
                              </w:r>
                              <w:r>
                                <w:rPr>
                                  <w:rFonts w:ascii="Times New Roman" w:hAnsi="Times New Roman" w:cs="Times New Roman"/>
                                </w:rPr>
                                <w:t>M</w:t>
                              </w:r>
                            </w:p>
                          </w:txbxContent>
                        </v:textbox>
                      </v:shape>
                      <w10:wrap type="square"/>
                    </v:group>
                  </w:pict>
                </mc:Fallback>
              </mc:AlternateContent>
            </w:r>
            <w:r w:rsidRPr="00C35766">
              <w:rPr>
                <w:rFonts w:eastAsia="Times New Roman"/>
                <w:b/>
                <w:bCs/>
                <w:lang w:val="it-IT"/>
              </w:rPr>
              <w:t xml:space="preserve">Smaltisca la penna </w:t>
            </w:r>
            <w:r w:rsidR="0092097A" w:rsidRPr="00C35766">
              <w:rPr>
                <w:rFonts w:eastAsia="Times New Roman"/>
                <w:b/>
                <w:bCs/>
                <w:lang w:val="it-IT"/>
              </w:rPr>
              <w:t>pre-riempita</w:t>
            </w:r>
          </w:p>
          <w:p w14:paraId="0277C651" w14:textId="77777777" w:rsidR="00953B2E" w:rsidRPr="00C35766" w:rsidRDefault="00953B2E">
            <w:pPr>
              <w:pStyle w:val="a3"/>
            </w:pPr>
          </w:p>
          <w:p w14:paraId="2962B22B" w14:textId="60EE46AC" w:rsidR="00953B2E" w:rsidRPr="00C35766" w:rsidRDefault="005F0C19">
            <w:pPr>
              <w:pStyle w:val="a3"/>
              <w:rPr>
                <w:lang w:val="it-IT"/>
              </w:rPr>
            </w:pPr>
            <w:r w:rsidRPr="00C35766">
              <w:rPr>
                <w:rFonts w:eastAsia="Times New Roman"/>
                <w:b/>
                <w:bCs/>
                <w:lang w:val="it-IT"/>
              </w:rPr>
              <w:t xml:space="preserve">    a.</w:t>
            </w:r>
            <w:r w:rsidRPr="00C35766">
              <w:rPr>
                <w:rFonts w:eastAsia="Times New Roman"/>
                <w:lang w:val="it-IT"/>
              </w:rPr>
              <w:t xml:space="preserve"> Getti via immediatamente la penna </w:t>
            </w:r>
            <w:r w:rsidR="0092097A" w:rsidRPr="00C35766">
              <w:rPr>
                <w:rFonts w:eastAsia="Times New Roman"/>
                <w:lang w:val="it-IT"/>
              </w:rPr>
              <w:t>pre-riempita</w:t>
            </w:r>
            <w:r w:rsidRPr="00C35766">
              <w:rPr>
                <w:rFonts w:eastAsia="Times New Roman"/>
                <w:lang w:val="it-IT"/>
              </w:rPr>
              <w:t xml:space="preserve"> usata in un contenitore</w:t>
            </w:r>
            <w:r w:rsidR="002E3B19" w:rsidRPr="00C35766">
              <w:rPr>
                <w:rFonts w:eastAsia="Times New Roman"/>
                <w:lang w:val="it-IT"/>
              </w:rPr>
              <w:t xml:space="preserve"> speciale per lo smaltimento di </w:t>
            </w:r>
            <w:r w:rsidRPr="00C35766">
              <w:rPr>
                <w:rFonts w:eastAsia="Times New Roman"/>
                <w:lang w:val="it-IT"/>
              </w:rPr>
              <w:t>oggetti taglienti, come</w:t>
            </w:r>
            <w:r w:rsidR="002E3B19" w:rsidRPr="00C35766">
              <w:rPr>
                <w:rFonts w:eastAsia="Times New Roman"/>
                <w:lang w:val="it-IT"/>
              </w:rPr>
              <w:t xml:space="preserve"> da istruzioni del Suo medico, </w:t>
            </w:r>
            <w:r w:rsidRPr="00C35766">
              <w:rPr>
                <w:rFonts w:eastAsia="Times New Roman"/>
                <w:lang w:val="it-IT"/>
              </w:rPr>
              <w:t xml:space="preserve">dell’infermiere o del farmacista. </w:t>
            </w:r>
          </w:p>
          <w:p w14:paraId="4A59DE4F" w14:textId="77777777" w:rsidR="00953B2E" w:rsidRPr="00C35766" w:rsidRDefault="00953B2E">
            <w:pPr>
              <w:pStyle w:val="a3"/>
              <w:rPr>
                <w:lang w:val="it-IT"/>
              </w:rPr>
            </w:pPr>
          </w:p>
          <w:p w14:paraId="76BA944E" w14:textId="397C6E4F" w:rsidR="00953B2E" w:rsidRPr="00C35766" w:rsidRDefault="002E3B19">
            <w:pPr>
              <w:pStyle w:val="a3"/>
              <w:rPr>
                <w:lang w:val="pt-BR"/>
              </w:rPr>
            </w:pPr>
            <w:r w:rsidRPr="00C35766">
              <w:rPr>
                <w:rFonts w:eastAsia="Times New Roman"/>
                <w:lang w:val="it-IT"/>
              </w:rPr>
              <w:t xml:space="preserve"> </w:t>
            </w:r>
            <w:r w:rsidR="005F0C19" w:rsidRPr="00C35766">
              <w:rPr>
                <w:rFonts w:eastAsia="Times New Roman"/>
                <w:b/>
                <w:bCs/>
                <w:lang w:val="it-IT"/>
              </w:rPr>
              <w:t xml:space="preserve">   b.</w:t>
            </w:r>
            <w:r w:rsidR="005F0C19" w:rsidRPr="00C35766">
              <w:rPr>
                <w:rFonts w:eastAsia="Times New Roman"/>
                <w:lang w:val="it-IT"/>
              </w:rPr>
              <w:t>Il tampone imbevuto d</w:t>
            </w:r>
            <w:r w:rsidRPr="00C35766">
              <w:rPr>
                <w:rFonts w:eastAsia="Times New Roman"/>
                <w:lang w:val="it-IT"/>
              </w:rPr>
              <w:t>i alcol e l’imballaggio possono</w:t>
            </w:r>
            <w:r w:rsidR="005F0C19" w:rsidRPr="00C35766">
              <w:rPr>
                <w:rFonts w:eastAsia="Times New Roman"/>
                <w:lang w:val="it-IT"/>
              </w:rPr>
              <w:t xml:space="preserve"> essere messi nei rifiuti domestici.</w:t>
            </w:r>
          </w:p>
          <w:p w14:paraId="6ED8683F" w14:textId="77777777" w:rsidR="00953B2E" w:rsidRPr="00BD232C" w:rsidRDefault="00953B2E">
            <w:pPr>
              <w:pStyle w:val="a3"/>
              <w:rPr>
                <w:b/>
                <w:lang w:val="it-IT"/>
              </w:rPr>
            </w:pPr>
          </w:p>
          <w:p w14:paraId="2BAEF91B" w14:textId="255187F7" w:rsidR="00953B2E" w:rsidRPr="00BD232C" w:rsidRDefault="005F0C19">
            <w:pPr>
              <w:pStyle w:val="a3"/>
              <w:rPr>
                <w:lang w:val="it-IT"/>
              </w:rPr>
            </w:pPr>
            <w:r w:rsidRPr="00C35766">
              <w:rPr>
                <w:rFonts w:eastAsia="맑은 고딕"/>
                <w:lang w:val="it-IT"/>
              </w:rPr>
              <w:t>•</w:t>
            </w:r>
            <w:r w:rsidRPr="00C35766">
              <w:rPr>
                <w:rFonts w:eastAsia="Times New Roman"/>
                <w:lang w:val="it-IT"/>
              </w:rPr>
              <w:tab/>
              <w:t xml:space="preserve">Tenga sempre le penna </w:t>
            </w:r>
            <w:r w:rsidR="0092097A" w:rsidRPr="00C35766">
              <w:rPr>
                <w:rFonts w:eastAsia="Times New Roman"/>
                <w:lang w:val="it-IT"/>
              </w:rPr>
              <w:t>pre-riempita</w:t>
            </w:r>
            <w:r w:rsidRPr="00C35766">
              <w:rPr>
                <w:rFonts w:eastAsia="Times New Roman"/>
                <w:lang w:val="it-IT"/>
              </w:rPr>
              <w:t xml:space="preserve"> e il contenitore speciale per oggetti taglienti lontano dalla vista e dalla portata dei bambini.</w:t>
            </w:r>
          </w:p>
          <w:p w14:paraId="72973AE0" w14:textId="77777777" w:rsidR="00953B2E" w:rsidRPr="00BD232C" w:rsidRDefault="00953B2E">
            <w:pPr>
              <w:pStyle w:val="a3"/>
              <w:rPr>
                <w:lang w:val="it-IT"/>
              </w:rPr>
            </w:pPr>
          </w:p>
          <w:p w14:paraId="2EBA9AD0" w14:textId="77777777" w:rsidR="00953B2E" w:rsidRPr="00BD232C" w:rsidRDefault="00953B2E">
            <w:pPr>
              <w:pStyle w:val="a3"/>
              <w:rPr>
                <w:lang w:val="it-IT" w:eastAsia="ko-KR"/>
              </w:rPr>
            </w:pPr>
          </w:p>
        </w:tc>
      </w:tr>
    </w:tbl>
    <w:p w14:paraId="5A669A9C" w14:textId="30AC89E2" w:rsidR="0050099E" w:rsidRPr="00BD232C" w:rsidRDefault="0050099E">
      <w:pPr>
        <w:pStyle w:val="a3"/>
        <w:rPr>
          <w:lang w:val="it-IT" w:eastAsia="ko-KR"/>
        </w:rPr>
      </w:pPr>
    </w:p>
    <w:p w14:paraId="663264E3" w14:textId="77777777" w:rsidR="0050099E" w:rsidRPr="00BD232C" w:rsidRDefault="0050099E">
      <w:pPr>
        <w:rPr>
          <w:rFonts w:ascii="Times New Roman" w:hAnsi="Times New Roman" w:cs="Times New Roman"/>
          <w:lang w:val="it-IT" w:eastAsia="ko-KR"/>
        </w:rPr>
      </w:pPr>
      <w:r w:rsidRPr="00BD232C">
        <w:rPr>
          <w:rFonts w:ascii="Times New Roman" w:hAnsi="Times New Roman" w:cs="Times New Roman"/>
          <w:lang w:val="it-IT" w:eastAsia="ko-KR"/>
        </w:rPr>
        <w:br w:type="page"/>
      </w:r>
    </w:p>
    <w:p w14:paraId="7BE2F640" w14:textId="77777777" w:rsidR="0050099E" w:rsidRPr="00C35766" w:rsidRDefault="0050099E" w:rsidP="0050099E">
      <w:pPr>
        <w:spacing w:before="76"/>
        <w:ind w:left="39"/>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lastRenderedPageBreak/>
        <w:t>Foglio illustrativo: informazioni per il paziente</w:t>
      </w:r>
    </w:p>
    <w:p w14:paraId="4D0DFE4B" w14:textId="77777777" w:rsidR="0050099E" w:rsidRPr="00C35766" w:rsidRDefault="0050099E" w:rsidP="0050099E">
      <w:pPr>
        <w:spacing w:before="13" w:line="240" w:lineRule="exact"/>
        <w:rPr>
          <w:rFonts w:ascii="Times New Roman" w:hAnsi="Times New Roman" w:cs="Times New Roman"/>
          <w:sz w:val="24"/>
          <w:lang w:val="it-IT"/>
        </w:rPr>
      </w:pPr>
    </w:p>
    <w:p w14:paraId="2CE165A1" w14:textId="29EDD422" w:rsidR="0050099E" w:rsidRPr="00C35766" w:rsidRDefault="0050099E" w:rsidP="0050099E">
      <w:pPr>
        <w:ind w:left="818" w:right="776"/>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 xml:space="preserve">Yuflyma </w:t>
      </w:r>
      <w:r w:rsidR="0047342E" w:rsidRPr="00C35766">
        <w:rPr>
          <w:rFonts w:ascii="Times New Roman" w:eastAsia="Times New Roman" w:hAnsi="Times New Roman" w:cs="Times New Roman"/>
          <w:b/>
          <w:bCs/>
          <w:spacing w:val="-1"/>
          <w:lang w:val="it-IT"/>
        </w:rPr>
        <w:t>8</w:t>
      </w:r>
      <w:r w:rsidRPr="00C35766">
        <w:rPr>
          <w:rFonts w:ascii="Times New Roman" w:eastAsia="Times New Roman" w:hAnsi="Times New Roman" w:cs="Times New Roman"/>
          <w:b/>
          <w:bCs/>
          <w:spacing w:val="-1"/>
          <w:lang w:val="it-IT"/>
        </w:rPr>
        <w:t xml:space="preserve">0 </w:t>
      </w:r>
      <w:r w:rsidR="00AC7639">
        <w:rPr>
          <w:rFonts w:ascii="Times New Roman" w:eastAsia="Times New Roman" w:hAnsi="Times New Roman" w:cs="Times New Roman"/>
          <w:b/>
          <w:bCs/>
          <w:spacing w:val="-1"/>
          <w:lang w:val="it-IT"/>
        </w:rPr>
        <w:t xml:space="preserve">mg </w:t>
      </w:r>
      <w:r w:rsidRPr="00C35766">
        <w:rPr>
          <w:rFonts w:ascii="Times New Roman" w:eastAsia="Times New Roman" w:hAnsi="Times New Roman" w:cs="Times New Roman"/>
          <w:b/>
          <w:bCs/>
          <w:spacing w:val="-1"/>
          <w:lang w:val="it-IT"/>
        </w:rPr>
        <w:t>soluzione iniettabile in siringa pre-riempita</w:t>
      </w:r>
    </w:p>
    <w:p w14:paraId="5E0497EB" w14:textId="77777777" w:rsidR="0050099E" w:rsidRPr="00C35766" w:rsidRDefault="0050099E" w:rsidP="0050099E">
      <w:pPr>
        <w:pStyle w:val="a3"/>
        <w:jc w:val="center"/>
        <w:rPr>
          <w:lang w:val="it-IT"/>
        </w:rPr>
      </w:pPr>
      <w:r w:rsidRPr="00C35766">
        <w:rPr>
          <w:rFonts w:eastAsia="Times New Roman"/>
          <w:lang w:val="it-IT"/>
        </w:rPr>
        <w:t>adalimumab</w:t>
      </w:r>
    </w:p>
    <w:p w14:paraId="714508AE" w14:textId="77777777" w:rsidR="0050099E" w:rsidRPr="00C35766" w:rsidRDefault="0050099E" w:rsidP="0050099E">
      <w:pPr>
        <w:spacing w:before="18" w:line="240" w:lineRule="exact"/>
        <w:rPr>
          <w:rFonts w:ascii="Times New Roman" w:hAnsi="Times New Roman" w:cs="Times New Roman"/>
          <w:sz w:val="24"/>
          <w:lang w:val="it-IT"/>
        </w:rPr>
      </w:pPr>
    </w:p>
    <w:p w14:paraId="006AF426" w14:textId="77777777" w:rsidR="0050099E" w:rsidRPr="00C35766" w:rsidRDefault="0050099E" w:rsidP="0050099E">
      <w:pPr>
        <w:spacing w:before="18" w:line="240" w:lineRule="exact"/>
        <w:rPr>
          <w:rFonts w:ascii="Times New Roman" w:hAnsi="Times New Roman" w:cs="Times New Roman"/>
          <w:sz w:val="24"/>
          <w:szCs w:val="24"/>
          <w:lang w:val="es-ES"/>
        </w:rPr>
      </w:pPr>
      <w:r w:rsidRPr="00C35766">
        <w:rPr>
          <w:rFonts w:ascii="Times New Roman" w:hAnsi="Times New Roman" w:cs="Times New Roman"/>
          <w:noProof/>
          <w:lang w:eastAsia="ko-KR"/>
        </w:rPr>
        <w:drawing>
          <wp:inline distT="0" distB="0" distL="0" distR="0" wp14:anchorId="126C7F69" wp14:editId="0A5FBD79">
            <wp:extent cx="203200" cy="169545"/>
            <wp:effectExtent l="0" t="0" r="6350" b="1905"/>
            <wp:docPr id="3953" name="그림 395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C35766">
        <w:rPr>
          <w:rFonts w:ascii="Times New Roman" w:eastAsia="Times New Roman" w:hAnsi="Times New Roman" w:cs="Times New Roman"/>
          <w:lang w:val="it-IT"/>
        </w:rPr>
        <w:t>Medicinale sottoposto a monitoraggio addizionale. Ciò permetterà la rapida identificazione di nuove informazioni sulla sicurezza. Lei può contribuire segnalando qualsiasi effetto indesiderato riscontrato durante l’assunzione di questo medicinale. Vedere la fine del paragrafo 4 per le informazioni su come segnalare gli effetti indesiderati.</w:t>
      </w:r>
    </w:p>
    <w:p w14:paraId="22250FE0" w14:textId="77777777" w:rsidR="0050099E" w:rsidRPr="00C35766" w:rsidRDefault="0050099E" w:rsidP="0050099E">
      <w:pPr>
        <w:spacing w:before="18" w:line="240" w:lineRule="exact"/>
        <w:rPr>
          <w:rFonts w:ascii="Times New Roman" w:hAnsi="Times New Roman" w:cs="Times New Roman"/>
          <w:sz w:val="24"/>
          <w:szCs w:val="24"/>
          <w:lang w:val="es-ES"/>
        </w:rPr>
      </w:pPr>
    </w:p>
    <w:p w14:paraId="02DED574" w14:textId="77777777" w:rsidR="0050099E" w:rsidRPr="00C35766" w:rsidRDefault="0050099E" w:rsidP="0050099E">
      <w:pPr>
        <w:spacing w:before="18"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Legga attentamente questo foglio prima di usare questo medicinale perché contiene importanti informazioni per lei.</w:t>
      </w:r>
    </w:p>
    <w:p w14:paraId="39AF7049" w14:textId="77777777" w:rsidR="0050099E" w:rsidRPr="00C35766" w:rsidRDefault="0050099E" w:rsidP="0050099E">
      <w:pPr>
        <w:pStyle w:val="a3"/>
        <w:numPr>
          <w:ilvl w:val="0"/>
          <w:numId w:val="5"/>
        </w:numPr>
        <w:ind w:left="660" w:hanging="660"/>
        <w:rPr>
          <w:lang w:val="pt-BR"/>
        </w:rPr>
      </w:pPr>
      <w:r w:rsidRPr="00C35766">
        <w:rPr>
          <w:rFonts w:eastAsia="Times New Roman"/>
          <w:lang w:val="it-IT"/>
        </w:rPr>
        <w:t>Conservi questo foglio. Potrebbe aver bisogno di leggerlo di nuovo.</w:t>
      </w:r>
    </w:p>
    <w:p w14:paraId="1A737801" w14:textId="77777777" w:rsidR="0050099E" w:rsidRPr="00C35766" w:rsidRDefault="0050099E" w:rsidP="0050099E">
      <w:pPr>
        <w:pStyle w:val="a3"/>
        <w:numPr>
          <w:ilvl w:val="0"/>
          <w:numId w:val="5"/>
        </w:numPr>
        <w:ind w:left="660" w:hanging="660"/>
        <w:rPr>
          <w:lang w:val="es-ES"/>
        </w:rPr>
      </w:pPr>
      <w:r w:rsidRPr="00C35766">
        <w:rPr>
          <w:rFonts w:eastAsia="Times New Roman"/>
          <w:lang w:val="it-IT"/>
        </w:rPr>
        <w:t xml:space="preserve">Il medico Le fornirà anche una </w:t>
      </w:r>
      <w:r w:rsidRPr="00C35766">
        <w:rPr>
          <w:rFonts w:eastAsia="Times New Roman"/>
          <w:b/>
          <w:bCs/>
          <w:lang w:val="it-IT"/>
        </w:rPr>
        <w:t>Scheda promemoria per il paziente</w:t>
      </w:r>
      <w:r w:rsidRPr="00C35766">
        <w:rPr>
          <w:rFonts w:eastAsia="Times New Roman"/>
          <w:lang w:val="it-IT"/>
        </w:rPr>
        <w:t xml:space="preserve">, che contiene importanti informazioni sulla sicurezza che Lei deve conoscere prima e durante il trattamento con Yuflyma. Tenga con sé la </w:t>
      </w:r>
      <w:r w:rsidRPr="00C35766">
        <w:rPr>
          <w:rFonts w:eastAsia="Times New Roman"/>
          <w:b/>
          <w:bCs/>
          <w:lang w:val="it-IT"/>
        </w:rPr>
        <w:t xml:space="preserve">Scheda Promemoria per il Paziente </w:t>
      </w:r>
      <w:r w:rsidRPr="00C35766">
        <w:rPr>
          <w:rFonts w:eastAsia="Times New Roman"/>
          <w:lang w:val="it-IT"/>
        </w:rPr>
        <w:t>durante il Suo trattamento e per 4 mesi dopo l'ultima iniezione di Yuflyma.</w:t>
      </w:r>
    </w:p>
    <w:p w14:paraId="5ACF7822" w14:textId="77777777" w:rsidR="0050099E" w:rsidRPr="00C35766" w:rsidRDefault="0050099E" w:rsidP="0050099E">
      <w:pPr>
        <w:pStyle w:val="a3"/>
        <w:numPr>
          <w:ilvl w:val="0"/>
          <w:numId w:val="5"/>
        </w:numPr>
        <w:ind w:left="660" w:hanging="660"/>
        <w:rPr>
          <w:lang w:val="es-ES"/>
        </w:rPr>
      </w:pPr>
      <w:r w:rsidRPr="00C35766">
        <w:rPr>
          <w:rFonts w:eastAsia="Times New Roman"/>
          <w:lang w:val="it-IT"/>
        </w:rPr>
        <w:t>Se ha qualsiasi dubbio, si rivolga al medico o al farmacista.</w:t>
      </w:r>
    </w:p>
    <w:p w14:paraId="64408BE9" w14:textId="77777777" w:rsidR="0050099E" w:rsidRPr="00C35766" w:rsidRDefault="0050099E" w:rsidP="0050099E">
      <w:pPr>
        <w:pStyle w:val="a3"/>
        <w:numPr>
          <w:ilvl w:val="0"/>
          <w:numId w:val="5"/>
        </w:numPr>
        <w:ind w:left="660" w:hanging="660"/>
        <w:rPr>
          <w:lang w:val="it-IT"/>
        </w:rPr>
      </w:pPr>
      <w:r w:rsidRPr="00C35766">
        <w:rPr>
          <w:rFonts w:eastAsia="Times New Roman"/>
          <w:lang w:val="it-IT"/>
        </w:rPr>
        <w:t>Questo medicinale è stato prescritto soltanto per lei. Non lo dia ad altre persone, anche se i sintomi della malattia sono uguali ai suoi, perché potrebbe essere pericoloso.</w:t>
      </w:r>
    </w:p>
    <w:p w14:paraId="1B446880" w14:textId="57C8BAA7" w:rsidR="0050099E" w:rsidRPr="00C35766" w:rsidRDefault="0050099E" w:rsidP="0050099E">
      <w:pPr>
        <w:pStyle w:val="a3"/>
        <w:numPr>
          <w:ilvl w:val="0"/>
          <w:numId w:val="5"/>
        </w:numPr>
        <w:ind w:left="660" w:hanging="660"/>
        <w:rPr>
          <w:lang w:val="es-ES"/>
        </w:rPr>
      </w:pPr>
      <w:r w:rsidRPr="00C35766">
        <w:rPr>
          <w:rFonts w:eastAsia="Times New Roman"/>
          <w:lang w:val="it-IT"/>
        </w:rPr>
        <w:t>Se</w:t>
      </w:r>
      <w:r w:rsidR="007D4102">
        <w:rPr>
          <w:rFonts w:eastAsia="Times New Roman"/>
          <w:lang w:val="it-IT"/>
        </w:rPr>
        <w:t xml:space="preserve"> si</w:t>
      </w:r>
      <w:r w:rsidRPr="00C35766">
        <w:rPr>
          <w:rFonts w:eastAsia="Times New Roman"/>
          <w:lang w:val="it-IT"/>
        </w:rPr>
        <w:t xml:space="preserve"> manifesta un qualsiasi effetto indesiderato, compresi quelli non elencati in questo foglio, si rivolga al medico,o al farmacista o all’infermiere. Vedere paragrafo 4.</w:t>
      </w:r>
    </w:p>
    <w:p w14:paraId="2A69BDD5" w14:textId="77777777" w:rsidR="0050099E" w:rsidRPr="00C35766" w:rsidRDefault="0050099E" w:rsidP="0050099E">
      <w:pPr>
        <w:pStyle w:val="a3"/>
        <w:rPr>
          <w:lang w:val="es-ES"/>
        </w:rPr>
      </w:pPr>
    </w:p>
    <w:p w14:paraId="35A46B39" w14:textId="77777777" w:rsidR="0050099E" w:rsidRPr="00C35766" w:rsidRDefault="0050099E" w:rsidP="0050099E">
      <w:pPr>
        <w:pStyle w:val="a3"/>
        <w:rPr>
          <w:b/>
        </w:rPr>
      </w:pPr>
      <w:r w:rsidRPr="00C35766">
        <w:rPr>
          <w:rFonts w:eastAsia="Times New Roman"/>
          <w:b/>
          <w:bCs/>
          <w:lang w:val="it-IT"/>
        </w:rPr>
        <w:t>Contenuto di questo foglio</w:t>
      </w:r>
    </w:p>
    <w:p w14:paraId="7FB2312F" w14:textId="77777777" w:rsidR="0050099E" w:rsidRPr="00C35766" w:rsidRDefault="0050099E" w:rsidP="00933A6C">
      <w:pPr>
        <w:pStyle w:val="a3"/>
        <w:numPr>
          <w:ilvl w:val="0"/>
          <w:numId w:val="61"/>
        </w:numPr>
        <w:ind w:left="567" w:hanging="567"/>
        <w:rPr>
          <w:lang w:val="it-IT"/>
        </w:rPr>
      </w:pPr>
      <w:r w:rsidRPr="00C35766">
        <w:rPr>
          <w:rFonts w:eastAsia="Times New Roman"/>
          <w:lang w:val="it-IT"/>
        </w:rPr>
        <w:t>Cos’è Yuflyma e a cosa serve</w:t>
      </w:r>
    </w:p>
    <w:p w14:paraId="7215E337" w14:textId="77777777" w:rsidR="0050099E" w:rsidRPr="00C35766" w:rsidRDefault="0050099E" w:rsidP="00933A6C">
      <w:pPr>
        <w:pStyle w:val="a3"/>
        <w:numPr>
          <w:ilvl w:val="0"/>
          <w:numId w:val="61"/>
        </w:numPr>
        <w:ind w:left="567" w:hanging="567"/>
        <w:rPr>
          <w:lang w:val="it-IT"/>
        </w:rPr>
      </w:pPr>
      <w:r w:rsidRPr="00C35766">
        <w:rPr>
          <w:rFonts w:eastAsia="Times New Roman"/>
          <w:lang w:val="it-IT"/>
        </w:rPr>
        <w:t>Cosa deve sapere prima di usare Yuflyma</w:t>
      </w:r>
    </w:p>
    <w:p w14:paraId="4CBA9AA8" w14:textId="77777777" w:rsidR="0050099E" w:rsidRPr="00C35766" w:rsidRDefault="0050099E" w:rsidP="00933A6C">
      <w:pPr>
        <w:pStyle w:val="a3"/>
        <w:numPr>
          <w:ilvl w:val="0"/>
          <w:numId w:val="61"/>
        </w:numPr>
        <w:ind w:left="567" w:hanging="567"/>
      </w:pPr>
      <w:r w:rsidRPr="00C35766">
        <w:rPr>
          <w:rFonts w:eastAsia="Times New Roman"/>
          <w:lang w:val="it-IT"/>
        </w:rPr>
        <w:t>Come usare Yuflyma</w:t>
      </w:r>
    </w:p>
    <w:p w14:paraId="2DCC0B9B" w14:textId="77777777" w:rsidR="0050099E" w:rsidRPr="00C35766" w:rsidRDefault="0050099E" w:rsidP="00933A6C">
      <w:pPr>
        <w:pStyle w:val="a3"/>
        <w:numPr>
          <w:ilvl w:val="0"/>
          <w:numId w:val="61"/>
        </w:numPr>
        <w:ind w:left="567" w:hanging="567"/>
      </w:pPr>
      <w:r w:rsidRPr="00C35766">
        <w:rPr>
          <w:rFonts w:eastAsia="Times New Roman"/>
          <w:lang w:val="it-IT"/>
        </w:rPr>
        <w:t>Possibili effetti indesiderati</w:t>
      </w:r>
    </w:p>
    <w:p w14:paraId="07E5F45B" w14:textId="77777777" w:rsidR="0050099E" w:rsidRPr="00C35766" w:rsidRDefault="0050099E" w:rsidP="00933A6C">
      <w:pPr>
        <w:pStyle w:val="a3"/>
        <w:numPr>
          <w:ilvl w:val="0"/>
          <w:numId w:val="61"/>
        </w:numPr>
        <w:ind w:left="567" w:hanging="567"/>
      </w:pPr>
      <w:r w:rsidRPr="00C35766">
        <w:rPr>
          <w:rFonts w:eastAsia="Times New Roman"/>
          <w:lang w:val="it-IT"/>
        </w:rPr>
        <w:t>Come conservare Yuflyma</w:t>
      </w:r>
    </w:p>
    <w:p w14:paraId="1BDBFFA2" w14:textId="77777777" w:rsidR="0050099E" w:rsidRPr="00C35766" w:rsidRDefault="0050099E" w:rsidP="00933A6C">
      <w:pPr>
        <w:pStyle w:val="a3"/>
        <w:numPr>
          <w:ilvl w:val="0"/>
          <w:numId w:val="61"/>
        </w:numPr>
        <w:ind w:left="567" w:hanging="567"/>
        <w:rPr>
          <w:lang w:val="it-IT"/>
        </w:rPr>
      </w:pPr>
      <w:r w:rsidRPr="00C35766">
        <w:rPr>
          <w:rFonts w:eastAsia="Times New Roman"/>
          <w:lang w:val="it-IT"/>
        </w:rPr>
        <w:t>Contenuto della confezione e altre informazioni</w:t>
      </w:r>
    </w:p>
    <w:p w14:paraId="61EAA2A5" w14:textId="77777777" w:rsidR="0050099E" w:rsidRPr="00C35766" w:rsidRDefault="0050099E" w:rsidP="00933A6C">
      <w:pPr>
        <w:pStyle w:val="a3"/>
        <w:numPr>
          <w:ilvl w:val="0"/>
          <w:numId w:val="61"/>
        </w:numPr>
        <w:ind w:left="567" w:hanging="567"/>
      </w:pPr>
      <w:r w:rsidRPr="00C35766">
        <w:rPr>
          <w:rFonts w:eastAsia="Times New Roman"/>
          <w:lang w:val="it-IT"/>
        </w:rPr>
        <w:t>Istruzioni per l’uso</w:t>
      </w:r>
    </w:p>
    <w:p w14:paraId="016E8802" w14:textId="77777777" w:rsidR="0050099E" w:rsidRPr="00C35766" w:rsidRDefault="0050099E" w:rsidP="0050099E">
      <w:pPr>
        <w:spacing w:line="200" w:lineRule="exact"/>
        <w:ind w:left="567" w:hanging="567"/>
        <w:rPr>
          <w:rFonts w:ascii="Times New Roman" w:hAnsi="Times New Roman" w:cs="Times New Roman"/>
          <w:sz w:val="20"/>
          <w:szCs w:val="20"/>
        </w:rPr>
      </w:pPr>
    </w:p>
    <w:p w14:paraId="08647611" w14:textId="77777777" w:rsidR="0050099E" w:rsidRPr="00C35766" w:rsidRDefault="0050099E" w:rsidP="0050099E">
      <w:pPr>
        <w:spacing w:line="200" w:lineRule="exact"/>
        <w:rPr>
          <w:rFonts w:ascii="Times New Roman" w:hAnsi="Times New Roman" w:cs="Times New Roman"/>
          <w:sz w:val="20"/>
          <w:szCs w:val="20"/>
        </w:rPr>
      </w:pPr>
    </w:p>
    <w:p w14:paraId="11122CA4" w14:textId="77777777" w:rsidR="0050099E" w:rsidRPr="00C35766" w:rsidRDefault="0050099E" w:rsidP="00933A6C">
      <w:pPr>
        <w:pStyle w:val="a4"/>
        <w:numPr>
          <w:ilvl w:val="0"/>
          <w:numId w:val="62"/>
        </w:numPr>
        <w:spacing w:before="18" w:line="240" w:lineRule="exact"/>
        <w:ind w:left="357" w:hanging="357"/>
        <w:rPr>
          <w:rFonts w:ascii="Times New Roman" w:hAnsi="Times New Roman" w:cs="Times New Roman"/>
          <w:b/>
          <w:lang w:val="it-IT"/>
        </w:rPr>
      </w:pPr>
      <w:r w:rsidRPr="00C35766">
        <w:rPr>
          <w:rFonts w:ascii="Times New Roman" w:eastAsia="Times New Roman" w:hAnsi="Times New Roman" w:cs="Times New Roman"/>
          <w:b/>
          <w:bCs/>
          <w:lang w:val="it-IT"/>
        </w:rPr>
        <w:t>Cos’è Yuflyma e a cosa serve</w:t>
      </w:r>
    </w:p>
    <w:p w14:paraId="014752FB" w14:textId="77777777" w:rsidR="0050099E" w:rsidRPr="00C35766" w:rsidRDefault="0050099E" w:rsidP="0050099E">
      <w:pPr>
        <w:spacing w:line="240" w:lineRule="exact"/>
        <w:rPr>
          <w:rFonts w:ascii="Times New Roman" w:hAnsi="Times New Roman" w:cs="Times New Roman"/>
          <w:b/>
          <w:lang w:val="it-IT"/>
        </w:rPr>
      </w:pPr>
    </w:p>
    <w:p w14:paraId="28471647" w14:textId="77777777" w:rsidR="0050099E" w:rsidRPr="00C35766" w:rsidRDefault="0050099E" w:rsidP="0050099E">
      <w:pPr>
        <w:pStyle w:val="a3"/>
        <w:rPr>
          <w:lang w:val="es-ES"/>
        </w:rPr>
      </w:pPr>
      <w:r w:rsidRPr="00C35766">
        <w:rPr>
          <w:rFonts w:eastAsia="Times New Roman"/>
          <w:lang w:val="it-IT"/>
        </w:rPr>
        <w:t>Yuflyma contiene il principio attivo adalimumab, un medicinale che agisce sul sistema immunitario (la difesa) del Suo organismo.</w:t>
      </w:r>
    </w:p>
    <w:p w14:paraId="4A2E6EA2" w14:textId="77777777" w:rsidR="0050099E" w:rsidRPr="00C35766" w:rsidRDefault="0050099E" w:rsidP="0050099E">
      <w:pPr>
        <w:pStyle w:val="a3"/>
        <w:rPr>
          <w:lang w:val="es-ES"/>
        </w:rPr>
      </w:pPr>
    </w:p>
    <w:p w14:paraId="72571976" w14:textId="77777777" w:rsidR="0050099E" w:rsidRPr="00C35766" w:rsidRDefault="0050099E" w:rsidP="0050099E">
      <w:pPr>
        <w:pStyle w:val="a3"/>
        <w:rPr>
          <w:lang w:val="it-IT"/>
        </w:rPr>
      </w:pPr>
      <w:r w:rsidRPr="00C35766">
        <w:rPr>
          <w:rFonts w:eastAsia="Times New Roman"/>
          <w:lang w:val="it-IT"/>
        </w:rPr>
        <w:t>Yuflyma è indicato per il trattamento delle seguenti malattie infiammatorie:</w:t>
      </w:r>
    </w:p>
    <w:p w14:paraId="1278B131" w14:textId="77777777" w:rsidR="0050099E" w:rsidRPr="00C35766" w:rsidRDefault="0050099E" w:rsidP="0050099E">
      <w:pPr>
        <w:pStyle w:val="a3"/>
        <w:numPr>
          <w:ilvl w:val="0"/>
          <w:numId w:val="5"/>
        </w:numPr>
        <w:ind w:left="660" w:hanging="660"/>
      </w:pPr>
      <w:r w:rsidRPr="00C35766">
        <w:rPr>
          <w:rFonts w:eastAsia="Times New Roman"/>
          <w:lang w:val="it-IT"/>
        </w:rPr>
        <w:t>Artrite reumatoide</w:t>
      </w:r>
    </w:p>
    <w:p w14:paraId="6E3FE9FC" w14:textId="77777777" w:rsidR="0050099E" w:rsidRPr="00C35766" w:rsidRDefault="0050099E" w:rsidP="0050099E">
      <w:pPr>
        <w:pStyle w:val="a3"/>
        <w:numPr>
          <w:ilvl w:val="0"/>
          <w:numId w:val="5"/>
        </w:numPr>
        <w:ind w:left="660" w:hanging="660"/>
      </w:pPr>
      <w:r w:rsidRPr="00C35766">
        <w:rPr>
          <w:rFonts w:eastAsia="Times New Roman"/>
          <w:lang w:val="it-IT"/>
        </w:rPr>
        <w:t>Psoriasi a placche</w:t>
      </w:r>
    </w:p>
    <w:p w14:paraId="2500586B" w14:textId="77777777" w:rsidR="0050099E" w:rsidRPr="00C35766" w:rsidRDefault="0050099E" w:rsidP="0050099E">
      <w:pPr>
        <w:pStyle w:val="a3"/>
        <w:numPr>
          <w:ilvl w:val="0"/>
          <w:numId w:val="5"/>
        </w:numPr>
        <w:ind w:left="660" w:hanging="660"/>
      </w:pPr>
      <w:r w:rsidRPr="00C35766">
        <w:rPr>
          <w:rFonts w:eastAsia="Times New Roman"/>
          <w:lang w:val="it-IT"/>
        </w:rPr>
        <w:t>Idrosadenite Suppurativa</w:t>
      </w:r>
    </w:p>
    <w:p w14:paraId="194CBBB1" w14:textId="77777777" w:rsidR="0050099E" w:rsidRPr="00C35766" w:rsidRDefault="0050099E" w:rsidP="0050099E">
      <w:pPr>
        <w:pStyle w:val="a3"/>
        <w:numPr>
          <w:ilvl w:val="0"/>
          <w:numId w:val="5"/>
        </w:numPr>
        <w:ind w:left="660" w:hanging="660"/>
      </w:pPr>
      <w:r w:rsidRPr="00C35766">
        <w:rPr>
          <w:rFonts w:eastAsia="Times New Roman"/>
          <w:lang w:val="it-IT"/>
        </w:rPr>
        <w:t>Malattia di Crohn</w:t>
      </w:r>
    </w:p>
    <w:p w14:paraId="2FC93F55" w14:textId="77777777" w:rsidR="0050099E" w:rsidRPr="00C35766" w:rsidRDefault="0050099E" w:rsidP="0050099E">
      <w:pPr>
        <w:pStyle w:val="a3"/>
        <w:numPr>
          <w:ilvl w:val="0"/>
          <w:numId w:val="5"/>
        </w:numPr>
        <w:ind w:left="660" w:hanging="660"/>
      </w:pPr>
      <w:r w:rsidRPr="00C35766">
        <w:rPr>
          <w:rFonts w:eastAsia="Times New Roman"/>
          <w:lang w:val="it-IT"/>
        </w:rPr>
        <w:t>Colite ulcerosa</w:t>
      </w:r>
    </w:p>
    <w:p w14:paraId="568F6509" w14:textId="77777777" w:rsidR="0050099E" w:rsidRPr="00C35766" w:rsidRDefault="0050099E" w:rsidP="0050099E">
      <w:pPr>
        <w:pStyle w:val="a3"/>
        <w:numPr>
          <w:ilvl w:val="0"/>
          <w:numId w:val="5"/>
        </w:numPr>
        <w:ind w:left="660" w:hanging="660"/>
      </w:pPr>
      <w:r w:rsidRPr="00C35766">
        <w:rPr>
          <w:rFonts w:eastAsia="Times New Roman"/>
          <w:lang w:val="it-IT"/>
        </w:rPr>
        <w:t>Uveite non infettiva</w:t>
      </w:r>
    </w:p>
    <w:p w14:paraId="5623FD35" w14:textId="77777777" w:rsidR="0050099E" w:rsidRPr="00C35766" w:rsidRDefault="0050099E" w:rsidP="0050099E">
      <w:pPr>
        <w:spacing w:before="10" w:line="240" w:lineRule="exact"/>
        <w:rPr>
          <w:rFonts w:ascii="Times New Roman" w:hAnsi="Times New Roman" w:cs="Times New Roman"/>
          <w:sz w:val="24"/>
          <w:szCs w:val="24"/>
        </w:rPr>
      </w:pPr>
    </w:p>
    <w:p w14:paraId="3DB5CC85" w14:textId="77777777" w:rsidR="0050099E" w:rsidRPr="00C35766" w:rsidRDefault="0050099E" w:rsidP="0050099E">
      <w:pPr>
        <w:pStyle w:val="a3"/>
        <w:rPr>
          <w:lang w:val="it-IT"/>
        </w:rPr>
      </w:pPr>
      <w:r w:rsidRPr="00C35766">
        <w:rPr>
          <w:rFonts w:eastAsia="Times New Roman"/>
          <w:lang w:val="it-IT"/>
        </w:rPr>
        <w:t>Il principio attivo di Yuflyma, adalimumab, è un anticorpo monoclonale umano. Gli anticorpi monoclonali sono proteine che si legano a un bersaglio specifico nel corpo.</w:t>
      </w:r>
    </w:p>
    <w:p w14:paraId="0273E43C" w14:textId="77777777" w:rsidR="0050099E" w:rsidRPr="00C35766" w:rsidRDefault="0050099E" w:rsidP="0050099E">
      <w:pPr>
        <w:spacing w:before="16" w:line="240" w:lineRule="exact"/>
        <w:rPr>
          <w:rFonts w:ascii="Times New Roman" w:hAnsi="Times New Roman" w:cs="Times New Roman"/>
          <w:sz w:val="24"/>
          <w:szCs w:val="24"/>
          <w:lang w:val="it-IT"/>
        </w:rPr>
      </w:pPr>
    </w:p>
    <w:p w14:paraId="33078413" w14:textId="77777777" w:rsidR="0050099E" w:rsidRPr="00C35766" w:rsidRDefault="0050099E" w:rsidP="0050099E">
      <w:pPr>
        <w:pStyle w:val="a3"/>
        <w:rPr>
          <w:lang w:val="it-IT"/>
        </w:rPr>
      </w:pPr>
      <w:r w:rsidRPr="00C35766">
        <w:rPr>
          <w:rFonts w:eastAsia="Times New Roman"/>
          <w:lang w:val="it-IT"/>
        </w:rPr>
        <w:t>Il bersaglio di adalimumab è una proteina denominata fattore di necrosi tumorale (TNFα), che è coinvolto nel sistema immunitario (di difesa) ed è presente a concentrazioni maggiori nelle malattie infiammatorie elencate sopra.  Attraverso il legame al TNFα, Yuflyma diminuisce il processo infiammatorio di queste malattie.</w:t>
      </w:r>
    </w:p>
    <w:p w14:paraId="4262A22C" w14:textId="77777777" w:rsidR="0050099E" w:rsidRPr="00C35766" w:rsidRDefault="0050099E" w:rsidP="0050099E">
      <w:pPr>
        <w:pStyle w:val="a3"/>
        <w:rPr>
          <w:lang w:val="it-IT"/>
        </w:rPr>
      </w:pPr>
    </w:p>
    <w:p w14:paraId="5CF45796" w14:textId="77777777" w:rsidR="0050099E" w:rsidRPr="00C35766" w:rsidRDefault="0050099E" w:rsidP="0050099E">
      <w:pPr>
        <w:pStyle w:val="a3"/>
        <w:rPr>
          <w:b/>
          <w:lang w:val="it-IT"/>
        </w:rPr>
      </w:pPr>
      <w:r w:rsidRPr="00C35766">
        <w:rPr>
          <w:rFonts w:eastAsia="Times New Roman"/>
          <w:b/>
          <w:bCs/>
          <w:lang w:val="it-IT"/>
        </w:rPr>
        <w:lastRenderedPageBreak/>
        <w:t>Artrite reumatoide</w:t>
      </w:r>
    </w:p>
    <w:p w14:paraId="24D0FB06" w14:textId="77777777" w:rsidR="0050099E" w:rsidRPr="00C35766" w:rsidRDefault="0050099E" w:rsidP="0050099E">
      <w:pPr>
        <w:pStyle w:val="a3"/>
        <w:rPr>
          <w:u w:val="single"/>
          <w:lang w:val="it-IT"/>
        </w:rPr>
      </w:pPr>
    </w:p>
    <w:p w14:paraId="003ACD61" w14:textId="77777777" w:rsidR="0050099E" w:rsidRPr="00C35766" w:rsidRDefault="0050099E" w:rsidP="0050099E">
      <w:pPr>
        <w:pStyle w:val="a3"/>
        <w:rPr>
          <w:lang w:val="it-IT"/>
        </w:rPr>
      </w:pPr>
      <w:r w:rsidRPr="00C35766">
        <w:rPr>
          <w:rFonts w:eastAsia="Times New Roman"/>
          <w:lang w:val="it-IT"/>
        </w:rPr>
        <w:t>L’artrite reumatoide è una malattia infiammatoria delle articolazioni.</w:t>
      </w:r>
    </w:p>
    <w:p w14:paraId="6AE5BE8E" w14:textId="77777777" w:rsidR="0050099E" w:rsidRPr="00C35766" w:rsidRDefault="0050099E" w:rsidP="0050099E">
      <w:pPr>
        <w:spacing w:before="11" w:line="240" w:lineRule="exact"/>
        <w:rPr>
          <w:rFonts w:ascii="Times New Roman" w:hAnsi="Times New Roman" w:cs="Times New Roman"/>
          <w:sz w:val="24"/>
          <w:szCs w:val="24"/>
          <w:lang w:val="it-IT"/>
        </w:rPr>
      </w:pPr>
    </w:p>
    <w:p w14:paraId="0ACC2FE6" w14:textId="77777777" w:rsidR="0050099E" w:rsidRPr="00C35766" w:rsidRDefault="0050099E" w:rsidP="0050099E">
      <w:pPr>
        <w:pStyle w:val="a3"/>
        <w:rPr>
          <w:lang w:val="it-IT"/>
        </w:rPr>
      </w:pPr>
      <w:r w:rsidRPr="00C35766">
        <w:rPr>
          <w:rFonts w:eastAsia="Times New Roman"/>
          <w:lang w:val="it-IT"/>
        </w:rPr>
        <w:t>Yuflyma è utilizzato per il trattamento dell’artrite reumatoide da moderata a grave negli adulti. Lei potrebbe ricevere prima altri farmaci modificanti la malattia, come il metotressato. In caso non risponda adeguatamente a questi farmaci, Le sarà somministrato Yuflyma.</w:t>
      </w:r>
    </w:p>
    <w:p w14:paraId="5656320A" w14:textId="77777777" w:rsidR="0050099E" w:rsidRPr="00C35766" w:rsidRDefault="0050099E" w:rsidP="0050099E">
      <w:pPr>
        <w:spacing w:before="17" w:line="240" w:lineRule="exact"/>
        <w:rPr>
          <w:rFonts w:ascii="Times New Roman" w:hAnsi="Times New Roman" w:cs="Times New Roman"/>
          <w:sz w:val="24"/>
          <w:szCs w:val="24"/>
          <w:lang w:val="it-IT"/>
        </w:rPr>
      </w:pPr>
    </w:p>
    <w:p w14:paraId="43CA9F45" w14:textId="2795A051" w:rsidR="0050099E" w:rsidRPr="00C35766" w:rsidRDefault="0050099E" w:rsidP="0050099E">
      <w:pPr>
        <w:pStyle w:val="a3"/>
        <w:rPr>
          <w:lang w:val="pt-BR"/>
        </w:rPr>
      </w:pPr>
      <w:r w:rsidRPr="00C35766">
        <w:rPr>
          <w:rFonts w:eastAsia="Times New Roman"/>
          <w:lang w:val="it-IT"/>
        </w:rPr>
        <w:t>Yufl</w:t>
      </w:r>
      <w:r w:rsidR="008676F0">
        <w:rPr>
          <w:rFonts w:eastAsia="Times New Roman"/>
          <w:lang w:val="it-IT"/>
        </w:rPr>
        <w:t>y</w:t>
      </w:r>
      <w:r w:rsidRPr="00C35766">
        <w:rPr>
          <w:rFonts w:eastAsia="Times New Roman"/>
          <w:lang w:val="it-IT"/>
        </w:rPr>
        <w:t>ma può essere anche usato per il trattamento dell’artrite reumatoide grave, attiva e progressiva, senza precedente trattamento con metotressato.</w:t>
      </w:r>
    </w:p>
    <w:p w14:paraId="4F4CFAA6" w14:textId="77777777" w:rsidR="0050099E" w:rsidRPr="00C35766" w:rsidRDefault="0050099E" w:rsidP="0050099E">
      <w:pPr>
        <w:spacing w:before="11" w:line="240" w:lineRule="exact"/>
        <w:rPr>
          <w:rFonts w:ascii="Times New Roman" w:hAnsi="Times New Roman" w:cs="Times New Roman"/>
          <w:sz w:val="24"/>
          <w:szCs w:val="24"/>
          <w:lang w:val="pt-BR"/>
        </w:rPr>
      </w:pPr>
    </w:p>
    <w:p w14:paraId="57389150" w14:textId="77777777" w:rsidR="0050099E" w:rsidRPr="00C35766" w:rsidRDefault="0050099E" w:rsidP="0050099E">
      <w:pPr>
        <w:pStyle w:val="a3"/>
        <w:rPr>
          <w:lang w:val="pt-BR"/>
        </w:rPr>
      </w:pPr>
      <w:r w:rsidRPr="00C35766">
        <w:rPr>
          <w:rFonts w:eastAsia="Times New Roman"/>
          <w:lang w:val="it-IT"/>
        </w:rPr>
        <w:t>Yuflyma può rallentare la progressione del danno alle articolazioni causato dalla malattia infiammatoria e può aiutarle a muoversi più liberamente.</w:t>
      </w:r>
    </w:p>
    <w:p w14:paraId="302B9031" w14:textId="77777777" w:rsidR="0050099E" w:rsidRPr="00C35766" w:rsidRDefault="0050099E" w:rsidP="0050099E">
      <w:pPr>
        <w:spacing w:before="10" w:line="240" w:lineRule="exact"/>
        <w:rPr>
          <w:rFonts w:ascii="Times New Roman" w:hAnsi="Times New Roman" w:cs="Times New Roman"/>
          <w:sz w:val="24"/>
          <w:szCs w:val="24"/>
          <w:lang w:val="pt-BR"/>
        </w:rPr>
      </w:pPr>
    </w:p>
    <w:p w14:paraId="12477162" w14:textId="77777777" w:rsidR="0050099E" w:rsidRPr="00C35766" w:rsidRDefault="0050099E" w:rsidP="0050099E">
      <w:pPr>
        <w:pStyle w:val="a3"/>
        <w:rPr>
          <w:lang w:val="pt-BR"/>
        </w:rPr>
      </w:pPr>
      <w:r w:rsidRPr="00C35766">
        <w:rPr>
          <w:rFonts w:eastAsia="Times New Roman"/>
          <w:lang w:val="it-IT"/>
        </w:rPr>
        <w:t>Il medico deciderà se Yuflyma deve essere usato con il metotressato o da solo.</w:t>
      </w:r>
    </w:p>
    <w:p w14:paraId="59D57E50" w14:textId="77777777" w:rsidR="0050099E" w:rsidRPr="00C35766" w:rsidRDefault="0050099E" w:rsidP="0050099E">
      <w:pPr>
        <w:spacing w:before="18" w:line="240" w:lineRule="exact"/>
        <w:rPr>
          <w:rFonts w:ascii="Times New Roman" w:hAnsi="Times New Roman" w:cs="Times New Roman"/>
          <w:sz w:val="24"/>
          <w:szCs w:val="24"/>
          <w:lang w:val="pt-BR"/>
        </w:rPr>
      </w:pPr>
    </w:p>
    <w:p w14:paraId="60722B9F" w14:textId="77777777" w:rsidR="0050099E" w:rsidRPr="00C35766" w:rsidRDefault="0050099E" w:rsidP="0050099E">
      <w:pPr>
        <w:pStyle w:val="a3"/>
        <w:rPr>
          <w:b/>
          <w:lang w:val="pt-BR"/>
        </w:rPr>
      </w:pPr>
      <w:r w:rsidRPr="00C35766">
        <w:rPr>
          <w:rFonts w:eastAsia="Times New Roman"/>
          <w:b/>
          <w:bCs/>
          <w:lang w:val="it-IT"/>
        </w:rPr>
        <w:t>Psoriasi a placche</w:t>
      </w:r>
    </w:p>
    <w:p w14:paraId="170055E5" w14:textId="77777777" w:rsidR="0050099E" w:rsidRPr="00C35766" w:rsidRDefault="0050099E" w:rsidP="0050099E">
      <w:pPr>
        <w:spacing w:before="9" w:line="240" w:lineRule="exact"/>
        <w:rPr>
          <w:rFonts w:ascii="Times New Roman" w:hAnsi="Times New Roman" w:cs="Times New Roman"/>
          <w:sz w:val="24"/>
          <w:szCs w:val="24"/>
          <w:lang w:val="pt-BR"/>
        </w:rPr>
      </w:pPr>
    </w:p>
    <w:p w14:paraId="02EBF196" w14:textId="77777777" w:rsidR="0050099E" w:rsidRPr="00C35766" w:rsidRDefault="0050099E" w:rsidP="0050099E">
      <w:pPr>
        <w:pStyle w:val="a3"/>
        <w:rPr>
          <w:lang w:val="it-IT"/>
        </w:rPr>
      </w:pPr>
      <w:r w:rsidRPr="00C35766">
        <w:rPr>
          <w:rFonts w:eastAsia="Times New Roman"/>
          <w:lang w:val="it-IT"/>
        </w:rPr>
        <w:t>La psoriasi a placche è una condizione della pelle che causa chiazze rossastre, squamose e indurite di pelle ricoperta da squame argentee. La psoriasi a placche può anche colpire le unghie, provocandone la rottura, l’ispessimento e il sollevamento dal letto dell’unghia, che può essere doloroso.</w:t>
      </w:r>
    </w:p>
    <w:p w14:paraId="309FAE3B" w14:textId="77777777" w:rsidR="0050099E" w:rsidRPr="00C35766" w:rsidRDefault="0050099E" w:rsidP="0050099E">
      <w:pPr>
        <w:spacing w:before="13" w:line="240" w:lineRule="exact"/>
        <w:rPr>
          <w:rFonts w:ascii="Times New Roman" w:hAnsi="Times New Roman" w:cs="Times New Roman"/>
          <w:sz w:val="24"/>
          <w:szCs w:val="24"/>
          <w:lang w:val="it-IT"/>
        </w:rPr>
      </w:pPr>
    </w:p>
    <w:p w14:paraId="208AD86C" w14:textId="18865CE5" w:rsidR="0050099E" w:rsidRPr="00C35766" w:rsidRDefault="0050099E" w:rsidP="00933A6C">
      <w:pPr>
        <w:pStyle w:val="a3"/>
        <w:rPr>
          <w:lang w:val="it-IT"/>
        </w:rPr>
      </w:pPr>
      <w:r w:rsidRPr="00C35766">
        <w:rPr>
          <w:rFonts w:eastAsia="Times New Roman"/>
          <w:lang w:val="it-IT"/>
        </w:rPr>
        <w:t>Yuflyma è usato per trattare</w:t>
      </w:r>
      <w:r w:rsidR="0047342E" w:rsidRPr="00C35766">
        <w:rPr>
          <w:rFonts w:eastAsia="Times New Roman"/>
          <w:lang w:val="it-IT"/>
        </w:rPr>
        <w:t xml:space="preserve"> </w:t>
      </w:r>
      <w:r w:rsidRPr="00C35766">
        <w:rPr>
          <w:rFonts w:eastAsia="Times New Roman"/>
          <w:lang w:val="it-IT"/>
        </w:rPr>
        <w:t>la psoriasi a placche cronica di grado da moderato a severo negli adulti</w:t>
      </w:r>
      <w:r w:rsidR="0047342E" w:rsidRPr="00C35766">
        <w:rPr>
          <w:rFonts w:eastAsia="Times New Roman"/>
          <w:lang w:val="it-IT"/>
        </w:rPr>
        <w:t>.</w:t>
      </w:r>
    </w:p>
    <w:p w14:paraId="099D729E" w14:textId="77777777" w:rsidR="0050099E" w:rsidRPr="00C35766" w:rsidRDefault="0050099E" w:rsidP="0050099E">
      <w:pPr>
        <w:spacing w:before="15" w:line="240" w:lineRule="exact"/>
        <w:rPr>
          <w:rFonts w:ascii="Times New Roman" w:hAnsi="Times New Roman" w:cs="Times New Roman"/>
          <w:sz w:val="24"/>
          <w:lang w:val="it-IT"/>
        </w:rPr>
      </w:pPr>
    </w:p>
    <w:p w14:paraId="7842C088" w14:textId="77777777" w:rsidR="0050099E" w:rsidRPr="00C35766" w:rsidRDefault="0050099E" w:rsidP="0050099E">
      <w:pPr>
        <w:pStyle w:val="a3"/>
        <w:rPr>
          <w:b/>
          <w:lang w:val="it-IT"/>
        </w:rPr>
      </w:pPr>
      <w:r w:rsidRPr="00C35766">
        <w:rPr>
          <w:rFonts w:eastAsia="Times New Roman"/>
          <w:b/>
          <w:bCs/>
          <w:lang w:val="it-IT"/>
        </w:rPr>
        <w:t>Idrosadenite suppurativa</w:t>
      </w:r>
    </w:p>
    <w:p w14:paraId="33E116E5" w14:textId="77777777" w:rsidR="0050099E" w:rsidRPr="00C35766" w:rsidRDefault="0050099E" w:rsidP="0050099E">
      <w:pPr>
        <w:spacing w:before="9" w:line="240" w:lineRule="exact"/>
        <w:rPr>
          <w:rFonts w:ascii="Times New Roman" w:hAnsi="Times New Roman" w:cs="Times New Roman"/>
          <w:sz w:val="24"/>
          <w:lang w:val="it-IT"/>
        </w:rPr>
      </w:pPr>
    </w:p>
    <w:p w14:paraId="5D3821D6" w14:textId="297D338A" w:rsidR="0050099E" w:rsidRPr="00C35766" w:rsidRDefault="0050099E" w:rsidP="0050099E">
      <w:pPr>
        <w:pStyle w:val="a3"/>
        <w:rPr>
          <w:lang w:val="it-IT"/>
        </w:rPr>
      </w:pPr>
      <w:r w:rsidRPr="00C35766">
        <w:rPr>
          <w:rFonts w:eastAsia="Times New Roman"/>
          <w:lang w:val="it-IT"/>
        </w:rPr>
        <w:t xml:space="preserve">L’idrosadenite suppurativa (chiamata a volte acne inversa) è una malattia infiammatoria cronica della pelle e spesso è dolorosa. I sintomi possono includere noduli dolorosi e ascessi (cisti) che possono drenare pus. Più frequentemente colpisce aree specifiche della pelle, </w:t>
      </w:r>
      <w:r w:rsidR="00FF7F81" w:rsidRPr="00C35766">
        <w:rPr>
          <w:rFonts w:eastAsia="Times New Roman"/>
          <w:lang w:val="it-IT"/>
        </w:rPr>
        <w:t xml:space="preserve">come </w:t>
      </w:r>
      <w:r w:rsidR="00FF7F81">
        <w:rPr>
          <w:rFonts w:eastAsia="Times New Roman"/>
          <w:lang w:val="it-IT"/>
        </w:rPr>
        <w:t>la regione sottomammaria</w:t>
      </w:r>
      <w:r w:rsidR="00DD6E3A" w:rsidRPr="00C35766">
        <w:rPr>
          <w:rFonts w:eastAsia="Times New Roman"/>
          <w:lang w:val="it-IT"/>
        </w:rPr>
        <w:t xml:space="preserve">, </w:t>
      </w:r>
      <w:r w:rsidRPr="00C35766">
        <w:rPr>
          <w:rFonts w:eastAsia="Times New Roman"/>
          <w:lang w:val="it-IT"/>
        </w:rPr>
        <w:t>le ascelle, l’interno cosce, l’inguine e le natiche. Nelle aree colpite si possono anche formare delle cicatrici.</w:t>
      </w:r>
    </w:p>
    <w:p w14:paraId="4D76F5FE" w14:textId="77777777" w:rsidR="0050099E" w:rsidRPr="00C35766" w:rsidRDefault="0050099E" w:rsidP="0050099E">
      <w:pPr>
        <w:spacing w:before="13" w:line="240" w:lineRule="exact"/>
        <w:rPr>
          <w:rFonts w:ascii="Times New Roman" w:hAnsi="Times New Roman" w:cs="Times New Roman"/>
          <w:sz w:val="24"/>
          <w:lang w:val="it-IT"/>
        </w:rPr>
      </w:pPr>
    </w:p>
    <w:p w14:paraId="67C7F6A6" w14:textId="77777777" w:rsidR="0050099E" w:rsidRPr="00C35766" w:rsidRDefault="0050099E" w:rsidP="0050099E">
      <w:pPr>
        <w:pStyle w:val="a3"/>
        <w:rPr>
          <w:lang w:val="it-IT"/>
        </w:rPr>
      </w:pPr>
      <w:r w:rsidRPr="00C35766">
        <w:rPr>
          <w:rFonts w:eastAsia="Times New Roman"/>
          <w:lang w:val="it-IT"/>
        </w:rPr>
        <w:t>Yuflyma è usato per trattare</w:t>
      </w:r>
    </w:p>
    <w:p w14:paraId="7D4E354A"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l’idrosadenite suppurativa di grado da moderato a severo negli adulti e</w:t>
      </w:r>
    </w:p>
    <w:p w14:paraId="3C5F42CE"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l’idrosadenite suppurativa di grado da moderato a severo negli adolescenti di età compresa tra 12 e 17 anni.</w:t>
      </w:r>
    </w:p>
    <w:p w14:paraId="2D92BA78" w14:textId="77777777" w:rsidR="0050099E" w:rsidRPr="00C35766" w:rsidRDefault="0050099E" w:rsidP="0050099E">
      <w:pPr>
        <w:spacing w:before="10" w:line="240" w:lineRule="exact"/>
        <w:rPr>
          <w:rFonts w:ascii="Times New Roman" w:hAnsi="Times New Roman" w:cs="Times New Roman"/>
          <w:sz w:val="24"/>
          <w:lang w:val="it-IT"/>
        </w:rPr>
      </w:pPr>
    </w:p>
    <w:p w14:paraId="71085B11" w14:textId="77777777" w:rsidR="0050099E" w:rsidRPr="00C35766" w:rsidRDefault="0050099E" w:rsidP="0050099E">
      <w:pPr>
        <w:pStyle w:val="a3"/>
        <w:rPr>
          <w:lang w:val="it-IT"/>
        </w:rPr>
      </w:pPr>
      <w:r w:rsidRPr="00C35766">
        <w:rPr>
          <w:rFonts w:eastAsia="Times New Roman"/>
          <w:lang w:val="it-IT"/>
        </w:rPr>
        <w:t>Yuflyma può ridurre il numero di noduli e di ascessi provocati dalla malattia e il dolore che spesso è associato con la malattia. Inizialmente possono essere assunti altri farmaci. In caso non risponda adeguatamente a questi farmaci, Le sarà somministrato Yuflyma.</w:t>
      </w:r>
    </w:p>
    <w:p w14:paraId="689A9455" w14:textId="77777777" w:rsidR="0050099E" w:rsidRPr="00C35766" w:rsidRDefault="0050099E" w:rsidP="0050099E">
      <w:pPr>
        <w:spacing w:before="18" w:line="240" w:lineRule="exact"/>
        <w:rPr>
          <w:rFonts w:ascii="Times New Roman" w:hAnsi="Times New Roman" w:cs="Times New Roman"/>
          <w:sz w:val="24"/>
          <w:szCs w:val="24"/>
          <w:lang w:val="it-IT"/>
        </w:rPr>
      </w:pPr>
    </w:p>
    <w:p w14:paraId="0D397625" w14:textId="77777777" w:rsidR="0050099E" w:rsidRPr="00C35766" w:rsidRDefault="0050099E" w:rsidP="0050099E">
      <w:pPr>
        <w:pStyle w:val="a3"/>
        <w:rPr>
          <w:b/>
          <w:lang w:val="it-IT"/>
        </w:rPr>
      </w:pPr>
      <w:r w:rsidRPr="00C35766">
        <w:rPr>
          <w:rFonts w:eastAsia="Times New Roman"/>
          <w:b/>
          <w:bCs/>
          <w:lang w:val="it-IT"/>
        </w:rPr>
        <w:t>Malattia di Crohn</w:t>
      </w:r>
    </w:p>
    <w:p w14:paraId="7076272E" w14:textId="77777777" w:rsidR="0050099E" w:rsidRPr="00C35766" w:rsidRDefault="0050099E" w:rsidP="0050099E">
      <w:pPr>
        <w:pStyle w:val="a3"/>
        <w:rPr>
          <w:u w:val="single"/>
          <w:lang w:val="it-IT"/>
        </w:rPr>
      </w:pPr>
    </w:p>
    <w:p w14:paraId="7FCA0352" w14:textId="32340D4E" w:rsidR="0050099E" w:rsidRPr="00C35766" w:rsidRDefault="0050099E" w:rsidP="0050099E">
      <w:pPr>
        <w:pStyle w:val="a3"/>
      </w:pPr>
      <w:r w:rsidRPr="00C35766">
        <w:rPr>
          <w:rFonts w:eastAsia="Times New Roman"/>
          <w:lang w:val="it-IT"/>
        </w:rPr>
        <w:t>La malattia di Cro</w:t>
      </w:r>
      <w:r w:rsidR="008676F0">
        <w:rPr>
          <w:rFonts w:eastAsia="Times New Roman"/>
          <w:lang w:val="it-IT"/>
        </w:rPr>
        <w:t>h</w:t>
      </w:r>
      <w:r w:rsidRPr="00C35766">
        <w:rPr>
          <w:rFonts w:eastAsia="Times New Roman"/>
          <w:lang w:val="it-IT"/>
        </w:rPr>
        <w:t>n è una malattia infiammatoria del tratto digerente. Yuflyma è usato per trattare</w:t>
      </w:r>
    </w:p>
    <w:p w14:paraId="03EE6B7C"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malattia di Crohn di grado da moderato a severo negli adulti e</w:t>
      </w:r>
    </w:p>
    <w:p w14:paraId="6C9E2FEA"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malattia di Crohn di grado da moderato a severo nei bambini e negli adolescenti di età compresa tra 6 e 17 anni.</w:t>
      </w:r>
    </w:p>
    <w:p w14:paraId="0BA102DF" w14:textId="77777777" w:rsidR="0050099E" w:rsidRPr="00C35766" w:rsidRDefault="0050099E" w:rsidP="0050099E">
      <w:pPr>
        <w:spacing w:before="16" w:line="240" w:lineRule="exact"/>
        <w:rPr>
          <w:rFonts w:ascii="Times New Roman" w:hAnsi="Times New Roman" w:cs="Times New Roman"/>
          <w:sz w:val="24"/>
          <w:szCs w:val="24"/>
          <w:lang w:val="pt-BR"/>
        </w:rPr>
      </w:pPr>
    </w:p>
    <w:p w14:paraId="3AF7D6FD" w14:textId="77777777" w:rsidR="0050099E" w:rsidRPr="00C35766" w:rsidRDefault="0050099E" w:rsidP="0050099E">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50FF87AB" w14:textId="77777777" w:rsidR="0050099E" w:rsidRPr="00C35766" w:rsidRDefault="0050099E" w:rsidP="0050099E">
      <w:pPr>
        <w:spacing w:before="15" w:line="240" w:lineRule="exact"/>
        <w:rPr>
          <w:rFonts w:ascii="Times New Roman" w:hAnsi="Times New Roman" w:cs="Times New Roman"/>
          <w:sz w:val="24"/>
          <w:szCs w:val="24"/>
          <w:lang w:val="it-IT"/>
        </w:rPr>
      </w:pPr>
    </w:p>
    <w:p w14:paraId="76048A34" w14:textId="77777777" w:rsidR="0050099E" w:rsidRPr="00C35766" w:rsidRDefault="0050099E" w:rsidP="0050099E">
      <w:pPr>
        <w:pStyle w:val="a3"/>
        <w:rPr>
          <w:b/>
          <w:lang w:val="it-IT"/>
        </w:rPr>
      </w:pPr>
      <w:r w:rsidRPr="00C35766">
        <w:rPr>
          <w:rFonts w:eastAsia="Times New Roman"/>
          <w:b/>
          <w:bCs/>
          <w:lang w:val="it-IT"/>
        </w:rPr>
        <w:t>Colite ulcerosa</w:t>
      </w:r>
    </w:p>
    <w:p w14:paraId="2736D9FD" w14:textId="77777777" w:rsidR="0050099E" w:rsidRPr="00C35766" w:rsidRDefault="0050099E" w:rsidP="0050099E">
      <w:pPr>
        <w:pStyle w:val="a3"/>
        <w:rPr>
          <w:b/>
          <w:lang w:val="it-IT"/>
        </w:rPr>
      </w:pPr>
    </w:p>
    <w:p w14:paraId="7E55845D" w14:textId="77777777" w:rsidR="0050099E" w:rsidRPr="00C35766" w:rsidRDefault="0050099E" w:rsidP="0050099E">
      <w:pPr>
        <w:pStyle w:val="a3"/>
        <w:rPr>
          <w:lang w:val="it-IT"/>
        </w:rPr>
      </w:pPr>
      <w:r w:rsidRPr="00C35766">
        <w:rPr>
          <w:rFonts w:eastAsia="Times New Roman"/>
          <w:lang w:val="it-IT"/>
        </w:rPr>
        <w:t>La colite ulcerosa è una malattia infiammatoria dell'intestino crasso.</w:t>
      </w:r>
    </w:p>
    <w:p w14:paraId="31C3F29A" w14:textId="77777777" w:rsidR="0050099E" w:rsidRPr="00C35766" w:rsidRDefault="0050099E" w:rsidP="0050099E">
      <w:pPr>
        <w:spacing w:before="17" w:line="240" w:lineRule="exact"/>
        <w:rPr>
          <w:rFonts w:ascii="Times New Roman" w:hAnsi="Times New Roman" w:cs="Times New Roman"/>
          <w:sz w:val="24"/>
          <w:szCs w:val="24"/>
          <w:lang w:val="it-IT"/>
        </w:rPr>
      </w:pPr>
    </w:p>
    <w:p w14:paraId="453EB983" w14:textId="77777777" w:rsidR="0050099E" w:rsidRPr="00C35766" w:rsidRDefault="0050099E" w:rsidP="0050099E">
      <w:pPr>
        <w:pStyle w:val="a3"/>
        <w:rPr>
          <w:rFonts w:eastAsia="Times New Roman"/>
          <w:lang w:val="it-IT"/>
        </w:rPr>
      </w:pPr>
      <w:r w:rsidRPr="00C35766">
        <w:rPr>
          <w:rFonts w:eastAsia="Times New Roman"/>
          <w:lang w:val="it-IT"/>
        </w:rPr>
        <w:lastRenderedPageBreak/>
        <w:t xml:space="preserve">Yuflyma è usato per trattare </w:t>
      </w:r>
    </w:p>
    <w:p w14:paraId="125FBFF1" w14:textId="77777777" w:rsidR="0050099E" w:rsidRPr="00824699" w:rsidRDefault="0050099E" w:rsidP="0050099E">
      <w:pPr>
        <w:pStyle w:val="a4"/>
        <w:widowControl/>
        <w:numPr>
          <w:ilvl w:val="0"/>
          <w:numId w:val="45"/>
        </w:numPr>
        <w:tabs>
          <w:tab w:val="left" w:pos="567"/>
        </w:tabs>
        <w:ind w:right="-2"/>
        <w:jc w:val="both"/>
        <w:rPr>
          <w:rFonts w:ascii="Times New Roman" w:hAnsi="Times New Roman" w:cs="Times New Roman"/>
          <w:lang w:val="it-IT"/>
        </w:rPr>
      </w:pPr>
      <w:r w:rsidRPr="00C35766">
        <w:rPr>
          <w:rFonts w:ascii="Times New Roman" w:eastAsia="Times New Roman" w:hAnsi="Times New Roman" w:cs="Times New Roman"/>
          <w:lang w:val="it-IT"/>
        </w:rPr>
        <w:t xml:space="preserve">la colite ulcerosa di grado da moderato a severo negli adulti </w:t>
      </w:r>
      <w:r w:rsidRPr="00824699">
        <w:rPr>
          <w:rFonts w:ascii="Times New Roman" w:hAnsi="Times New Roman" w:cs="Times New Roman"/>
          <w:lang w:val="it-IT"/>
        </w:rPr>
        <w:t xml:space="preserve"> e</w:t>
      </w:r>
    </w:p>
    <w:p w14:paraId="7E5342DC" w14:textId="77777777" w:rsidR="0050099E" w:rsidRPr="00C35766" w:rsidRDefault="0050099E" w:rsidP="0050099E">
      <w:pPr>
        <w:pStyle w:val="a4"/>
        <w:widowControl/>
        <w:numPr>
          <w:ilvl w:val="0"/>
          <w:numId w:val="45"/>
        </w:numPr>
        <w:tabs>
          <w:tab w:val="left" w:pos="567"/>
        </w:tabs>
        <w:ind w:right="-2"/>
        <w:jc w:val="both"/>
        <w:rPr>
          <w:rFonts w:ascii="Times New Roman" w:eastAsia="Times New Roman" w:hAnsi="Times New Roman" w:cs="Times New Roman"/>
          <w:lang w:val="it-IT"/>
        </w:rPr>
      </w:pPr>
      <w:r w:rsidRPr="00824699">
        <w:rPr>
          <w:rFonts w:ascii="Times New Roman" w:hAnsi="Times New Roman" w:cs="Times New Roman"/>
          <w:lang w:val="it-IT"/>
        </w:rPr>
        <w:t xml:space="preserve">la colite ulcerosa di grado da moderato a severo nei bambini e negli adolescenti di età compresa tra 6 e 17 anni. </w:t>
      </w:r>
      <w:r w:rsidRPr="00C35766">
        <w:rPr>
          <w:rFonts w:ascii="Times New Roman" w:eastAsia="Times New Roman" w:hAnsi="Times New Roman" w:cs="Times New Roman"/>
          <w:lang w:val="it-IT"/>
        </w:rPr>
        <w:t xml:space="preserve"> </w:t>
      </w:r>
    </w:p>
    <w:p w14:paraId="5B38E89B" w14:textId="77777777" w:rsidR="0050099E" w:rsidRPr="00C35766" w:rsidRDefault="0050099E" w:rsidP="0050099E">
      <w:pPr>
        <w:pStyle w:val="a3"/>
        <w:rPr>
          <w:rFonts w:eastAsia="Times New Roman"/>
          <w:lang w:val="it-IT"/>
        </w:rPr>
      </w:pPr>
    </w:p>
    <w:p w14:paraId="314077B9" w14:textId="77777777" w:rsidR="0050099E" w:rsidRPr="00C35766" w:rsidRDefault="0050099E" w:rsidP="0050099E">
      <w:pPr>
        <w:pStyle w:val="a3"/>
        <w:rPr>
          <w:lang w:val="pt-BR"/>
        </w:rPr>
      </w:pPr>
      <w:r w:rsidRPr="00C35766">
        <w:rPr>
          <w:rFonts w:eastAsia="Times New Roman"/>
          <w:lang w:val="it-IT"/>
        </w:rPr>
        <w:t>Inizialmente possono essere assunti altri farmaci. In caso non risponda adeguatamente a questi farmaci, Le sarà somministrato Yuflyma.</w:t>
      </w:r>
    </w:p>
    <w:p w14:paraId="113DBFE3" w14:textId="77777777" w:rsidR="0050099E" w:rsidRPr="00C35766" w:rsidRDefault="0050099E" w:rsidP="0050099E">
      <w:pPr>
        <w:spacing w:before="15" w:line="240" w:lineRule="exact"/>
        <w:rPr>
          <w:rFonts w:ascii="Times New Roman" w:hAnsi="Times New Roman" w:cs="Times New Roman"/>
          <w:sz w:val="24"/>
          <w:szCs w:val="24"/>
          <w:lang w:val="pt-BR"/>
        </w:rPr>
      </w:pPr>
    </w:p>
    <w:p w14:paraId="08F72C7A" w14:textId="77777777" w:rsidR="0050099E" w:rsidRPr="00C35766" w:rsidRDefault="0050099E" w:rsidP="0050099E">
      <w:pPr>
        <w:pStyle w:val="a3"/>
        <w:rPr>
          <w:b/>
          <w:lang w:val="pt-BR"/>
        </w:rPr>
      </w:pPr>
      <w:r w:rsidRPr="00C35766">
        <w:rPr>
          <w:rFonts w:eastAsia="Times New Roman"/>
          <w:b/>
          <w:bCs/>
          <w:lang w:val="it-IT"/>
        </w:rPr>
        <w:t>Uveite non infettiva</w:t>
      </w:r>
    </w:p>
    <w:p w14:paraId="0D7202F7" w14:textId="77777777" w:rsidR="0050099E" w:rsidRPr="00C35766" w:rsidRDefault="0050099E" w:rsidP="0050099E">
      <w:pPr>
        <w:pStyle w:val="a3"/>
        <w:rPr>
          <w:lang w:val="pt-BR"/>
        </w:rPr>
      </w:pPr>
    </w:p>
    <w:p w14:paraId="69E86B82" w14:textId="77777777" w:rsidR="0050099E" w:rsidRPr="00C35766" w:rsidRDefault="0050099E" w:rsidP="0050099E">
      <w:pPr>
        <w:pStyle w:val="a3"/>
      </w:pPr>
      <w:r w:rsidRPr="00C35766">
        <w:rPr>
          <w:rFonts w:eastAsia="Times New Roman"/>
          <w:lang w:val="it-IT"/>
        </w:rPr>
        <w:t>L’uveite non infettiva è una malattia infiammatoria che colpisce alcune parti dell'occhio. Yuflyma è usato per trattare</w:t>
      </w:r>
    </w:p>
    <w:p w14:paraId="147159C2"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adulti con uveite non infettiva con infiammazione che interessa il fondo dell’occhio</w:t>
      </w:r>
    </w:p>
    <w:p w14:paraId="5B8D20CC"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bambini dai 2 anni di età con uveite cronica non infettiva con infiammazione che interessa la parte anteriore dell’occhio.</w:t>
      </w:r>
    </w:p>
    <w:p w14:paraId="50300A39" w14:textId="77777777" w:rsidR="0050099E" w:rsidRPr="00C35766" w:rsidRDefault="0050099E" w:rsidP="0050099E">
      <w:pPr>
        <w:pStyle w:val="a3"/>
        <w:rPr>
          <w:lang w:val="it-IT"/>
        </w:rPr>
      </w:pPr>
    </w:p>
    <w:p w14:paraId="5E051DEC" w14:textId="77777777" w:rsidR="0050099E" w:rsidRPr="00C35766" w:rsidRDefault="0050099E" w:rsidP="0050099E">
      <w:pPr>
        <w:pStyle w:val="a3"/>
        <w:rPr>
          <w:lang w:val="pt-BR"/>
        </w:rPr>
      </w:pPr>
      <w:r w:rsidRPr="00C35766">
        <w:rPr>
          <w:rFonts w:eastAsia="Times New Roman"/>
          <w:lang w:val="it-IT"/>
        </w:rPr>
        <w:t>Questa infiammazione può portare a una diminuzione della visione e/o alla presenza di corpi mobili nell’occhio (punti neri o linee sottili che si muovono attraverso il campo visivo). Yuflyma agisce riducendo questa infiammazione.</w:t>
      </w:r>
    </w:p>
    <w:p w14:paraId="0559D22F" w14:textId="77777777" w:rsidR="0050099E" w:rsidRPr="00C35766" w:rsidRDefault="0050099E" w:rsidP="0050099E">
      <w:pPr>
        <w:spacing w:before="10" w:line="240" w:lineRule="exact"/>
        <w:rPr>
          <w:rFonts w:ascii="Times New Roman" w:hAnsi="Times New Roman" w:cs="Times New Roman"/>
          <w:sz w:val="24"/>
          <w:szCs w:val="24"/>
          <w:lang w:val="pt-BR"/>
        </w:rPr>
      </w:pPr>
    </w:p>
    <w:p w14:paraId="61E11AAE" w14:textId="77777777" w:rsidR="0050099E" w:rsidRPr="00C35766" w:rsidRDefault="0050099E" w:rsidP="0050099E">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13C97B9A" w14:textId="77777777" w:rsidR="0050099E" w:rsidRPr="00C35766" w:rsidRDefault="0050099E" w:rsidP="0050099E">
      <w:pPr>
        <w:spacing w:before="18" w:line="240" w:lineRule="exact"/>
        <w:rPr>
          <w:rFonts w:ascii="Times New Roman" w:hAnsi="Times New Roman" w:cs="Times New Roman"/>
          <w:b/>
          <w:lang w:val="it-IT"/>
        </w:rPr>
      </w:pPr>
    </w:p>
    <w:p w14:paraId="3397761F" w14:textId="77777777" w:rsidR="0050099E" w:rsidRPr="00C35766" w:rsidRDefault="0050099E" w:rsidP="0050099E">
      <w:pPr>
        <w:spacing w:before="18" w:line="240" w:lineRule="exact"/>
        <w:ind w:left="108"/>
        <w:rPr>
          <w:rFonts w:ascii="Times New Roman" w:hAnsi="Times New Roman" w:cs="Times New Roman"/>
          <w:b/>
          <w:lang w:val="it-IT"/>
        </w:rPr>
      </w:pPr>
    </w:p>
    <w:p w14:paraId="549B5F6C" w14:textId="77777777" w:rsidR="0050099E" w:rsidRPr="00C35766" w:rsidRDefault="0050099E" w:rsidP="00933A6C">
      <w:pPr>
        <w:pStyle w:val="a4"/>
        <w:numPr>
          <w:ilvl w:val="0"/>
          <w:numId w:val="62"/>
        </w:numPr>
        <w:spacing w:before="18" w:line="240" w:lineRule="exact"/>
        <w:ind w:left="357" w:hanging="357"/>
        <w:rPr>
          <w:rFonts w:ascii="Times New Roman" w:hAnsi="Times New Roman" w:cs="Times New Roman"/>
          <w:lang w:val="it-IT"/>
        </w:rPr>
      </w:pPr>
      <w:r w:rsidRPr="00C35766">
        <w:rPr>
          <w:rFonts w:ascii="Times New Roman" w:eastAsia="Times New Roman" w:hAnsi="Times New Roman" w:cs="Times New Roman"/>
          <w:b/>
          <w:bCs/>
          <w:lang w:val="it-IT"/>
        </w:rPr>
        <w:t>Cosa deve sapere prima di usare Yuflyma</w:t>
      </w:r>
      <w:r w:rsidRPr="00C35766">
        <w:rPr>
          <w:rFonts w:ascii="Times New Roman" w:eastAsia="Calibri" w:hAnsi="Times New Roman" w:cs="Times New Roman"/>
          <w:lang w:val="it-IT"/>
        </w:rPr>
        <w:t xml:space="preserve"> </w:t>
      </w:r>
    </w:p>
    <w:p w14:paraId="67A89C1B" w14:textId="77777777" w:rsidR="0050099E" w:rsidRPr="00C35766" w:rsidRDefault="0050099E" w:rsidP="0050099E">
      <w:pPr>
        <w:spacing w:before="18" w:line="240" w:lineRule="exact"/>
        <w:ind w:left="108"/>
        <w:rPr>
          <w:rFonts w:ascii="Times New Roman" w:hAnsi="Times New Roman" w:cs="Times New Roman"/>
          <w:b/>
          <w:lang w:val="it-IT"/>
        </w:rPr>
      </w:pPr>
    </w:p>
    <w:p w14:paraId="4A79AAE6" w14:textId="77777777" w:rsidR="0050099E" w:rsidRPr="00C35766" w:rsidRDefault="0050099E" w:rsidP="0050099E">
      <w:pPr>
        <w:pStyle w:val="a3"/>
        <w:rPr>
          <w:b/>
        </w:rPr>
      </w:pPr>
      <w:r w:rsidRPr="00C35766">
        <w:rPr>
          <w:rFonts w:eastAsia="Times New Roman"/>
          <w:b/>
          <w:bCs/>
          <w:lang w:val="it-IT"/>
        </w:rPr>
        <w:t>Non usi Yuflyma:</w:t>
      </w:r>
    </w:p>
    <w:p w14:paraId="389E1365" w14:textId="77777777" w:rsidR="0050099E" w:rsidRPr="00C35766" w:rsidRDefault="0050099E" w:rsidP="0050099E">
      <w:pPr>
        <w:pStyle w:val="a3"/>
        <w:rPr>
          <w:b/>
        </w:rPr>
      </w:pPr>
    </w:p>
    <w:p w14:paraId="235ADB5E"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se è allergico ad adalimumab o ad uno qualsiasi degli altri componenti di questo medicinale (elencati al paragrafo 6).</w:t>
      </w:r>
    </w:p>
    <w:p w14:paraId="6F9E582C" w14:textId="77777777" w:rsidR="0050099E" w:rsidRPr="00C35766" w:rsidRDefault="0050099E" w:rsidP="0050099E">
      <w:pPr>
        <w:pStyle w:val="a3"/>
        <w:numPr>
          <w:ilvl w:val="0"/>
          <w:numId w:val="0"/>
        </w:numPr>
        <w:ind w:left="660"/>
        <w:rPr>
          <w:lang w:val="es-ES"/>
        </w:rPr>
      </w:pPr>
    </w:p>
    <w:p w14:paraId="28A98493"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presenza di tubercolosi attiva o altre infezioni gravi (vedere “Avvertenze e precauzioni”). È importante comunicare al medico se ha segni o sintomi di infezione, per esempio, febbre, ferite, sensazione di stanchezza, problemi dentali.</w:t>
      </w:r>
    </w:p>
    <w:p w14:paraId="0A4FC729" w14:textId="77777777" w:rsidR="0050099E" w:rsidRPr="00C35766" w:rsidRDefault="0050099E" w:rsidP="0050099E">
      <w:pPr>
        <w:pStyle w:val="a3"/>
        <w:numPr>
          <w:ilvl w:val="0"/>
          <w:numId w:val="0"/>
        </w:numPr>
        <w:ind w:left="660"/>
        <w:rPr>
          <w:lang w:val="it-IT"/>
        </w:rPr>
      </w:pPr>
    </w:p>
    <w:p w14:paraId="31981582"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presenza di insufficienza cardiaca moderata o grave. È importante riferire al medico se c’è stata o è presente una condizione cardiaca grave (vedere “Avvertenze e precauzioni”).</w:t>
      </w:r>
    </w:p>
    <w:p w14:paraId="327DFD1C" w14:textId="77777777" w:rsidR="0050099E" w:rsidRPr="00C35766" w:rsidRDefault="0050099E" w:rsidP="0050099E">
      <w:pPr>
        <w:spacing w:before="13" w:line="240" w:lineRule="exact"/>
        <w:rPr>
          <w:rFonts w:ascii="Times New Roman" w:hAnsi="Times New Roman" w:cs="Times New Roman"/>
          <w:sz w:val="24"/>
          <w:szCs w:val="24"/>
          <w:lang w:val="it-IT"/>
        </w:rPr>
      </w:pPr>
    </w:p>
    <w:p w14:paraId="2663EFB1" w14:textId="77777777" w:rsidR="0050099E" w:rsidRPr="00C35766" w:rsidRDefault="0050099E" w:rsidP="0050099E">
      <w:pPr>
        <w:pStyle w:val="a3"/>
        <w:rPr>
          <w:b/>
          <w:lang w:val="es-ES"/>
        </w:rPr>
      </w:pPr>
      <w:r w:rsidRPr="00C35766">
        <w:rPr>
          <w:rFonts w:eastAsia="Times New Roman"/>
          <w:b/>
          <w:bCs/>
          <w:lang w:val="it-IT"/>
        </w:rPr>
        <w:t>Avvertenze e precauzioni</w:t>
      </w:r>
    </w:p>
    <w:p w14:paraId="62EF2EF1" w14:textId="77777777" w:rsidR="0050099E" w:rsidRPr="00C35766" w:rsidRDefault="0050099E" w:rsidP="0050099E">
      <w:pPr>
        <w:spacing w:before="9" w:line="240" w:lineRule="exact"/>
        <w:rPr>
          <w:rFonts w:ascii="Times New Roman" w:hAnsi="Times New Roman" w:cs="Times New Roman"/>
          <w:sz w:val="24"/>
          <w:szCs w:val="24"/>
          <w:lang w:val="es-ES"/>
        </w:rPr>
      </w:pPr>
    </w:p>
    <w:p w14:paraId="0CE8C4FF" w14:textId="77777777" w:rsidR="0050099E" w:rsidRPr="00C35766" w:rsidRDefault="0050099E" w:rsidP="0050099E">
      <w:pPr>
        <w:pStyle w:val="a3"/>
        <w:rPr>
          <w:lang w:val="es-ES"/>
        </w:rPr>
      </w:pPr>
      <w:r w:rsidRPr="00C35766">
        <w:rPr>
          <w:rFonts w:eastAsia="Times New Roman"/>
          <w:lang w:val="it-IT"/>
        </w:rPr>
        <w:t>Si rivolga al medico o al farmacista prima di usare Yuflyma.</w:t>
      </w:r>
    </w:p>
    <w:p w14:paraId="58DA1E43" w14:textId="77777777" w:rsidR="0050099E" w:rsidRPr="00C35766" w:rsidRDefault="0050099E" w:rsidP="0050099E">
      <w:pPr>
        <w:pStyle w:val="a3"/>
        <w:rPr>
          <w:lang w:val="es-ES"/>
        </w:rPr>
      </w:pPr>
    </w:p>
    <w:p w14:paraId="42C7CFF3" w14:textId="77777777" w:rsidR="0050099E" w:rsidRPr="00C35766" w:rsidRDefault="0050099E" w:rsidP="0050099E">
      <w:pPr>
        <w:pStyle w:val="a3"/>
        <w:rPr>
          <w:u w:val="single" w:color="000000"/>
        </w:rPr>
      </w:pPr>
      <w:r w:rsidRPr="00C35766">
        <w:rPr>
          <w:rFonts w:eastAsia="Times New Roman"/>
          <w:u w:val="single" w:color="000000"/>
          <w:lang w:val="it-IT"/>
        </w:rPr>
        <w:t>Reazioni allergiche</w:t>
      </w:r>
    </w:p>
    <w:p w14:paraId="06816E6E" w14:textId="77777777" w:rsidR="0050099E" w:rsidRPr="00C35766" w:rsidRDefault="0050099E" w:rsidP="0050099E">
      <w:pPr>
        <w:pStyle w:val="a3"/>
        <w:rPr>
          <w:u w:val="single"/>
        </w:rPr>
      </w:pPr>
    </w:p>
    <w:p w14:paraId="2E761A93"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caso di reazioni allergiche con sintomi quali senso d’oppressione toracica, respiro sibilante, capogiro, gonfiore o eruzione cutanea, non assuma più Yuflyma e contatti il medico immediatamente considerato che, in rari casi, queste reazioni possono essere pericolose per la vita.</w:t>
      </w:r>
    </w:p>
    <w:p w14:paraId="03E63E1E" w14:textId="77777777" w:rsidR="0050099E" w:rsidRPr="00C35766" w:rsidRDefault="0050099E" w:rsidP="0050099E">
      <w:pPr>
        <w:pStyle w:val="a3"/>
        <w:rPr>
          <w:b/>
          <w:lang w:val="it-IT"/>
        </w:rPr>
      </w:pPr>
    </w:p>
    <w:p w14:paraId="32E9A7AB" w14:textId="77777777" w:rsidR="0050099E" w:rsidRPr="00C35766" w:rsidRDefault="0050099E" w:rsidP="0050099E">
      <w:pPr>
        <w:pStyle w:val="a3"/>
        <w:rPr>
          <w:u w:val="single"/>
        </w:rPr>
      </w:pPr>
      <w:r w:rsidRPr="00C35766">
        <w:rPr>
          <w:rFonts w:eastAsia="Times New Roman"/>
          <w:u w:val="single"/>
          <w:lang w:val="it-IT"/>
        </w:rPr>
        <w:t>Infezioni</w:t>
      </w:r>
    </w:p>
    <w:p w14:paraId="48D20963" w14:textId="77777777" w:rsidR="0050099E" w:rsidRPr="00C35766" w:rsidRDefault="0050099E" w:rsidP="0050099E">
      <w:pPr>
        <w:pStyle w:val="a3"/>
        <w:rPr>
          <w:b/>
        </w:rPr>
      </w:pPr>
    </w:p>
    <w:p w14:paraId="3CBEF2A2" w14:textId="77777777" w:rsidR="0050099E" w:rsidRPr="00C35766" w:rsidRDefault="0050099E" w:rsidP="0050099E">
      <w:pPr>
        <w:pStyle w:val="a3"/>
        <w:numPr>
          <w:ilvl w:val="1"/>
          <w:numId w:val="4"/>
        </w:numPr>
        <w:ind w:left="660" w:hanging="660"/>
      </w:pPr>
      <w:r w:rsidRPr="00C35766">
        <w:rPr>
          <w:rFonts w:eastAsia="Times New Roman"/>
          <w:lang w:val="it-IT"/>
        </w:rPr>
        <w:t>In caso d’infezione, comprese infezioni a lungo termine o infezioni localizzate in una parte del corpo (per esempio, ulcere alle gambe) consulti il medico prima di iniziare il trattamento con Yuflyma. Se ha dubbi, contatti il medico.</w:t>
      </w:r>
    </w:p>
    <w:p w14:paraId="046EF843" w14:textId="77777777" w:rsidR="0050099E" w:rsidRPr="00C35766" w:rsidRDefault="0050099E" w:rsidP="0050099E">
      <w:pPr>
        <w:pStyle w:val="a3"/>
      </w:pPr>
    </w:p>
    <w:p w14:paraId="3036D9CA"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lastRenderedPageBreak/>
        <w:t>È possibile contrarre più facilmente infezioni durante il trattamento con Yuflyma. Questo rischio può aumentare se ha problemi ai polmoni. Queste infezioni possono essere gravi ed includere:</w:t>
      </w:r>
    </w:p>
    <w:p w14:paraId="434DDDBE" w14:textId="77777777" w:rsidR="0050099E" w:rsidRPr="00C35766" w:rsidRDefault="0050099E" w:rsidP="0050099E">
      <w:pPr>
        <w:pStyle w:val="a3"/>
        <w:numPr>
          <w:ilvl w:val="1"/>
          <w:numId w:val="4"/>
        </w:numPr>
        <w:ind w:left="660" w:firstLine="49"/>
      </w:pPr>
      <w:r w:rsidRPr="00C35766">
        <w:rPr>
          <w:rFonts w:eastAsia="Times New Roman"/>
          <w:lang w:val="it-IT"/>
        </w:rPr>
        <w:t>tubercolosi</w:t>
      </w:r>
    </w:p>
    <w:p w14:paraId="1D40A72E" w14:textId="77777777" w:rsidR="0050099E" w:rsidRPr="00C35766" w:rsidRDefault="0050099E" w:rsidP="0050099E">
      <w:pPr>
        <w:pStyle w:val="a3"/>
        <w:numPr>
          <w:ilvl w:val="1"/>
          <w:numId w:val="4"/>
        </w:numPr>
        <w:ind w:left="660" w:firstLine="49"/>
        <w:rPr>
          <w:lang w:val="pt-BR"/>
        </w:rPr>
      </w:pPr>
      <w:r w:rsidRPr="00C35766">
        <w:rPr>
          <w:rFonts w:eastAsia="Times New Roman"/>
          <w:lang w:val="it-IT"/>
        </w:rPr>
        <w:t>infezioni causate da virus, funghi, parassiti o batteri</w:t>
      </w:r>
    </w:p>
    <w:p w14:paraId="545A4B6E" w14:textId="77777777" w:rsidR="0050099E" w:rsidRPr="00C35766" w:rsidRDefault="0050099E" w:rsidP="0050099E">
      <w:pPr>
        <w:pStyle w:val="a3"/>
        <w:numPr>
          <w:ilvl w:val="1"/>
          <w:numId w:val="4"/>
        </w:numPr>
        <w:ind w:left="660" w:firstLine="49"/>
        <w:rPr>
          <w:lang w:val="es-ES"/>
        </w:rPr>
      </w:pPr>
      <w:r w:rsidRPr="00C35766">
        <w:rPr>
          <w:rFonts w:eastAsia="Times New Roman"/>
          <w:lang w:val="it-IT"/>
        </w:rPr>
        <w:t>grave infezione del sangue (sepsi)</w:t>
      </w:r>
    </w:p>
    <w:p w14:paraId="270C8BE3" w14:textId="77777777" w:rsidR="0050099E" w:rsidRPr="00C35766" w:rsidRDefault="0050099E" w:rsidP="0050099E">
      <w:pPr>
        <w:pStyle w:val="a3"/>
        <w:rPr>
          <w:lang w:val="es-ES"/>
        </w:rPr>
      </w:pPr>
    </w:p>
    <w:p w14:paraId="275F3D89" w14:textId="77777777" w:rsidR="0050099E" w:rsidRPr="00C35766" w:rsidRDefault="0050099E" w:rsidP="0050099E">
      <w:pPr>
        <w:pStyle w:val="a3"/>
        <w:numPr>
          <w:ilvl w:val="0"/>
          <w:numId w:val="0"/>
        </w:numPr>
        <w:ind w:left="660"/>
        <w:rPr>
          <w:lang w:val="it-IT"/>
        </w:rPr>
      </w:pPr>
      <w:r w:rsidRPr="00C35766">
        <w:rPr>
          <w:rFonts w:eastAsia="Times New Roman"/>
          <w:lang w:val="it-IT"/>
        </w:rPr>
        <w:t>In rari casi, queste infezioni possono essere rischiose per la vita del paziente. È importante comunicare al medico la presenza di sintomi quali febbre, ferite, sensazione di stanchezza o problemi dentali. Il medico potrebbe dirle di interrompere Yuflyma per un periodo di tempo.</w:t>
      </w:r>
    </w:p>
    <w:p w14:paraId="0BC881D8" w14:textId="77777777" w:rsidR="0050099E" w:rsidRPr="00C35766" w:rsidRDefault="0050099E" w:rsidP="0050099E">
      <w:pPr>
        <w:pStyle w:val="a3"/>
        <w:rPr>
          <w:lang w:val="it-IT"/>
        </w:rPr>
      </w:pPr>
    </w:p>
    <w:p w14:paraId="262A037A"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Informi il medico se vive o viaggia in regioni dove le infezioni fungine sono molto comuni (ad esempio istoplasmosi, coccidioidomicosi o blastomicosi).</w:t>
      </w:r>
    </w:p>
    <w:p w14:paraId="34D42827" w14:textId="77777777" w:rsidR="0050099E" w:rsidRPr="00C35766" w:rsidRDefault="0050099E" w:rsidP="0050099E">
      <w:pPr>
        <w:pStyle w:val="a3"/>
        <w:rPr>
          <w:lang w:val="it-IT"/>
        </w:rPr>
      </w:pPr>
    </w:p>
    <w:p w14:paraId="4A1528EC"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Informi il medico se ha avuto infezioni che continuano a ripresentarsi o se ha altre patologie che aumentano il rischio di infezione.</w:t>
      </w:r>
    </w:p>
    <w:p w14:paraId="28CFCDE3" w14:textId="77777777" w:rsidR="0050099E" w:rsidRPr="00C35766" w:rsidRDefault="0050099E" w:rsidP="0050099E">
      <w:pPr>
        <w:pStyle w:val="a3"/>
        <w:numPr>
          <w:ilvl w:val="0"/>
          <w:numId w:val="0"/>
        </w:numPr>
        <w:rPr>
          <w:lang w:val="it-IT"/>
        </w:rPr>
      </w:pPr>
    </w:p>
    <w:p w14:paraId="471A435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 ha più di 65 anni, potrebbe contrarre infezioni più facilmente mentre assume Yuflyma. Lei e il medico dovete prestare particolare attenzione ai segni di infezione durante il trattamento con Yuflyma.  È importante comunicare al medico se manifesta sintomi di infezioni quali febbre, ferite, sensazione di stanchezza o problemi dentali.</w:t>
      </w:r>
    </w:p>
    <w:p w14:paraId="55977F68" w14:textId="77777777" w:rsidR="0050099E" w:rsidRPr="00C35766" w:rsidRDefault="0050099E" w:rsidP="0050099E">
      <w:pPr>
        <w:spacing w:before="11" w:line="240" w:lineRule="exact"/>
        <w:rPr>
          <w:rFonts w:ascii="Times New Roman" w:hAnsi="Times New Roman" w:cs="Times New Roman"/>
          <w:sz w:val="24"/>
          <w:lang w:val="it-IT"/>
        </w:rPr>
      </w:pPr>
    </w:p>
    <w:p w14:paraId="2FFFA833" w14:textId="77777777" w:rsidR="0050099E" w:rsidRPr="00C35766" w:rsidRDefault="0050099E" w:rsidP="0050099E">
      <w:pPr>
        <w:pStyle w:val="a3"/>
        <w:rPr>
          <w:u w:val="single"/>
        </w:rPr>
      </w:pPr>
      <w:r w:rsidRPr="00C35766">
        <w:rPr>
          <w:rFonts w:eastAsia="Times New Roman"/>
          <w:u w:val="single" w:color="000000"/>
          <w:lang w:val="it-IT"/>
        </w:rPr>
        <w:t>Tubercolosi</w:t>
      </w:r>
    </w:p>
    <w:p w14:paraId="7DE48A2F" w14:textId="77777777" w:rsidR="0050099E" w:rsidRPr="00C35766" w:rsidRDefault="0050099E" w:rsidP="0050099E">
      <w:pPr>
        <w:spacing w:before="4" w:line="190" w:lineRule="exact"/>
        <w:rPr>
          <w:rFonts w:ascii="Times New Roman" w:hAnsi="Times New Roman" w:cs="Times New Roman"/>
          <w:sz w:val="19"/>
          <w:szCs w:val="19"/>
        </w:rPr>
      </w:pPr>
    </w:p>
    <w:p w14:paraId="43962F3A" w14:textId="77777777" w:rsidR="0050099E" w:rsidRPr="00C35766" w:rsidRDefault="0050099E" w:rsidP="0050099E">
      <w:pPr>
        <w:pStyle w:val="a3"/>
        <w:numPr>
          <w:ilvl w:val="1"/>
          <w:numId w:val="4"/>
        </w:numPr>
        <w:ind w:left="660" w:hanging="660"/>
        <w:rPr>
          <w:rFonts w:eastAsia="Times New Roman"/>
          <w:lang w:val="it-IT"/>
        </w:rPr>
      </w:pPr>
      <w:r w:rsidRPr="00C35766">
        <w:rPr>
          <w:rFonts w:eastAsia="Times New Roman"/>
          <w:lang w:val="it-IT"/>
        </w:rPr>
        <w:t>È molto importante comunicare al medico se ha mai avuto la tubercolosi, o se è stato a contatto con qualcuno che ha avuto la tubercolosi. Non deve assumere Yuflyma se è affetto da tubercolosi attiva.</w:t>
      </w:r>
    </w:p>
    <w:p w14:paraId="739E8B2D" w14:textId="77777777" w:rsidR="0050099E" w:rsidRPr="00C35766" w:rsidRDefault="0050099E" w:rsidP="0050099E">
      <w:pPr>
        <w:pStyle w:val="a3"/>
        <w:numPr>
          <w:ilvl w:val="1"/>
          <w:numId w:val="4"/>
        </w:numPr>
        <w:ind w:left="998" w:hanging="340"/>
        <w:rPr>
          <w:rFonts w:eastAsia="Times New Roman"/>
          <w:lang w:val="it-IT"/>
        </w:rPr>
      </w:pPr>
      <w:r w:rsidRPr="00C35766">
        <w:rPr>
          <w:rFonts w:eastAsia="Times New Roman"/>
          <w:lang w:val="it-IT"/>
        </w:rPr>
        <w:t xml:space="preserve">Poiché si sono verificati dei casi di tubercolosi in pazienti sottoposti a trattamento con Yuflyma, il medico dovrà controllare se presenta segni o sintomi tipici della tubercolosi prima di iniziare la terapia con Yuflyma. Questo comporterà la raccolta di una valutazione medica dettagliata che includa la sua anamnesi e appropriati esami clinici (per es. una radiografia del torace e il test alla tubercolina). L’esecuzione e i risultati di tali esami devono essere registrati nella </w:t>
      </w:r>
      <w:r w:rsidRPr="00C35766">
        <w:rPr>
          <w:rFonts w:eastAsia="Times New Roman"/>
          <w:b/>
          <w:lang w:val="it-IT"/>
        </w:rPr>
        <w:t>Scheda Promemoria per il Paziente</w:t>
      </w:r>
      <w:r w:rsidRPr="00C35766">
        <w:rPr>
          <w:rFonts w:eastAsia="Times New Roman"/>
          <w:lang w:val="it-IT"/>
        </w:rPr>
        <w:t>.</w:t>
      </w:r>
    </w:p>
    <w:p w14:paraId="244E25A6" w14:textId="77777777" w:rsidR="0050099E" w:rsidRPr="00C35766" w:rsidRDefault="0050099E" w:rsidP="0050099E">
      <w:pPr>
        <w:pStyle w:val="a3"/>
        <w:numPr>
          <w:ilvl w:val="1"/>
          <w:numId w:val="4"/>
        </w:numPr>
        <w:ind w:left="998" w:hanging="340"/>
        <w:rPr>
          <w:lang w:val="es-ES"/>
        </w:rPr>
      </w:pPr>
      <w:r w:rsidRPr="00C35766">
        <w:rPr>
          <w:rFonts w:eastAsia="Times New Roman"/>
          <w:lang w:val="it-IT"/>
        </w:rPr>
        <w:t>La tubercolosi si può manifestare durante la terapia nonostante lei abbia ricevuto un trattamento per la prevenzione della tubercolosi.</w:t>
      </w:r>
    </w:p>
    <w:p w14:paraId="65072526" w14:textId="77777777" w:rsidR="0050099E" w:rsidRPr="00C35766" w:rsidRDefault="0050099E" w:rsidP="0050099E">
      <w:pPr>
        <w:pStyle w:val="a3"/>
        <w:numPr>
          <w:ilvl w:val="1"/>
          <w:numId w:val="4"/>
        </w:numPr>
        <w:ind w:left="998" w:hanging="340"/>
        <w:rPr>
          <w:lang w:val="es-ES"/>
        </w:rPr>
      </w:pPr>
      <w:r w:rsidRPr="00C35766">
        <w:rPr>
          <w:rFonts w:eastAsia="Times New Roman"/>
          <w:lang w:val="it-IT"/>
        </w:rPr>
        <w:t>Contatti immediatamente il medico se durante o dopo la terapia compaiono sintomi di tubercolosi (ad esempio tosse che non scompare, perdita di peso, mancanza di energia, febbre leggera) o di altre infezioni.</w:t>
      </w:r>
    </w:p>
    <w:p w14:paraId="5E290675" w14:textId="77777777" w:rsidR="0050099E" w:rsidRPr="00C35766" w:rsidRDefault="0050099E" w:rsidP="0050099E">
      <w:pPr>
        <w:spacing w:before="11" w:line="240" w:lineRule="exact"/>
        <w:rPr>
          <w:rFonts w:ascii="Times New Roman" w:hAnsi="Times New Roman" w:cs="Times New Roman"/>
          <w:sz w:val="24"/>
          <w:szCs w:val="24"/>
          <w:lang w:val="es-ES"/>
        </w:rPr>
      </w:pPr>
    </w:p>
    <w:p w14:paraId="66E9A6AB" w14:textId="77777777" w:rsidR="0050099E" w:rsidRPr="00C35766" w:rsidRDefault="0050099E" w:rsidP="0050099E">
      <w:pPr>
        <w:pStyle w:val="a3"/>
        <w:rPr>
          <w:u w:val="single"/>
        </w:rPr>
      </w:pPr>
      <w:r w:rsidRPr="00C35766">
        <w:rPr>
          <w:rFonts w:eastAsia="Times New Roman"/>
          <w:u w:val="single" w:color="000000"/>
          <w:lang w:val="it-IT"/>
        </w:rPr>
        <w:t>Epatite B</w:t>
      </w:r>
    </w:p>
    <w:p w14:paraId="2CABEB1A" w14:textId="77777777" w:rsidR="0050099E" w:rsidRPr="00C35766" w:rsidRDefault="0050099E" w:rsidP="0050099E">
      <w:pPr>
        <w:spacing w:before="4" w:line="190" w:lineRule="exact"/>
        <w:rPr>
          <w:rFonts w:ascii="Times New Roman" w:hAnsi="Times New Roman" w:cs="Times New Roman"/>
          <w:sz w:val="19"/>
          <w:szCs w:val="19"/>
        </w:rPr>
      </w:pPr>
    </w:p>
    <w:p w14:paraId="5A671D62"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Comunichi al medico se lei è portatore del virus dell’epatite B (HBV), se ha un’infezione in fase attiva da virus dell’epatite B o se pensa di poter essere a rischio di contrarre il virus dell’epatite B.</w:t>
      </w:r>
    </w:p>
    <w:p w14:paraId="40DF29BE"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Il medico La deve testare per l’infezione da virus dell’epatite B. Nei portatori di HBV, l’assunzione di Yuflyma può indurre il virus ad attivarsi nuovamente.</w:t>
      </w:r>
    </w:p>
    <w:p w14:paraId="4C514280"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In alcuni rari casi, soprattutto se il paziente è sottoposto a terapia con altri farmaci che sopprimono il sistema immunitario, la riattivazione del virus dell’epatite B può mettere a repentaglio la vita del paziente.</w:t>
      </w:r>
    </w:p>
    <w:p w14:paraId="64711897" w14:textId="77777777" w:rsidR="0050099E" w:rsidRPr="00C35766" w:rsidRDefault="0050099E" w:rsidP="0050099E">
      <w:pPr>
        <w:spacing w:before="11" w:line="240" w:lineRule="exact"/>
        <w:rPr>
          <w:rFonts w:ascii="Times New Roman" w:hAnsi="Times New Roman" w:cs="Times New Roman"/>
          <w:sz w:val="24"/>
          <w:lang w:val="it-IT"/>
        </w:rPr>
      </w:pPr>
    </w:p>
    <w:p w14:paraId="61C94EDE" w14:textId="77777777" w:rsidR="0050099E" w:rsidRPr="00C35766" w:rsidRDefault="0050099E" w:rsidP="0050099E">
      <w:pPr>
        <w:pStyle w:val="a3"/>
        <w:rPr>
          <w:u w:val="single"/>
        </w:rPr>
      </w:pPr>
      <w:r w:rsidRPr="00C35766">
        <w:rPr>
          <w:rFonts w:eastAsia="Times New Roman"/>
          <w:u w:val="single" w:color="000000"/>
          <w:lang w:val="it-IT"/>
        </w:rPr>
        <w:t>Interventi chirurgici o procedure dentistiche</w:t>
      </w:r>
    </w:p>
    <w:p w14:paraId="02E377B7" w14:textId="77777777" w:rsidR="0050099E" w:rsidRPr="00C35766" w:rsidRDefault="0050099E" w:rsidP="0050099E">
      <w:pPr>
        <w:spacing w:before="4" w:line="190" w:lineRule="exact"/>
        <w:rPr>
          <w:rFonts w:ascii="Times New Roman" w:hAnsi="Times New Roman" w:cs="Times New Roman"/>
          <w:sz w:val="19"/>
          <w:szCs w:val="19"/>
        </w:rPr>
      </w:pPr>
    </w:p>
    <w:p w14:paraId="6B744B85" w14:textId="77777777" w:rsidR="0050099E" w:rsidRPr="00C35766" w:rsidRDefault="0050099E" w:rsidP="0050099E">
      <w:pPr>
        <w:pStyle w:val="a3"/>
        <w:numPr>
          <w:ilvl w:val="1"/>
          <w:numId w:val="4"/>
        </w:numPr>
        <w:ind w:left="660" w:hanging="660"/>
      </w:pPr>
      <w:r w:rsidRPr="00C35766">
        <w:rPr>
          <w:rFonts w:eastAsia="Times New Roman"/>
          <w:lang w:val="it-IT"/>
        </w:rPr>
        <w:t>Prima di un intervento chirurgico o procedure dentistiche, informi il medico che sta prendendo Yuflyma. Il medico potrebbe consigliare la sospensione temporanea di Yuflyma.</w:t>
      </w:r>
    </w:p>
    <w:p w14:paraId="67821551" w14:textId="77777777" w:rsidR="0050099E" w:rsidRPr="00C35766" w:rsidRDefault="0050099E" w:rsidP="0050099E">
      <w:pPr>
        <w:spacing w:before="8" w:line="240" w:lineRule="exact"/>
        <w:rPr>
          <w:rFonts w:ascii="Times New Roman" w:hAnsi="Times New Roman" w:cs="Times New Roman"/>
          <w:sz w:val="24"/>
          <w:szCs w:val="24"/>
        </w:rPr>
      </w:pPr>
    </w:p>
    <w:p w14:paraId="0478B9D8" w14:textId="77777777" w:rsidR="0050099E" w:rsidRPr="00C35766" w:rsidRDefault="0050099E" w:rsidP="0050099E">
      <w:pPr>
        <w:pStyle w:val="a3"/>
        <w:rPr>
          <w:u w:val="single"/>
        </w:rPr>
      </w:pPr>
      <w:r w:rsidRPr="00C35766">
        <w:rPr>
          <w:rFonts w:eastAsia="Times New Roman"/>
          <w:u w:val="single" w:color="000000"/>
          <w:lang w:val="it-IT"/>
        </w:rPr>
        <w:t>Malattie demielinizzanti</w:t>
      </w:r>
    </w:p>
    <w:p w14:paraId="267E38C9" w14:textId="77777777" w:rsidR="0050099E" w:rsidRPr="00C35766" w:rsidRDefault="0050099E" w:rsidP="0050099E">
      <w:pPr>
        <w:spacing w:before="4" w:line="190" w:lineRule="exact"/>
        <w:rPr>
          <w:rFonts w:ascii="Times New Roman" w:hAnsi="Times New Roman" w:cs="Times New Roman"/>
          <w:sz w:val="19"/>
          <w:szCs w:val="19"/>
        </w:rPr>
      </w:pPr>
    </w:p>
    <w:p w14:paraId="53553C07"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lastRenderedPageBreak/>
        <w:t>Se è affetto da o sviluppa una malattia demielinizzante (malattia che colpisce lo strato isolante attorno ai nervi, come la sclerosi multipla), il medico deciderà se è il caso di iniziare o continuare a ricevere il trattamento con Yuflyma.  Informi il medico immediatamente nel caso in cui lei manifesti sintomi quali variazioni nella visione, debolezza di braccia o gambe o intorpidimento o formicolio che interessi qualsiasi parte del corpo.</w:t>
      </w:r>
    </w:p>
    <w:p w14:paraId="07ECBD8D" w14:textId="77777777" w:rsidR="0050099E" w:rsidRPr="00C35766" w:rsidRDefault="0050099E" w:rsidP="0050099E">
      <w:pPr>
        <w:spacing w:before="14" w:line="240" w:lineRule="exact"/>
        <w:rPr>
          <w:rFonts w:ascii="Times New Roman" w:hAnsi="Times New Roman" w:cs="Times New Roman"/>
          <w:sz w:val="24"/>
          <w:szCs w:val="24"/>
          <w:lang w:val="pt-BR"/>
        </w:rPr>
      </w:pPr>
    </w:p>
    <w:p w14:paraId="20307802" w14:textId="77777777" w:rsidR="0050099E" w:rsidRPr="00C35766" w:rsidRDefault="0050099E" w:rsidP="0050099E">
      <w:pPr>
        <w:pStyle w:val="a3"/>
        <w:rPr>
          <w:u w:val="single"/>
        </w:rPr>
      </w:pPr>
      <w:r w:rsidRPr="00C35766">
        <w:rPr>
          <w:rFonts w:eastAsia="Times New Roman"/>
          <w:u w:val="single" w:color="000000"/>
          <w:lang w:val="it-IT"/>
        </w:rPr>
        <w:t>Vaccinazioni</w:t>
      </w:r>
    </w:p>
    <w:p w14:paraId="7E789786" w14:textId="77777777" w:rsidR="0050099E" w:rsidRPr="00C35766" w:rsidRDefault="0050099E" w:rsidP="0050099E">
      <w:pPr>
        <w:spacing w:before="4" w:line="190" w:lineRule="exact"/>
        <w:rPr>
          <w:rFonts w:ascii="Times New Roman" w:hAnsi="Times New Roman" w:cs="Times New Roman"/>
          <w:sz w:val="19"/>
          <w:szCs w:val="19"/>
        </w:rPr>
      </w:pPr>
    </w:p>
    <w:p w14:paraId="7359F5B9"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Certi vaccini possono causare infezioni e non devono essere somministrati durante il trattamento con Yuflyma.</w:t>
      </w:r>
    </w:p>
    <w:p w14:paraId="5D34B8C2" w14:textId="77777777" w:rsidR="0050099E" w:rsidRPr="00C35766" w:rsidRDefault="0050099E" w:rsidP="0050099E">
      <w:pPr>
        <w:spacing w:before="11" w:line="240" w:lineRule="exact"/>
        <w:rPr>
          <w:rFonts w:ascii="Times New Roman" w:hAnsi="Times New Roman" w:cs="Times New Roman"/>
          <w:sz w:val="24"/>
          <w:lang w:val="it-IT"/>
        </w:rPr>
      </w:pPr>
    </w:p>
    <w:p w14:paraId="4AA0E2BC"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Consulti il medico prima di sottoporsi a vaccinazioni.</w:t>
      </w:r>
    </w:p>
    <w:p w14:paraId="19273498"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Si raccomanda, se possibile, di sottoporre i bambini a tutte le vaccinazioni previste per la loro età prima di iniziare il trattamento con Yuflyma.</w:t>
      </w:r>
    </w:p>
    <w:p w14:paraId="10196D15"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Se ha assunto Yuflyma durante la gravidanza, il bambino potrebbe avere un maggior rischio di contrarre un’infezione fino a circa 5 mesi dopo l’ultima somministrazione di Yuflyma ricevuta in gravidanza. È importante che lei riferisca al pediatra o ad altro operatore sanitario del suo utilizzo di Yuflyma durante la gravidanza, cosicché possano decidere quando il bambino deve ricevere qualsiasi tipo di vaccinazione.</w:t>
      </w:r>
    </w:p>
    <w:p w14:paraId="3A7A8B82" w14:textId="77777777" w:rsidR="0050099E" w:rsidRPr="00C35766" w:rsidRDefault="0050099E" w:rsidP="0050099E">
      <w:pPr>
        <w:spacing w:before="14" w:line="240" w:lineRule="exact"/>
        <w:rPr>
          <w:rFonts w:ascii="Times New Roman" w:hAnsi="Times New Roman" w:cs="Times New Roman"/>
          <w:sz w:val="24"/>
          <w:szCs w:val="24"/>
          <w:lang w:val="it-IT"/>
        </w:rPr>
      </w:pPr>
    </w:p>
    <w:p w14:paraId="0A46BBA4" w14:textId="77777777" w:rsidR="0050099E" w:rsidRPr="00C35766" w:rsidRDefault="0050099E" w:rsidP="0050099E">
      <w:pPr>
        <w:pStyle w:val="a3"/>
        <w:rPr>
          <w:u w:val="single"/>
        </w:rPr>
      </w:pPr>
      <w:r w:rsidRPr="00C35766">
        <w:rPr>
          <w:rFonts w:eastAsia="Times New Roman"/>
          <w:u w:val="single" w:color="000000"/>
          <w:lang w:val="it-IT"/>
        </w:rPr>
        <w:t>Insufficienza cardiaca</w:t>
      </w:r>
    </w:p>
    <w:p w14:paraId="56994C02" w14:textId="77777777" w:rsidR="0050099E" w:rsidRPr="00C35766" w:rsidRDefault="0050099E" w:rsidP="0050099E">
      <w:pPr>
        <w:spacing w:before="4" w:line="190" w:lineRule="exact"/>
        <w:rPr>
          <w:rFonts w:ascii="Times New Roman" w:hAnsi="Times New Roman" w:cs="Times New Roman"/>
          <w:sz w:val="19"/>
          <w:szCs w:val="19"/>
        </w:rPr>
      </w:pPr>
    </w:p>
    <w:p w14:paraId="5205C2DD" w14:textId="77777777" w:rsidR="0050099E" w:rsidRPr="00C35766" w:rsidRDefault="0050099E" w:rsidP="0050099E">
      <w:pPr>
        <w:pStyle w:val="a3"/>
        <w:numPr>
          <w:ilvl w:val="1"/>
          <w:numId w:val="4"/>
        </w:numPr>
        <w:ind w:left="660" w:hanging="660"/>
      </w:pPr>
      <w:r w:rsidRPr="00C35766">
        <w:rPr>
          <w:rFonts w:eastAsia="Times New Roman"/>
          <w:lang w:val="it-IT"/>
        </w:rPr>
        <w:t xml:space="preserve">In caso di lieve insufficienza cardiaca e di concomitante trattamento con Yuflyma, il medico dovrà attentamente valutare e seguire lo stato del suo cuore. È importante informare il medico se ha o ha avuto in passato gravi problemi al cuore. Se appaiono nuovi sintomi di insufficienza cardiaca o se i sintomi già esistenti dovessero peggiorare (per esempio, respiro corto o gonfiore dei piedi), contatti immediatamente il medico.  </w:t>
      </w:r>
      <w:r w:rsidRPr="00C35766">
        <w:rPr>
          <w:rFonts w:eastAsia="맑은 고딕"/>
          <w:lang w:val="it-IT" w:eastAsia="ko-KR"/>
        </w:rPr>
        <w:t>I</w:t>
      </w:r>
      <w:r w:rsidRPr="00C35766">
        <w:rPr>
          <w:rFonts w:eastAsia="Times New Roman"/>
          <w:lang w:val="it-IT"/>
        </w:rPr>
        <w:t>l medico deciderà se è possibile usare Yuflyma.</w:t>
      </w:r>
    </w:p>
    <w:p w14:paraId="421185D5" w14:textId="77777777" w:rsidR="0050099E" w:rsidRPr="00C35766" w:rsidRDefault="0050099E" w:rsidP="0050099E">
      <w:pPr>
        <w:spacing w:before="14" w:line="240" w:lineRule="exact"/>
        <w:rPr>
          <w:rFonts w:ascii="Times New Roman" w:hAnsi="Times New Roman" w:cs="Times New Roman"/>
          <w:sz w:val="24"/>
          <w:szCs w:val="24"/>
        </w:rPr>
      </w:pPr>
    </w:p>
    <w:p w14:paraId="35480549" w14:textId="77777777" w:rsidR="0050099E" w:rsidRPr="00C35766" w:rsidRDefault="0050099E" w:rsidP="0050099E">
      <w:pPr>
        <w:pStyle w:val="a3"/>
        <w:rPr>
          <w:u w:val="single"/>
        </w:rPr>
      </w:pPr>
      <w:r w:rsidRPr="00C35766">
        <w:rPr>
          <w:rFonts w:eastAsia="Times New Roman"/>
          <w:u w:val="single" w:color="000000"/>
          <w:lang w:val="it-IT"/>
        </w:rPr>
        <w:t>Febbre, lividi, sanguinamento o pallore</w:t>
      </w:r>
    </w:p>
    <w:p w14:paraId="26FF913F" w14:textId="77777777" w:rsidR="0050099E" w:rsidRPr="00C35766" w:rsidRDefault="0050099E" w:rsidP="0050099E">
      <w:pPr>
        <w:spacing w:before="4" w:line="190" w:lineRule="exact"/>
        <w:rPr>
          <w:rFonts w:ascii="Times New Roman" w:hAnsi="Times New Roman" w:cs="Times New Roman"/>
          <w:sz w:val="19"/>
          <w:szCs w:val="19"/>
        </w:rPr>
      </w:pPr>
    </w:p>
    <w:p w14:paraId="3573DB8E"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alcuni pazienti l’organismo può non essere in grado di produrre un quantitativo di cellule ematiche sufficiente e tale da combattere le infezioni o arrestare un sanguinamento. Il medico potrebbe decidere di interrompere la terapia. Nel caso in cui lei abbia febbre persistente, lividi o facilità di sanguinamento o pallore, si rivolga immediatamente al medico.</w:t>
      </w:r>
    </w:p>
    <w:p w14:paraId="38BA9CDF" w14:textId="77777777" w:rsidR="0050099E" w:rsidRPr="00C35766" w:rsidRDefault="0050099E" w:rsidP="0050099E">
      <w:pPr>
        <w:pStyle w:val="a3"/>
        <w:rPr>
          <w:u w:val="single"/>
          <w:lang w:val="it-IT"/>
        </w:rPr>
      </w:pPr>
    </w:p>
    <w:p w14:paraId="6A20D905" w14:textId="77777777" w:rsidR="0050099E" w:rsidRPr="00C35766" w:rsidRDefault="0050099E" w:rsidP="0050099E">
      <w:pPr>
        <w:pStyle w:val="a3"/>
        <w:rPr>
          <w:u w:val="single"/>
        </w:rPr>
      </w:pPr>
      <w:r w:rsidRPr="00C35766">
        <w:rPr>
          <w:rFonts w:eastAsia="Times New Roman"/>
          <w:u w:val="single"/>
          <w:lang w:val="it-IT"/>
        </w:rPr>
        <w:t>Tumore</w:t>
      </w:r>
    </w:p>
    <w:p w14:paraId="093295FF" w14:textId="77777777" w:rsidR="0050099E" w:rsidRPr="00C35766" w:rsidRDefault="0050099E" w:rsidP="0050099E">
      <w:pPr>
        <w:pStyle w:val="a3"/>
        <w:rPr>
          <w:u w:val="single"/>
        </w:rPr>
      </w:pPr>
    </w:p>
    <w:p w14:paraId="74B110CE"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Nei pazienti, sia bambini sia adulti, sottoposti a trattamento con Yuflyma o con altri farmaci anti-TNF, si sono manifestati molto raramente alcuni tipi di tumori.</w:t>
      </w:r>
    </w:p>
    <w:p w14:paraId="47DE9F61" w14:textId="77777777" w:rsidR="0050099E" w:rsidRPr="00C35766" w:rsidRDefault="0050099E" w:rsidP="0050099E">
      <w:pPr>
        <w:pStyle w:val="a3"/>
        <w:rPr>
          <w:lang w:val="it-IT"/>
        </w:rPr>
      </w:pPr>
    </w:p>
    <w:p w14:paraId="42951F7C"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I pazienti con artrite reumatoide di grave entità da molto tempo possono presentare un rischio superiore alla media di sviluppare un linfoma (un tumore che colpisce il sistema linfatico) e leucemia (un tumore che colpisce il sangue e il midollo osseo).</w:t>
      </w:r>
    </w:p>
    <w:p w14:paraId="6DE5AA51"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Se lei assume Yuflyma, il rischio di contrarre linfomi, leucemia o altri tumori può aumentare. In rare circostanze, nei pazienti sottoposti a terapia con Yuflyma, è stato osservato un tipo non comune e grave di linfoma. Alcuni di questi pazienti erano anche in terapia con azatioprina o 6-mercaptopurina.</w:t>
      </w:r>
    </w:p>
    <w:p w14:paraId="1EC3D033"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Avvisi il medico se sta assumendo azatioprina o 6-mercaptopurina con Yuflyma.</w:t>
      </w:r>
    </w:p>
    <w:p w14:paraId="59170839" w14:textId="77777777" w:rsidR="0050099E" w:rsidRPr="00C35766" w:rsidRDefault="0050099E" w:rsidP="0050099E">
      <w:pPr>
        <w:pStyle w:val="a3"/>
        <w:numPr>
          <w:ilvl w:val="1"/>
          <w:numId w:val="4"/>
        </w:numPr>
        <w:ind w:left="998" w:hanging="340"/>
        <w:rPr>
          <w:lang w:val="pt-BR"/>
        </w:rPr>
      </w:pPr>
      <w:r w:rsidRPr="00C35766">
        <w:rPr>
          <w:rFonts w:eastAsia="Times New Roman"/>
          <w:lang w:val="it-IT"/>
        </w:rPr>
        <w:t>Nei pazienti che assumono Yuflyma, sono stati osservati casi di carcinoma cutaneo non melanotico.</w:t>
      </w:r>
    </w:p>
    <w:p w14:paraId="63A3486C" w14:textId="77777777" w:rsidR="0050099E" w:rsidRPr="00C35766" w:rsidRDefault="0050099E" w:rsidP="0050099E">
      <w:pPr>
        <w:pStyle w:val="a3"/>
        <w:numPr>
          <w:ilvl w:val="1"/>
          <w:numId w:val="4"/>
        </w:numPr>
        <w:ind w:left="998" w:hanging="340"/>
        <w:rPr>
          <w:lang w:val="pt-BR"/>
        </w:rPr>
      </w:pPr>
      <w:r w:rsidRPr="00C35766">
        <w:rPr>
          <w:rFonts w:eastAsia="Times New Roman"/>
          <w:lang w:val="it-IT"/>
        </w:rPr>
        <w:t>Se dovessero comparire nuove lesioni cutanee nel corso della terapia o successivamente ad essa o se l’aspetto delle lesioni già esistenti si dovesse modificare, lo riferisca al medico.</w:t>
      </w:r>
    </w:p>
    <w:p w14:paraId="0A1E4FA6" w14:textId="77777777" w:rsidR="0050099E" w:rsidRPr="00C35766" w:rsidRDefault="0050099E" w:rsidP="0050099E">
      <w:pPr>
        <w:pStyle w:val="a3"/>
        <w:rPr>
          <w:lang w:val="pt-BR"/>
        </w:rPr>
      </w:pPr>
    </w:p>
    <w:p w14:paraId="47E242C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 xml:space="preserve">Ci sono stati casi di tumori, oltre al linfoma, in pazienti con uno specifico tipo di malattia del </w:t>
      </w:r>
      <w:r w:rsidRPr="00C35766">
        <w:rPr>
          <w:rFonts w:eastAsia="Times New Roman"/>
          <w:lang w:val="it-IT"/>
        </w:rPr>
        <w:lastRenderedPageBreak/>
        <w:t>polmone chiamata Malattia Polmonare Cronica Ostruttiva (COPD) trattati con un altro anti-TNF. Se soffre di COPD, o fuma molto, deve discutere con il medico se è appropriato il trattamento con un anti-TNF.</w:t>
      </w:r>
    </w:p>
    <w:p w14:paraId="4E29DF2F" w14:textId="77777777" w:rsidR="0050099E" w:rsidRPr="00C35766" w:rsidRDefault="0050099E" w:rsidP="0050099E">
      <w:pPr>
        <w:spacing w:before="11" w:line="240" w:lineRule="exact"/>
        <w:rPr>
          <w:rFonts w:ascii="Times New Roman" w:hAnsi="Times New Roman" w:cs="Times New Roman"/>
          <w:sz w:val="24"/>
          <w:szCs w:val="24"/>
          <w:lang w:val="it-IT"/>
        </w:rPr>
      </w:pPr>
    </w:p>
    <w:p w14:paraId="3763DBB3" w14:textId="77777777" w:rsidR="0050099E" w:rsidRPr="00C35766" w:rsidRDefault="0050099E" w:rsidP="0050099E">
      <w:pPr>
        <w:pStyle w:val="a3"/>
        <w:rPr>
          <w:u w:val="single"/>
        </w:rPr>
      </w:pPr>
      <w:r w:rsidRPr="00C35766">
        <w:rPr>
          <w:rFonts w:eastAsia="Times New Roman"/>
          <w:u w:val="single" w:color="000000"/>
          <w:lang w:val="it-IT"/>
        </w:rPr>
        <w:t>Malattia autoimmune</w:t>
      </w:r>
    </w:p>
    <w:p w14:paraId="0CF042C3" w14:textId="77777777" w:rsidR="0050099E" w:rsidRPr="00C35766" w:rsidRDefault="0050099E" w:rsidP="0050099E">
      <w:pPr>
        <w:spacing w:before="4" w:line="190" w:lineRule="exact"/>
        <w:rPr>
          <w:rFonts w:ascii="Times New Roman" w:hAnsi="Times New Roman" w:cs="Times New Roman"/>
          <w:sz w:val="19"/>
          <w:szCs w:val="19"/>
        </w:rPr>
      </w:pPr>
    </w:p>
    <w:p w14:paraId="783DF96B"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Raramente, il trattamento con Yuflyma può portare alla manifestazione di una sindrome simile al lupus. Informi il medico qualora si manifestino sintomi come eruzione cutanea persistente di natura inspiegabile, febbre, dolore alle articolazioni o stanchezza.</w:t>
      </w:r>
    </w:p>
    <w:p w14:paraId="7C96821E" w14:textId="77777777" w:rsidR="0050099E" w:rsidRPr="00C35766" w:rsidRDefault="0050099E" w:rsidP="0050099E">
      <w:pPr>
        <w:spacing w:before="15" w:line="240" w:lineRule="exact"/>
        <w:rPr>
          <w:rFonts w:ascii="Times New Roman" w:hAnsi="Times New Roman" w:cs="Times New Roman"/>
          <w:sz w:val="24"/>
          <w:szCs w:val="24"/>
          <w:lang w:val="it-IT"/>
        </w:rPr>
      </w:pPr>
    </w:p>
    <w:p w14:paraId="350AA9AB" w14:textId="77777777" w:rsidR="0050099E" w:rsidRPr="00DD5565" w:rsidRDefault="0050099E" w:rsidP="0050099E">
      <w:pPr>
        <w:pStyle w:val="a3"/>
        <w:keepNext/>
        <w:rPr>
          <w:rFonts w:eastAsia="Times New Roman"/>
          <w:b/>
          <w:bCs/>
          <w:lang w:val="it-IT"/>
        </w:rPr>
      </w:pPr>
      <w:r w:rsidRPr="00DD5565">
        <w:rPr>
          <w:rFonts w:eastAsia="Times New Roman"/>
          <w:b/>
          <w:bCs/>
          <w:lang w:val="it-IT"/>
        </w:rPr>
        <w:t>Bambini e adolescenti</w:t>
      </w:r>
    </w:p>
    <w:p w14:paraId="751BC6D5" w14:textId="77777777" w:rsidR="0050099E" w:rsidRPr="00C35766" w:rsidRDefault="0050099E" w:rsidP="0050099E">
      <w:pPr>
        <w:keepNext/>
        <w:spacing w:before="10" w:line="240" w:lineRule="exact"/>
        <w:rPr>
          <w:rFonts w:ascii="Times New Roman" w:hAnsi="Times New Roman" w:cs="Times New Roman"/>
          <w:sz w:val="24"/>
          <w:szCs w:val="24"/>
        </w:rPr>
      </w:pPr>
    </w:p>
    <w:p w14:paraId="45A7BEA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Vaccinazioni: se possibile i bambini dovrebbero avere già fatto tutte le vaccinazioni prima di usare Yuflyma.</w:t>
      </w:r>
    </w:p>
    <w:p w14:paraId="4F4B093A" w14:textId="77777777" w:rsidR="0050099E" w:rsidRPr="00C35766" w:rsidRDefault="0050099E" w:rsidP="0050099E">
      <w:pPr>
        <w:pStyle w:val="a3"/>
        <w:numPr>
          <w:ilvl w:val="0"/>
          <w:numId w:val="0"/>
        </w:numPr>
        <w:rPr>
          <w:b/>
          <w:lang w:val="it-IT"/>
        </w:rPr>
      </w:pPr>
    </w:p>
    <w:p w14:paraId="0CADE51E" w14:textId="77777777" w:rsidR="0050099E" w:rsidRPr="00C35766" w:rsidRDefault="0050099E" w:rsidP="0050099E">
      <w:pPr>
        <w:pStyle w:val="a3"/>
        <w:rPr>
          <w:b/>
          <w:lang w:val="pt-BR"/>
        </w:rPr>
      </w:pPr>
      <w:r w:rsidRPr="00C35766">
        <w:rPr>
          <w:rFonts w:eastAsia="Times New Roman"/>
          <w:b/>
          <w:bCs/>
          <w:lang w:val="it-IT"/>
        </w:rPr>
        <w:t>Altri medicinali e Yuflyma</w:t>
      </w:r>
    </w:p>
    <w:p w14:paraId="063B6AB9" w14:textId="77777777" w:rsidR="0050099E" w:rsidRPr="00C35766" w:rsidRDefault="0050099E" w:rsidP="0050099E">
      <w:pPr>
        <w:pStyle w:val="a3"/>
        <w:rPr>
          <w:b/>
          <w:lang w:val="pt-BR"/>
        </w:rPr>
      </w:pPr>
    </w:p>
    <w:p w14:paraId="3079DEE0" w14:textId="77777777" w:rsidR="0050099E" w:rsidRPr="00C35766" w:rsidRDefault="0050099E" w:rsidP="0050099E">
      <w:pPr>
        <w:pStyle w:val="a3"/>
        <w:rPr>
          <w:lang w:val="it-IT"/>
        </w:rPr>
      </w:pPr>
      <w:r w:rsidRPr="00C35766">
        <w:rPr>
          <w:rFonts w:eastAsia="Times New Roman"/>
          <w:lang w:val="it-IT"/>
        </w:rPr>
        <w:t>Informi il medico o il farmacista se sta assumendo, ha recentemente assunto o potrebbe assumere qualsiasi altro medicinale. Non usi Yuflyma con medicinali che contengono i seguenti principi attivi a causa del rischio aumentato di avere infezioni gravi:</w:t>
      </w:r>
    </w:p>
    <w:p w14:paraId="4E67FC89" w14:textId="77777777" w:rsidR="0050099E" w:rsidRPr="00C35766" w:rsidRDefault="0050099E" w:rsidP="0050099E">
      <w:pPr>
        <w:pStyle w:val="a3"/>
        <w:rPr>
          <w:lang w:val="it-IT"/>
        </w:rPr>
      </w:pPr>
    </w:p>
    <w:p w14:paraId="064FE05A" w14:textId="77777777" w:rsidR="0050099E" w:rsidRPr="00C35766" w:rsidRDefault="0050099E" w:rsidP="0050099E">
      <w:pPr>
        <w:pStyle w:val="a3"/>
        <w:numPr>
          <w:ilvl w:val="1"/>
          <w:numId w:val="4"/>
        </w:numPr>
        <w:ind w:left="660" w:hanging="660"/>
      </w:pPr>
      <w:r w:rsidRPr="00C35766">
        <w:rPr>
          <w:rFonts w:eastAsia="Times New Roman"/>
          <w:lang w:val="it-IT"/>
        </w:rPr>
        <w:t>anakinra</w:t>
      </w:r>
    </w:p>
    <w:p w14:paraId="415E823C" w14:textId="77777777" w:rsidR="0050099E" w:rsidRPr="00C35766" w:rsidRDefault="0050099E" w:rsidP="0050099E">
      <w:pPr>
        <w:pStyle w:val="a3"/>
        <w:numPr>
          <w:ilvl w:val="1"/>
          <w:numId w:val="4"/>
        </w:numPr>
        <w:ind w:left="660" w:hanging="660"/>
      </w:pPr>
      <w:r w:rsidRPr="00C35766">
        <w:rPr>
          <w:rFonts w:eastAsia="Times New Roman"/>
          <w:lang w:val="it-IT"/>
        </w:rPr>
        <w:t>abatacept.</w:t>
      </w:r>
    </w:p>
    <w:p w14:paraId="61B711B6" w14:textId="77777777" w:rsidR="0050099E" w:rsidRPr="00C35766" w:rsidRDefault="0050099E" w:rsidP="0050099E">
      <w:pPr>
        <w:pStyle w:val="a3"/>
      </w:pPr>
    </w:p>
    <w:p w14:paraId="472F4BC2" w14:textId="77777777" w:rsidR="0050099E" w:rsidRPr="00C35766" w:rsidRDefault="0050099E" w:rsidP="0050099E">
      <w:pPr>
        <w:pStyle w:val="a3"/>
        <w:rPr>
          <w:lang w:val="pt-BR"/>
        </w:rPr>
      </w:pPr>
      <w:r w:rsidRPr="00C35766">
        <w:rPr>
          <w:rFonts w:eastAsia="Times New Roman"/>
          <w:lang w:val="it-IT"/>
        </w:rPr>
        <w:t>Yuflyma può essere assunto con:</w:t>
      </w:r>
    </w:p>
    <w:p w14:paraId="7C7A26BE" w14:textId="77777777" w:rsidR="0050099E" w:rsidRPr="00C35766" w:rsidRDefault="0050099E" w:rsidP="0050099E">
      <w:pPr>
        <w:pStyle w:val="a3"/>
        <w:numPr>
          <w:ilvl w:val="1"/>
          <w:numId w:val="4"/>
        </w:numPr>
        <w:ind w:left="660" w:hanging="660"/>
      </w:pPr>
      <w:r w:rsidRPr="00C35766">
        <w:rPr>
          <w:rFonts w:eastAsia="Times New Roman"/>
          <w:lang w:val="it-IT"/>
        </w:rPr>
        <w:t>metotressato</w:t>
      </w:r>
    </w:p>
    <w:p w14:paraId="752D3BFC"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altri farmaci antireumatici modificanti la malattia (ad esempio sulfasalazina, idrossiclorochina, leflunomide e sali d’oro per via parenterale)</w:t>
      </w:r>
    </w:p>
    <w:p w14:paraId="63632137"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steroidi o analgesici, compresi i farmaci anti-infiammatori non steroidei (FANS).</w:t>
      </w:r>
    </w:p>
    <w:p w14:paraId="6CFE1FC2" w14:textId="77777777" w:rsidR="0050099E" w:rsidRPr="00C35766" w:rsidRDefault="0050099E" w:rsidP="0050099E">
      <w:pPr>
        <w:pStyle w:val="a3"/>
        <w:rPr>
          <w:lang w:val="it-IT"/>
        </w:rPr>
      </w:pPr>
    </w:p>
    <w:p w14:paraId="6C153B14" w14:textId="77777777" w:rsidR="0050099E" w:rsidRPr="00C35766" w:rsidRDefault="0050099E" w:rsidP="0050099E">
      <w:pPr>
        <w:pStyle w:val="a3"/>
        <w:rPr>
          <w:lang w:val="es-ES"/>
        </w:rPr>
      </w:pPr>
      <w:r w:rsidRPr="00C35766">
        <w:rPr>
          <w:rFonts w:eastAsia="Times New Roman"/>
          <w:lang w:val="it-IT"/>
        </w:rPr>
        <w:t>Se ha dubbi, si rivolga al medico.</w:t>
      </w:r>
    </w:p>
    <w:p w14:paraId="058853CC" w14:textId="77777777" w:rsidR="0050099E" w:rsidRPr="00C35766" w:rsidRDefault="0050099E" w:rsidP="0050099E">
      <w:pPr>
        <w:spacing w:before="18" w:line="240" w:lineRule="exact"/>
        <w:rPr>
          <w:rFonts w:ascii="Times New Roman" w:hAnsi="Times New Roman" w:cs="Times New Roman"/>
          <w:sz w:val="24"/>
          <w:szCs w:val="24"/>
          <w:lang w:val="es-ES"/>
        </w:rPr>
      </w:pPr>
    </w:p>
    <w:p w14:paraId="5A037161" w14:textId="77777777" w:rsidR="0050099E" w:rsidRPr="00C35766" w:rsidRDefault="0050099E" w:rsidP="0050099E">
      <w:pPr>
        <w:pStyle w:val="a3"/>
        <w:rPr>
          <w:b/>
        </w:rPr>
      </w:pPr>
      <w:r w:rsidRPr="00C35766">
        <w:rPr>
          <w:rFonts w:eastAsia="Times New Roman"/>
          <w:b/>
          <w:bCs/>
          <w:lang w:val="it-IT"/>
        </w:rPr>
        <w:t>Gravidanza e allattamento</w:t>
      </w:r>
    </w:p>
    <w:p w14:paraId="51217FE3" w14:textId="77777777" w:rsidR="0050099E" w:rsidRPr="00C35766" w:rsidRDefault="0050099E" w:rsidP="0050099E">
      <w:pPr>
        <w:spacing w:before="9" w:line="260" w:lineRule="exact"/>
        <w:rPr>
          <w:rFonts w:ascii="Times New Roman" w:hAnsi="Times New Roman" w:cs="Times New Roman"/>
          <w:sz w:val="26"/>
          <w:szCs w:val="26"/>
        </w:rPr>
      </w:pPr>
    </w:p>
    <w:p w14:paraId="0D3405A7"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Deve considerare l’utilizzo di un’adeguata misura contraccettiva per prevenire una gravidanza e continuarne l’utilizzo per almeno 5 mesi dopo l’ultima terapia con Yuflyma.</w:t>
      </w:r>
    </w:p>
    <w:p w14:paraId="1FC99782"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Se è in corso una gravidanza, se sospetta o sta pianificando una gravidanza chieda consiglio al suo medico circa l’assunzione di questo medicinale.</w:t>
      </w:r>
    </w:p>
    <w:p w14:paraId="13C626C7"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Yuflyma deve essere usato durante la gravidanza solo se necessario.</w:t>
      </w:r>
    </w:p>
    <w:p w14:paraId="33CA5DE3"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Secondo uno studio sulla gravidanza, non è stato riscontrato un rischio maggiore di difetti alla nascita quando la madre aveva ricevuto Yuflyma durante la gravidanza, rispetto a madri che avevano la stessa patologia ma che non avevano ricevuto Yuflyma.</w:t>
      </w:r>
    </w:p>
    <w:p w14:paraId="75808CC7"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Yuflyma può essere usato durante l’allattamento con latte materno.</w:t>
      </w:r>
    </w:p>
    <w:p w14:paraId="5FA59ACA"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 assume Yuflyma durante la gravidanza, il bambino potrebbe avere un maggior rischio di contrarre un’infezione.</w:t>
      </w:r>
    </w:p>
    <w:p w14:paraId="6F3011D2" w14:textId="03237D5B" w:rsidR="0050099E" w:rsidRPr="00C35766" w:rsidRDefault="0050099E" w:rsidP="0050099E">
      <w:pPr>
        <w:pStyle w:val="a3"/>
        <w:numPr>
          <w:ilvl w:val="1"/>
          <w:numId w:val="4"/>
        </w:numPr>
        <w:ind w:left="660" w:hanging="660"/>
        <w:rPr>
          <w:lang w:val="it-IT"/>
        </w:rPr>
      </w:pPr>
      <w:r w:rsidRPr="00C35766">
        <w:rPr>
          <w:rFonts w:eastAsia="Times New Roman"/>
          <w:lang w:val="it-IT"/>
        </w:rPr>
        <w:t xml:space="preserve">È importante che lei riferisca al pediatra o ad altro operatore sanitario del suo utilizzo di Yuflyma durante la gravidanza, prima che il bambino riceva qualsiasi tipo di vaccinazione.  Per ulteriori informazioni sulle vaccinazioni consulti </w:t>
      </w:r>
      <w:r w:rsidR="00F2395F">
        <w:rPr>
          <w:rFonts w:eastAsia="Times New Roman"/>
          <w:lang w:val="it-IT"/>
        </w:rPr>
        <w:t xml:space="preserve">il paragrafo </w:t>
      </w:r>
      <w:r w:rsidRPr="00C35766">
        <w:rPr>
          <w:rFonts w:eastAsia="Times New Roman"/>
          <w:lang w:val="it-IT"/>
        </w:rPr>
        <w:t>“Avvertenze e precauzioni”.</w:t>
      </w:r>
    </w:p>
    <w:p w14:paraId="22288859" w14:textId="77777777" w:rsidR="0050099E" w:rsidRPr="00C35766" w:rsidRDefault="0050099E" w:rsidP="0050099E">
      <w:pPr>
        <w:spacing w:before="15" w:line="240" w:lineRule="exact"/>
        <w:rPr>
          <w:rFonts w:ascii="Times New Roman" w:hAnsi="Times New Roman" w:cs="Times New Roman"/>
          <w:b/>
          <w:sz w:val="24"/>
          <w:lang w:val="it-IT"/>
        </w:rPr>
      </w:pPr>
    </w:p>
    <w:p w14:paraId="080376E8" w14:textId="77777777" w:rsidR="0050099E" w:rsidRPr="00C35766" w:rsidRDefault="0050099E" w:rsidP="0050099E">
      <w:pPr>
        <w:pStyle w:val="a3"/>
        <w:rPr>
          <w:b/>
          <w:lang w:val="pt-BR"/>
        </w:rPr>
      </w:pPr>
      <w:r w:rsidRPr="00C35766">
        <w:rPr>
          <w:rFonts w:eastAsia="Times New Roman"/>
          <w:b/>
          <w:bCs/>
          <w:lang w:val="it-IT"/>
        </w:rPr>
        <w:t>Guida di veicoli e utilizzo di macchinari</w:t>
      </w:r>
    </w:p>
    <w:p w14:paraId="07F55B15" w14:textId="77777777" w:rsidR="0050099E" w:rsidRPr="00C35766" w:rsidRDefault="0050099E" w:rsidP="0050099E">
      <w:pPr>
        <w:spacing w:before="12" w:line="240" w:lineRule="exact"/>
        <w:rPr>
          <w:rFonts w:ascii="Times New Roman" w:hAnsi="Times New Roman" w:cs="Times New Roman"/>
          <w:sz w:val="24"/>
          <w:szCs w:val="24"/>
          <w:lang w:val="pt-BR"/>
        </w:rPr>
      </w:pPr>
    </w:p>
    <w:p w14:paraId="6AB3DBF7" w14:textId="038CB0ED" w:rsidR="0050099E" w:rsidRPr="00C35766" w:rsidRDefault="0050099E" w:rsidP="0050099E">
      <w:pPr>
        <w:pStyle w:val="a3"/>
        <w:rPr>
          <w:lang w:val="pt-BR"/>
        </w:rPr>
      </w:pPr>
      <w:r w:rsidRPr="00C35766">
        <w:rPr>
          <w:rFonts w:eastAsia="Times New Roman"/>
          <w:lang w:val="it-IT"/>
        </w:rPr>
        <w:t xml:space="preserve">Yuflyma può avere un </w:t>
      </w:r>
      <w:r w:rsidR="00006AFE">
        <w:rPr>
          <w:rFonts w:eastAsia="Times New Roman"/>
          <w:lang w:val="it-IT"/>
        </w:rPr>
        <w:t>lieve</w:t>
      </w:r>
      <w:r w:rsidR="00006AFE" w:rsidRPr="00C35766">
        <w:rPr>
          <w:rFonts w:eastAsia="Times New Roman"/>
          <w:lang w:val="it-IT"/>
        </w:rPr>
        <w:t xml:space="preserve"> </w:t>
      </w:r>
      <w:r w:rsidRPr="00C35766">
        <w:rPr>
          <w:rFonts w:eastAsia="Times New Roman"/>
          <w:lang w:val="it-IT"/>
        </w:rPr>
        <w:t>effetto sulla sua capacità di guidare, andare in bicicletta o utilizzare macchinari. In seguito all’assunzione di Yuflyma, si possono avere disturbi della vista e la sensazione che l’ambiente in cui ci si trova ruoti.</w:t>
      </w:r>
    </w:p>
    <w:p w14:paraId="110A7A6F" w14:textId="77777777" w:rsidR="0050099E" w:rsidRPr="00C35766" w:rsidRDefault="0050099E" w:rsidP="0050099E">
      <w:pPr>
        <w:pStyle w:val="a3"/>
        <w:rPr>
          <w:lang w:val="pt-BR"/>
        </w:rPr>
      </w:pPr>
    </w:p>
    <w:p w14:paraId="5A07B6C9" w14:textId="0BC3F7EE" w:rsidR="0050099E" w:rsidRPr="00C35766" w:rsidRDefault="0039216C" w:rsidP="0050099E">
      <w:pPr>
        <w:pStyle w:val="a3"/>
        <w:rPr>
          <w:b/>
          <w:lang w:val="pt-BR"/>
        </w:rPr>
      </w:pPr>
      <w:r>
        <w:rPr>
          <w:rFonts w:hint="eastAsia"/>
          <w:b/>
          <w:bCs/>
          <w:lang w:val="it-IT" w:eastAsia="ko-KR"/>
        </w:rPr>
        <w:t>Yuflyma</w:t>
      </w:r>
      <w:r w:rsidRPr="00C35766">
        <w:rPr>
          <w:rFonts w:eastAsia="Times New Roman"/>
          <w:b/>
          <w:bCs/>
          <w:lang w:val="it-IT"/>
        </w:rPr>
        <w:t xml:space="preserve"> </w:t>
      </w:r>
      <w:r w:rsidR="0050099E" w:rsidRPr="00C35766">
        <w:rPr>
          <w:rFonts w:eastAsia="Times New Roman"/>
          <w:b/>
          <w:bCs/>
          <w:lang w:val="it-IT"/>
        </w:rPr>
        <w:t>contiene sodio</w:t>
      </w:r>
    </w:p>
    <w:p w14:paraId="74FC1B47" w14:textId="77777777" w:rsidR="0050099E" w:rsidRPr="00C35766" w:rsidRDefault="0050099E" w:rsidP="0050099E">
      <w:pPr>
        <w:spacing w:before="12" w:line="240" w:lineRule="exact"/>
        <w:rPr>
          <w:rFonts w:ascii="Times New Roman" w:hAnsi="Times New Roman" w:cs="Times New Roman"/>
          <w:sz w:val="24"/>
          <w:szCs w:val="24"/>
          <w:lang w:val="pt-BR"/>
        </w:rPr>
      </w:pPr>
    </w:p>
    <w:p w14:paraId="06AF5FF8" w14:textId="73D56FD2" w:rsidR="0050099E" w:rsidRPr="00C35766" w:rsidRDefault="0050099E" w:rsidP="0050099E">
      <w:pPr>
        <w:spacing w:line="200" w:lineRule="exact"/>
        <w:rPr>
          <w:rFonts w:ascii="Times New Roman" w:hAnsi="Times New Roman" w:cs="Times New Roman"/>
          <w:sz w:val="20"/>
          <w:szCs w:val="20"/>
          <w:lang w:val="pt-BR"/>
        </w:rPr>
      </w:pPr>
      <w:r w:rsidRPr="00C35766">
        <w:rPr>
          <w:rFonts w:ascii="Times New Roman" w:eastAsia="Times New Roman" w:hAnsi="Times New Roman" w:cs="Times New Roman"/>
          <w:lang w:val="it-IT"/>
        </w:rPr>
        <w:t xml:space="preserve">Questo </w:t>
      </w:r>
      <w:r w:rsidR="00AF1CE2">
        <w:rPr>
          <w:rFonts w:ascii="Times New Roman" w:eastAsia="Times New Roman" w:hAnsi="Times New Roman" w:cs="Times New Roman"/>
          <w:lang w:val="it-IT"/>
        </w:rPr>
        <w:t>medicinale</w:t>
      </w:r>
      <w:r w:rsidRPr="00C35766">
        <w:rPr>
          <w:rFonts w:ascii="Times New Roman" w:eastAsia="Times New Roman" w:hAnsi="Times New Roman" w:cs="Times New Roman"/>
          <w:lang w:val="it-IT"/>
        </w:rPr>
        <w:t xml:space="preserve"> contiene meno di 1 mmol di sodio (23</w:t>
      </w:r>
      <w:r w:rsidRPr="00C35766">
        <w:rPr>
          <w:rFonts w:ascii="Times New Roman" w:eastAsia="Calibri" w:hAnsi="Times New Roman" w:cs="Times New Roman"/>
          <w:lang w:val="it-IT"/>
        </w:rPr>
        <w:t> </w:t>
      </w:r>
      <w:r w:rsidRPr="00C35766">
        <w:rPr>
          <w:rFonts w:ascii="Times New Roman" w:eastAsia="Times New Roman" w:hAnsi="Times New Roman" w:cs="Times New Roman"/>
          <w:lang w:val="it-IT"/>
        </w:rPr>
        <w:t>mg) per dose da 0,</w:t>
      </w:r>
      <w:r w:rsidR="001D17C3" w:rsidRPr="00C35766">
        <w:rPr>
          <w:rFonts w:ascii="Times New Roman" w:eastAsia="Times New Roman" w:hAnsi="Times New Roman" w:cs="Times New Roman"/>
          <w:lang w:val="it-IT"/>
        </w:rPr>
        <w:t>8</w:t>
      </w:r>
      <w:r w:rsidRPr="00C35766">
        <w:rPr>
          <w:rFonts w:ascii="Times New Roman" w:eastAsia="Times New Roman" w:hAnsi="Times New Roman" w:cs="Times New Roman"/>
          <w:lang w:val="it-IT"/>
        </w:rPr>
        <w:t xml:space="preserve"> mL, </w:t>
      </w:r>
      <w:r w:rsidR="00913A26">
        <w:rPr>
          <w:rFonts w:ascii="Times New Roman" w:eastAsia="Times New Roman" w:hAnsi="Times New Roman" w:cs="Times New Roman"/>
          <w:lang w:val="it-IT"/>
        </w:rPr>
        <w:t>cioè</w:t>
      </w:r>
      <w:r w:rsidRPr="00C35766">
        <w:rPr>
          <w:rFonts w:ascii="Times New Roman" w:eastAsia="Times New Roman" w:hAnsi="Times New Roman" w:cs="Times New Roman"/>
          <w:lang w:val="it-IT"/>
        </w:rPr>
        <w:t xml:space="preserve"> essenzialmente “senza sodio”.</w:t>
      </w:r>
    </w:p>
    <w:p w14:paraId="1101533C" w14:textId="77777777" w:rsidR="0050099E" w:rsidRPr="00C35766" w:rsidRDefault="0050099E" w:rsidP="0050099E">
      <w:pPr>
        <w:spacing w:line="200" w:lineRule="exact"/>
        <w:rPr>
          <w:rFonts w:ascii="Times New Roman" w:hAnsi="Times New Roman" w:cs="Times New Roman"/>
          <w:sz w:val="20"/>
          <w:szCs w:val="20"/>
          <w:lang w:val="pt-BR"/>
        </w:rPr>
      </w:pPr>
    </w:p>
    <w:p w14:paraId="7AE2E9BA" w14:textId="77777777" w:rsidR="0050099E" w:rsidRPr="00C35766" w:rsidRDefault="0050099E" w:rsidP="0050099E">
      <w:pPr>
        <w:spacing w:line="200" w:lineRule="exact"/>
        <w:rPr>
          <w:rFonts w:ascii="Times New Roman" w:hAnsi="Times New Roman" w:cs="Times New Roman"/>
          <w:sz w:val="20"/>
          <w:szCs w:val="20"/>
          <w:lang w:val="pt-BR"/>
        </w:rPr>
      </w:pPr>
    </w:p>
    <w:p w14:paraId="6E2D88F7" w14:textId="77777777" w:rsidR="0050099E" w:rsidRPr="00C35766" w:rsidRDefault="0050099E" w:rsidP="00933A6C">
      <w:pPr>
        <w:pStyle w:val="a4"/>
        <w:numPr>
          <w:ilvl w:val="0"/>
          <w:numId w:val="62"/>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t>Come usare Yuflyma</w:t>
      </w:r>
    </w:p>
    <w:p w14:paraId="63EC6A6F" w14:textId="77777777" w:rsidR="0050099E" w:rsidRPr="00C35766" w:rsidRDefault="0050099E" w:rsidP="0050099E">
      <w:pPr>
        <w:spacing w:before="9" w:line="240" w:lineRule="exact"/>
        <w:rPr>
          <w:rFonts w:ascii="Times New Roman" w:hAnsi="Times New Roman" w:cs="Times New Roman"/>
          <w:sz w:val="24"/>
          <w:szCs w:val="24"/>
        </w:rPr>
      </w:pPr>
    </w:p>
    <w:p w14:paraId="7FBC0427" w14:textId="77777777" w:rsidR="0050099E" w:rsidRPr="00C35766" w:rsidRDefault="0050099E" w:rsidP="0050099E">
      <w:pPr>
        <w:pStyle w:val="a3"/>
        <w:rPr>
          <w:lang w:val="es-ES"/>
        </w:rPr>
      </w:pPr>
      <w:r w:rsidRPr="00C35766">
        <w:rPr>
          <w:rFonts w:eastAsia="Times New Roman"/>
          <w:lang w:val="it-IT"/>
        </w:rPr>
        <w:t>Usi questo medicinale seguendo sempre esattamente le istruzioni del medico o del farmacista. Se ha dubbi consulti il medico o il farmacista.</w:t>
      </w:r>
    </w:p>
    <w:p w14:paraId="28A41F40" w14:textId="77777777" w:rsidR="00212ADE" w:rsidRPr="00C35766" w:rsidRDefault="00212ADE" w:rsidP="00212ADE">
      <w:pPr>
        <w:spacing w:before="10" w:line="240" w:lineRule="exact"/>
        <w:rPr>
          <w:rFonts w:ascii="Times New Roman" w:hAnsi="Times New Roman" w:cs="Times New Roman"/>
          <w:sz w:val="24"/>
          <w:szCs w:val="24"/>
          <w:lang w:val="es-ES"/>
        </w:rPr>
      </w:pPr>
    </w:p>
    <w:p w14:paraId="3B4F9033" w14:textId="0442421B" w:rsidR="00212ADE" w:rsidRPr="00C35766" w:rsidRDefault="00212ADE" w:rsidP="00212ADE">
      <w:pPr>
        <w:pStyle w:val="a3"/>
        <w:rPr>
          <w:rFonts w:eastAsia="Times New Roman"/>
          <w:lang w:val="it-IT"/>
        </w:rPr>
      </w:pPr>
      <w:r w:rsidRPr="00824699">
        <w:rPr>
          <w:lang w:val="it-IT"/>
        </w:rPr>
        <w:t xml:space="preserve">Le dosi raccomandate di </w:t>
      </w:r>
      <w:r w:rsidR="00963203" w:rsidRPr="00824699">
        <w:rPr>
          <w:lang w:val="it-IT"/>
        </w:rPr>
        <w:t>Yuflyma</w:t>
      </w:r>
      <w:r w:rsidRPr="00824699">
        <w:rPr>
          <w:lang w:val="it-IT"/>
        </w:rPr>
        <w:t xml:space="preserve"> in ciascuna indicazione approvata sono elencate nella seguente tabella. Il medico potrebbe prescrivere un’altra concentrazione di </w:t>
      </w:r>
      <w:r w:rsidR="00963203" w:rsidRPr="00824699">
        <w:rPr>
          <w:lang w:val="it-IT"/>
        </w:rPr>
        <w:t>Yuflyma</w:t>
      </w:r>
      <w:r w:rsidRPr="00824699">
        <w:rPr>
          <w:lang w:val="it-IT"/>
        </w:rPr>
        <w:t xml:space="preserve"> se necessita di una dose differente.</w:t>
      </w:r>
    </w:p>
    <w:p w14:paraId="2FE6D276" w14:textId="77777777" w:rsidR="0050099E" w:rsidRPr="00C35766" w:rsidRDefault="0050099E" w:rsidP="0050099E">
      <w:pPr>
        <w:pStyle w:val="a3"/>
        <w:rPr>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6E8D05A4"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2C6D0CB3" w14:textId="2EC9A3B6" w:rsidR="0050099E" w:rsidRPr="00C35766" w:rsidRDefault="0050099E" w:rsidP="00933A6C">
            <w:pPr>
              <w:pStyle w:val="TableParagraph"/>
              <w:spacing w:line="251"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Artrite reumatoide</w:t>
            </w:r>
          </w:p>
        </w:tc>
      </w:tr>
      <w:tr w:rsidR="0050099E" w:rsidRPr="00C35766" w14:paraId="4C0C1AF7"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331E63E2"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2FEA9FF5"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57073F16"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5090B9AD"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77345C2"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6C47D6A6"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1B02A0D5"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Nell’artrite reumatoide</w:t>
            </w:r>
          </w:p>
          <w:p w14:paraId="4EE0CF0A" w14:textId="77777777" w:rsidR="0050099E" w:rsidRPr="00824699" w:rsidRDefault="0050099E" w:rsidP="00933A6C">
            <w:pPr>
              <w:pStyle w:val="TableParagraph"/>
              <w:spacing w:before="1" w:line="239" w:lineRule="auto"/>
              <w:ind w:left="102" w:right="73"/>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si continua ad assumere il metotressato durante il trattamento con Yuflyma. Se il medico decide che il metotressato non è appropriato, Yuflyma può essere somministrato da solo.</w:t>
            </w:r>
          </w:p>
          <w:p w14:paraId="21738D4C" w14:textId="77777777" w:rsidR="0050099E" w:rsidRPr="00824699" w:rsidRDefault="0050099E" w:rsidP="00933A6C">
            <w:pPr>
              <w:pStyle w:val="TableParagraph"/>
              <w:spacing w:before="13" w:line="240" w:lineRule="exact"/>
              <w:rPr>
                <w:rFonts w:ascii="Times New Roman" w:hAnsi="Times New Roman" w:cs="Times New Roman"/>
                <w:sz w:val="24"/>
                <w:szCs w:val="24"/>
                <w:lang w:val="it-IT"/>
              </w:rPr>
            </w:pPr>
          </w:p>
          <w:p w14:paraId="69006E34" w14:textId="77777777" w:rsidR="0050099E" w:rsidRPr="00824699" w:rsidRDefault="0050099E" w:rsidP="00933A6C">
            <w:pPr>
              <w:pStyle w:val="TableParagraph"/>
              <w:ind w:left="102" w:right="12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Se è affetto da artrite reumatoide e non assume metotressato in associazione a Yuflyma, il medico può decidere di prescriverle 40 mg di Yuflyma ogni settimana o 80 mg a settimane alterne.</w:t>
            </w:r>
          </w:p>
        </w:tc>
      </w:tr>
    </w:tbl>
    <w:p w14:paraId="19868406"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4B53E6E4"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58839765"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Psoriasi a placche</w:t>
            </w:r>
          </w:p>
        </w:tc>
      </w:tr>
      <w:tr w:rsidR="0050099E" w:rsidRPr="00C35766" w14:paraId="1F51331E"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CCD9390"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25A2FA3E"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7866EAF8"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294D3E97"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922C5AB"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78AFCF50" w14:textId="35E41AE8" w:rsidR="0050099E" w:rsidRPr="00824699" w:rsidRDefault="0050099E" w:rsidP="00146E60">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seguita da 40 mg a settimane alterne, a partire da una settimana dopo la prima dose.</w:t>
            </w:r>
          </w:p>
        </w:tc>
        <w:tc>
          <w:tcPr>
            <w:tcW w:w="3096" w:type="dxa"/>
            <w:tcBorders>
              <w:top w:val="single" w:sz="5" w:space="0" w:color="000000"/>
              <w:left w:val="single" w:sz="5" w:space="0" w:color="000000"/>
              <w:bottom w:val="single" w:sz="5" w:space="0" w:color="000000"/>
              <w:right w:val="single" w:sz="5" w:space="0" w:color="000000"/>
            </w:tcBorders>
          </w:tcPr>
          <w:p w14:paraId="0BB13BBB" w14:textId="77777777" w:rsidR="0050099E" w:rsidRPr="00C35766" w:rsidRDefault="0050099E" w:rsidP="00933A6C">
            <w:pPr>
              <w:pStyle w:val="TableParagraph"/>
              <w:spacing w:before="1" w:line="239" w:lineRule="auto"/>
              <w:ind w:left="102" w:right="193"/>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In caso di risposta inadeguata il medico può aumentare il dosaggio a 40 mg ogni settimana o 80 mg a settimane alterne.</w:t>
            </w:r>
          </w:p>
        </w:tc>
      </w:tr>
    </w:tbl>
    <w:p w14:paraId="73E0CAD1" w14:textId="77777777" w:rsidR="0050099E" w:rsidRPr="00824699" w:rsidRDefault="0050099E" w:rsidP="0050099E">
      <w:pPr>
        <w:spacing w:before="7" w:line="90" w:lineRule="exact"/>
        <w:rPr>
          <w:rFonts w:ascii="Times New Roman" w:hAnsi="Times New Roman" w:cs="Times New Roman"/>
          <w:sz w:val="9"/>
          <w:szCs w:val="9"/>
          <w:lang w:val="it-IT"/>
        </w:rPr>
      </w:pPr>
    </w:p>
    <w:p w14:paraId="11D1AC0A"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29648B77"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33C1B5B4" w14:textId="77777777" w:rsidR="0050099E" w:rsidRPr="00C35766" w:rsidRDefault="0050099E" w:rsidP="00933A6C">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Idrosadenite suppurativa</w:t>
            </w:r>
          </w:p>
        </w:tc>
      </w:tr>
      <w:tr w:rsidR="0050099E" w:rsidRPr="00C35766" w14:paraId="0872A1C6"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11471C3D"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701318FD" w14:textId="77777777" w:rsidR="0050099E" w:rsidRPr="00824699" w:rsidRDefault="0050099E" w:rsidP="00933A6C">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27B29108"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103D2A7A"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30B4CF72" w14:textId="77777777" w:rsidR="0050099E" w:rsidRPr="00C35766" w:rsidRDefault="0050099E" w:rsidP="00933A6C">
            <w:pPr>
              <w:pStyle w:val="TableParagraph"/>
              <w:spacing w:line="248"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0E90D373" w14:textId="0AE90B7A" w:rsidR="0050099E" w:rsidRPr="00824699" w:rsidRDefault="0050099E" w:rsidP="00146E6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160 mg (</w:t>
            </w:r>
            <w:r w:rsidR="001D17C3" w:rsidRPr="00C35766">
              <w:rPr>
                <w:rFonts w:ascii="Times New Roman" w:eastAsia="Times New Roman" w:hAnsi="Times New Roman" w:cs="Times New Roman"/>
                <w:spacing w:val="-1"/>
                <w:lang w:val="it-IT"/>
              </w:rPr>
              <w:t>due iniezioni da 80 mg</w:t>
            </w:r>
            <w:r w:rsidRPr="00C35766">
              <w:rPr>
                <w:rFonts w:ascii="Times New Roman" w:eastAsia="Times New Roman" w:hAnsi="Times New Roman" w:cs="Times New Roman"/>
                <w:spacing w:val="-1"/>
                <w:lang w:val="it-IT"/>
              </w:rPr>
              <w:t xml:space="preserve"> in un giorno o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al giorno, per due</w:t>
            </w:r>
            <w:r w:rsidR="00212ADE">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giorni consecutivi), seguita da una dose di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due settimane più tardi. </w:t>
            </w:r>
            <w:r w:rsidRPr="00C35766">
              <w:rPr>
                <w:rFonts w:ascii="Times New Roman" w:eastAsia="Times New Roman" w:hAnsi="Times New Roman" w:cs="Times New Roman"/>
                <w:spacing w:val="-1"/>
                <w:lang w:val="it-IT"/>
              </w:rPr>
              <w:lastRenderedPageBreak/>
              <w:t>Dopo altre due settimane, continuare con una dose di 40 mg ogni settimana o 80 mg ogni due settimane, come prescritto dal medico.</w:t>
            </w:r>
          </w:p>
        </w:tc>
        <w:tc>
          <w:tcPr>
            <w:tcW w:w="3096" w:type="dxa"/>
            <w:tcBorders>
              <w:top w:val="single" w:sz="5" w:space="0" w:color="000000"/>
              <w:left w:val="single" w:sz="5" w:space="0" w:color="000000"/>
              <w:bottom w:val="single" w:sz="5" w:space="0" w:color="000000"/>
              <w:right w:val="single" w:sz="5" w:space="0" w:color="000000"/>
            </w:tcBorders>
          </w:tcPr>
          <w:p w14:paraId="650C968D" w14:textId="77777777" w:rsidR="0050099E" w:rsidRPr="00824699" w:rsidRDefault="0050099E" w:rsidP="00933A6C">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lastRenderedPageBreak/>
              <w:t>Si raccomanda di utilizzare</w:t>
            </w:r>
          </w:p>
          <w:p w14:paraId="2EF88CC5" w14:textId="77777777" w:rsidR="0050099E" w:rsidRPr="00824699" w:rsidRDefault="0050099E" w:rsidP="00933A6C">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tutti i giorni una soluzione di lavaggio antisettica sulle aree interessate.</w:t>
            </w:r>
          </w:p>
        </w:tc>
      </w:tr>
      <w:tr w:rsidR="0050099E" w:rsidRPr="00494E69" w14:paraId="16CB925E"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159333AF"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Adolescenti da 12 a 17 anni</w:t>
            </w:r>
          </w:p>
          <w:p w14:paraId="4B327E3D" w14:textId="77777777" w:rsidR="0050099E" w:rsidRPr="00824699" w:rsidRDefault="0050099E" w:rsidP="00933A6C">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6B21D6CE" w14:textId="0E7D33D2"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seguita da 40 mg a settimane alterne, a partire dalla settimana successiva.</w:t>
            </w:r>
          </w:p>
        </w:tc>
        <w:tc>
          <w:tcPr>
            <w:tcW w:w="3096" w:type="dxa"/>
            <w:tcBorders>
              <w:top w:val="single" w:sz="5" w:space="0" w:color="000000"/>
              <w:left w:val="single" w:sz="5" w:space="0" w:color="000000"/>
              <w:bottom w:val="single" w:sz="5" w:space="0" w:color="000000"/>
              <w:right w:val="single" w:sz="5" w:space="0" w:color="000000"/>
            </w:tcBorders>
          </w:tcPr>
          <w:p w14:paraId="0C3A8537"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In caso di</w:t>
            </w:r>
            <w:r w:rsidRPr="00C35766">
              <w:rPr>
                <w:rFonts w:ascii="Times New Roman" w:eastAsia="Times New Roman" w:hAnsi="Times New Roman" w:cs="Times New Roman"/>
                <w:lang w:val="it-IT"/>
              </w:rPr>
              <w:t xml:space="preserve"> risposta inadeguata a Yuflyma 40 mg a settimane alterne, il medico può aumentare il dosaggio a 40 mg ogni settimana o 80 mg</w:t>
            </w:r>
            <w:r w:rsidRPr="00C35766">
              <w:rPr>
                <w:rFonts w:ascii="Times New Roman" w:eastAsia="Times New Roman" w:hAnsi="Times New Roman" w:cs="Times New Roman"/>
                <w:spacing w:val="-1"/>
                <w:lang w:val="it-IT"/>
              </w:rPr>
              <w:t xml:space="preserve"> a settimane alterne.</w:t>
            </w:r>
          </w:p>
          <w:p w14:paraId="3C154381" w14:textId="77777777" w:rsidR="0050099E" w:rsidRPr="00824699" w:rsidRDefault="0050099E" w:rsidP="00933A6C">
            <w:pPr>
              <w:pStyle w:val="TableParagraph"/>
              <w:spacing w:before="1"/>
              <w:ind w:left="102" w:right="223"/>
              <w:jc w:val="both"/>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 tutti i giorni una soluzione di lavaggio antisettica sulle aree interessate.</w:t>
            </w:r>
          </w:p>
        </w:tc>
      </w:tr>
    </w:tbl>
    <w:p w14:paraId="1ABAE636"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19586A63"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0F1E52BA" w14:textId="77777777" w:rsidR="0050099E" w:rsidRPr="00C35766" w:rsidRDefault="0050099E" w:rsidP="00933A6C">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Malattia di Crohn</w:t>
            </w:r>
          </w:p>
        </w:tc>
      </w:tr>
      <w:tr w:rsidR="0050099E" w:rsidRPr="00C35766" w14:paraId="4240B90C"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FF61002"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DD117D5" w14:textId="77777777" w:rsidR="0050099E" w:rsidRPr="00824699" w:rsidRDefault="0050099E" w:rsidP="00933A6C">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698C3100"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42CE8D30"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4807D85A"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Bambini, adolescenti e adulti</w:t>
            </w:r>
          </w:p>
          <w:p w14:paraId="7003CA1C" w14:textId="77777777" w:rsidR="0050099E" w:rsidRPr="00824699" w:rsidRDefault="0050099E" w:rsidP="00933A6C">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40 kg</w:t>
            </w:r>
          </w:p>
        </w:tc>
        <w:tc>
          <w:tcPr>
            <w:tcW w:w="3096" w:type="dxa"/>
            <w:tcBorders>
              <w:top w:val="single" w:sz="5" w:space="0" w:color="000000"/>
              <w:left w:val="single" w:sz="5" w:space="0" w:color="000000"/>
              <w:bottom w:val="single" w:sz="5" w:space="0" w:color="000000"/>
              <w:right w:val="single" w:sz="5" w:space="0" w:color="000000"/>
            </w:tcBorders>
          </w:tcPr>
          <w:p w14:paraId="5C6D9712" w14:textId="622E5CA2" w:rsidR="0050099E" w:rsidRPr="00C35766" w:rsidRDefault="0050099E" w:rsidP="00933A6C">
            <w:pPr>
              <w:pStyle w:val="TableParagraph"/>
              <w:spacing w:line="246" w:lineRule="exact"/>
              <w:ind w:left="102" w:right="57"/>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Prima dose di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seguita da 40 mg due settimane più tardi.</w:t>
            </w:r>
          </w:p>
          <w:p w14:paraId="734973F7" w14:textId="77777777" w:rsidR="0050099E" w:rsidRPr="00C35766" w:rsidRDefault="0050099E" w:rsidP="00933A6C">
            <w:pPr>
              <w:pStyle w:val="TableParagraph"/>
              <w:spacing w:before="11" w:line="240" w:lineRule="exact"/>
              <w:rPr>
                <w:rFonts w:ascii="Times New Roman" w:hAnsi="Times New Roman" w:cs="Times New Roman"/>
                <w:sz w:val="24"/>
                <w:szCs w:val="24"/>
                <w:lang w:val="es-ES"/>
              </w:rPr>
            </w:pPr>
          </w:p>
          <w:p w14:paraId="63F2B02E" w14:textId="0C0DDD8D" w:rsidR="0050099E" w:rsidRPr="00C35766" w:rsidRDefault="0050099E" w:rsidP="00933A6C">
            <w:pPr>
              <w:pStyle w:val="TableParagraph"/>
              <w:ind w:left="102" w:right="76"/>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Se è necessario indurre una risposta più rapida, il medico potrebbe prescrivere una dose iniziale di 160 mg (</w:t>
            </w:r>
            <w:r w:rsidR="001D17C3" w:rsidRPr="00C35766">
              <w:rPr>
                <w:rFonts w:ascii="Times New Roman" w:eastAsia="Times New Roman" w:hAnsi="Times New Roman" w:cs="Times New Roman"/>
                <w:spacing w:val="-1"/>
                <w:lang w:val="it-IT"/>
              </w:rPr>
              <w:t xml:space="preserve">due iniezioni da 80 mg </w:t>
            </w:r>
            <w:r w:rsidRPr="00C35766">
              <w:rPr>
                <w:rFonts w:ascii="Times New Roman" w:eastAsia="Times New Roman" w:hAnsi="Times New Roman" w:cs="Times New Roman"/>
                <w:spacing w:val="-1"/>
                <w:lang w:val="it-IT"/>
              </w:rPr>
              <w:t xml:space="preserve">in un giorno o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al giorno per due giorni consecutivi), seguita da 80 mg (</w:t>
            </w:r>
            <w:r w:rsidR="001D17C3"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in un giorno) dopo due settimane.</w:t>
            </w:r>
          </w:p>
          <w:p w14:paraId="705DD2D0" w14:textId="77777777" w:rsidR="0050099E" w:rsidRPr="00C35766" w:rsidRDefault="0050099E" w:rsidP="00933A6C">
            <w:pPr>
              <w:pStyle w:val="TableParagraph"/>
              <w:spacing w:before="17" w:line="240" w:lineRule="exact"/>
              <w:rPr>
                <w:rFonts w:ascii="Times New Roman" w:hAnsi="Times New Roman" w:cs="Times New Roman"/>
                <w:sz w:val="24"/>
                <w:szCs w:val="24"/>
                <w:lang w:val="es-ES"/>
              </w:rPr>
            </w:pPr>
          </w:p>
          <w:p w14:paraId="5A6D6A4D" w14:textId="77777777" w:rsidR="0050099E" w:rsidRPr="00824699" w:rsidRDefault="0050099E" w:rsidP="00933A6C">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293E5D0"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Il medico può aumentare la</w:t>
            </w:r>
          </w:p>
          <w:p w14:paraId="6EE42E3B" w14:textId="77777777" w:rsidR="0050099E" w:rsidRPr="00824699" w:rsidRDefault="0050099E" w:rsidP="00933A6C">
            <w:pPr>
              <w:pStyle w:val="TableParagraph"/>
              <w:spacing w:before="3" w:line="252"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dose a 40 mg ogni settimana o 80 mg a settimane alterne.</w:t>
            </w:r>
          </w:p>
        </w:tc>
      </w:tr>
      <w:tr w:rsidR="00212ADE" w:rsidRPr="006501B3" w14:paraId="3DF33F35"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21C35ECA" w14:textId="3F459137" w:rsidR="00212ADE" w:rsidRPr="00C35766" w:rsidRDefault="00212ADE" w:rsidP="00933A6C">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Bambini e adolescenti di età compresa tra 6 e 17 anni con un peso minore di 40 kg</w:t>
            </w:r>
          </w:p>
        </w:tc>
        <w:tc>
          <w:tcPr>
            <w:tcW w:w="3096" w:type="dxa"/>
            <w:tcBorders>
              <w:top w:val="single" w:sz="5" w:space="0" w:color="000000"/>
              <w:left w:val="single" w:sz="5" w:space="0" w:color="000000"/>
              <w:bottom w:val="single" w:sz="5" w:space="0" w:color="000000"/>
              <w:right w:val="single" w:sz="5" w:space="0" w:color="000000"/>
            </w:tcBorders>
          </w:tcPr>
          <w:p w14:paraId="3FA9A510" w14:textId="77777777" w:rsidR="00212ADE" w:rsidRDefault="00212ADE" w:rsidP="00933A6C">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La prima dose da 40 mg, seguita da 20 mg due settimane dopo.</w:t>
            </w:r>
          </w:p>
          <w:p w14:paraId="42294BEA" w14:textId="77777777" w:rsidR="00212ADE" w:rsidRDefault="00212ADE" w:rsidP="00933A6C">
            <w:pPr>
              <w:pStyle w:val="TableParagraph"/>
              <w:spacing w:line="246" w:lineRule="exact"/>
              <w:ind w:left="102" w:right="57"/>
              <w:rPr>
                <w:rFonts w:ascii="Times New Roman" w:eastAsia="Times New Roman" w:hAnsi="Times New Roman" w:cs="Times New Roman"/>
                <w:lang w:val="it-IT"/>
              </w:rPr>
            </w:pPr>
          </w:p>
          <w:p w14:paraId="701EB4BC" w14:textId="77777777" w:rsidR="00212ADE" w:rsidRDefault="00212ADE" w:rsidP="00933A6C">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Se è necessaria una risposta più rapida, il medico può prescrivere una prima dose da 80 mg (un’iniezione da 80 mg), seguita da 40 mg due settimane dopo.</w:t>
            </w:r>
          </w:p>
          <w:p w14:paraId="516A9701" w14:textId="77777777" w:rsidR="00212ADE" w:rsidRDefault="00212ADE" w:rsidP="00933A6C">
            <w:pPr>
              <w:pStyle w:val="TableParagraph"/>
              <w:spacing w:line="246" w:lineRule="exact"/>
              <w:ind w:left="102" w:right="57"/>
              <w:rPr>
                <w:rFonts w:ascii="Times New Roman" w:eastAsia="Times New Roman" w:hAnsi="Times New Roman" w:cs="Times New Roman"/>
                <w:lang w:val="it-IT"/>
              </w:rPr>
            </w:pPr>
          </w:p>
          <w:p w14:paraId="5F182A19" w14:textId="19522BCF" w:rsidR="00212ADE" w:rsidRPr="00146E60" w:rsidRDefault="00212ADE" w:rsidP="00933A6C">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D13DC32" w14:textId="3D2352FD" w:rsidR="00212ADE" w:rsidRPr="00146E60" w:rsidRDefault="00212ADE" w:rsidP="00933A6C">
            <w:pPr>
              <w:pStyle w:val="TableParagraph"/>
              <w:spacing w:line="246" w:lineRule="exact"/>
              <w:ind w:left="102" w:right="57"/>
              <w:rPr>
                <w:rFonts w:ascii="Times New Roman" w:eastAsia="Times New Roman" w:hAnsi="Times New Roman" w:cs="Times New Roman"/>
                <w:lang w:val="it-IT"/>
              </w:rPr>
            </w:pPr>
            <w:r w:rsidRPr="00146E60">
              <w:rPr>
                <w:rFonts w:ascii="Times New Roman" w:eastAsia="Times New Roman" w:hAnsi="Times New Roman" w:cs="Times New Roman"/>
                <w:lang w:val="it-IT"/>
              </w:rPr>
              <w:t>Il medico può aumentare la frequenza della dose fino a 20 mg ogni settimana.</w:t>
            </w:r>
          </w:p>
        </w:tc>
      </w:tr>
    </w:tbl>
    <w:p w14:paraId="090B38BE" w14:textId="77777777" w:rsidR="0050099E" w:rsidRPr="00824699" w:rsidRDefault="0050099E" w:rsidP="0050099E">
      <w:pPr>
        <w:spacing w:before="7" w:line="90" w:lineRule="exact"/>
        <w:rPr>
          <w:rFonts w:ascii="Times New Roman" w:hAnsi="Times New Roman" w:cs="Times New Roman"/>
          <w:sz w:val="9"/>
          <w:szCs w:val="9"/>
          <w:lang w:val="it-IT"/>
        </w:rPr>
      </w:pPr>
    </w:p>
    <w:p w14:paraId="0E8C7D62"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96"/>
        <w:gridCol w:w="3096"/>
        <w:gridCol w:w="3096"/>
      </w:tblGrid>
      <w:tr w:rsidR="0050099E" w:rsidRPr="00C35766" w14:paraId="6F59C9C2" w14:textId="77777777" w:rsidTr="00933A6C">
        <w:tc>
          <w:tcPr>
            <w:tcW w:w="9288" w:type="dxa"/>
            <w:gridSpan w:val="3"/>
          </w:tcPr>
          <w:p w14:paraId="3EB2E075"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Colite ulcerosa</w:t>
            </w:r>
          </w:p>
        </w:tc>
      </w:tr>
      <w:tr w:rsidR="0050099E" w:rsidRPr="00C35766" w14:paraId="5B4713F6" w14:textId="77777777" w:rsidTr="00933A6C">
        <w:tc>
          <w:tcPr>
            <w:tcW w:w="3096" w:type="dxa"/>
          </w:tcPr>
          <w:p w14:paraId="629E0ED6"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Pr>
          <w:p w14:paraId="64AC0F37"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Pr>
          <w:p w14:paraId="37D0AB44"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4965DA56" w14:textId="77777777" w:rsidTr="00933A6C">
        <w:tc>
          <w:tcPr>
            <w:tcW w:w="3096" w:type="dxa"/>
          </w:tcPr>
          <w:p w14:paraId="50D5B06A"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Pr>
          <w:p w14:paraId="30DDA980" w14:textId="654FD40D" w:rsidR="0050099E" w:rsidRPr="00C35766" w:rsidRDefault="0050099E" w:rsidP="00933A6C">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160 mg (</w:t>
            </w:r>
            <w:r w:rsidR="001D17C3" w:rsidRPr="00C35766">
              <w:rPr>
                <w:rFonts w:ascii="Times New Roman" w:eastAsia="Times New Roman" w:hAnsi="Times New Roman" w:cs="Times New Roman"/>
                <w:spacing w:val="-1"/>
                <w:lang w:val="it-IT"/>
              </w:rPr>
              <w:t xml:space="preserve">due iniezioni da 80 mg </w:t>
            </w:r>
            <w:r w:rsidRPr="00C35766">
              <w:rPr>
                <w:rFonts w:ascii="Times New Roman" w:eastAsia="Times New Roman" w:hAnsi="Times New Roman" w:cs="Times New Roman"/>
                <w:spacing w:val="-1"/>
                <w:lang w:val="it-IT"/>
              </w:rPr>
              <w:t xml:space="preserve">in un giorno o </w:t>
            </w:r>
            <w:r w:rsidR="001D17C3" w:rsidRPr="00C35766">
              <w:rPr>
                <w:rFonts w:ascii="Times New Roman" w:eastAsia="Times New Roman" w:hAnsi="Times New Roman" w:cs="Times New Roman"/>
                <w:spacing w:val="-1"/>
                <w:lang w:val="it-IT"/>
              </w:rPr>
              <w:lastRenderedPageBreak/>
              <w:t>una iniezione da 80 mg</w:t>
            </w:r>
            <w:r w:rsidRPr="00C35766">
              <w:rPr>
                <w:rFonts w:ascii="Times New Roman" w:eastAsia="Times New Roman" w:hAnsi="Times New Roman" w:cs="Times New Roman"/>
                <w:spacing w:val="-1"/>
                <w:lang w:val="it-IT"/>
              </w:rPr>
              <w:t xml:space="preserve"> al giorno per due giorni consecutivi), seguita da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dopo due settimane.</w:t>
            </w:r>
          </w:p>
          <w:p w14:paraId="42BC68EB" w14:textId="77777777" w:rsidR="0050099E" w:rsidRPr="00C35766" w:rsidRDefault="0050099E" w:rsidP="00933A6C">
            <w:pPr>
              <w:pStyle w:val="TableParagraph"/>
              <w:spacing w:before="17" w:line="240" w:lineRule="exact"/>
              <w:rPr>
                <w:rFonts w:ascii="Times New Roman" w:hAnsi="Times New Roman" w:cs="Times New Roman"/>
                <w:sz w:val="24"/>
                <w:szCs w:val="24"/>
                <w:lang w:val="pt-BR"/>
              </w:rPr>
            </w:pPr>
          </w:p>
          <w:p w14:paraId="5111DBE8" w14:textId="77777777" w:rsidR="0050099E" w:rsidRPr="00824699" w:rsidRDefault="0050099E" w:rsidP="00933A6C">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Pr>
          <w:p w14:paraId="352E39A2" w14:textId="77777777" w:rsidR="0050099E" w:rsidRPr="00C35766" w:rsidRDefault="0050099E" w:rsidP="00933A6C">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lastRenderedPageBreak/>
              <w:t xml:space="preserve">Il medico può aumentare il dosaggio a 40 mg ogni settimana </w:t>
            </w:r>
            <w:r w:rsidRPr="00C35766">
              <w:rPr>
                <w:rFonts w:ascii="Times New Roman" w:eastAsia="Times New Roman" w:hAnsi="Times New Roman" w:cs="Times New Roman"/>
                <w:spacing w:val="-1"/>
                <w:lang w:val="it-IT"/>
              </w:rPr>
              <w:lastRenderedPageBreak/>
              <w:t>o 80 mg a settimane alterne.</w:t>
            </w:r>
          </w:p>
        </w:tc>
      </w:tr>
      <w:tr w:rsidR="0050099E" w:rsidRPr="00494E69" w14:paraId="7460401B" w14:textId="77777777" w:rsidTr="00933A6C">
        <w:tc>
          <w:tcPr>
            <w:tcW w:w="3096" w:type="dxa"/>
          </w:tcPr>
          <w:p w14:paraId="6375F0F4"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lastRenderedPageBreak/>
              <w:t>Bambini e adolescenti a partire da 6 anni di età e con peso inferiore a 40 kg</w:t>
            </w:r>
          </w:p>
        </w:tc>
        <w:tc>
          <w:tcPr>
            <w:tcW w:w="3096" w:type="dxa"/>
          </w:tcPr>
          <w:p w14:paraId="3EA9A711" w14:textId="1A0D7CB4" w:rsidR="0050099E" w:rsidRPr="00C35766" w:rsidRDefault="0050099E" w:rsidP="00933A6C">
            <w:pPr>
              <w:numPr>
                <w:ilvl w:val="12"/>
                <w:numId w:val="0"/>
              </w:numPr>
              <w:ind w:left="57"/>
              <w:rPr>
                <w:rFonts w:ascii="Times New Roman" w:hAnsi="Times New Roman" w:cs="Times New Roman"/>
                <w:lang w:val="de-CH"/>
              </w:rPr>
            </w:pPr>
            <w:r w:rsidRPr="00C35766">
              <w:rPr>
                <w:rFonts w:ascii="Times New Roman" w:hAnsi="Times New Roman" w:cs="Times New Roman"/>
                <w:lang w:val="de-CH"/>
              </w:rPr>
              <w:t>Una dose iniziale di 80 mg (</w:t>
            </w:r>
            <w:r w:rsidR="001D17C3" w:rsidRPr="00C35766">
              <w:rPr>
                <w:rFonts w:ascii="Times New Roman" w:hAnsi="Times New Roman" w:cs="Times New Roman"/>
                <w:lang w:val="de-CH"/>
              </w:rPr>
              <w:t>una iniezione da 80 mg</w:t>
            </w:r>
            <w:r w:rsidRPr="00C35766">
              <w:rPr>
                <w:rFonts w:ascii="Times New Roman" w:hAnsi="Times New Roman" w:cs="Times New Roman"/>
                <w:lang w:val="de-CH"/>
              </w:rPr>
              <w:t xml:space="preserve"> in un giorno), seguita da 40 mg (una iniezione da 40 mg) dopo due settimane.</w:t>
            </w:r>
          </w:p>
          <w:p w14:paraId="0D7B1CA2" w14:textId="77777777" w:rsidR="0050099E" w:rsidRPr="00C35766" w:rsidRDefault="0050099E" w:rsidP="00933A6C">
            <w:pPr>
              <w:numPr>
                <w:ilvl w:val="12"/>
                <w:numId w:val="0"/>
              </w:numPr>
              <w:ind w:left="57"/>
              <w:rPr>
                <w:rFonts w:ascii="Times New Roman" w:hAnsi="Times New Roman" w:cs="Times New Roman"/>
                <w:lang w:val="de-CH"/>
              </w:rPr>
            </w:pPr>
          </w:p>
          <w:p w14:paraId="47062414" w14:textId="77777777" w:rsidR="0050099E" w:rsidRPr="00C35766" w:rsidRDefault="0050099E" w:rsidP="00933A6C">
            <w:pPr>
              <w:pStyle w:val="TableParagraph"/>
              <w:spacing w:line="246" w:lineRule="exact"/>
              <w:ind w:lef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40 mg a settimane alterne.</w:t>
            </w:r>
          </w:p>
        </w:tc>
        <w:tc>
          <w:tcPr>
            <w:tcW w:w="3096" w:type="dxa"/>
          </w:tcPr>
          <w:p w14:paraId="51A2FA11"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r w:rsidR="0050099E" w:rsidRPr="00494E69" w14:paraId="7AD2800D" w14:textId="77777777" w:rsidTr="00933A6C">
        <w:tc>
          <w:tcPr>
            <w:tcW w:w="3096" w:type="dxa"/>
          </w:tcPr>
          <w:p w14:paraId="2B883529"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pari o superiore a 40 kg</w:t>
            </w:r>
          </w:p>
        </w:tc>
        <w:tc>
          <w:tcPr>
            <w:tcW w:w="3096" w:type="dxa"/>
          </w:tcPr>
          <w:p w14:paraId="236C285C" w14:textId="239691D2" w:rsidR="0050099E" w:rsidRPr="00C35766" w:rsidRDefault="0050099E" w:rsidP="00933A6C">
            <w:pPr>
              <w:numPr>
                <w:ilvl w:val="12"/>
                <w:numId w:val="0"/>
              </w:numPr>
              <w:ind w:left="57"/>
              <w:rPr>
                <w:rFonts w:ascii="Times New Roman" w:hAnsi="Times New Roman" w:cs="Times New Roman"/>
                <w:lang w:val="it-IT"/>
              </w:rPr>
            </w:pPr>
            <w:r w:rsidRPr="00C35766">
              <w:rPr>
                <w:rFonts w:ascii="Times New Roman" w:hAnsi="Times New Roman" w:cs="Times New Roman"/>
                <w:lang w:val="it-IT"/>
              </w:rPr>
              <w:t>Una dose iniziale di 160 mg (</w:t>
            </w:r>
            <w:r w:rsidR="001D17C3" w:rsidRPr="00C35766">
              <w:rPr>
                <w:rFonts w:ascii="Times New Roman" w:hAnsi="Times New Roman" w:cs="Times New Roman"/>
                <w:lang w:val="it-IT"/>
              </w:rPr>
              <w:t xml:space="preserve">due iniezioni da 80 mg </w:t>
            </w:r>
            <w:r w:rsidRPr="00C35766">
              <w:rPr>
                <w:rFonts w:ascii="Times New Roman" w:hAnsi="Times New Roman" w:cs="Times New Roman"/>
                <w:lang w:val="it-IT"/>
              </w:rPr>
              <w:t xml:space="preserve">in un giorno o </w:t>
            </w:r>
            <w:r w:rsidR="001D17C3" w:rsidRPr="00C35766">
              <w:rPr>
                <w:rFonts w:ascii="Times New Roman" w:hAnsi="Times New Roman" w:cs="Times New Roman"/>
                <w:lang w:val="it-IT"/>
              </w:rPr>
              <w:t>una iniezione da 80 mg</w:t>
            </w:r>
            <w:r w:rsidRPr="00C35766">
              <w:rPr>
                <w:rFonts w:ascii="Times New Roman" w:hAnsi="Times New Roman" w:cs="Times New Roman"/>
                <w:lang w:val="it-IT"/>
              </w:rPr>
              <w:t xml:space="preserve"> al giorno per due giorni consecutivi), seguita da 80 mg (</w:t>
            </w:r>
            <w:r w:rsidR="001D17C3" w:rsidRPr="00C35766">
              <w:rPr>
                <w:rFonts w:ascii="Times New Roman" w:hAnsi="Times New Roman" w:cs="Times New Roman"/>
                <w:lang w:val="it-IT"/>
              </w:rPr>
              <w:t xml:space="preserve">una iniezione da 80 mg </w:t>
            </w:r>
            <w:r w:rsidRPr="00C35766">
              <w:rPr>
                <w:rFonts w:ascii="Times New Roman" w:hAnsi="Times New Roman" w:cs="Times New Roman"/>
                <w:lang w:val="it-IT"/>
              </w:rPr>
              <w:t>in un giorno) dopo due settimane.</w:t>
            </w:r>
          </w:p>
          <w:p w14:paraId="07550952" w14:textId="77777777" w:rsidR="0050099E" w:rsidRPr="00C35766" w:rsidRDefault="0050099E" w:rsidP="00933A6C">
            <w:pPr>
              <w:numPr>
                <w:ilvl w:val="12"/>
                <w:numId w:val="0"/>
              </w:numPr>
              <w:ind w:left="57"/>
              <w:rPr>
                <w:rFonts w:ascii="Times New Roman" w:hAnsi="Times New Roman" w:cs="Times New Roman"/>
                <w:lang w:val="it-IT"/>
              </w:rPr>
            </w:pPr>
          </w:p>
          <w:p w14:paraId="64535598" w14:textId="77777777" w:rsidR="0050099E" w:rsidRPr="00C35766" w:rsidRDefault="0050099E" w:rsidP="00933A6C">
            <w:pPr>
              <w:pStyle w:val="TableParagraph"/>
              <w:spacing w:line="246" w:lineRule="exact"/>
              <w:ind w:lef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80 mg a settimane alterne.</w:t>
            </w:r>
          </w:p>
        </w:tc>
        <w:tc>
          <w:tcPr>
            <w:tcW w:w="3096" w:type="dxa"/>
          </w:tcPr>
          <w:p w14:paraId="6C079B02"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bl>
    <w:p w14:paraId="78877B50" w14:textId="77777777" w:rsidR="0050099E" w:rsidRPr="00C35766" w:rsidRDefault="0050099E" w:rsidP="0050099E">
      <w:pPr>
        <w:spacing w:before="10" w:line="240" w:lineRule="exact"/>
        <w:rPr>
          <w:rFonts w:ascii="Times New Roman" w:hAnsi="Times New Roman" w:cs="Times New Roman"/>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16AAF5A9"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0092B15D"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Uveite non infettiva</w:t>
            </w:r>
          </w:p>
        </w:tc>
      </w:tr>
      <w:tr w:rsidR="0050099E" w:rsidRPr="00C35766" w14:paraId="56E3EB1E"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379F02B4"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6A377C1B"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6DA10FB1"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4BF922FA"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0BFB472"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557A2505" w14:textId="37809A6C"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1D17C3"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seguita da 40 mg a settimane alterne a partire da una settimana dopo la prima</w:t>
            </w:r>
            <w:r w:rsidRPr="00C35766">
              <w:rPr>
                <w:rFonts w:ascii="Times New Roman" w:eastAsia="Times New Roman" w:hAnsi="Times New Roman" w:cs="Times New Roman"/>
                <w:lang w:val="it-IT"/>
              </w:rPr>
              <w:t xml:space="preserve"> dose.</w:t>
            </w:r>
          </w:p>
        </w:tc>
        <w:tc>
          <w:tcPr>
            <w:tcW w:w="3096" w:type="dxa"/>
            <w:tcBorders>
              <w:top w:val="single" w:sz="5" w:space="0" w:color="000000"/>
              <w:left w:val="single" w:sz="5" w:space="0" w:color="000000"/>
              <w:bottom w:val="single" w:sz="5" w:space="0" w:color="000000"/>
              <w:right w:val="single" w:sz="5" w:space="0" w:color="000000"/>
            </w:tcBorders>
          </w:tcPr>
          <w:p w14:paraId="49EB2614"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 corticosteroidi o gli altri farmaci che influiscono sul sistema immunitario potranno essere continuati durante il trattamento con Yuflyma.</w:t>
            </w:r>
          </w:p>
          <w:p w14:paraId="5D20BCD5" w14:textId="77777777" w:rsidR="0050099E" w:rsidRPr="00824699" w:rsidRDefault="0050099E" w:rsidP="00933A6C">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Yuflyma può essere anche somministrato in monoterapia.</w:t>
            </w:r>
          </w:p>
        </w:tc>
      </w:tr>
      <w:tr w:rsidR="00212ADE" w:rsidRPr="00C35766" w14:paraId="47F35A07"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558C7832" w14:textId="74E44854" w:rsidR="00212ADE" w:rsidRPr="00C35766" w:rsidRDefault="00212ADE" w:rsidP="00933A6C">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Bambini e adolescenti a partire dai 2 anni di età e con peso inferiore a 30 kg</w:t>
            </w:r>
          </w:p>
        </w:tc>
        <w:tc>
          <w:tcPr>
            <w:tcW w:w="3096" w:type="dxa"/>
            <w:tcBorders>
              <w:top w:val="single" w:sz="5" w:space="0" w:color="000000"/>
              <w:left w:val="single" w:sz="5" w:space="0" w:color="000000"/>
              <w:bottom w:val="single" w:sz="5" w:space="0" w:color="000000"/>
              <w:right w:val="single" w:sz="5" w:space="0" w:color="000000"/>
            </w:tcBorders>
          </w:tcPr>
          <w:p w14:paraId="08EBFF84" w14:textId="409DEE21" w:rsidR="00212ADE" w:rsidRPr="00C35766" w:rsidRDefault="00212ADE" w:rsidP="00933A6C">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0B62D43" w14:textId="26A08ABB" w:rsidR="00212ADE" w:rsidRPr="00C35766" w:rsidRDefault="00212ADE" w:rsidP="00933A6C">
            <w:pPr>
              <w:pStyle w:val="TableParagraph"/>
              <w:spacing w:line="246" w:lineRule="exact"/>
              <w:ind w:left="102" w:right="57"/>
              <w:rPr>
                <w:rFonts w:ascii="Times New Roman" w:eastAsia="Times New Roman" w:hAnsi="Times New Roman" w:cs="Times New Roman"/>
                <w:spacing w:val="-1"/>
                <w:lang w:val="it-IT"/>
              </w:rPr>
            </w:pPr>
            <w:r w:rsidRPr="00146E60">
              <w:rPr>
                <w:rFonts w:ascii="Times New Roman" w:eastAsia="Times New Roman" w:hAnsi="Times New Roman" w:cs="Times New Roman"/>
                <w:spacing w:val="-1"/>
                <w:lang w:val="it-IT"/>
              </w:rPr>
              <w:t xml:space="preserve">Il medico potrebbe prescrivere una dose iniziale da 40 mg da somministrare una settimana prima dell’inizio della dose abituale da 20 mg a settimane alterne. L’uso di </w:t>
            </w:r>
            <w:r w:rsidR="00963203">
              <w:rPr>
                <w:rFonts w:ascii="Times New Roman" w:eastAsia="Times New Roman" w:hAnsi="Times New Roman" w:cs="Times New Roman"/>
                <w:spacing w:val="-1"/>
                <w:lang w:val="it-IT"/>
              </w:rPr>
              <w:t>Yuflyma</w:t>
            </w:r>
            <w:r w:rsidRPr="00146E60">
              <w:rPr>
                <w:rFonts w:ascii="Times New Roman" w:eastAsia="Times New Roman" w:hAnsi="Times New Roman" w:cs="Times New Roman"/>
                <w:spacing w:val="-1"/>
                <w:lang w:val="it-IT"/>
              </w:rPr>
              <w:t xml:space="preserve"> è raccomandato in associazione al metotressato.</w:t>
            </w:r>
          </w:p>
        </w:tc>
      </w:tr>
      <w:tr w:rsidR="0050099E" w:rsidRPr="00C35766" w14:paraId="0E51F6AE"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2FBFA45E"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e adolescenti a partire da</w:t>
            </w:r>
            <w:r w:rsidRPr="00C35766">
              <w:rPr>
                <w:rFonts w:ascii="Times New Roman" w:eastAsia="Times New Roman" w:hAnsi="Times New Roman" w:cs="Times New Roman"/>
                <w:lang w:val="it-IT"/>
              </w:rPr>
              <w:t xml:space="preserve"> 2 anni di età con peso di almeno 30 kg</w:t>
            </w:r>
          </w:p>
        </w:tc>
        <w:tc>
          <w:tcPr>
            <w:tcW w:w="3096" w:type="dxa"/>
            <w:tcBorders>
              <w:top w:val="single" w:sz="5" w:space="0" w:color="000000"/>
              <w:left w:val="single" w:sz="5" w:space="0" w:color="000000"/>
              <w:bottom w:val="single" w:sz="5" w:space="0" w:color="000000"/>
              <w:right w:val="single" w:sz="5" w:space="0" w:color="000000"/>
            </w:tcBorders>
          </w:tcPr>
          <w:p w14:paraId="661171EE"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028047DF" w14:textId="77F701FF" w:rsidR="0050099E" w:rsidRPr="00C35766" w:rsidRDefault="0050099E" w:rsidP="00146E60">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Il medico potrebbe prescrivere una dose iniziale da 80 mg da somministrare una settimana prima dell’inizio della dose abituale da</w:t>
            </w:r>
            <w:r w:rsidR="003C2212">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lang w:val="it-IT"/>
              </w:rPr>
              <w:t>40 mg a settimane alterne. L’uso di Yuflyma è raccomandato in associazione al metotressato.</w:t>
            </w:r>
          </w:p>
        </w:tc>
      </w:tr>
    </w:tbl>
    <w:p w14:paraId="79711B52" w14:textId="77777777" w:rsidR="0050099E" w:rsidRPr="00C35766" w:rsidRDefault="0050099E" w:rsidP="0050099E">
      <w:pPr>
        <w:pStyle w:val="a3"/>
      </w:pPr>
    </w:p>
    <w:p w14:paraId="03320CC8" w14:textId="77777777" w:rsidR="0050099E" w:rsidRPr="00C35766" w:rsidRDefault="0050099E" w:rsidP="0050099E">
      <w:pPr>
        <w:pStyle w:val="a3"/>
        <w:rPr>
          <w:b/>
          <w:lang w:val="it-IT"/>
        </w:rPr>
      </w:pPr>
      <w:r w:rsidRPr="00C35766">
        <w:rPr>
          <w:rFonts w:eastAsia="Times New Roman"/>
          <w:b/>
          <w:bCs/>
          <w:lang w:val="it-IT"/>
        </w:rPr>
        <w:t>Modo e via di somministrazione</w:t>
      </w:r>
    </w:p>
    <w:p w14:paraId="32210F07" w14:textId="77777777" w:rsidR="0050099E" w:rsidRPr="00C35766" w:rsidRDefault="0050099E" w:rsidP="0050099E">
      <w:pPr>
        <w:spacing w:before="9" w:line="240" w:lineRule="exact"/>
        <w:rPr>
          <w:rFonts w:ascii="Times New Roman" w:hAnsi="Times New Roman" w:cs="Times New Roman"/>
          <w:sz w:val="24"/>
          <w:lang w:val="it-IT"/>
        </w:rPr>
      </w:pPr>
    </w:p>
    <w:p w14:paraId="394A4621" w14:textId="77777777" w:rsidR="0050099E" w:rsidRPr="00C35766" w:rsidRDefault="0050099E" w:rsidP="0050099E">
      <w:pPr>
        <w:pStyle w:val="a3"/>
        <w:rPr>
          <w:lang w:val="it-IT"/>
        </w:rPr>
      </w:pPr>
      <w:r w:rsidRPr="00C35766">
        <w:rPr>
          <w:rFonts w:eastAsia="Times New Roman"/>
          <w:lang w:val="it-IT"/>
        </w:rPr>
        <w:lastRenderedPageBreak/>
        <w:t>Yuflyma è somministrato per iniezione sotto la pelle (per iniezione sottocutanea).</w:t>
      </w:r>
    </w:p>
    <w:p w14:paraId="71712E83" w14:textId="77777777" w:rsidR="0050099E" w:rsidRPr="00C35766" w:rsidRDefault="0050099E" w:rsidP="0050099E">
      <w:pPr>
        <w:spacing w:before="18" w:line="240" w:lineRule="exact"/>
        <w:rPr>
          <w:rFonts w:ascii="Times New Roman" w:hAnsi="Times New Roman" w:cs="Times New Roman"/>
          <w:sz w:val="24"/>
          <w:lang w:val="it-IT"/>
        </w:rPr>
      </w:pPr>
    </w:p>
    <w:p w14:paraId="1E123F38" w14:textId="3B8CA8F0" w:rsidR="0050099E" w:rsidRPr="00C35766" w:rsidRDefault="0050099E" w:rsidP="0050099E">
      <w:pPr>
        <w:pStyle w:val="a3"/>
        <w:rPr>
          <w:b/>
          <w:lang w:val="it-IT"/>
        </w:rPr>
      </w:pPr>
      <w:r w:rsidRPr="00C35766">
        <w:rPr>
          <w:rFonts w:eastAsia="Times New Roman"/>
          <w:b/>
          <w:bCs/>
          <w:lang w:val="it-IT"/>
        </w:rPr>
        <w:t xml:space="preserve">Istruzioni dettagliate su come somministrare Yuflyma sono descritte nel paragrafo 7 </w:t>
      </w:r>
      <w:r w:rsidR="00471BD2">
        <w:rPr>
          <w:rFonts w:eastAsia="Times New Roman"/>
          <w:b/>
          <w:bCs/>
          <w:lang w:val="it-IT"/>
        </w:rPr>
        <w:t>“</w:t>
      </w:r>
      <w:r w:rsidRPr="00C35766">
        <w:rPr>
          <w:rFonts w:eastAsia="Times New Roman"/>
          <w:b/>
          <w:bCs/>
          <w:lang w:val="it-IT"/>
        </w:rPr>
        <w:t>Istruzioni per l’uso</w:t>
      </w:r>
      <w:r w:rsidR="00471BD2">
        <w:rPr>
          <w:rFonts w:eastAsia="Times New Roman"/>
          <w:b/>
          <w:bCs/>
          <w:lang w:val="it-IT"/>
        </w:rPr>
        <w:t>”</w:t>
      </w:r>
      <w:r w:rsidRPr="00C35766">
        <w:rPr>
          <w:rFonts w:eastAsia="Times New Roman"/>
          <w:b/>
          <w:bCs/>
          <w:lang w:val="it-IT"/>
        </w:rPr>
        <w:t>.</w:t>
      </w:r>
    </w:p>
    <w:p w14:paraId="3D1002EA" w14:textId="77777777" w:rsidR="0050099E" w:rsidRPr="00C35766" w:rsidRDefault="0050099E" w:rsidP="0050099E">
      <w:pPr>
        <w:pStyle w:val="a3"/>
        <w:rPr>
          <w:b/>
          <w:lang w:val="it-IT"/>
        </w:rPr>
      </w:pPr>
    </w:p>
    <w:p w14:paraId="2A4C8DFF" w14:textId="77777777" w:rsidR="0050099E" w:rsidRPr="00C35766" w:rsidRDefault="0050099E" w:rsidP="0050099E">
      <w:pPr>
        <w:pStyle w:val="a3"/>
        <w:rPr>
          <w:b/>
          <w:lang w:val="pt-BR"/>
        </w:rPr>
      </w:pPr>
      <w:r w:rsidRPr="00C35766">
        <w:rPr>
          <w:rFonts w:eastAsia="Times New Roman"/>
          <w:b/>
          <w:bCs/>
          <w:lang w:val="it-IT"/>
        </w:rPr>
        <w:t>Se usa più Yuflyma di quanto deve</w:t>
      </w:r>
    </w:p>
    <w:p w14:paraId="55F031F2" w14:textId="77777777" w:rsidR="0050099E" w:rsidRPr="00C35766" w:rsidRDefault="0050099E" w:rsidP="0050099E">
      <w:pPr>
        <w:pStyle w:val="a3"/>
        <w:rPr>
          <w:lang w:val="pt-BR"/>
        </w:rPr>
      </w:pPr>
    </w:p>
    <w:p w14:paraId="7AB90799" w14:textId="77777777" w:rsidR="0050099E" w:rsidRPr="00C35766" w:rsidRDefault="0050099E" w:rsidP="0050099E">
      <w:pPr>
        <w:pStyle w:val="a3"/>
        <w:rPr>
          <w:lang w:val="it-IT"/>
        </w:rPr>
      </w:pPr>
      <w:r w:rsidRPr="00C35766">
        <w:rPr>
          <w:rFonts w:eastAsia="Times New Roman"/>
          <w:lang w:val="it-IT"/>
        </w:rPr>
        <w:t>Se accidentalmente inietta Yuflyma più frequentemente di quanto disposto dal medico o dal farmacista, contatti il medico o il farmacista informandoli di aver assunto più farmaco. Conservi sempre la scatola del farmaco, anche se vuota.</w:t>
      </w:r>
    </w:p>
    <w:p w14:paraId="27656DFF" w14:textId="77777777" w:rsidR="0050099E" w:rsidRPr="00C35766" w:rsidRDefault="0050099E" w:rsidP="0050099E">
      <w:pPr>
        <w:spacing w:before="18" w:line="240" w:lineRule="exact"/>
        <w:rPr>
          <w:rFonts w:ascii="Times New Roman" w:hAnsi="Times New Roman" w:cs="Times New Roman"/>
          <w:b/>
          <w:sz w:val="24"/>
          <w:szCs w:val="24"/>
          <w:lang w:val="it-IT"/>
        </w:rPr>
      </w:pPr>
    </w:p>
    <w:p w14:paraId="79399B63" w14:textId="77777777" w:rsidR="0050099E" w:rsidRPr="00C35766" w:rsidRDefault="0050099E" w:rsidP="0050099E">
      <w:pPr>
        <w:pStyle w:val="a3"/>
        <w:rPr>
          <w:b/>
          <w:lang w:val="it-IT"/>
        </w:rPr>
      </w:pPr>
      <w:r w:rsidRPr="00C35766">
        <w:rPr>
          <w:rFonts w:eastAsia="Times New Roman"/>
          <w:b/>
          <w:bCs/>
          <w:lang w:val="it-IT"/>
        </w:rPr>
        <w:t>Se dimentica di usare Yuflyma</w:t>
      </w:r>
    </w:p>
    <w:p w14:paraId="320B174E" w14:textId="77777777" w:rsidR="0050099E" w:rsidRPr="00C35766" w:rsidRDefault="0050099E" w:rsidP="0050099E">
      <w:pPr>
        <w:spacing w:before="9" w:line="240" w:lineRule="exact"/>
        <w:rPr>
          <w:rFonts w:ascii="Times New Roman" w:hAnsi="Times New Roman" w:cs="Times New Roman"/>
          <w:sz w:val="24"/>
          <w:szCs w:val="24"/>
          <w:lang w:val="it-IT"/>
        </w:rPr>
      </w:pPr>
    </w:p>
    <w:p w14:paraId="6E89EC5E" w14:textId="77777777" w:rsidR="0050099E" w:rsidRPr="00C35766" w:rsidRDefault="0050099E" w:rsidP="0050099E">
      <w:pPr>
        <w:pStyle w:val="a3"/>
        <w:rPr>
          <w:lang w:val="it-IT"/>
        </w:rPr>
      </w:pPr>
      <w:r w:rsidRPr="00C35766">
        <w:rPr>
          <w:rFonts w:eastAsia="Times New Roman"/>
          <w:lang w:val="it-IT"/>
        </w:rPr>
        <w:t>Se dimentica di fare un’iniezione, deve iniettarsi la dose successiva di Yuflyma non appena se ne ricorda.  Dopodiché riprenda la dose regolarmente secondo lo schema posologico stabilito.</w:t>
      </w:r>
    </w:p>
    <w:p w14:paraId="3C3DB49B" w14:textId="77777777" w:rsidR="0050099E" w:rsidRPr="00C35766" w:rsidRDefault="0050099E" w:rsidP="0050099E">
      <w:pPr>
        <w:spacing w:before="18" w:line="240" w:lineRule="exact"/>
        <w:rPr>
          <w:rFonts w:ascii="Times New Roman" w:hAnsi="Times New Roman" w:cs="Times New Roman"/>
          <w:sz w:val="24"/>
          <w:szCs w:val="24"/>
          <w:lang w:val="it-IT"/>
        </w:rPr>
      </w:pPr>
    </w:p>
    <w:p w14:paraId="26466BDC" w14:textId="77777777" w:rsidR="0050099E" w:rsidRPr="00C35766" w:rsidRDefault="0050099E" w:rsidP="0050099E">
      <w:pPr>
        <w:pStyle w:val="a3"/>
        <w:rPr>
          <w:b/>
          <w:lang w:val="it-IT"/>
        </w:rPr>
      </w:pPr>
      <w:r w:rsidRPr="00C35766">
        <w:rPr>
          <w:rFonts w:eastAsia="Times New Roman"/>
          <w:b/>
          <w:bCs/>
          <w:lang w:val="it-IT"/>
        </w:rPr>
        <w:t>Se interrompe il trattamento con Yuflyma</w:t>
      </w:r>
    </w:p>
    <w:p w14:paraId="76A4B0AF" w14:textId="77777777" w:rsidR="0050099E" w:rsidRPr="00C35766" w:rsidRDefault="0050099E" w:rsidP="0050099E">
      <w:pPr>
        <w:spacing w:before="6" w:line="240" w:lineRule="exact"/>
        <w:rPr>
          <w:rFonts w:ascii="Times New Roman" w:hAnsi="Times New Roman" w:cs="Times New Roman"/>
          <w:sz w:val="24"/>
          <w:szCs w:val="24"/>
          <w:lang w:val="it-IT"/>
        </w:rPr>
      </w:pPr>
    </w:p>
    <w:p w14:paraId="271B1AA5" w14:textId="77777777" w:rsidR="0050099E" w:rsidRPr="00C35766" w:rsidRDefault="0050099E" w:rsidP="0050099E">
      <w:pPr>
        <w:pStyle w:val="a3"/>
        <w:rPr>
          <w:lang w:val="it-IT"/>
        </w:rPr>
      </w:pPr>
      <w:r w:rsidRPr="00C35766">
        <w:rPr>
          <w:rFonts w:eastAsia="Times New Roman"/>
          <w:lang w:val="it-IT"/>
        </w:rPr>
        <w:t>La decisione di interrompere l’uso di Yuflyma deve essere discussa con il medico. I sintomi possono ritornare se smette di usare Yuflyma.</w:t>
      </w:r>
    </w:p>
    <w:p w14:paraId="55D9E32A" w14:textId="77777777" w:rsidR="0050099E" w:rsidRPr="00C35766" w:rsidRDefault="0050099E" w:rsidP="0050099E">
      <w:pPr>
        <w:spacing w:before="12" w:line="240" w:lineRule="exact"/>
        <w:rPr>
          <w:rFonts w:ascii="Times New Roman" w:hAnsi="Times New Roman" w:cs="Times New Roman"/>
          <w:sz w:val="24"/>
          <w:szCs w:val="24"/>
          <w:lang w:val="it-IT"/>
        </w:rPr>
      </w:pPr>
    </w:p>
    <w:p w14:paraId="22EC9714" w14:textId="77777777" w:rsidR="0050099E" w:rsidRPr="00C35766" w:rsidRDefault="0050099E" w:rsidP="0050099E">
      <w:pPr>
        <w:pStyle w:val="a3"/>
        <w:rPr>
          <w:lang w:val="it-IT"/>
        </w:rPr>
      </w:pPr>
      <w:r w:rsidRPr="00C35766">
        <w:rPr>
          <w:rFonts w:eastAsia="Times New Roman"/>
          <w:lang w:val="it-IT"/>
        </w:rPr>
        <w:t>Se ha qualsiasi dubbio sull’uso di questo medicinale, si rivolga al medico o al farmacista.</w:t>
      </w:r>
    </w:p>
    <w:p w14:paraId="696CA56B" w14:textId="77777777" w:rsidR="0050099E" w:rsidRPr="00C35766" w:rsidRDefault="0050099E" w:rsidP="0050099E">
      <w:pPr>
        <w:spacing w:line="200" w:lineRule="exact"/>
        <w:rPr>
          <w:rFonts w:ascii="Times New Roman" w:hAnsi="Times New Roman" w:cs="Times New Roman"/>
          <w:sz w:val="20"/>
          <w:szCs w:val="20"/>
          <w:lang w:val="it-IT"/>
        </w:rPr>
      </w:pPr>
    </w:p>
    <w:p w14:paraId="0812DAD5" w14:textId="77777777" w:rsidR="0050099E" w:rsidRPr="00C35766" w:rsidRDefault="0050099E" w:rsidP="00933A6C">
      <w:pPr>
        <w:pStyle w:val="a4"/>
        <w:keepNext/>
        <w:numPr>
          <w:ilvl w:val="0"/>
          <w:numId w:val="62"/>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t>Possibili effetti indesiderati</w:t>
      </w:r>
    </w:p>
    <w:p w14:paraId="5661D281" w14:textId="77777777" w:rsidR="0050099E" w:rsidRPr="00C35766" w:rsidRDefault="0050099E" w:rsidP="0050099E">
      <w:pPr>
        <w:keepNext/>
        <w:spacing w:before="12" w:line="240" w:lineRule="exact"/>
        <w:rPr>
          <w:rFonts w:ascii="Times New Roman" w:hAnsi="Times New Roman" w:cs="Times New Roman"/>
          <w:sz w:val="24"/>
          <w:szCs w:val="24"/>
        </w:rPr>
      </w:pPr>
    </w:p>
    <w:p w14:paraId="01D57064" w14:textId="77777777" w:rsidR="0050099E" w:rsidRPr="00C35766" w:rsidRDefault="0050099E" w:rsidP="0050099E">
      <w:pPr>
        <w:pStyle w:val="a3"/>
        <w:rPr>
          <w:lang w:val="pt-BR"/>
        </w:rPr>
      </w:pPr>
      <w:r w:rsidRPr="00C35766">
        <w:rPr>
          <w:rFonts w:eastAsia="Times New Roman"/>
          <w:lang w:val="it-IT"/>
        </w:rPr>
        <w:t>Come tutti i medicinali, questo medicinale può causare effetti indesiderati sebbene non tutte le persone li manifestino. La maggior parte degli effetti indesiderati si presenta in forma da lieve a moderata. Tuttavia, alcuni possono essere gravi e richiedere trattamento. Effetti indesiderati possono manifestarsi fino a 4 mesi dall’ultima iniezione di Yuflyma.</w:t>
      </w:r>
    </w:p>
    <w:p w14:paraId="7445516A" w14:textId="77777777" w:rsidR="0050099E" w:rsidRPr="00C35766" w:rsidRDefault="0050099E" w:rsidP="0050099E">
      <w:pPr>
        <w:spacing w:before="15" w:line="240" w:lineRule="exact"/>
        <w:rPr>
          <w:rFonts w:ascii="Times New Roman" w:hAnsi="Times New Roman" w:cs="Times New Roman"/>
          <w:sz w:val="24"/>
          <w:szCs w:val="24"/>
          <w:lang w:val="pt-BR"/>
        </w:rPr>
      </w:pPr>
    </w:p>
    <w:p w14:paraId="22514C58" w14:textId="77777777" w:rsidR="0050099E" w:rsidRPr="00C35766" w:rsidRDefault="0050099E" w:rsidP="0050099E">
      <w:pPr>
        <w:pStyle w:val="a3"/>
        <w:rPr>
          <w:b/>
          <w:lang w:val="it-IT"/>
        </w:rPr>
      </w:pPr>
      <w:r w:rsidRPr="00C35766">
        <w:rPr>
          <w:rFonts w:eastAsia="Times New Roman"/>
          <w:b/>
          <w:bCs/>
          <w:lang w:val="it-IT"/>
        </w:rPr>
        <w:t>Informi immediatamente il medico se nota una qualsiasi delle seguenti reazioni</w:t>
      </w:r>
    </w:p>
    <w:p w14:paraId="23EA87B0" w14:textId="77777777" w:rsidR="0050099E" w:rsidRPr="00C35766" w:rsidRDefault="0050099E" w:rsidP="0050099E">
      <w:pPr>
        <w:spacing w:before="10" w:line="240" w:lineRule="exact"/>
        <w:rPr>
          <w:rFonts w:ascii="Times New Roman" w:hAnsi="Times New Roman" w:cs="Times New Roman"/>
          <w:sz w:val="24"/>
          <w:lang w:val="it-IT"/>
        </w:rPr>
      </w:pPr>
    </w:p>
    <w:p w14:paraId="77643BDB"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eruzione cutanea grave, orticaria o altri segni di reazione allergica</w:t>
      </w:r>
    </w:p>
    <w:p w14:paraId="5B59475A"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gonfiore del viso, delle mani, dei piedi</w:t>
      </w:r>
    </w:p>
    <w:p w14:paraId="0B133F36"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difficoltà a respirare, difficoltà a deglutire</w:t>
      </w:r>
    </w:p>
    <w:p w14:paraId="7C6CA33A"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respiro corto sotto sforzo o in posizione sdraiata o piedi gonfi</w:t>
      </w:r>
    </w:p>
    <w:p w14:paraId="6EBED324" w14:textId="77777777" w:rsidR="0050099E" w:rsidRPr="00C35766" w:rsidRDefault="0050099E" w:rsidP="0050099E">
      <w:pPr>
        <w:spacing w:before="15" w:line="240" w:lineRule="exact"/>
        <w:rPr>
          <w:rFonts w:ascii="Times New Roman" w:hAnsi="Times New Roman" w:cs="Times New Roman"/>
          <w:sz w:val="24"/>
          <w:lang w:val="it-IT"/>
        </w:rPr>
      </w:pPr>
    </w:p>
    <w:p w14:paraId="29B6FBA6" w14:textId="77777777" w:rsidR="0050099E" w:rsidRPr="00C35766" w:rsidRDefault="0050099E" w:rsidP="0050099E">
      <w:pPr>
        <w:pStyle w:val="a3"/>
        <w:rPr>
          <w:b/>
          <w:lang w:val="it-IT"/>
        </w:rPr>
      </w:pPr>
      <w:r w:rsidRPr="00C35766">
        <w:rPr>
          <w:rFonts w:eastAsia="Times New Roman"/>
          <w:b/>
          <w:bCs/>
          <w:lang w:val="it-IT"/>
        </w:rPr>
        <w:t>Informi appena possibile il medico se nota una qualsiasi delle seguenti reazioni</w:t>
      </w:r>
    </w:p>
    <w:p w14:paraId="6BE0D49C" w14:textId="77777777" w:rsidR="0050099E" w:rsidRPr="00C35766" w:rsidRDefault="0050099E" w:rsidP="0050099E">
      <w:pPr>
        <w:spacing w:before="10" w:line="240" w:lineRule="exact"/>
        <w:rPr>
          <w:rFonts w:ascii="Times New Roman" w:hAnsi="Times New Roman" w:cs="Times New Roman"/>
          <w:sz w:val="24"/>
          <w:lang w:val="it-IT"/>
        </w:rPr>
      </w:pPr>
    </w:p>
    <w:p w14:paraId="2B49658D"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segni di infezione come febbre, sensazione di malessere, ferite, problemi dentali, bruciore nell’urinare</w:t>
      </w:r>
    </w:p>
    <w:p w14:paraId="39C995E2" w14:textId="77777777" w:rsidR="0050099E" w:rsidRPr="00C35766" w:rsidRDefault="0050099E" w:rsidP="0050099E">
      <w:pPr>
        <w:pStyle w:val="a3"/>
        <w:numPr>
          <w:ilvl w:val="0"/>
          <w:numId w:val="15"/>
        </w:numPr>
        <w:ind w:left="660" w:hanging="660"/>
      </w:pPr>
      <w:r w:rsidRPr="00C35766">
        <w:rPr>
          <w:rFonts w:eastAsia="Times New Roman"/>
          <w:lang w:val="it-IT"/>
        </w:rPr>
        <w:t>sensazione di debolezza/stanchezza</w:t>
      </w:r>
    </w:p>
    <w:p w14:paraId="0587D9C5" w14:textId="77777777" w:rsidR="0050099E" w:rsidRPr="00C35766" w:rsidRDefault="0050099E" w:rsidP="0050099E">
      <w:pPr>
        <w:pStyle w:val="a3"/>
        <w:numPr>
          <w:ilvl w:val="0"/>
          <w:numId w:val="15"/>
        </w:numPr>
        <w:ind w:left="660" w:hanging="660"/>
      </w:pPr>
      <w:r w:rsidRPr="00C35766">
        <w:rPr>
          <w:rFonts w:eastAsia="Times New Roman"/>
          <w:lang w:val="it-IT"/>
        </w:rPr>
        <w:t>tosse</w:t>
      </w:r>
    </w:p>
    <w:p w14:paraId="47BA05CD" w14:textId="77777777" w:rsidR="0050099E" w:rsidRPr="00C35766" w:rsidRDefault="0050099E" w:rsidP="0050099E">
      <w:pPr>
        <w:pStyle w:val="a3"/>
        <w:numPr>
          <w:ilvl w:val="0"/>
          <w:numId w:val="15"/>
        </w:numPr>
        <w:ind w:left="660" w:hanging="660"/>
      </w:pPr>
      <w:r w:rsidRPr="00C35766">
        <w:rPr>
          <w:rFonts w:eastAsia="Times New Roman"/>
          <w:lang w:val="it-IT"/>
        </w:rPr>
        <w:t>formicolio</w:t>
      </w:r>
    </w:p>
    <w:p w14:paraId="467D5BE5" w14:textId="77777777" w:rsidR="0050099E" w:rsidRPr="00C35766" w:rsidRDefault="0050099E" w:rsidP="0050099E">
      <w:pPr>
        <w:pStyle w:val="a3"/>
        <w:numPr>
          <w:ilvl w:val="0"/>
          <w:numId w:val="15"/>
        </w:numPr>
        <w:ind w:left="660" w:hanging="660"/>
      </w:pPr>
      <w:r w:rsidRPr="00C35766">
        <w:rPr>
          <w:rFonts w:eastAsia="Times New Roman"/>
          <w:lang w:val="it-IT"/>
        </w:rPr>
        <w:t>intorpidimento</w:t>
      </w:r>
    </w:p>
    <w:p w14:paraId="523B3289" w14:textId="77777777" w:rsidR="0050099E" w:rsidRPr="00C35766" w:rsidRDefault="0050099E" w:rsidP="0050099E">
      <w:pPr>
        <w:pStyle w:val="a3"/>
        <w:numPr>
          <w:ilvl w:val="0"/>
          <w:numId w:val="15"/>
        </w:numPr>
        <w:ind w:left="660" w:hanging="660"/>
      </w:pPr>
      <w:r w:rsidRPr="00C35766">
        <w:rPr>
          <w:rFonts w:eastAsia="Times New Roman"/>
          <w:lang w:val="it-IT"/>
        </w:rPr>
        <w:t>sdoppiamento della vista</w:t>
      </w:r>
    </w:p>
    <w:p w14:paraId="440EA383" w14:textId="77777777" w:rsidR="0050099E" w:rsidRPr="00C35766" w:rsidRDefault="0050099E" w:rsidP="0050099E">
      <w:pPr>
        <w:pStyle w:val="a3"/>
        <w:numPr>
          <w:ilvl w:val="0"/>
          <w:numId w:val="15"/>
        </w:numPr>
        <w:ind w:left="660" w:hanging="660"/>
      </w:pPr>
      <w:r w:rsidRPr="00C35766">
        <w:rPr>
          <w:rFonts w:eastAsia="Times New Roman"/>
          <w:lang w:val="it-IT"/>
        </w:rPr>
        <w:t>debolezza di braccia o gambe</w:t>
      </w:r>
    </w:p>
    <w:p w14:paraId="00A3A818"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gonfiore o piaga aperta che non guarisce</w:t>
      </w:r>
    </w:p>
    <w:p w14:paraId="2174497B"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segni e sintomi che suggeriscono la comparsa di disturbi a carico del sistema emopoietico, come la presenza di febbre persistente, lividi, sanguinamento, pallore</w:t>
      </w:r>
    </w:p>
    <w:p w14:paraId="0533C656" w14:textId="77777777" w:rsidR="0050099E" w:rsidRPr="00C35766" w:rsidRDefault="0050099E" w:rsidP="0050099E">
      <w:pPr>
        <w:pStyle w:val="a3"/>
        <w:numPr>
          <w:ilvl w:val="0"/>
          <w:numId w:val="0"/>
        </w:numPr>
        <w:ind w:left="660"/>
        <w:rPr>
          <w:lang w:val="it-IT"/>
        </w:rPr>
      </w:pPr>
    </w:p>
    <w:p w14:paraId="2E4C7745" w14:textId="77777777" w:rsidR="0050099E" w:rsidRPr="00C35766" w:rsidRDefault="0050099E" w:rsidP="0050099E">
      <w:pPr>
        <w:pStyle w:val="a3"/>
        <w:rPr>
          <w:lang w:val="pt-BR"/>
        </w:rPr>
      </w:pPr>
      <w:r w:rsidRPr="00C35766">
        <w:rPr>
          <w:rFonts w:eastAsia="Times New Roman"/>
          <w:lang w:val="it-IT"/>
        </w:rPr>
        <w:t>I sintomi sopra descritti possono essere segni dei seguenti effetti indesiderati, che sono stati osservati con Yuflyma.</w:t>
      </w:r>
    </w:p>
    <w:p w14:paraId="46885FBB" w14:textId="77777777" w:rsidR="0050099E" w:rsidRPr="00C35766" w:rsidRDefault="0050099E" w:rsidP="0050099E">
      <w:pPr>
        <w:spacing w:before="10" w:line="240" w:lineRule="exact"/>
        <w:rPr>
          <w:rFonts w:ascii="Times New Roman" w:hAnsi="Times New Roman" w:cs="Times New Roman"/>
          <w:sz w:val="24"/>
          <w:szCs w:val="24"/>
          <w:lang w:val="pt-BR"/>
        </w:rPr>
      </w:pPr>
    </w:p>
    <w:p w14:paraId="78CD59F7" w14:textId="77777777" w:rsidR="0050099E" w:rsidRPr="00C35766" w:rsidRDefault="0050099E" w:rsidP="0050099E">
      <w:pPr>
        <w:pStyle w:val="a3"/>
        <w:rPr>
          <w:lang w:val="pt-BR"/>
        </w:rPr>
      </w:pPr>
      <w:r w:rsidRPr="00C35766">
        <w:rPr>
          <w:rFonts w:eastAsia="Times New Roman"/>
          <w:b/>
          <w:bCs/>
          <w:lang w:val="it-IT"/>
        </w:rPr>
        <w:lastRenderedPageBreak/>
        <w:t xml:space="preserve">Molto comuni </w:t>
      </w:r>
      <w:r w:rsidRPr="00C35766">
        <w:rPr>
          <w:rFonts w:eastAsia="Times New Roman"/>
          <w:lang w:val="it-IT"/>
        </w:rPr>
        <w:t>(possono interessare più di 1 persona su 10)</w:t>
      </w:r>
    </w:p>
    <w:p w14:paraId="790156C2" w14:textId="77777777" w:rsidR="0050099E" w:rsidRPr="00C35766" w:rsidRDefault="0050099E" w:rsidP="0050099E">
      <w:pPr>
        <w:spacing w:before="14" w:line="240" w:lineRule="exact"/>
        <w:rPr>
          <w:rFonts w:ascii="Times New Roman" w:hAnsi="Times New Roman" w:cs="Times New Roman"/>
          <w:sz w:val="24"/>
          <w:szCs w:val="24"/>
          <w:lang w:val="pt-BR"/>
        </w:rPr>
      </w:pPr>
    </w:p>
    <w:p w14:paraId="436A3E66"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reazioni nella sede d’iniezione (tra cui dolore, gonfiore, arrossamento o prurito)</w:t>
      </w:r>
    </w:p>
    <w:p w14:paraId="5DE89483"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delle vie respiratorie (tra cui raffreddore, naso che cola, sinusite e polmonite)</w:t>
      </w:r>
    </w:p>
    <w:p w14:paraId="3E964E0A" w14:textId="77777777" w:rsidR="0050099E" w:rsidRPr="00C35766" w:rsidRDefault="0050099E" w:rsidP="0050099E">
      <w:pPr>
        <w:pStyle w:val="a3"/>
        <w:numPr>
          <w:ilvl w:val="0"/>
          <w:numId w:val="15"/>
        </w:numPr>
        <w:ind w:left="660" w:hanging="660"/>
      </w:pPr>
      <w:r w:rsidRPr="00C35766">
        <w:rPr>
          <w:rFonts w:eastAsia="Times New Roman"/>
          <w:lang w:val="it-IT"/>
        </w:rPr>
        <w:t>mal di testa</w:t>
      </w:r>
    </w:p>
    <w:p w14:paraId="273CB76B" w14:textId="77777777" w:rsidR="0050099E" w:rsidRPr="00C35766" w:rsidRDefault="0050099E" w:rsidP="0050099E">
      <w:pPr>
        <w:pStyle w:val="a3"/>
        <w:numPr>
          <w:ilvl w:val="0"/>
          <w:numId w:val="15"/>
        </w:numPr>
        <w:ind w:left="660" w:hanging="660"/>
      </w:pPr>
      <w:r w:rsidRPr="00C35766">
        <w:rPr>
          <w:rFonts w:eastAsia="Times New Roman"/>
          <w:lang w:val="it-IT"/>
        </w:rPr>
        <w:t>dolore addominale</w:t>
      </w:r>
    </w:p>
    <w:p w14:paraId="5F5538EB" w14:textId="77777777" w:rsidR="0050099E" w:rsidRPr="00C35766" w:rsidRDefault="0050099E" w:rsidP="0050099E">
      <w:pPr>
        <w:pStyle w:val="a3"/>
        <w:numPr>
          <w:ilvl w:val="0"/>
          <w:numId w:val="15"/>
        </w:numPr>
        <w:ind w:left="660" w:hanging="660"/>
      </w:pPr>
      <w:r w:rsidRPr="00C35766">
        <w:rPr>
          <w:rFonts w:eastAsia="Times New Roman"/>
          <w:lang w:val="it-IT"/>
        </w:rPr>
        <w:t>nausea e vomito</w:t>
      </w:r>
    </w:p>
    <w:p w14:paraId="63758049" w14:textId="77777777" w:rsidR="0050099E" w:rsidRPr="00C35766" w:rsidRDefault="0050099E" w:rsidP="0050099E">
      <w:pPr>
        <w:pStyle w:val="a3"/>
        <w:numPr>
          <w:ilvl w:val="0"/>
          <w:numId w:val="15"/>
        </w:numPr>
        <w:ind w:left="660" w:hanging="660"/>
      </w:pPr>
      <w:r w:rsidRPr="00C35766">
        <w:rPr>
          <w:rFonts w:eastAsia="Times New Roman"/>
          <w:lang w:val="it-IT"/>
        </w:rPr>
        <w:t>eruzione cutanea</w:t>
      </w:r>
    </w:p>
    <w:p w14:paraId="2DC76675" w14:textId="2FE3BAF7" w:rsidR="0050099E" w:rsidRPr="00C35766" w:rsidRDefault="00B40428" w:rsidP="0050099E">
      <w:pPr>
        <w:pStyle w:val="a3"/>
        <w:numPr>
          <w:ilvl w:val="0"/>
          <w:numId w:val="15"/>
        </w:numPr>
        <w:ind w:left="660" w:hanging="660"/>
      </w:pPr>
      <w:r>
        <w:rPr>
          <w:rFonts w:eastAsia="Times New Roman"/>
          <w:lang w:val="it-IT"/>
        </w:rPr>
        <w:t>d</w:t>
      </w:r>
      <w:r w:rsidR="0050099E" w:rsidRPr="00C35766">
        <w:rPr>
          <w:rFonts w:eastAsia="Times New Roman"/>
          <w:lang w:val="it-IT"/>
        </w:rPr>
        <w:t>olore muscoloscheletrico</w:t>
      </w:r>
    </w:p>
    <w:p w14:paraId="55B26C98" w14:textId="77777777" w:rsidR="0050099E" w:rsidRPr="00C35766" w:rsidRDefault="0050099E" w:rsidP="0050099E">
      <w:pPr>
        <w:spacing w:before="9" w:line="220" w:lineRule="exact"/>
        <w:rPr>
          <w:rFonts w:ascii="Times New Roman" w:hAnsi="Times New Roman" w:cs="Times New Roman"/>
        </w:rPr>
      </w:pPr>
    </w:p>
    <w:p w14:paraId="38FCF81C" w14:textId="77777777" w:rsidR="0050099E" w:rsidRPr="00C35766" w:rsidRDefault="0050099E" w:rsidP="0050099E">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5BC70B6F" w14:textId="77777777" w:rsidR="0050099E" w:rsidRPr="00C35766" w:rsidRDefault="0050099E" w:rsidP="0050099E">
      <w:pPr>
        <w:spacing w:before="14" w:line="240" w:lineRule="exact"/>
        <w:rPr>
          <w:rFonts w:ascii="Times New Roman" w:hAnsi="Times New Roman" w:cs="Times New Roman"/>
          <w:sz w:val="24"/>
          <w:szCs w:val="24"/>
          <w:lang w:val="pt-BR"/>
        </w:rPr>
      </w:pPr>
    </w:p>
    <w:p w14:paraId="7E0E832D"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gravi (tra cui setticemia ed influenza)</w:t>
      </w:r>
    </w:p>
    <w:p w14:paraId="0DCB5E18"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infezioni intestinali (tra cui gastroenterite)</w:t>
      </w:r>
    </w:p>
    <w:p w14:paraId="4DE5853A"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infezioni della pelle (tra cui cellulite e infezione da Herpes Zoster)</w:t>
      </w:r>
    </w:p>
    <w:p w14:paraId="7934D8FC" w14:textId="77777777" w:rsidR="0050099E" w:rsidRPr="00C35766" w:rsidRDefault="0050099E" w:rsidP="0050099E">
      <w:pPr>
        <w:pStyle w:val="a3"/>
        <w:numPr>
          <w:ilvl w:val="0"/>
          <w:numId w:val="15"/>
        </w:numPr>
        <w:ind w:left="660" w:hanging="660"/>
      </w:pPr>
      <w:r w:rsidRPr="00C35766">
        <w:rPr>
          <w:rFonts w:eastAsia="Times New Roman"/>
          <w:lang w:val="it-IT"/>
        </w:rPr>
        <w:t>infezioni dell’orecchio</w:t>
      </w:r>
    </w:p>
    <w:p w14:paraId="7B75305B" w14:textId="27CC0606" w:rsidR="0050099E" w:rsidRPr="00C35766" w:rsidRDefault="0050099E" w:rsidP="0050099E">
      <w:pPr>
        <w:pStyle w:val="a3"/>
        <w:numPr>
          <w:ilvl w:val="0"/>
          <w:numId w:val="15"/>
        </w:numPr>
        <w:ind w:left="660" w:hanging="660"/>
        <w:rPr>
          <w:lang w:val="pt-BR"/>
        </w:rPr>
      </w:pPr>
      <w:r w:rsidRPr="00C35766">
        <w:rPr>
          <w:rFonts w:eastAsia="Times New Roman"/>
          <w:lang w:val="it-IT"/>
        </w:rPr>
        <w:t xml:space="preserve">infezioni orali (tra cui infezioni dei denti ed herpes </w:t>
      </w:r>
      <w:r w:rsidR="00842603" w:rsidRPr="00075E40">
        <w:rPr>
          <w:rFonts w:eastAsia="Times New Roman"/>
          <w:lang w:val="it-IT"/>
        </w:rPr>
        <w:t>labiali</w:t>
      </w:r>
      <w:r w:rsidRPr="00C35766">
        <w:rPr>
          <w:rFonts w:eastAsia="Times New Roman"/>
          <w:lang w:val="it-IT"/>
        </w:rPr>
        <w:t>)</w:t>
      </w:r>
    </w:p>
    <w:p w14:paraId="59CD1A27" w14:textId="77777777" w:rsidR="0050099E" w:rsidRPr="00C35766" w:rsidRDefault="0050099E" w:rsidP="0050099E">
      <w:pPr>
        <w:pStyle w:val="a3"/>
        <w:numPr>
          <w:ilvl w:val="0"/>
          <w:numId w:val="15"/>
        </w:numPr>
        <w:ind w:left="660" w:hanging="660"/>
      </w:pPr>
      <w:r w:rsidRPr="00C35766">
        <w:rPr>
          <w:rFonts w:eastAsia="Times New Roman"/>
          <w:lang w:val="it-IT"/>
        </w:rPr>
        <w:t>infezioni dell’apparato riproduttivo</w:t>
      </w:r>
    </w:p>
    <w:p w14:paraId="2C713731" w14:textId="11180E57" w:rsidR="0050099E" w:rsidRPr="00C35766" w:rsidRDefault="00D53FB4" w:rsidP="0050099E">
      <w:pPr>
        <w:pStyle w:val="a3"/>
        <w:numPr>
          <w:ilvl w:val="0"/>
          <w:numId w:val="15"/>
        </w:numPr>
        <w:ind w:left="660" w:hanging="660"/>
      </w:pPr>
      <w:r>
        <w:rPr>
          <w:rFonts w:eastAsia="Times New Roman"/>
          <w:lang w:val="it-IT"/>
        </w:rPr>
        <w:t>i</w:t>
      </w:r>
      <w:r w:rsidR="0050099E" w:rsidRPr="00C35766">
        <w:rPr>
          <w:rFonts w:eastAsia="Times New Roman"/>
          <w:lang w:val="it-IT"/>
        </w:rPr>
        <w:t>nfezione delle vie urinarie</w:t>
      </w:r>
    </w:p>
    <w:p w14:paraId="0E5F114B" w14:textId="77777777" w:rsidR="0050099E" w:rsidRPr="00C35766" w:rsidRDefault="0050099E" w:rsidP="0050099E">
      <w:pPr>
        <w:pStyle w:val="a3"/>
        <w:numPr>
          <w:ilvl w:val="0"/>
          <w:numId w:val="15"/>
        </w:numPr>
        <w:ind w:left="660" w:hanging="660"/>
      </w:pPr>
      <w:r w:rsidRPr="00C35766">
        <w:rPr>
          <w:rFonts w:eastAsia="Times New Roman"/>
          <w:lang w:val="it-IT"/>
        </w:rPr>
        <w:t>infezioni fungine</w:t>
      </w:r>
    </w:p>
    <w:p w14:paraId="70273074" w14:textId="77777777" w:rsidR="0050099E" w:rsidRPr="00C35766" w:rsidRDefault="0050099E" w:rsidP="0050099E">
      <w:pPr>
        <w:pStyle w:val="a3"/>
        <w:numPr>
          <w:ilvl w:val="0"/>
          <w:numId w:val="15"/>
        </w:numPr>
        <w:ind w:left="660" w:hanging="660"/>
      </w:pPr>
      <w:r w:rsidRPr="00C35766">
        <w:rPr>
          <w:rFonts w:eastAsia="Times New Roman"/>
          <w:lang w:val="it-IT"/>
        </w:rPr>
        <w:t>infezioni a carico delle articolazioni</w:t>
      </w:r>
    </w:p>
    <w:p w14:paraId="2A7AB38D" w14:textId="77777777" w:rsidR="0050099E" w:rsidRPr="00C35766" w:rsidRDefault="0050099E" w:rsidP="0050099E">
      <w:pPr>
        <w:pStyle w:val="a3"/>
        <w:numPr>
          <w:ilvl w:val="0"/>
          <w:numId w:val="15"/>
        </w:numPr>
        <w:ind w:left="660" w:hanging="660"/>
      </w:pPr>
      <w:r w:rsidRPr="00C35766">
        <w:rPr>
          <w:rFonts w:eastAsia="Times New Roman"/>
          <w:lang w:val="it-IT"/>
        </w:rPr>
        <w:t>tumori benigni</w:t>
      </w:r>
    </w:p>
    <w:p w14:paraId="4046E0CB" w14:textId="77777777" w:rsidR="0050099E" w:rsidRPr="00C35766" w:rsidRDefault="0050099E" w:rsidP="0050099E">
      <w:pPr>
        <w:pStyle w:val="a3"/>
        <w:numPr>
          <w:ilvl w:val="0"/>
          <w:numId w:val="15"/>
        </w:numPr>
        <w:ind w:left="660" w:hanging="660"/>
      </w:pPr>
      <w:r w:rsidRPr="00C35766">
        <w:rPr>
          <w:rFonts w:eastAsia="Times New Roman"/>
          <w:lang w:val="it-IT"/>
        </w:rPr>
        <w:t>tumore della pelle</w:t>
      </w:r>
    </w:p>
    <w:p w14:paraId="7A2AAAE7" w14:textId="77777777" w:rsidR="0050099E" w:rsidRPr="00C35766" w:rsidRDefault="0050099E" w:rsidP="0050099E">
      <w:pPr>
        <w:pStyle w:val="a3"/>
        <w:numPr>
          <w:ilvl w:val="0"/>
          <w:numId w:val="15"/>
        </w:numPr>
        <w:ind w:left="660" w:hanging="660"/>
        <w:rPr>
          <w:lang w:val="de-CH"/>
        </w:rPr>
      </w:pPr>
      <w:r w:rsidRPr="00C35766">
        <w:rPr>
          <w:rFonts w:eastAsia="Times New Roman"/>
          <w:lang w:val="it-IT"/>
        </w:rPr>
        <w:t>reazioni allergiche (tra cui allergia stagionale)</w:t>
      </w:r>
    </w:p>
    <w:p w14:paraId="51EB53FB" w14:textId="77777777" w:rsidR="0050099E" w:rsidRPr="00C35766" w:rsidRDefault="0050099E" w:rsidP="0050099E">
      <w:pPr>
        <w:pStyle w:val="a3"/>
        <w:numPr>
          <w:ilvl w:val="0"/>
          <w:numId w:val="15"/>
        </w:numPr>
        <w:ind w:left="660" w:hanging="660"/>
      </w:pPr>
      <w:r w:rsidRPr="00C35766">
        <w:rPr>
          <w:rFonts w:eastAsia="Times New Roman"/>
          <w:lang w:val="it-IT"/>
        </w:rPr>
        <w:t>disidratazione</w:t>
      </w:r>
    </w:p>
    <w:p w14:paraId="4C01ABF5"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cambiamenti di umore (inclusa depressione)</w:t>
      </w:r>
    </w:p>
    <w:p w14:paraId="772EC5CB" w14:textId="77777777" w:rsidR="0050099E" w:rsidRPr="00C35766" w:rsidRDefault="0050099E" w:rsidP="0050099E">
      <w:pPr>
        <w:pStyle w:val="a3"/>
        <w:numPr>
          <w:ilvl w:val="0"/>
          <w:numId w:val="15"/>
        </w:numPr>
        <w:ind w:left="660" w:hanging="660"/>
      </w:pPr>
      <w:r w:rsidRPr="00C35766">
        <w:rPr>
          <w:rFonts w:eastAsia="Times New Roman"/>
          <w:lang w:val="it-IT"/>
        </w:rPr>
        <w:t>ansia</w:t>
      </w:r>
    </w:p>
    <w:p w14:paraId="5866FD3F" w14:textId="77777777" w:rsidR="0050099E" w:rsidRPr="00C35766" w:rsidRDefault="0050099E" w:rsidP="0050099E">
      <w:pPr>
        <w:pStyle w:val="a3"/>
        <w:numPr>
          <w:ilvl w:val="0"/>
          <w:numId w:val="15"/>
        </w:numPr>
        <w:ind w:left="660" w:hanging="660"/>
      </w:pPr>
      <w:r w:rsidRPr="00C35766">
        <w:rPr>
          <w:rFonts w:eastAsia="Times New Roman"/>
          <w:lang w:val="it-IT"/>
        </w:rPr>
        <w:t>difficoltà a dormire</w:t>
      </w:r>
    </w:p>
    <w:p w14:paraId="020E4783"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disturbi della sensibilità come formicolii, sensazione di fitte o intorpidimento</w:t>
      </w:r>
    </w:p>
    <w:p w14:paraId="78DA1619" w14:textId="77777777" w:rsidR="0050099E" w:rsidRPr="00C35766" w:rsidRDefault="0050099E" w:rsidP="0050099E">
      <w:pPr>
        <w:pStyle w:val="a3"/>
        <w:numPr>
          <w:ilvl w:val="0"/>
          <w:numId w:val="15"/>
        </w:numPr>
        <w:ind w:left="660" w:hanging="660"/>
      </w:pPr>
      <w:r w:rsidRPr="00C35766">
        <w:rPr>
          <w:rFonts w:eastAsia="Times New Roman"/>
          <w:lang w:val="it-IT"/>
        </w:rPr>
        <w:t>emicrania</w:t>
      </w:r>
    </w:p>
    <w:p w14:paraId="618EAF0C"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compressione di radice nervosa (tra cui dolore lombare e dolore alle gambe)</w:t>
      </w:r>
    </w:p>
    <w:p w14:paraId="39DE5AC4" w14:textId="77777777" w:rsidR="0050099E" w:rsidRPr="00C35766" w:rsidRDefault="0050099E" w:rsidP="0050099E">
      <w:pPr>
        <w:pStyle w:val="a3"/>
        <w:numPr>
          <w:ilvl w:val="0"/>
          <w:numId w:val="15"/>
        </w:numPr>
        <w:ind w:left="660" w:hanging="660"/>
      </w:pPr>
      <w:r w:rsidRPr="00C35766">
        <w:rPr>
          <w:rFonts w:eastAsia="Times New Roman"/>
          <w:lang w:val="it-IT"/>
        </w:rPr>
        <w:t>disturbi visivi</w:t>
      </w:r>
    </w:p>
    <w:p w14:paraId="224CF143" w14:textId="77777777" w:rsidR="0050099E" w:rsidRPr="00C35766" w:rsidRDefault="0050099E" w:rsidP="0050099E">
      <w:pPr>
        <w:pStyle w:val="a3"/>
        <w:numPr>
          <w:ilvl w:val="0"/>
          <w:numId w:val="15"/>
        </w:numPr>
        <w:ind w:left="660" w:hanging="660"/>
      </w:pPr>
      <w:r w:rsidRPr="00C35766">
        <w:rPr>
          <w:rFonts w:eastAsia="Times New Roman"/>
          <w:lang w:val="it-IT"/>
        </w:rPr>
        <w:t>infiammazione degli occhi</w:t>
      </w:r>
    </w:p>
    <w:p w14:paraId="7CD06BEE" w14:textId="77777777" w:rsidR="0050099E" w:rsidRPr="00C35766" w:rsidRDefault="0050099E" w:rsidP="0050099E">
      <w:pPr>
        <w:pStyle w:val="a3"/>
        <w:numPr>
          <w:ilvl w:val="0"/>
          <w:numId w:val="15"/>
        </w:numPr>
        <w:ind w:left="660" w:hanging="660"/>
        <w:rPr>
          <w:lang w:val="de-CH"/>
        </w:rPr>
      </w:pPr>
      <w:r w:rsidRPr="00C35766">
        <w:rPr>
          <w:rFonts w:eastAsia="Times New Roman"/>
          <w:lang w:val="it-IT"/>
        </w:rPr>
        <w:t>infiammazione delle palpebre e tumefazione degli occhi</w:t>
      </w:r>
    </w:p>
    <w:p w14:paraId="62C98C6F"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vertigini (sensazione di capogiro o rotazione)</w:t>
      </w:r>
    </w:p>
    <w:p w14:paraId="691D6BA4" w14:textId="77777777" w:rsidR="0050099E" w:rsidRPr="00C35766" w:rsidRDefault="0050099E" w:rsidP="0050099E">
      <w:pPr>
        <w:pStyle w:val="a3"/>
        <w:numPr>
          <w:ilvl w:val="0"/>
          <w:numId w:val="15"/>
        </w:numPr>
        <w:ind w:left="660" w:hanging="660"/>
      </w:pPr>
      <w:r w:rsidRPr="00C35766">
        <w:rPr>
          <w:rFonts w:eastAsia="Times New Roman"/>
          <w:lang w:val="it-IT"/>
        </w:rPr>
        <w:t>sensazione di battito cardiaco accelerato</w:t>
      </w:r>
    </w:p>
    <w:p w14:paraId="28B7734F" w14:textId="77777777" w:rsidR="0050099E" w:rsidRPr="00C35766" w:rsidRDefault="0050099E" w:rsidP="0050099E">
      <w:pPr>
        <w:pStyle w:val="a3"/>
        <w:numPr>
          <w:ilvl w:val="0"/>
          <w:numId w:val="15"/>
        </w:numPr>
        <w:ind w:left="660" w:hanging="660"/>
      </w:pPr>
      <w:r w:rsidRPr="00C35766">
        <w:rPr>
          <w:rFonts w:eastAsia="Times New Roman"/>
          <w:lang w:val="it-IT"/>
        </w:rPr>
        <w:t>pressione sanguigna elevata</w:t>
      </w:r>
    </w:p>
    <w:p w14:paraId="20CF536D" w14:textId="77777777" w:rsidR="0050099E" w:rsidRPr="00C35766" w:rsidRDefault="0050099E" w:rsidP="0050099E">
      <w:pPr>
        <w:pStyle w:val="a3"/>
        <w:numPr>
          <w:ilvl w:val="0"/>
          <w:numId w:val="15"/>
        </w:numPr>
        <w:ind w:left="660" w:hanging="660"/>
      </w:pPr>
      <w:r w:rsidRPr="00C35766">
        <w:rPr>
          <w:rFonts w:eastAsia="Times New Roman"/>
          <w:lang w:val="it-IT"/>
        </w:rPr>
        <w:t>vampate</w:t>
      </w:r>
    </w:p>
    <w:p w14:paraId="4CC03924"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ematoma (accumulo di sangue al di fuori dei vasi sanguigni)</w:t>
      </w:r>
    </w:p>
    <w:p w14:paraId="055CEAEE" w14:textId="77777777" w:rsidR="0050099E" w:rsidRPr="00C35766" w:rsidRDefault="0050099E" w:rsidP="0050099E">
      <w:pPr>
        <w:pStyle w:val="a3"/>
        <w:numPr>
          <w:ilvl w:val="0"/>
          <w:numId w:val="15"/>
        </w:numPr>
        <w:ind w:left="660" w:hanging="660"/>
      </w:pPr>
      <w:r w:rsidRPr="00C35766">
        <w:rPr>
          <w:rFonts w:eastAsia="Times New Roman"/>
          <w:lang w:val="it-IT"/>
        </w:rPr>
        <w:t>tosse</w:t>
      </w:r>
    </w:p>
    <w:p w14:paraId="58AD5F90" w14:textId="77777777" w:rsidR="0050099E" w:rsidRPr="00C35766" w:rsidRDefault="0050099E" w:rsidP="0050099E">
      <w:pPr>
        <w:pStyle w:val="a3"/>
        <w:numPr>
          <w:ilvl w:val="0"/>
          <w:numId w:val="15"/>
        </w:numPr>
        <w:ind w:left="660" w:hanging="660"/>
      </w:pPr>
      <w:r w:rsidRPr="00C35766">
        <w:rPr>
          <w:rFonts w:eastAsia="Times New Roman"/>
          <w:lang w:val="it-IT"/>
        </w:rPr>
        <w:t>asma</w:t>
      </w:r>
    </w:p>
    <w:p w14:paraId="0E37EC82" w14:textId="77777777" w:rsidR="0050099E" w:rsidRPr="00C35766" w:rsidRDefault="0050099E" w:rsidP="0050099E">
      <w:pPr>
        <w:pStyle w:val="a3"/>
        <w:numPr>
          <w:ilvl w:val="0"/>
          <w:numId w:val="15"/>
        </w:numPr>
        <w:ind w:left="660" w:hanging="660"/>
      </w:pPr>
      <w:r w:rsidRPr="00C35766">
        <w:rPr>
          <w:rFonts w:eastAsia="Times New Roman"/>
          <w:lang w:val="it-IT"/>
        </w:rPr>
        <w:t>respiro affannoso</w:t>
      </w:r>
    </w:p>
    <w:p w14:paraId="1278FEDC" w14:textId="77777777" w:rsidR="0050099E" w:rsidRPr="00C35766" w:rsidRDefault="0050099E" w:rsidP="0050099E">
      <w:pPr>
        <w:pStyle w:val="a3"/>
        <w:numPr>
          <w:ilvl w:val="0"/>
          <w:numId w:val="15"/>
        </w:numPr>
        <w:ind w:left="660" w:hanging="660"/>
      </w:pPr>
      <w:r w:rsidRPr="00C35766">
        <w:rPr>
          <w:rFonts w:eastAsia="Times New Roman"/>
          <w:lang w:val="it-IT"/>
        </w:rPr>
        <w:t>sanguinamento gastrointestinale</w:t>
      </w:r>
    </w:p>
    <w:p w14:paraId="46D60A46"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dispepsia (indigestione, gonfiore, bruciore di stomaco)</w:t>
      </w:r>
    </w:p>
    <w:p w14:paraId="1C54FCCB" w14:textId="77777777" w:rsidR="0050099E" w:rsidRPr="00C35766" w:rsidRDefault="0050099E" w:rsidP="0050099E">
      <w:pPr>
        <w:pStyle w:val="a3"/>
        <w:numPr>
          <w:ilvl w:val="0"/>
          <w:numId w:val="15"/>
        </w:numPr>
        <w:ind w:left="660" w:hanging="660"/>
      </w:pPr>
      <w:r w:rsidRPr="00C35766">
        <w:rPr>
          <w:rFonts w:eastAsia="Times New Roman"/>
          <w:lang w:val="it-IT"/>
        </w:rPr>
        <w:t>disturbo da reflusso acido</w:t>
      </w:r>
    </w:p>
    <w:p w14:paraId="0372B7A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sindrome sicca (tra cui secchezza degli occhi e della bocca)</w:t>
      </w:r>
    </w:p>
    <w:p w14:paraId="62FCA5E9" w14:textId="77777777" w:rsidR="0050099E" w:rsidRPr="00C35766" w:rsidRDefault="0050099E" w:rsidP="0050099E">
      <w:pPr>
        <w:pStyle w:val="a3"/>
        <w:numPr>
          <w:ilvl w:val="0"/>
          <w:numId w:val="15"/>
        </w:numPr>
        <w:ind w:left="660" w:hanging="660"/>
      </w:pPr>
      <w:r w:rsidRPr="00C35766">
        <w:rPr>
          <w:rFonts w:eastAsia="Times New Roman"/>
          <w:lang w:val="it-IT"/>
        </w:rPr>
        <w:t>prurito</w:t>
      </w:r>
    </w:p>
    <w:p w14:paraId="1175BB7B" w14:textId="77777777" w:rsidR="0050099E" w:rsidRPr="00C35766" w:rsidRDefault="0050099E" w:rsidP="0050099E">
      <w:pPr>
        <w:pStyle w:val="a3"/>
        <w:numPr>
          <w:ilvl w:val="0"/>
          <w:numId w:val="15"/>
        </w:numPr>
        <w:ind w:left="660" w:hanging="660"/>
        <w:rPr>
          <w:rFonts w:eastAsia="Times New Roman"/>
          <w:spacing w:val="-1"/>
        </w:rPr>
      </w:pPr>
      <w:r w:rsidRPr="00C35766">
        <w:rPr>
          <w:rFonts w:eastAsia="Times New Roman"/>
          <w:lang w:val="it-IT"/>
        </w:rPr>
        <w:t>eruzione cutanea pruriginosa</w:t>
      </w:r>
    </w:p>
    <w:p w14:paraId="6CA61D5F" w14:textId="77777777" w:rsidR="0050099E" w:rsidRPr="00C35766" w:rsidRDefault="0050099E" w:rsidP="0050099E">
      <w:pPr>
        <w:pStyle w:val="a3"/>
        <w:numPr>
          <w:ilvl w:val="0"/>
          <w:numId w:val="15"/>
        </w:numPr>
        <w:ind w:left="660" w:hanging="660"/>
      </w:pPr>
      <w:r w:rsidRPr="00C35766">
        <w:rPr>
          <w:rFonts w:eastAsia="Times New Roman"/>
          <w:lang w:val="it-IT"/>
        </w:rPr>
        <w:t>lividi</w:t>
      </w:r>
    </w:p>
    <w:p w14:paraId="3BC1AE7D"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infiammazione della pelle (come eczema)</w:t>
      </w:r>
    </w:p>
    <w:p w14:paraId="104FB752"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rottura delle unghie delle dita della mano e del piede</w:t>
      </w:r>
    </w:p>
    <w:p w14:paraId="5D388A52" w14:textId="77777777" w:rsidR="0050099E" w:rsidRPr="00C35766" w:rsidRDefault="0050099E" w:rsidP="0050099E">
      <w:pPr>
        <w:pStyle w:val="a3"/>
        <w:numPr>
          <w:ilvl w:val="0"/>
          <w:numId w:val="15"/>
        </w:numPr>
        <w:ind w:left="660" w:hanging="660"/>
      </w:pPr>
      <w:r w:rsidRPr="00C35766">
        <w:rPr>
          <w:rFonts w:eastAsia="Times New Roman"/>
          <w:lang w:val="it-IT"/>
        </w:rPr>
        <w:lastRenderedPageBreak/>
        <w:t>aumento della sudorazione</w:t>
      </w:r>
    </w:p>
    <w:p w14:paraId="5D1F5B35" w14:textId="77777777" w:rsidR="0050099E" w:rsidRPr="00C35766" w:rsidRDefault="0050099E" w:rsidP="0050099E">
      <w:pPr>
        <w:pStyle w:val="a3"/>
        <w:numPr>
          <w:ilvl w:val="0"/>
          <w:numId w:val="15"/>
        </w:numPr>
        <w:ind w:left="660" w:hanging="660"/>
      </w:pPr>
      <w:r w:rsidRPr="00C35766">
        <w:rPr>
          <w:rFonts w:eastAsia="Times New Roman"/>
          <w:lang w:val="it-IT"/>
        </w:rPr>
        <w:t>perdita di capelli</w:t>
      </w:r>
    </w:p>
    <w:p w14:paraId="16FADDEB" w14:textId="77777777" w:rsidR="0050099E" w:rsidRPr="00C35766" w:rsidRDefault="0050099E" w:rsidP="0050099E">
      <w:pPr>
        <w:pStyle w:val="a3"/>
        <w:numPr>
          <w:ilvl w:val="0"/>
          <w:numId w:val="15"/>
        </w:numPr>
        <w:ind w:left="660" w:hanging="660"/>
      </w:pPr>
      <w:r w:rsidRPr="00C35766">
        <w:rPr>
          <w:rFonts w:eastAsia="Times New Roman"/>
          <w:lang w:val="it-IT"/>
        </w:rPr>
        <w:t>insorgenza o peggioramento della psoriasi</w:t>
      </w:r>
    </w:p>
    <w:p w14:paraId="312035CC" w14:textId="77777777" w:rsidR="0050099E" w:rsidRPr="00C35766" w:rsidRDefault="0050099E" w:rsidP="0050099E">
      <w:pPr>
        <w:pStyle w:val="a3"/>
        <w:numPr>
          <w:ilvl w:val="0"/>
          <w:numId w:val="15"/>
        </w:numPr>
        <w:ind w:left="660" w:hanging="660"/>
      </w:pPr>
      <w:r w:rsidRPr="00C35766">
        <w:rPr>
          <w:rFonts w:eastAsia="Times New Roman"/>
          <w:lang w:val="it-IT"/>
        </w:rPr>
        <w:t>spasmi muscolari</w:t>
      </w:r>
    </w:p>
    <w:p w14:paraId="3BBC9A24" w14:textId="77777777" w:rsidR="0050099E" w:rsidRPr="00C35766" w:rsidRDefault="0050099E" w:rsidP="0050099E">
      <w:pPr>
        <w:pStyle w:val="a3"/>
        <w:numPr>
          <w:ilvl w:val="0"/>
          <w:numId w:val="15"/>
        </w:numPr>
        <w:ind w:left="660" w:hanging="660"/>
      </w:pPr>
      <w:r w:rsidRPr="00C35766">
        <w:rPr>
          <w:rFonts w:eastAsia="Times New Roman"/>
          <w:lang w:val="it-IT"/>
        </w:rPr>
        <w:t>sangue nelle urine</w:t>
      </w:r>
    </w:p>
    <w:p w14:paraId="4D723869" w14:textId="77777777" w:rsidR="0050099E" w:rsidRPr="00C35766" w:rsidRDefault="0050099E" w:rsidP="0050099E">
      <w:pPr>
        <w:pStyle w:val="a3"/>
        <w:numPr>
          <w:ilvl w:val="0"/>
          <w:numId w:val="15"/>
        </w:numPr>
        <w:ind w:left="660" w:hanging="660"/>
      </w:pPr>
      <w:r w:rsidRPr="00C35766">
        <w:rPr>
          <w:rFonts w:eastAsia="Times New Roman"/>
          <w:lang w:val="it-IT"/>
        </w:rPr>
        <w:t>problemi renali</w:t>
      </w:r>
    </w:p>
    <w:p w14:paraId="31EAEC1D" w14:textId="77777777" w:rsidR="0050099E" w:rsidRPr="00C35766" w:rsidRDefault="0050099E" w:rsidP="0050099E">
      <w:pPr>
        <w:pStyle w:val="a3"/>
        <w:numPr>
          <w:ilvl w:val="0"/>
          <w:numId w:val="15"/>
        </w:numPr>
        <w:ind w:left="660" w:hanging="660"/>
      </w:pPr>
      <w:r w:rsidRPr="00C35766">
        <w:rPr>
          <w:rFonts w:eastAsia="Times New Roman"/>
          <w:lang w:val="it-IT"/>
        </w:rPr>
        <w:t>dolore al petto</w:t>
      </w:r>
    </w:p>
    <w:p w14:paraId="1C70D174" w14:textId="77777777" w:rsidR="0050099E" w:rsidRPr="00C35766" w:rsidRDefault="0050099E" w:rsidP="0050099E">
      <w:pPr>
        <w:pStyle w:val="a3"/>
        <w:numPr>
          <w:ilvl w:val="0"/>
          <w:numId w:val="15"/>
        </w:numPr>
        <w:ind w:left="660" w:hanging="660"/>
      </w:pPr>
      <w:r w:rsidRPr="00C35766">
        <w:rPr>
          <w:rFonts w:eastAsia="Times New Roman"/>
          <w:lang w:val="it-IT"/>
        </w:rPr>
        <w:t>edema (accumulo di liquidi)</w:t>
      </w:r>
    </w:p>
    <w:p w14:paraId="2F201C78" w14:textId="77777777" w:rsidR="0050099E" w:rsidRPr="00C35766" w:rsidRDefault="0050099E" w:rsidP="0050099E">
      <w:pPr>
        <w:pStyle w:val="a3"/>
        <w:numPr>
          <w:ilvl w:val="0"/>
          <w:numId w:val="15"/>
        </w:numPr>
        <w:ind w:left="660" w:hanging="660"/>
      </w:pPr>
      <w:r w:rsidRPr="00C35766">
        <w:rPr>
          <w:rFonts w:eastAsia="Times New Roman"/>
          <w:lang w:val="it-IT"/>
        </w:rPr>
        <w:t>febbre</w:t>
      </w:r>
    </w:p>
    <w:p w14:paraId="7DF0EC73"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riduzione delle piastrine nel sangue che aumenta il rischio di sanguinamento o di lividi</w:t>
      </w:r>
    </w:p>
    <w:p w14:paraId="1EABF536" w14:textId="77777777" w:rsidR="0050099E" w:rsidRPr="00C35766" w:rsidRDefault="0050099E" w:rsidP="0050099E">
      <w:pPr>
        <w:pStyle w:val="a3"/>
        <w:numPr>
          <w:ilvl w:val="0"/>
          <w:numId w:val="15"/>
        </w:numPr>
        <w:ind w:left="660" w:hanging="660"/>
      </w:pPr>
      <w:r w:rsidRPr="00C35766">
        <w:rPr>
          <w:rFonts w:eastAsia="Times New Roman"/>
          <w:lang w:val="it-IT"/>
        </w:rPr>
        <w:t>compromissione della guarigione delle ferite</w:t>
      </w:r>
    </w:p>
    <w:p w14:paraId="45EACECA" w14:textId="77777777" w:rsidR="0050099E" w:rsidRPr="00C35766" w:rsidRDefault="0050099E" w:rsidP="0050099E">
      <w:pPr>
        <w:spacing w:before="10" w:line="240" w:lineRule="exact"/>
        <w:rPr>
          <w:rFonts w:ascii="Times New Roman" w:hAnsi="Times New Roman" w:cs="Times New Roman"/>
          <w:sz w:val="24"/>
          <w:szCs w:val="24"/>
        </w:rPr>
      </w:pPr>
    </w:p>
    <w:p w14:paraId="5C0C01BC" w14:textId="77777777" w:rsidR="0050099E" w:rsidRPr="00824699" w:rsidRDefault="0050099E" w:rsidP="0050099E">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53AB67C8" w14:textId="77777777" w:rsidR="0050099E" w:rsidRPr="00824699" w:rsidRDefault="0050099E" w:rsidP="0050099E">
      <w:pPr>
        <w:spacing w:before="14" w:line="260" w:lineRule="exact"/>
        <w:rPr>
          <w:rFonts w:ascii="Times New Roman" w:hAnsi="Times New Roman" w:cs="Times New Roman"/>
          <w:sz w:val="26"/>
          <w:szCs w:val="26"/>
          <w:lang w:val="it-IT"/>
        </w:rPr>
      </w:pPr>
    </w:p>
    <w:p w14:paraId="71B93F5E"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opportunistiche (che includono la tubercolosi ed altre infezioni che si verificano quando si riducono le difese immunitarie)</w:t>
      </w:r>
    </w:p>
    <w:p w14:paraId="6AC0DF93"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neurologiche (tra cui la meningite virale)</w:t>
      </w:r>
    </w:p>
    <w:p w14:paraId="044DEFEF" w14:textId="77777777" w:rsidR="0050099E" w:rsidRPr="00C35766" w:rsidRDefault="0050099E" w:rsidP="0050099E">
      <w:pPr>
        <w:pStyle w:val="a3"/>
        <w:numPr>
          <w:ilvl w:val="0"/>
          <w:numId w:val="15"/>
        </w:numPr>
        <w:ind w:left="660" w:hanging="660"/>
      </w:pPr>
      <w:r w:rsidRPr="00C35766">
        <w:rPr>
          <w:rFonts w:eastAsia="Times New Roman"/>
          <w:lang w:val="it-IT"/>
        </w:rPr>
        <w:t>infezioni degli occhi</w:t>
      </w:r>
    </w:p>
    <w:p w14:paraId="3CFA5C05" w14:textId="77777777" w:rsidR="0050099E" w:rsidRPr="00C35766" w:rsidRDefault="0050099E" w:rsidP="0050099E">
      <w:pPr>
        <w:pStyle w:val="a3"/>
        <w:numPr>
          <w:ilvl w:val="0"/>
          <w:numId w:val="15"/>
        </w:numPr>
        <w:ind w:left="660" w:hanging="660"/>
      </w:pPr>
      <w:r w:rsidRPr="00C35766">
        <w:rPr>
          <w:rFonts w:eastAsia="Times New Roman"/>
          <w:lang w:val="it-IT"/>
        </w:rPr>
        <w:t>infezioni batteriche</w:t>
      </w:r>
    </w:p>
    <w:p w14:paraId="6BA90E7F"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diverticolite (infiammazione e infezione dell’intestino crasso)</w:t>
      </w:r>
    </w:p>
    <w:p w14:paraId="4F9E0071" w14:textId="77777777" w:rsidR="0050099E" w:rsidRPr="00C35766" w:rsidRDefault="0050099E" w:rsidP="0050099E">
      <w:pPr>
        <w:pStyle w:val="a3"/>
        <w:numPr>
          <w:ilvl w:val="0"/>
          <w:numId w:val="15"/>
        </w:numPr>
        <w:ind w:left="660" w:hanging="660"/>
      </w:pPr>
      <w:r w:rsidRPr="00C35766">
        <w:rPr>
          <w:rFonts w:eastAsia="Times New Roman"/>
          <w:lang w:val="it-IT"/>
        </w:rPr>
        <w:t>tumore</w:t>
      </w:r>
    </w:p>
    <w:p w14:paraId="7B83D4E0" w14:textId="77777777" w:rsidR="0050099E" w:rsidRPr="00C35766" w:rsidRDefault="0050099E" w:rsidP="0050099E">
      <w:pPr>
        <w:pStyle w:val="a3"/>
        <w:numPr>
          <w:ilvl w:val="0"/>
          <w:numId w:val="15"/>
        </w:numPr>
        <w:ind w:left="660" w:hanging="660"/>
      </w:pPr>
      <w:r w:rsidRPr="00C35766">
        <w:rPr>
          <w:rFonts w:eastAsia="Times New Roman"/>
          <w:lang w:val="it-IT"/>
        </w:rPr>
        <w:t>tumore del sistema linfatico</w:t>
      </w:r>
    </w:p>
    <w:p w14:paraId="0B8A8FD0" w14:textId="77777777" w:rsidR="0050099E" w:rsidRPr="00C35766" w:rsidRDefault="0050099E" w:rsidP="0050099E">
      <w:pPr>
        <w:pStyle w:val="a3"/>
        <w:numPr>
          <w:ilvl w:val="0"/>
          <w:numId w:val="15"/>
        </w:numPr>
        <w:ind w:left="660" w:hanging="660"/>
      </w:pPr>
      <w:r w:rsidRPr="00C35766">
        <w:rPr>
          <w:rFonts w:eastAsia="Times New Roman"/>
          <w:lang w:val="it-IT"/>
        </w:rPr>
        <w:t>melanoma</w:t>
      </w:r>
    </w:p>
    <w:p w14:paraId="5DBBCA8B"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disordini del sistema immunitario che possono colpire polmoni, pelle e linfonodi (che si presentano più comunemente come sarcoidosi)</w:t>
      </w:r>
    </w:p>
    <w:p w14:paraId="0856283E"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vasculite (infiammazione dei vasi sanguigni)</w:t>
      </w:r>
    </w:p>
    <w:p w14:paraId="6C527BA8" w14:textId="77777777" w:rsidR="0050099E" w:rsidRPr="00C35766" w:rsidRDefault="0050099E" w:rsidP="0050099E">
      <w:pPr>
        <w:pStyle w:val="a3"/>
        <w:numPr>
          <w:ilvl w:val="0"/>
          <w:numId w:val="15"/>
        </w:numPr>
        <w:ind w:left="660" w:hanging="660"/>
      </w:pPr>
      <w:r w:rsidRPr="00C35766">
        <w:rPr>
          <w:rFonts w:eastAsia="Times New Roman"/>
          <w:lang w:val="it-IT"/>
        </w:rPr>
        <w:t>tremore (agitazione)</w:t>
      </w:r>
    </w:p>
    <w:p w14:paraId="335ED185"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neuropatia (disturbo del sistema nervoso)</w:t>
      </w:r>
    </w:p>
    <w:p w14:paraId="5798ADF6" w14:textId="77777777" w:rsidR="0050099E" w:rsidRPr="00C35766" w:rsidRDefault="0050099E" w:rsidP="0050099E">
      <w:pPr>
        <w:pStyle w:val="a3"/>
        <w:numPr>
          <w:ilvl w:val="0"/>
          <w:numId w:val="15"/>
        </w:numPr>
        <w:ind w:left="660" w:hanging="660"/>
      </w:pPr>
      <w:r w:rsidRPr="00C35766">
        <w:rPr>
          <w:rFonts w:eastAsia="Times New Roman"/>
          <w:lang w:val="it-IT"/>
        </w:rPr>
        <w:t>ictus</w:t>
      </w:r>
    </w:p>
    <w:p w14:paraId="17569D9F" w14:textId="77777777" w:rsidR="0050099E" w:rsidRPr="00C35766" w:rsidRDefault="0050099E" w:rsidP="0050099E">
      <w:pPr>
        <w:pStyle w:val="a3"/>
        <w:numPr>
          <w:ilvl w:val="0"/>
          <w:numId w:val="15"/>
        </w:numPr>
        <w:ind w:left="660" w:hanging="660"/>
      </w:pPr>
      <w:r w:rsidRPr="00C35766">
        <w:rPr>
          <w:rFonts w:eastAsia="Times New Roman"/>
          <w:lang w:val="it-IT"/>
        </w:rPr>
        <w:t>perdita dell' udito, ronzio</w:t>
      </w:r>
    </w:p>
    <w:p w14:paraId="70E99BC6"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sensazione di battito cardiaco irregolare come palpitazioni</w:t>
      </w:r>
    </w:p>
    <w:p w14:paraId="4D09F1E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problemi al cuore che possono causare respiro corto o gonfiore a livello delle caviglie</w:t>
      </w:r>
    </w:p>
    <w:p w14:paraId="119288EF" w14:textId="77777777" w:rsidR="0050099E" w:rsidRPr="00C35766" w:rsidRDefault="0050099E" w:rsidP="0050099E">
      <w:pPr>
        <w:pStyle w:val="a3"/>
        <w:numPr>
          <w:ilvl w:val="0"/>
          <w:numId w:val="15"/>
        </w:numPr>
        <w:ind w:left="660" w:hanging="660"/>
      </w:pPr>
      <w:r w:rsidRPr="00C35766">
        <w:rPr>
          <w:rFonts w:eastAsia="Times New Roman"/>
          <w:lang w:val="it-IT"/>
        </w:rPr>
        <w:t>attacco di cuore</w:t>
      </w:r>
    </w:p>
    <w:p w14:paraId="3D9BF405"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una sacca nella parete di un’arteria principale, infiammazione e coagulo in una vena, ostruzione di un vaso sanguigno</w:t>
      </w:r>
    </w:p>
    <w:p w14:paraId="22ED2A53"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malattia polmonare che provoca respiro corto (inclusa infiammazione)</w:t>
      </w:r>
    </w:p>
    <w:p w14:paraId="7F7D8911"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embolia polmonare (occlusione di una arteria del polmone)</w:t>
      </w:r>
    </w:p>
    <w:p w14:paraId="0E0045FE"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versamento pleurico (accumulo anomalo di liquido nello spazio pleurico)</w:t>
      </w:r>
    </w:p>
    <w:p w14:paraId="3B89DBA5"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infiammazione del pancreas che causa forti dolori all’addome ed alla schiena</w:t>
      </w:r>
    </w:p>
    <w:p w14:paraId="32BC0F86" w14:textId="77777777" w:rsidR="0050099E" w:rsidRPr="00C35766" w:rsidRDefault="0050099E" w:rsidP="0050099E">
      <w:pPr>
        <w:pStyle w:val="a3"/>
        <w:numPr>
          <w:ilvl w:val="0"/>
          <w:numId w:val="15"/>
        </w:numPr>
        <w:ind w:left="660" w:hanging="660"/>
      </w:pPr>
      <w:r w:rsidRPr="00C35766">
        <w:rPr>
          <w:rFonts w:eastAsia="Times New Roman"/>
          <w:lang w:val="it-IT"/>
        </w:rPr>
        <w:t>difficoltà nella deglutizione</w:t>
      </w:r>
    </w:p>
    <w:p w14:paraId="73AC6590"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edema facciale (gonfiore del viso)</w:t>
      </w:r>
    </w:p>
    <w:p w14:paraId="37C13601"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infiammazione della cistifellea, calcoli alla cistifellea</w:t>
      </w:r>
    </w:p>
    <w:p w14:paraId="0A41A566" w14:textId="77777777" w:rsidR="0050099E" w:rsidRPr="00C35766" w:rsidRDefault="0050099E" w:rsidP="0050099E">
      <w:pPr>
        <w:pStyle w:val="a3"/>
        <w:numPr>
          <w:ilvl w:val="0"/>
          <w:numId w:val="15"/>
        </w:numPr>
        <w:ind w:left="660" w:hanging="660"/>
      </w:pPr>
      <w:r w:rsidRPr="00C35766">
        <w:rPr>
          <w:rFonts w:eastAsia="Times New Roman"/>
          <w:lang w:val="it-IT"/>
        </w:rPr>
        <w:t>fegato grasso</w:t>
      </w:r>
    </w:p>
    <w:p w14:paraId="1372F626" w14:textId="77777777" w:rsidR="0050099E" w:rsidRPr="00C35766" w:rsidRDefault="0050099E" w:rsidP="0050099E">
      <w:pPr>
        <w:pStyle w:val="a3"/>
        <w:numPr>
          <w:ilvl w:val="0"/>
          <w:numId w:val="15"/>
        </w:numPr>
        <w:ind w:left="660" w:hanging="660"/>
      </w:pPr>
      <w:r w:rsidRPr="00C35766">
        <w:rPr>
          <w:rFonts w:eastAsia="Times New Roman"/>
          <w:lang w:val="it-IT"/>
        </w:rPr>
        <w:t>sudorazione notturna</w:t>
      </w:r>
    </w:p>
    <w:p w14:paraId="3C59DD35" w14:textId="77777777" w:rsidR="0050099E" w:rsidRPr="00C35766" w:rsidRDefault="0050099E" w:rsidP="0050099E">
      <w:pPr>
        <w:pStyle w:val="a3"/>
        <w:numPr>
          <w:ilvl w:val="0"/>
          <w:numId w:val="15"/>
        </w:numPr>
        <w:ind w:left="660" w:hanging="660"/>
      </w:pPr>
      <w:r w:rsidRPr="00C35766">
        <w:rPr>
          <w:rFonts w:eastAsia="Times New Roman"/>
          <w:lang w:val="it-IT"/>
        </w:rPr>
        <w:t>cicatrice</w:t>
      </w:r>
    </w:p>
    <w:p w14:paraId="5E880614" w14:textId="77777777" w:rsidR="0050099E" w:rsidRPr="00C35766" w:rsidRDefault="0050099E" w:rsidP="0050099E">
      <w:pPr>
        <w:pStyle w:val="a3"/>
        <w:numPr>
          <w:ilvl w:val="0"/>
          <w:numId w:val="15"/>
        </w:numPr>
        <w:ind w:left="660" w:hanging="660"/>
      </w:pPr>
      <w:r w:rsidRPr="00C35766">
        <w:rPr>
          <w:rFonts w:eastAsia="Times New Roman"/>
          <w:lang w:val="it-IT"/>
        </w:rPr>
        <w:t>anormale catabolismo muscolare</w:t>
      </w:r>
    </w:p>
    <w:p w14:paraId="235E2694" w14:textId="77777777" w:rsidR="0050099E" w:rsidRPr="00C35766" w:rsidRDefault="0050099E" w:rsidP="0050099E">
      <w:pPr>
        <w:pStyle w:val="a3"/>
        <w:numPr>
          <w:ilvl w:val="0"/>
          <w:numId w:val="15"/>
        </w:numPr>
        <w:ind w:left="660" w:hanging="660"/>
        <w:rPr>
          <w:rFonts w:eastAsia="Times New Roman"/>
          <w:spacing w:val="-1"/>
          <w:lang w:val="es-ES"/>
        </w:rPr>
      </w:pPr>
      <w:r w:rsidRPr="00C35766">
        <w:rPr>
          <w:rFonts w:eastAsia="Times New Roman"/>
          <w:lang w:val="it-IT"/>
        </w:rPr>
        <w:t>lupus eritematoso sistemico (tra cui infiammazione della pelle, del cuore, del polmone, delle articolazioni e di altri organi)</w:t>
      </w:r>
    </w:p>
    <w:p w14:paraId="6DFAB229" w14:textId="77777777" w:rsidR="0050099E" w:rsidRPr="00C35766" w:rsidRDefault="0050099E" w:rsidP="0050099E">
      <w:pPr>
        <w:pStyle w:val="a3"/>
        <w:numPr>
          <w:ilvl w:val="0"/>
          <w:numId w:val="15"/>
        </w:numPr>
        <w:ind w:left="660" w:hanging="660"/>
      </w:pPr>
      <w:r w:rsidRPr="00C35766">
        <w:rPr>
          <w:rFonts w:eastAsia="Times New Roman"/>
          <w:lang w:val="it-IT"/>
        </w:rPr>
        <w:t>sonno interrotto</w:t>
      </w:r>
    </w:p>
    <w:p w14:paraId="4591CA27" w14:textId="77777777" w:rsidR="0050099E" w:rsidRPr="00C35766" w:rsidRDefault="0050099E" w:rsidP="0050099E">
      <w:pPr>
        <w:pStyle w:val="a3"/>
        <w:numPr>
          <w:ilvl w:val="0"/>
          <w:numId w:val="15"/>
        </w:numPr>
        <w:ind w:left="660" w:hanging="660"/>
      </w:pPr>
      <w:r w:rsidRPr="00C35766">
        <w:rPr>
          <w:rFonts w:eastAsia="Times New Roman"/>
          <w:lang w:val="it-IT"/>
        </w:rPr>
        <w:t>impotenza</w:t>
      </w:r>
    </w:p>
    <w:p w14:paraId="05050C5E" w14:textId="77777777" w:rsidR="0050099E" w:rsidRPr="00C35766" w:rsidRDefault="0050099E" w:rsidP="0050099E">
      <w:pPr>
        <w:pStyle w:val="a3"/>
        <w:numPr>
          <w:ilvl w:val="0"/>
          <w:numId w:val="15"/>
        </w:numPr>
        <w:ind w:left="660" w:hanging="660"/>
      </w:pPr>
      <w:r w:rsidRPr="00C35766">
        <w:rPr>
          <w:rFonts w:eastAsia="Times New Roman"/>
          <w:lang w:val="it-IT"/>
        </w:rPr>
        <w:t>infiammazioni</w:t>
      </w:r>
    </w:p>
    <w:p w14:paraId="2DB82F97" w14:textId="77777777" w:rsidR="0050099E" w:rsidRPr="00C35766" w:rsidRDefault="0050099E" w:rsidP="0050099E">
      <w:pPr>
        <w:spacing w:before="13" w:line="240" w:lineRule="exact"/>
        <w:rPr>
          <w:rFonts w:ascii="Times New Roman" w:hAnsi="Times New Roman" w:cs="Times New Roman"/>
          <w:sz w:val="24"/>
          <w:szCs w:val="24"/>
        </w:rPr>
      </w:pPr>
    </w:p>
    <w:p w14:paraId="0E068B9A" w14:textId="1E39C82C" w:rsidR="0050099E" w:rsidRPr="00824699" w:rsidRDefault="0050099E" w:rsidP="0050099E">
      <w:pPr>
        <w:pStyle w:val="a3"/>
        <w:rPr>
          <w:lang w:val="it-IT"/>
        </w:rPr>
      </w:pPr>
      <w:r w:rsidRPr="00C35766">
        <w:rPr>
          <w:rFonts w:eastAsia="Times New Roman"/>
          <w:b/>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2C263AF5" w14:textId="77777777" w:rsidR="0050099E" w:rsidRPr="00824699" w:rsidRDefault="0050099E" w:rsidP="0050099E">
      <w:pPr>
        <w:spacing w:before="12" w:line="240" w:lineRule="exact"/>
        <w:rPr>
          <w:rFonts w:ascii="Times New Roman" w:hAnsi="Times New Roman" w:cs="Times New Roman"/>
          <w:sz w:val="24"/>
          <w:szCs w:val="24"/>
          <w:lang w:val="it-IT"/>
        </w:rPr>
      </w:pPr>
    </w:p>
    <w:p w14:paraId="51B0A2B1"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leucemia (un tumore che colpisce il sangue e il midollo osseo)</w:t>
      </w:r>
    </w:p>
    <w:p w14:paraId="005E4A67" w14:textId="77777777" w:rsidR="0050099E" w:rsidRPr="00C35766" w:rsidRDefault="0050099E" w:rsidP="0050099E">
      <w:pPr>
        <w:pStyle w:val="a3"/>
        <w:numPr>
          <w:ilvl w:val="0"/>
          <w:numId w:val="15"/>
        </w:numPr>
        <w:ind w:left="660" w:hanging="660"/>
      </w:pPr>
      <w:r w:rsidRPr="00C35766">
        <w:rPr>
          <w:rFonts w:eastAsia="Times New Roman"/>
          <w:lang w:val="it-IT"/>
        </w:rPr>
        <w:t>reazione allergica grave con shock</w:t>
      </w:r>
    </w:p>
    <w:p w14:paraId="3C590CB0" w14:textId="77777777" w:rsidR="0050099E" w:rsidRPr="00C35766" w:rsidRDefault="0050099E" w:rsidP="0050099E">
      <w:pPr>
        <w:pStyle w:val="a3"/>
        <w:numPr>
          <w:ilvl w:val="0"/>
          <w:numId w:val="15"/>
        </w:numPr>
        <w:ind w:left="660" w:hanging="660"/>
      </w:pPr>
      <w:r w:rsidRPr="00C35766">
        <w:rPr>
          <w:rFonts w:eastAsia="Times New Roman"/>
          <w:lang w:val="it-IT"/>
        </w:rPr>
        <w:t>sclerosi multipla</w:t>
      </w:r>
    </w:p>
    <w:p w14:paraId="3F48896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disturbi neurologici (come infiammazione del nervo ottico e sindrome di Guillain-Barré che può causare debolezza muscolare, sensazioni ano</w:t>
      </w:r>
      <w:r w:rsidRPr="00C35766">
        <w:rPr>
          <w:rFonts w:eastAsia="맑은 고딕"/>
          <w:lang w:val="it-IT" w:eastAsia="ko-KR"/>
        </w:rPr>
        <w:t>r</w:t>
      </w:r>
      <w:r w:rsidRPr="00C35766">
        <w:rPr>
          <w:rFonts w:eastAsia="Times New Roman"/>
          <w:lang w:val="it-IT"/>
        </w:rPr>
        <w:t>mali, formicolio alle braccia ed alla parte superiore del corpo)</w:t>
      </w:r>
    </w:p>
    <w:p w14:paraId="5CCC88B0" w14:textId="77777777" w:rsidR="0050099E" w:rsidRPr="00C35766" w:rsidRDefault="0050099E" w:rsidP="0050099E">
      <w:pPr>
        <w:pStyle w:val="a3"/>
        <w:numPr>
          <w:ilvl w:val="0"/>
          <w:numId w:val="15"/>
        </w:numPr>
        <w:ind w:left="660" w:hanging="660"/>
      </w:pPr>
      <w:r w:rsidRPr="00C35766">
        <w:rPr>
          <w:rFonts w:eastAsia="Times New Roman"/>
          <w:lang w:val="it-IT"/>
        </w:rPr>
        <w:t>arresto cardiaco</w:t>
      </w:r>
    </w:p>
    <w:p w14:paraId="2DA4B855"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fibrosi polmonare (cicatrici del polmone)</w:t>
      </w:r>
    </w:p>
    <w:p w14:paraId="23405A0A" w14:textId="77777777" w:rsidR="0050099E" w:rsidRPr="00C35766" w:rsidRDefault="0050099E" w:rsidP="0050099E">
      <w:pPr>
        <w:pStyle w:val="a3"/>
        <w:numPr>
          <w:ilvl w:val="0"/>
          <w:numId w:val="15"/>
        </w:numPr>
        <w:ind w:left="660" w:hanging="660"/>
      </w:pPr>
      <w:r w:rsidRPr="00C35766">
        <w:rPr>
          <w:rFonts w:eastAsia="Times New Roman"/>
          <w:lang w:val="it-IT"/>
        </w:rPr>
        <w:t>perforazione intestinale (foro nell’intestino)</w:t>
      </w:r>
    </w:p>
    <w:p w14:paraId="76CAFE35" w14:textId="77777777" w:rsidR="0050099E" w:rsidRPr="00C35766" w:rsidRDefault="0050099E" w:rsidP="0050099E">
      <w:pPr>
        <w:pStyle w:val="a3"/>
        <w:numPr>
          <w:ilvl w:val="0"/>
          <w:numId w:val="15"/>
        </w:numPr>
        <w:ind w:left="660" w:hanging="660"/>
      </w:pPr>
      <w:r w:rsidRPr="00C35766">
        <w:rPr>
          <w:rFonts w:eastAsia="Times New Roman"/>
          <w:lang w:val="it-IT"/>
        </w:rPr>
        <w:t>epatite</w:t>
      </w:r>
    </w:p>
    <w:p w14:paraId="64872985" w14:textId="77777777" w:rsidR="0050099E" w:rsidRPr="00C35766" w:rsidRDefault="0050099E" w:rsidP="0050099E">
      <w:pPr>
        <w:pStyle w:val="a3"/>
        <w:numPr>
          <w:ilvl w:val="0"/>
          <w:numId w:val="15"/>
        </w:numPr>
        <w:ind w:left="660" w:hanging="660"/>
      </w:pPr>
      <w:r w:rsidRPr="00C35766">
        <w:rPr>
          <w:rFonts w:eastAsia="Times New Roman"/>
          <w:lang w:val="it-IT"/>
        </w:rPr>
        <w:t>riattivazione dell’epatite B</w:t>
      </w:r>
    </w:p>
    <w:p w14:paraId="3050AD4E"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epatite autoimmune (infiammazione del fegato causata dal proprio sistema immunitario)</w:t>
      </w:r>
    </w:p>
    <w:p w14:paraId="221568F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vasculite cutanea (infiammazione dei vasi sanguigni della pelle)</w:t>
      </w:r>
    </w:p>
    <w:p w14:paraId="2A67DD10"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sindrome di Stevens-Johnson (i sintomi precoci includono malessere, febbre, mal di testa ed eruzione cutanea)</w:t>
      </w:r>
    </w:p>
    <w:p w14:paraId="6D987DC9"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edema facciale (gonfiore del viso) associato a reazioni allergiche</w:t>
      </w:r>
    </w:p>
    <w:p w14:paraId="0E1E7318"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eritema multiforme (eruzione cutanea infiammatoria)</w:t>
      </w:r>
    </w:p>
    <w:p w14:paraId="413228ED" w14:textId="77777777" w:rsidR="0050099E" w:rsidRPr="00C35766" w:rsidRDefault="0050099E" w:rsidP="0050099E">
      <w:pPr>
        <w:pStyle w:val="a3"/>
        <w:numPr>
          <w:ilvl w:val="0"/>
          <w:numId w:val="15"/>
        </w:numPr>
        <w:ind w:left="660" w:hanging="660"/>
      </w:pPr>
      <w:r w:rsidRPr="00C35766">
        <w:rPr>
          <w:rFonts w:eastAsia="Times New Roman"/>
          <w:lang w:val="it-IT"/>
        </w:rPr>
        <w:t>sindrome simile al lupus</w:t>
      </w:r>
    </w:p>
    <w:p w14:paraId="3C58D155"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angioedema (gonfiore localizzato della pelle)</w:t>
      </w:r>
    </w:p>
    <w:p w14:paraId="36637D6D"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reazione cutanea lichenoide (eruzione cutanea rosso-violacea pruriginosa)</w:t>
      </w:r>
    </w:p>
    <w:p w14:paraId="21CF8662" w14:textId="77777777" w:rsidR="0050099E" w:rsidRPr="00C35766" w:rsidRDefault="0050099E" w:rsidP="0050099E">
      <w:pPr>
        <w:spacing w:before="10" w:line="240" w:lineRule="exact"/>
        <w:rPr>
          <w:rFonts w:ascii="Times New Roman" w:hAnsi="Times New Roman" w:cs="Times New Roman"/>
          <w:sz w:val="24"/>
          <w:szCs w:val="24"/>
          <w:lang w:val="pt-BR"/>
        </w:rPr>
      </w:pPr>
    </w:p>
    <w:p w14:paraId="31631187" w14:textId="77777777" w:rsidR="0050099E" w:rsidRPr="00824699" w:rsidRDefault="0050099E" w:rsidP="0050099E">
      <w:pPr>
        <w:pStyle w:val="a3"/>
        <w:rPr>
          <w:lang w:val="it-IT"/>
        </w:rPr>
      </w:pPr>
      <w:r w:rsidRPr="00C35766">
        <w:rPr>
          <w:rFonts w:eastAsia="Times New Roman"/>
          <w:b/>
          <w:bCs/>
          <w:lang w:val="it-IT"/>
        </w:rPr>
        <w:t xml:space="preserve">Non nota </w:t>
      </w:r>
      <w:r w:rsidRPr="00C35766">
        <w:rPr>
          <w:rFonts w:eastAsia="Times New Roman"/>
          <w:lang w:val="it-IT"/>
        </w:rPr>
        <w:t>(la frequenza non può essere definita sulla base dei dati disponibili):</w:t>
      </w:r>
    </w:p>
    <w:p w14:paraId="40A43D29" w14:textId="77777777" w:rsidR="0050099E" w:rsidRPr="00824699" w:rsidRDefault="0050099E" w:rsidP="0050099E">
      <w:pPr>
        <w:spacing w:before="14" w:line="240" w:lineRule="exact"/>
        <w:rPr>
          <w:rFonts w:ascii="Times New Roman" w:hAnsi="Times New Roman" w:cs="Times New Roman"/>
          <w:sz w:val="24"/>
          <w:szCs w:val="24"/>
          <w:lang w:val="it-IT"/>
        </w:rPr>
      </w:pPr>
    </w:p>
    <w:p w14:paraId="77CB34EB"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linfoma epato-splenico a cellule T (un raro tumore del sangue che spesso risulta fatale)</w:t>
      </w:r>
    </w:p>
    <w:p w14:paraId="49BA1235"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carcinoma a cellule di Merkel (un tipo di cancro della pelle)</w:t>
      </w:r>
    </w:p>
    <w:p w14:paraId="02595865"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sarcoma di Kaposi, un raro tumore associato all’infezione da herpes virus umano 8. Il sarcoma di Kaposi appare più comunemente come lesioni viola sulla pelle.</w:t>
      </w:r>
    </w:p>
    <w:p w14:paraId="38A0C5B3" w14:textId="77777777" w:rsidR="0050099E" w:rsidRPr="00C35766" w:rsidRDefault="0050099E" w:rsidP="0050099E">
      <w:pPr>
        <w:pStyle w:val="a3"/>
        <w:numPr>
          <w:ilvl w:val="0"/>
          <w:numId w:val="15"/>
        </w:numPr>
        <w:ind w:left="660" w:hanging="660"/>
      </w:pPr>
      <w:r w:rsidRPr="00C35766">
        <w:rPr>
          <w:rFonts w:eastAsia="Times New Roman"/>
          <w:lang w:val="it-IT"/>
        </w:rPr>
        <w:t>insufficienza epatica</w:t>
      </w:r>
    </w:p>
    <w:p w14:paraId="0ACD47EA"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peggioramento di una condizione chiamata dermatomiosite (che si manifesta come eruzione cutanea accompagnata da debolezza muscolare)</w:t>
      </w:r>
    </w:p>
    <w:p w14:paraId="004C84FF" w14:textId="7A7075EC" w:rsidR="0050099E" w:rsidRPr="00C35766" w:rsidRDefault="00A24854" w:rsidP="0050099E">
      <w:pPr>
        <w:pStyle w:val="a3"/>
        <w:numPr>
          <w:ilvl w:val="0"/>
          <w:numId w:val="15"/>
        </w:numPr>
        <w:ind w:left="660" w:hanging="660"/>
        <w:rPr>
          <w:lang w:val="pt-BR"/>
        </w:rPr>
      </w:pPr>
      <w:r>
        <w:rPr>
          <w:rFonts w:eastAsia="Times New Roman"/>
          <w:lang w:val="it-IT"/>
        </w:rPr>
        <w:t>a</w:t>
      </w:r>
      <w:r w:rsidR="0050099E" w:rsidRPr="00C35766">
        <w:rPr>
          <w:rFonts w:eastAsia="Times New Roman"/>
          <w:lang w:val="it-IT"/>
        </w:rPr>
        <w:t>umento di peso (per la maggior parte dei pazienti l’aumento di peso è stato basso)</w:t>
      </w:r>
    </w:p>
    <w:p w14:paraId="1296EBD4" w14:textId="77777777" w:rsidR="0050099E" w:rsidRPr="00C35766" w:rsidRDefault="0050099E" w:rsidP="0050099E">
      <w:pPr>
        <w:pStyle w:val="a3"/>
        <w:numPr>
          <w:ilvl w:val="0"/>
          <w:numId w:val="0"/>
        </w:numPr>
        <w:rPr>
          <w:lang w:val="pt-BR"/>
        </w:rPr>
      </w:pPr>
    </w:p>
    <w:p w14:paraId="42E1D88B" w14:textId="77777777" w:rsidR="0050099E" w:rsidRPr="00C35766" w:rsidRDefault="0050099E" w:rsidP="0050099E">
      <w:pPr>
        <w:pStyle w:val="a3"/>
        <w:rPr>
          <w:lang w:val="pt-BR"/>
        </w:rPr>
      </w:pPr>
      <w:r w:rsidRPr="00C35766">
        <w:rPr>
          <w:rFonts w:eastAsia="Times New Roman"/>
          <w:lang w:val="it-IT"/>
        </w:rPr>
        <w:t>Alcuni degli effetti indesiderati osservati con Yuflyma possono essere asintomatici e possono essere individuati solo attraverso gli esami del sangue. Questi includono:</w:t>
      </w:r>
    </w:p>
    <w:p w14:paraId="6D3D1B00" w14:textId="77777777" w:rsidR="0050099E" w:rsidRPr="00C35766" w:rsidRDefault="0050099E" w:rsidP="0050099E">
      <w:pPr>
        <w:pStyle w:val="a3"/>
        <w:rPr>
          <w:lang w:val="pt-BR"/>
        </w:rPr>
      </w:pPr>
    </w:p>
    <w:p w14:paraId="5C41BE7E" w14:textId="77777777" w:rsidR="0050099E" w:rsidRPr="00C35766" w:rsidRDefault="0050099E" w:rsidP="0050099E">
      <w:pPr>
        <w:pStyle w:val="a3"/>
        <w:rPr>
          <w:rFonts w:eastAsia="Times New Roman"/>
          <w:lang w:val="pt-BR"/>
        </w:rPr>
      </w:pPr>
      <w:r w:rsidRPr="00C35766">
        <w:rPr>
          <w:rFonts w:eastAsia="Times New Roman"/>
          <w:b/>
          <w:bCs/>
          <w:spacing w:val="-1"/>
          <w:lang w:val="it-IT"/>
        </w:rPr>
        <w:t xml:space="preserve">Molto comuni </w:t>
      </w:r>
      <w:r w:rsidRPr="00C35766">
        <w:rPr>
          <w:rFonts w:eastAsia="Times New Roman"/>
          <w:spacing w:val="-1"/>
          <w:lang w:val="it-IT"/>
        </w:rPr>
        <w:t>(possono interessare più di 1 persona su 10)</w:t>
      </w:r>
    </w:p>
    <w:p w14:paraId="6135CC67" w14:textId="77777777" w:rsidR="0050099E" w:rsidRPr="00C35766" w:rsidRDefault="0050099E" w:rsidP="0050099E">
      <w:pPr>
        <w:pStyle w:val="a3"/>
        <w:rPr>
          <w:lang w:val="pt-BR"/>
        </w:rPr>
      </w:pPr>
    </w:p>
    <w:p w14:paraId="67EF6315" w14:textId="77777777" w:rsidR="0050099E" w:rsidRPr="00C35766" w:rsidRDefault="0050099E" w:rsidP="0050099E">
      <w:pPr>
        <w:pStyle w:val="a3"/>
        <w:numPr>
          <w:ilvl w:val="0"/>
          <w:numId w:val="15"/>
        </w:numPr>
        <w:ind w:left="660" w:hanging="660"/>
      </w:pPr>
      <w:r w:rsidRPr="00C35766">
        <w:rPr>
          <w:rFonts w:eastAsia="Times New Roman"/>
          <w:lang w:val="it-IT"/>
        </w:rPr>
        <w:t>bassa conta dei globuli bianchi</w:t>
      </w:r>
    </w:p>
    <w:p w14:paraId="65B90A66" w14:textId="77777777" w:rsidR="0050099E" w:rsidRPr="00C35766" w:rsidRDefault="0050099E" w:rsidP="0050099E">
      <w:pPr>
        <w:pStyle w:val="a3"/>
        <w:numPr>
          <w:ilvl w:val="0"/>
          <w:numId w:val="15"/>
        </w:numPr>
        <w:ind w:left="660" w:hanging="660"/>
      </w:pPr>
      <w:r w:rsidRPr="00C35766">
        <w:rPr>
          <w:rFonts w:eastAsia="Times New Roman"/>
          <w:lang w:val="it-IT"/>
        </w:rPr>
        <w:t>bassa conta dei globuli rossi</w:t>
      </w:r>
    </w:p>
    <w:p w14:paraId="06D0C8DE" w14:textId="77777777" w:rsidR="0050099E" w:rsidRPr="00C35766" w:rsidRDefault="0050099E" w:rsidP="0050099E">
      <w:pPr>
        <w:pStyle w:val="a3"/>
        <w:numPr>
          <w:ilvl w:val="0"/>
          <w:numId w:val="15"/>
        </w:numPr>
        <w:ind w:left="660" w:hanging="660"/>
      </w:pPr>
      <w:r w:rsidRPr="00C35766">
        <w:rPr>
          <w:rFonts w:eastAsia="Times New Roman"/>
          <w:lang w:val="it-IT"/>
        </w:rPr>
        <w:t>aumento dei lipidi nel sangue</w:t>
      </w:r>
    </w:p>
    <w:p w14:paraId="12B6B003" w14:textId="77777777" w:rsidR="0050099E" w:rsidRPr="00C35766" w:rsidRDefault="0050099E" w:rsidP="0050099E">
      <w:pPr>
        <w:pStyle w:val="a3"/>
        <w:numPr>
          <w:ilvl w:val="0"/>
          <w:numId w:val="15"/>
        </w:numPr>
        <w:ind w:left="660" w:hanging="660"/>
      </w:pPr>
      <w:r w:rsidRPr="00C35766">
        <w:rPr>
          <w:rFonts w:eastAsia="Times New Roman"/>
          <w:lang w:val="it-IT"/>
        </w:rPr>
        <w:t>aumento degli enzimi epatici</w:t>
      </w:r>
    </w:p>
    <w:p w14:paraId="058B21E2" w14:textId="77777777" w:rsidR="0050099E" w:rsidRPr="00C35766" w:rsidRDefault="0050099E" w:rsidP="0050099E">
      <w:pPr>
        <w:spacing w:before="10" w:line="240" w:lineRule="exact"/>
        <w:rPr>
          <w:rFonts w:ascii="Times New Roman" w:hAnsi="Times New Roman" w:cs="Times New Roman"/>
          <w:sz w:val="24"/>
          <w:szCs w:val="24"/>
        </w:rPr>
      </w:pPr>
    </w:p>
    <w:p w14:paraId="459F96D2" w14:textId="77777777" w:rsidR="0050099E" w:rsidRPr="00C35766" w:rsidRDefault="0050099E" w:rsidP="0050099E">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1669C737" w14:textId="77777777" w:rsidR="0050099E" w:rsidRPr="00C35766" w:rsidRDefault="0050099E" w:rsidP="0050099E">
      <w:pPr>
        <w:spacing w:before="14" w:line="240" w:lineRule="exact"/>
        <w:rPr>
          <w:rFonts w:ascii="Times New Roman" w:hAnsi="Times New Roman" w:cs="Times New Roman"/>
          <w:sz w:val="24"/>
          <w:szCs w:val="24"/>
          <w:lang w:val="pt-BR"/>
        </w:rPr>
      </w:pPr>
    </w:p>
    <w:p w14:paraId="730C430C"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aumento della conta dei globuli bianchi</w:t>
      </w:r>
    </w:p>
    <w:p w14:paraId="38751ACC" w14:textId="77777777" w:rsidR="0050099E" w:rsidRPr="00C35766" w:rsidRDefault="0050099E" w:rsidP="0050099E">
      <w:pPr>
        <w:pStyle w:val="a3"/>
        <w:numPr>
          <w:ilvl w:val="0"/>
          <w:numId w:val="15"/>
        </w:numPr>
        <w:ind w:left="660" w:hanging="660"/>
      </w:pPr>
      <w:r w:rsidRPr="00C35766">
        <w:rPr>
          <w:rFonts w:eastAsia="Times New Roman"/>
          <w:lang w:val="it-IT"/>
        </w:rPr>
        <w:t>riduzione delle piastrine nel sangue</w:t>
      </w:r>
    </w:p>
    <w:p w14:paraId="7F91CC43" w14:textId="77777777" w:rsidR="0050099E" w:rsidRPr="00C35766" w:rsidRDefault="0050099E" w:rsidP="0050099E">
      <w:pPr>
        <w:pStyle w:val="a3"/>
        <w:numPr>
          <w:ilvl w:val="0"/>
          <w:numId w:val="15"/>
        </w:numPr>
        <w:ind w:left="660" w:hanging="660"/>
      </w:pPr>
      <w:r w:rsidRPr="00C35766">
        <w:rPr>
          <w:rFonts w:eastAsia="Times New Roman"/>
          <w:lang w:val="it-IT"/>
        </w:rPr>
        <w:t>aumento dell’acido urico nel sangue</w:t>
      </w:r>
    </w:p>
    <w:p w14:paraId="17562379" w14:textId="77777777" w:rsidR="0050099E" w:rsidRPr="00C35766" w:rsidRDefault="0050099E" w:rsidP="0050099E">
      <w:pPr>
        <w:pStyle w:val="a3"/>
        <w:numPr>
          <w:ilvl w:val="0"/>
          <w:numId w:val="15"/>
        </w:numPr>
        <w:ind w:left="660" w:hanging="660"/>
      </w:pPr>
      <w:r w:rsidRPr="00C35766">
        <w:rPr>
          <w:rFonts w:eastAsia="Times New Roman"/>
          <w:lang w:val="it-IT"/>
        </w:rPr>
        <w:t>alterazione del sodio nel sangue</w:t>
      </w:r>
    </w:p>
    <w:p w14:paraId="5E9B999E" w14:textId="77777777" w:rsidR="0050099E" w:rsidRPr="00C35766" w:rsidRDefault="0050099E" w:rsidP="0050099E">
      <w:pPr>
        <w:pStyle w:val="a3"/>
        <w:numPr>
          <w:ilvl w:val="0"/>
          <w:numId w:val="15"/>
        </w:numPr>
        <w:ind w:left="660" w:hanging="660"/>
      </w:pPr>
      <w:r w:rsidRPr="00C35766">
        <w:rPr>
          <w:rFonts w:eastAsia="Times New Roman"/>
          <w:lang w:val="it-IT"/>
        </w:rPr>
        <w:t>riduzione del calcio nel sangue</w:t>
      </w:r>
    </w:p>
    <w:p w14:paraId="1261393D" w14:textId="77777777" w:rsidR="0050099E" w:rsidRPr="00C35766" w:rsidRDefault="0050099E" w:rsidP="0050099E">
      <w:pPr>
        <w:pStyle w:val="a3"/>
        <w:numPr>
          <w:ilvl w:val="0"/>
          <w:numId w:val="15"/>
        </w:numPr>
        <w:ind w:left="660" w:hanging="660"/>
      </w:pPr>
      <w:r w:rsidRPr="00C35766">
        <w:rPr>
          <w:rFonts w:eastAsia="Times New Roman"/>
          <w:lang w:val="it-IT"/>
        </w:rPr>
        <w:lastRenderedPageBreak/>
        <w:t>riduzione del fosfato nel sangue</w:t>
      </w:r>
    </w:p>
    <w:p w14:paraId="36DD8FC9" w14:textId="77777777" w:rsidR="0050099E" w:rsidRPr="00C35766" w:rsidRDefault="0050099E" w:rsidP="0050099E">
      <w:pPr>
        <w:pStyle w:val="a3"/>
        <w:numPr>
          <w:ilvl w:val="0"/>
          <w:numId w:val="15"/>
        </w:numPr>
        <w:ind w:left="660" w:hanging="660"/>
      </w:pPr>
      <w:r w:rsidRPr="00C35766">
        <w:rPr>
          <w:rFonts w:eastAsia="Times New Roman"/>
          <w:lang w:val="it-IT"/>
        </w:rPr>
        <w:t>aumento dello zucchero nel sangue</w:t>
      </w:r>
    </w:p>
    <w:p w14:paraId="6CE1D574"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aumento della lattato deidrogenasi nel sangue</w:t>
      </w:r>
    </w:p>
    <w:p w14:paraId="2EC6AF43" w14:textId="77777777" w:rsidR="0050099E" w:rsidRPr="00C35766" w:rsidRDefault="0050099E" w:rsidP="0050099E">
      <w:pPr>
        <w:pStyle w:val="a3"/>
        <w:numPr>
          <w:ilvl w:val="0"/>
          <w:numId w:val="15"/>
        </w:numPr>
        <w:ind w:left="660" w:hanging="660"/>
      </w:pPr>
      <w:r w:rsidRPr="00C35766">
        <w:rPr>
          <w:rFonts w:eastAsia="Times New Roman"/>
          <w:lang w:val="it-IT"/>
        </w:rPr>
        <w:t>presenza di autoanticorpi nel sangue</w:t>
      </w:r>
    </w:p>
    <w:p w14:paraId="173E7B61" w14:textId="77777777" w:rsidR="0050099E" w:rsidRPr="00C35766" w:rsidRDefault="0050099E" w:rsidP="0050099E">
      <w:pPr>
        <w:pStyle w:val="a3"/>
        <w:numPr>
          <w:ilvl w:val="0"/>
          <w:numId w:val="15"/>
        </w:numPr>
        <w:ind w:left="660" w:hanging="660"/>
      </w:pPr>
      <w:r w:rsidRPr="00C35766">
        <w:rPr>
          <w:rFonts w:eastAsia="Times New Roman"/>
          <w:lang w:val="it-IT"/>
        </w:rPr>
        <w:t>riduzione del potassio nel sangue</w:t>
      </w:r>
    </w:p>
    <w:p w14:paraId="530FEA24" w14:textId="77777777" w:rsidR="0050099E" w:rsidRPr="00C35766" w:rsidRDefault="0050099E" w:rsidP="0050099E">
      <w:pPr>
        <w:spacing w:before="13" w:line="240" w:lineRule="exact"/>
        <w:rPr>
          <w:rFonts w:ascii="Times New Roman" w:hAnsi="Times New Roman" w:cs="Times New Roman"/>
          <w:sz w:val="24"/>
          <w:szCs w:val="24"/>
        </w:rPr>
      </w:pPr>
    </w:p>
    <w:p w14:paraId="24963FDF" w14:textId="77777777" w:rsidR="0050099E" w:rsidRPr="00824699" w:rsidRDefault="0050099E" w:rsidP="0050099E">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331D0ADB" w14:textId="77777777" w:rsidR="0050099E" w:rsidRPr="00824699" w:rsidRDefault="0050099E" w:rsidP="0050099E">
      <w:pPr>
        <w:spacing w:before="12" w:line="240" w:lineRule="exact"/>
        <w:rPr>
          <w:rFonts w:ascii="Times New Roman" w:hAnsi="Times New Roman" w:cs="Times New Roman"/>
          <w:sz w:val="24"/>
          <w:szCs w:val="24"/>
          <w:lang w:val="it-IT"/>
        </w:rPr>
      </w:pPr>
    </w:p>
    <w:p w14:paraId="7C3639E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livelli elevati di bilirubina (esame del sangue relativo al fegato)</w:t>
      </w:r>
    </w:p>
    <w:p w14:paraId="4758B55A" w14:textId="77777777" w:rsidR="0050099E" w:rsidRPr="00824699" w:rsidRDefault="0050099E" w:rsidP="0050099E">
      <w:pPr>
        <w:spacing w:before="13" w:line="240" w:lineRule="exact"/>
        <w:rPr>
          <w:rFonts w:ascii="Times New Roman" w:hAnsi="Times New Roman" w:cs="Times New Roman"/>
          <w:sz w:val="24"/>
          <w:szCs w:val="24"/>
          <w:lang w:val="it-IT"/>
        </w:rPr>
      </w:pPr>
    </w:p>
    <w:p w14:paraId="3132148A" w14:textId="29C0F051" w:rsidR="0050099E" w:rsidRPr="00C35766" w:rsidRDefault="0050099E" w:rsidP="0050099E">
      <w:pPr>
        <w:pStyle w:val="a3"/>
        <w:rPr>
          <w:lang w:val="it-IT"/>
        </w:rPr>
      </w:pPr>
      <w:r w:rsidRPr="00C35766">
        <w:rPr>
          <w:rFonts w:eastAsia="Times New Roman"/>
          <w:b/>
          <w:bCs/>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694AB99D" w14:textId="77777777" w:rsidR="0050099E" w:rsidRPr="00C35766" w:rsidRDefault="0050099E" w:rsidP="0050099E">
      <w:pPr>
        <w:spacing w:before="14" w:line="240" w:lineRule="exact"/>
        <w:rPr>
          <w:rFonts w:ascii="Times New Roman" w:hAnsi="Times New Roman" w:cs="Times New Roman"/>
          <w:sz w:val="24"/>
          <w:lang w:val="it-IT"/>
        </w:rPr>
      </w:pPr>
    </w:p>
    <w:p w14:paraId="72BFA0D0"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 xml:space="preserve">bassa conta dei globuli bianchi, dei globuli rossi e delle piastrine. </w:t>
      </w:r>
    </w:p>
    <w:p w14:paraId="3C89312A" w14:textId="77777777" w:rsidR="0050099E" w:rsidRPr="00C35766" w:rsidRDefault="0050099E" w:rsidP="0050099E">
      <w:pPr>
        <w:spacing w:before="15" w:line="240" w:lineRule="exact"/>
        <w:rPr>
          <w:rFonts w:ascii="Times New Roman" w:hAnsi="Times New Roman" w:cs="Times New Roman"/>
          <w:sz w:val="24"/>
          <w:szCs w:val="24"/>
          <w:lang w:val="pt-BR"/>
        </w:rPr>
      </w:pPr>
    </w:p>
    <w:p w14:paraId="762FFDC8" w14:textId="77777777" w:rsidR="0050099E" w:rsidRPr="00C35766" w:rsidRDefault="0050099E" w:rsidP="0050099E">
      <w:pPr>
        <w:pStyle w:val="a3"/>
        <w:rPr>
          <w:b/>
          <w:lang w:val="pt-BR"/>
        </w:rPr>
      </w:pPr>
      <w:r w:rsidRPr="00C35766">
        <w:rPr>
          <w:rFonts w:eastAsia="Times New Roman"/>
          <w:b/>
          <w:bCs/>
          <w:lang w:val="it-IT"/>
        </w:rPr>
        <w:t>Segnalazione degli effetti indesiderati</w:t>
      </w:r>
    </w:p>
    <w:p w14:paraId="2A27E695" w14:textId="77777777" w:rsidR="0050099E" w:rsidRPr="00C35766" w:rsidRDefault="0050099E" w:rsidP="0050099E">
      <w:pPr>
        <w:pStyle w:val="a3"/>
        <w:rPr>
          <w:sz w:val="10"/>
          <w:szCs w:val="10"/>
          <w:lang w:val="pt-BR"/>
        </w:rPr>
      </w:pPr>
    </w:p>
    <w:p w14:paraId="57C59E98" w14:textId="0713DBBE" w:rsidR="0050099E" w:rsidRPr="00C35766" w:rsidRDefault="0050099E" w:rsidP="0050099E">
      <w:pPr>
        <w:pStyle w:val="a3"/>
        <w:rPr>
          <w:lang w:val="it-IT"/>
        </w:rPr>
      </w:pPr>
      <w:r w:rsidRPr="00C35766">
        <w:rPr>
          <w:rFonts w:eastAsia="Times New Roman"/>
          <w:lang w:val="it-IT"/>
        </w:rPr>
        <w:t xml:space="preserve">Se manifesta un qualsiasi effetto indesiderato, compresi quelli non elencati in questo foglio, si rivolga al medico, o al farmacista o all’infermiere. Può inoltre segnalare gli effetti indesiderati direttamente tramite il </w:t>
      </w:r>
      <w:r w:rsidRPr="00C35766">
        <w:rPr>
          <w:rFonts w:eastAsia="Times New Roman"/>
          <w:highlight w:val="lightGray"/>
          <w:lang w:val="it-IT"/>
        </w:rPr>
        <w:t>sistema nazionale di segnalazione riportato nell’</w:t>
      </w:r>
      <w:hyperlink r:id="rId99">
        <w:r w:rsidRPr="00C35766">
          <w:rPr>
            <w:rStyle w:val="Collegamentoipertestuale1"/>
            <w:highlight w:val="lightGray"/>
            <w:lang w:val="pt-BR"/>
          </w:rPr>
          <w:t>allegato V</w:t>
        </w:r>
      </w:hyperlink>
      <w:r w:rsidRPr="00C35766">
        <w:rPr>
          <w:lang w:val="pt-BR"/>
        </w:rPr>
        <w:t>.</w:t>
      </w:r>
      <w:r w:rsidRPr="00C35766">
        <w:rPr>
          <w:rFonts w:eastAsia="Times New Roman"/>
          <w:lang w:val="it-IT"/>
        </w:rPr>
        <w:t xml:space="preserve"> Segnalando gli effetti indesiderati può contribuire a fornire maggiori informazioni sulla sicurezza di questo medicinale.</w:t>
      </w:r>
    </w:p>
    <w:p w14:paraId="53621D76" w14:textId="77777777" w:rsidR="0050099E" w:rsidRPr="00C35766" w:rsidRDefault="0050099E" w:rsidP="0050099E">
      <w:pPr>
        <w:spacing w:line="200" w:lineRule="exact"/>
        <w:rPr>
          <w:rFonts w:ascii="Times New Roman" w:hAnsi="Times New Roman" w:cs="Times New Roman"/>
          <w:sz w:val="20"/>
          <w:szCs w:val="20"/>
          <w:lang w:val="it-IT"/>
        </w:rPr>
      </w:pPr>
    </w:p>
    <w:p w14:paraId="76111573" w14:textId="77777777" w:rsidR="0050099E" w:rsidRPr="00C35766" w:rsidRDefault="0050099E" w:rsidP="0050099E">
      <w:pPr>
        <w:spacing w:line="200" w:lineRule="exact"/>
        <w:rPr>
          <w:rFonts w:ascii="Times New Roman" w:hAnsi="Times New Roman" w:cs="Times New Roman"/>
          <w:sz w:val="20"/>
          <w:szCs w:val="20"/>
          <w:lang w:val="it-IT"/>
        </w:rPr>
      </w:pPr>
    </w:p>
    <w:p w14:paraId="0870D7F7" w14:textId="77777777" w:rsidR="0050099E" w:rsidRPr="00C35766" w:rsidRDefault="0050099E" w:rsidP="00933A6C">
      <w:pPr>
        <w:pStyle w:val="a4"/>
        <w:numPr>
          <w:ilvl w:val="0"/>
          <w:numId w:val="62"/>
        </w:numPr>
        <w:spacing w:before="18" w:line="240" w:lineRule="exact"/>
        <w:ind w:hanging="468"/>
        <w:rPr>
          <w:rFonts w:ascii="Times New Roman" w:hAnsi="Times New Roman" w:cs="Times New Roman"/>
          <w:b/>
        </w:rPr>
      </w:pPr>
      <w:r w:rsidRPr="00C35766">
        <w:rPr>
          <w:rFonts w:ascii="Times New Roman" w:eastAsia="Times New Roman" w:hAnsi="Times New Roman" w:cs="Times New Roman"/>
          <w:b/>
          <w:bCs/>
          <w:lang w:val="it-IT"/>
        </w:rPr>
        <w:t>Come conservare Yuflyma</w:t>
      </w:r>
    </w:p>
    <w:p w14:paraId="6C19C385" w14:textId="77777777" w:rsidR="0050099E" w:rsidRPr="00C35766" w:rsidRDefault="0050099E" w:rsidP="0050099E">
      <w:pPr>
        <w:pStyle w:val="a3"/>
      </w:pPr>
    </w:p>
    <w:p w14:paraId="336EA646" w14:textId="77777777" w:rsidR="0050099E" w:rsidRPr="00C35766" w:rsidRDefault="0050099E" w:rsidP="0050099E">
      <w:pPr>
        <w:pStyle w:val="a3"/>
        <w:rPr>
          <w:lang w:val="it-IT"/>
        </w:rPr>
      </w:pPr>
      <w:r w:rsidRPr="00C35766">
        <w:rPr>
          <w:rFonts w:eastAsia="Times New Roman"/>
          <w:lang w:val="it-IT"/>
        </w:rPr>
        <w:t>Conservi questo medicinale fuori dalla vista e dalla portata dei bambini.</w:t>
      </w:r>
    </w:p>
    <w:p w14:paraId="36EDA711" w14:textId="77777777" w:rsidR="0050099E" w:rsidRPr="00C35766" w:rsidRDefault="0050099E" w:rsidP="0050099E">
      <w:pPr>
        <w:pStyle w:val="a3"/>
        <w:rPr>
          <w:lang w:val="it-IT"/>
        </w:rPr>
      </w:pPr>
    </w:p>
    <w:p w14:paraId="562F16A2" w14:textId="77777777" w:rsidR="0050099E" w:rsidRPr="00C35766" w:rsidRDefault="0050099E" w:rsidP="0050099E">
      <w:pPr>
        <w:pStyle w:val="a3"/>
        <w:rPr>
          <w:lang w:val="it-IT"/>
        </w:rPr>
      </w:pPr>
      <w:r w:rsidRPr="00C35766">
        <w:rPr>
          <w:rFonts w:eastAsia="Times New Roman"/>
          <w:lang w:val="it-IT"/>
        </w:rPr>
        <w:t>Non usi questo medicinale dopo la data di scadenza che è riportata sull’etichetta/imballaggio esterno dopo la scritta Scad..</w:t>
      </w:r>
    </w:p>
    <w:p w14:paraId="67842E6C" w14:textId="77777777" w:rsidR="0050099E" w:rsidRPr="00C35766" w:rsidRDefault="0050099E" w:rsidP="0050099E">
      <w:pPr>
        <w:pStyle w:val="a3"/>
        <w:rPr>
          <w:lang w:val="it-IT"/>
        </w:rPr>
      </w:pPr>
    </w:p>
    <w:p w14:paraId="54F5E2D0" w14:textId="77777777" w:rsidR="0050099E" w:rsidRPr="00C35766" w:rsidRDefault="0050099E" w:rsidP="0050099E">
      <w:pPr>
        <w:pStyle w:val="a3"/>
        <w:rPr>
          <w:lang w:val="es-ES"/>
        </w:rPr>
      </w:pPr>
      <w:r w:rsidRPr="00C35766">
        <w:rPr>
          <w:rFonts w:eastAsia="Times New Roman"/>
          <w:lang w:val="it-IT"/>
        </w:rPr>
        <w:t>Conservare in frigorifero (2°C – 8°C). Non congelare.</w:t>
      </w:r>
    </w:p>
    <w:p w14:paraId="780B2FE2" w14:textId="77777777" w:rsidR="0050099E" w:rsidRPr="00C35766" w:rsidRDefault="0050099E" w:rsidP="0050099E">
      <w:pPr>
        <w:pStyle w:val="a3"/>
        <w:rPr>
          <w:lang w:val="es-ES"/>
        </w:rPr>
      </w:pPr>
    </w:p>
    <w:p w14:paraId="6038E7A3" w14:textId="04FF100C" w:rsidR="0050099E" w:rsidRPr="00C35766" w:rsidRDefault="00A073E7" w:rsidP="0050099E">
      <w:pPr>
        <w:pStyle w:val="a3"/>
        <w:rPr>
          <w:lang w:val="es-ES"/>
        </w:rPr>
      </w:pPr>
      <w:r>
        <w:rPr>
          <w:rFonts w:eastAsia="Times New Roman"/>
          <w:lang w:val="it-IT"/>
        </w:rPr>
        <w:t>Tenere</w:t>
      </w:r>
      <w:r w:rsidR="0050099E" w:rsidRPr="00C35766">
        <w:rPr>
          <w:rFonts w:eastAsia="Times New Roman"/>
          <w:lang w:val="it-IT"/>
        </w:rPr>
        <w:t xml:space="preserve"> la siringa pre-riempita con il </w:t>
      </w:r>
      <w:r w:rsidR="0050099E" w:rsidRPr="00C35766">
        <w:rPr>
          <w:rFonts w:eastAsia="Times New Roman"/>
          <w:highlight w:val="lightGray"/>
          <w:lang w:val="it-IT"/>
        </w:rPr>
        <w:t>dispositivo di sicurezza</w:t>
      </w:r>
      <w:r w:rsidR="0050099E" w:rsidRPr="00C35766">
        <w:rPr>
          <w:highlight w:val="lightGray"/>
          <w:lang w:val="it-IT"/>
        </w:rPr>
        <w:t xml:space="preserve"> per l’ago</w:t>
      </w:r>
      <w:r w:rsidR="0050099E" w:rsidRPr="00C35766">
        <w:rPr>
          <w:rFonts w:eastAsia="Times New Roman"/>
          <w:lang w:val="it-IT"/>
        </w:rPr>
        <w:t xml:space="preserve"> nell’imballaggio esterno per protegger</w:t>
      </w:r>
      <w:r>
        <w:rPr>
          <w:rFonts w:eastAsia="Times New Roman"/>
          <w:lang w:val="it-IT"/>
        </w:rPr>
        <w:t>e il medicinale</w:t>
      </w:r>
      <w:r w:rsidR="0050099E" w:rsidRPr="00C35766">
        <w:rPr>
          <w:rFonts w:eastAsia="Times New Roman"/>
          <w:lang w:val="it-IT"/>
        </w:rPr>
        <w:t xml:space="preserve"> dalla luce.</w:t>
      </w:r>
    </w:p>
    <w:p w14:paraId="021B3FD8" w14:textId="77777777" w:rsidR="0050099E" w:rsidRPr="00C35766" w:rsidRDefault="0050099E" w:rsidP="0050099E">
      <w:pPr>
        <w:spacing w:before="13" w:line="240" w:lineRule="exact"/>
        <w:rPr>
          <w:rFonts w:ascii="Times New Roman" w:hAnsi="Times New Roman" w:cs="Times New Roman"/>
          <w:sz w:val="24"/>
          <w:szCs w:val="24"/>
          <w:lang w:val="es-ES"/>
        </w:rPr>
      </w:pPr>
    </w:p>
    <w:p w14:paraId="6A6CFCF6" w14:textId="77777777" w:rsidR="0050099E" w:rsidRPr="00C35766" w:rsidRDefault="0050099E" w:rsidP="0050099E">
      <w:pPr>
        <w:pStyle w:val="a3"/>
        <w:rPr>
          <w:lang w:val="es-ES"/>
        </w:rPr>
      </w:pPr>
      <w:r w:rsidRPr="00C35766">
        <w:rPr>
          <w:rFonts w:eastAsia="Times New Roman"/>
          <w:lang w:val="it-IT"/>
        </w:rPr>
        <w:t>Condizioni di conservazione alternative:</w:t>
      </w:r>
    </w:p>
    <w:p w14:paraId="72314BBF" w14:textId="77777777" w:rsidR="0050099E" w:rsidRPr="00C35766" w:rsidRDefault="0050099E" w:rsidP="0050099E">
      <w:pPr>
        <w:spacing w:before="14" w:line="240" w:lineRule="exact"/>
        <w:rPr>
          <w:rFonts w:ascii="Times New Roman" w:hAnsi="Times New Roman" w:cs="Times New Roman"/>
          <w:sz w:val="24"/>
          <w:szCs w:val="24"/>
          <w:lang w:val="es-ES"/>
        </w:rPr>
      </w:pPr>
    </w:p>
    <w:p w14:paraId="6833E22F" w14:textId="670E943A" w:rsidR="0050099E" w:rsidRPr="00C35766" w:rsidRDefault="0050099E" w:rsidP="0050099E">
      <w:pPr>
        <w:pStyle w:val="a3"/>
        <w:rPr>
          <w:lang w:val="pt-BR"/>
        </w:rPr>
      </w:pPr>
      <w:r w:rsidRPr="00C35766">
        <w:rPr>
          <w:rFonts w:eastAsia="Times New Roman"/>
          <w:lang w:val="it-IT"/>
        </w:rPr>
        <w:t xml:space="preserve">Quando necessario (per esempio quando viaggia) una singola siringa pre-riempita </w:t>
      </w:r>
      <w:r w:rsidRPr="00C35766">
        <w:rPr>
          <w:rFonts w:eastAsia="Times New Roman"/>
          <w:highlight w:val="lightGray"/>
          <w:lang w:val="it-IT"/>
        </w:rPr>
        <w:t>con dispositivo di sicurezza</w:t>
      </w:r>
      <w:r w:rsidRPr="00C35766">
        <w:rPr>
          <w:rFonts w:eastAsia="Times New Roman"/>
          <w:lang w:val="it-IT"/>
        </w:rPr>
        <w:t xml:space="preserve"> </w:t>
      </w:r>
      <w:r w:rsidRPr="00C35766">
        <w:rPr>
          <w:highlight w:val="lightGray"/>
          <w:lang w:val="it-IT"/>
        </w:rPr>
        <w:t xml:space="preserve">per l'ago </w:t>
      </w:r>
      <w:r w:rsidRPr="00C35766">
        <w:rPr>
          <w:rFonts w:eastAsia="Times New Roman"/>
          <w:lang w:val="it-IT"/>
        </w:rPr>
        <w:t>di Yuflyma può essere conservata a temperatura ambiente (fino a 25°C) per un periodo massimo di 3</w:t>
      </w:r>
      <w:r w:rsidR="00A62C62">
        <w:rPr>
          <w:rFonts w:eastAsia="Times New Roman"/>
          <w:lang w:val="it-IT"/>
        </w:rPr>
        <w:t>1</w:t>
      </w:r>
      <w:r w:rsidRPr="00C35766">
        <w:rPr>
          <w:rFonts w:eastAsia="Times New Roman"/>
          <w:lang w:val="it-IT"/>
        </w:rPr>
        <w:t xml:space="preserve"> giorni; assicurarsi di proteggere il medicinale dalla luce. Una volta che viene rimossa dal frigorifero per essere conservata a temperatura ambiente, la siringa </w:t>
      </w:r>
      <w:r w:rsidRPr="00C35766">
        <w:rPr>
          <w:rFonts w:eastAsia="Times New Roman"/>
          <w:b/>
          <w:bCs/>
          <w:lang w:val="it-IT"/>
        </w:rPr>
        <w:t>deve essere usata entro 3</w:t>
      </w:r>
      <w:r w:rsidR="00A62C62">
        <w:rPr>
          <w:rFonts w:eastAsia="Times New Roman"/>
          <w:b/>
          <w:bCs/>
          <w:lang w:val="it-IT"/>
        </w:rPr>
        <w:t>1</w:t>
      </w:r>
      <w:r w:rsidRPr="00C35766">
        <w:rPr>
          <w:rFonts w:eastAsia="Times New Roman"/>
          <w:b/>
          <w:bCs/>
          <w:lang w:val="it-IT"/>
        </w:rPr>
        <w:t xml:space="preserve"> giorni o buttata via</w:t>
      </w:r>
      <w:r w:rsidRPr="00C35766">
        <w:rPr>
          <w:rFonts w:eastAsia="Times New Roman"/>
          <w:lang w:val="it-IT"/>
        </w:rPr>
        <w:t>, anche se viene posta di nuovo nel frigorifero.</w:t>
      </w:r>
    </w:p>
    <w:p w14:paraId="29791265" w14:textId="77777777" w:rsidR="0050099E" w:rsidRPr="00C35766" w:rsidRDefault="0050099E" w:rsidP="0050099E">
      <w:pPr>
        <w:spacing w:before="17" w:line="240" w:lineRule="exact"/>
        <w:rPr>
          <w:rFonts w:ascii="Times New Roman" w:hAnsi="Times New Roman" w:cs="Times New Roman"/>
          <w:sz w:val="24"/>
          <w:szCs w:val="24"/>
          <w:lang w:val="pt-BR"/>
        </w:rPr>
      </w:pPr>
    </w:p>
    <w:p w14:paraId="24C3870F" w14:textId="77777777" w:rsidR="0050099E" w:rsidRPr="00C35766" w:rsidRDefault="0050099E" w:rsidP="0050099E">
      <w:pPr>
        <w:pStyle w:val="a3"/>
        <w:rPr>
          <w:lang w:val="pt-BR"/>
        </w:rPr>
      </w:pPr>
      <w:r w:rsidRPr="00C35766">
        <w:rPr>
          <w:rFonts w:eastAsia="Times New Roman"/>
          <w:lang w:val="it-IT"/>
        </w:rPr>
        <w:t>Deve registrare la data in cui la siringa viene tolta dal frigorifero la prima volta e la data dopo la quale la siringa deve essere buttata via.</w:t>
      </w:r>
    </w:p>
    <w:p w14:paraId="7C21002B" w14:textId="77777777" w:rsidR="0050099E" w:rsidRPr="00C35766" w:rsidRDefault="0050099E" w:rsidP="0050099E">
      <w:pPr>
        <w:spacing w:before="14" w:line="240" w:lineRule="exact"/>
        <w:rPr>
          <w:rFonts w:ascii="Times New Roman" w:hAnsi="Times New Roman" w:cs="Times New Roman"/>
          <w:sz w:val="24"/>
          <w:szCs w:val="24"/>
          <w:lang w:val="pt-BR"/>
        </w:rPr>
      </w:pPr>
    </w:p>
    <w:p w14:paraId="19107AE4" w14:textId="77777777" w:rsidR="0050099E" w:rsidRPr="00C35766" w:rsidRDefault="0050099E" w:rsidP="0050099E">
      <w:pPr>
        <w:pStyle w:val="a3"/>
      </w:pPr>
      <w:r w:rsidRPr="00C35766">
        <w:rPr>
          <w:rFonts w:eastAsia="Times New Roman"/>
          <w:lang w:val="it-IT"/>
        </w:rPr>
        <w:t>Non getti alcun medicinale nell’acqua di scarico e nei rifiuti domestici. Chieda al medico o al farmacista come eliminare i medicinali che non utilizza più. Questo aiuterà a proteggere l’ambiente.</w:t>
      </w:r>
    </w:p>
    <w:p w14:paraId="28474DAD" w14:textId="77777777" w:rsidR="0050099E" w:rsidRPr="00C35766" w:rsidRDefault="0050099E" w:rsidP="0050099E">
      <w:pPr>
        <w:pStyle w:val="a4"/>
        <w:spacing w:before="18" w:line="240" w:lineRule="exact"/>
        <w:ind w:left="468"/>
        <w:rPr>
          <w:rFonts w:ascii="Times New Roman" w:hAnsi="Times New Roman" w:cs="Times New Roman"/>
          <w:b/>
        </w:rPr>
      </w:pPr>
    </w:p>
    <w:p w14:paraId="527BBF50" w14:textId="77777777" w:rsidR="0050099E" w:rsidRPr="00C35766" w:rsidRDefault="0050099E" w:rsidP="0050099E">
      <w:pPr>
        <w:spacing w:before="18" w:line="240" w:lineRule="exact"/>
        <w:rPr>
          <w:rFonts w:ascii="Times New Roman" w:hAnsi="Times New Roman" w:cs="Times New Roman"/>
          <w:b/>
        </w:rPr>
      </w:pPr>
    </w:p>
    <w:p w14:paraId="70673541" w14:textId="77777777" w:rsidR="0050099E" w:rsidRPr="00C35766" w:rsidRDefault="0050099E" w:rsidP="00933A6C">
      <w:pPr>
        <w:pStyle w:val="a4"/>
        <w:numPr>
          <w:ilvl w:val="0"/>
          <w:numId w:val="62"/>
        </w:numPr>
        <w:spacing w:before="18" w:line="240" w:lineRule="exact"/>
        <w:ind w:hanging="468"/>
        <w:rPr>
          <w:rFonts w:ascii="Times New Roman" w:hAnsi="Times New Roman" w:cs="Times New Roman"/>
          <w:b/>
          <w:lang w:val="it-IT"/>
        </w:rPr>
      </w:pPr>
      <w:r w:rsidRPr="00C35766">
        <w:rPr>
          <w:rFonts w:ascii="Times New Roman" w:eastAsia="Times New Roman" w:hAnsi="Times New Roman" w:cs="Times New Roman"/>
          <w:b/>
          <w:bCs/>
          <w:lang w:val="it-IT"/>
        </w:rPr>
        <w:t>Contenuto della confezione e altre informazioni</w:t>
      </w:r>
    </w:p>
    <w:p w14:paraId="4272EC9C" w14:textId="77777777" w:rsidR="0050099E" w:rsidRPr="00C35766" w:rsidRDefault="0050099E" w:rsidP="0050099E">
      <w:pPr>
        <w:pStyle w:val="a4"/>
        <w:spacing w:before="18" w:line="240" w:lineRule="exact"/>
        <w:ind w:left="468"/>
        <w:rPr>
          <w:rFonts w:ascii="Times New Roman" w:hAnsi="Times New Roman" w:cs="Times New Roman"/>
          <w:b/>
          <w:lang w:val="it-IT"/>
        </w:rPr>
      </w:pPr>
    </w:p>
    <w:p w14:paraId="4DEBE906" w14:textId="77777777" w:rsidR="0050099E" w:rsidRPr="00C35766" w:rsidRDefault="0050099E" w:rsidP="0050099E">
      <w:pPr>
        <w:spacing w:before="18"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Cosa contiene Yuflyma</w:t>
      </w:r>
    </w:p>
    <w:p w14:paraId="6E57688A" w14:textId="77777777" w:rsidR="0050099E" w:rsidRPr="00C35766" w:rsidRDefault="0050099E" w:rsidP="0050099E">
      <w:pPr>
        <w:spacing w:before="18" w:line="240" w:lineRule="exact"/>
        <w:rPr>
          <w:rFonts w:ascii="Times New Roman" w:hAnsi="Times New Roman" w:cs="Times New Roman"/>
          <w:b/>
          <w:lang w:val="it-IT"/>
        </w:rPr>
      </w:pPr>
    </w:p>
    <w:p w14:paraId="2A525C69" w14:textId="77777777" w:rsidR="0050099E" w:rsidRPr="00C35766" w:rsidRDefault="0050099E" w:rsidP="0050099E">
      <w:pPr>
        <w:pStyle w:val="a3"/>
        <w:rPr>
          <w:lang w:val="it-IT"/>
        </w:rPr>
      </w:pPr>
      <w:r w:rsidRPr="00C35766">
        <w:rPr>
          <w:rFonts w:eastAsia="Times New Roman"/>
          <w:lang w:val="it-IT"/>
        </w:rPr>
        <w:t>Il principio attivo è adalimumab.</w:t>
      </w:r>
    </w:p>
    <w:p w14:paraId="34AFFFBD" w14:textId="77777777" w:rsidR="0050099E" w:rsidRPr="00C35766" w:rsidRDefault="0050099E" w:rsidP="0050099E">
      <w:pPr>
        <w:pStyle w:val="a3"/>
        <w:rPr>
          <w:lang w:val="pt-BR"/>
        </w:rPr>
      </w:pPr>
      <w:r w:rsidRPr="00C35766">
        <w:rPr>
          <w:rFonts w:eastAsia="Times New Roman"/>
          <w:lang w:val="it-IT"/>
        </w:rPr>
        <w:t xml:space="preserve">Gli altri componenti sono acido acetico, acetato di sodio triidrato, glicina, polisorbato 80, e acqua per </w:t>
      </w:r>
      <w:r w:rsidRPr="00C35766">
        <w:rPr>
          <w:rFonts w:eastAsia="Times New Roman"/>
          <w:lang w:val="it-IT"/>
        </w:rPr>
        <w:lastRenderedPageBreak/>
        <w:t>preparazioni iniettabili.</w:t>
      </w:r>
    </w:p>
    <w:p w14:paraId="5EF2B619" w14:textId="77777777" w:rsidR="0050099E" w:rsidRPr="00C35766" w:rsidRDefault="0050099E" w:rsidP="0050099E">
      <w:pPr>
        <w:pStyle w:val="a3"/>
        <w:rPr>
          <w:lang w:val="pt-BR"/>
        </w:rPr>
      </w:pPr>
    </w:p>
    <w:p w14:paraId="2040BF04" w14:textId="77777777" w:rsidR="0050099E" w:rsidRPr="00C35766" w:rsidRDefault="0050099E" w:rsidP="0050099E">
      <w:pPr>
        <w:pStyle w:val="a3"/>
        <w:rPr>
          <w:b/>
          <w:lang w:val="pt-BR"/>
        </w:rPr>
      </w:pPr>
      <w:r w:rsidRPr="00C35766">
        <w:rPr>
          <w:rFonts w:eastAsia="Times New Roman"/>
          <w:b/>
          <w:bCs/>
          <w:lang w:val="it-IT"/>
        </w:rPr>
        <w:t xml:space="preserve">Descrizione dell’aspetto di Yuflyma siringa pre-riempita </w:t>
      </w:r>
      <w:r w:rsidRPr="00C35766">
        <w:rPr>
          <w:rFonts w:eastAsia="Times New Roman"/>
          <w:b/>
          <w:bCs/>
          <w:highlight w:val="lightGray"/>
          <w:lang w:val="it-IT"/>
        </w:rPr>
        <w:t>con dispositivo di sicurezza</w:t>
      </w:r>
      <w:r w:rsidRPr="00C35766">
        <w:rPr>
          <w:b/>
          <w:highlight w:val="lightGray"/>
          <w:lang w:val="it-IT"/>
        </w:rPr>
        <w:t xml:space="preserve"> per l’ago </w:t>
      </w:r>
      <w:r w:rsidRPr="00C35766">
        <w:rPr>
          <w:rFonts w:eastAsia="Times New Roman"/>
          <w:b/>
          <w:bCs/>
          <w:lang w:val="it-IT"/>
        </w:rPr>
        <w:t>e contenuto della confezione</w:t>
      </w:r>
    </w:p>
    <w:p w14:paraId="6EECBF70" w14:textId="77777777" w:rsidR="0050099E" w:rsidRPr="00C35766" w:rsidRDefault="0050099E" w:rsidP="0050099E">
      <w:pPr>
        <w:spacing w:before="12" w:line="240" w:lineRule="exact"/>
        <w:rPr>
          <w:rFonts w:ascii="Times New Roman" w:hAnsi="Times New Roman" w:cs="Times New Roman"/>
          <w:sz w:val="24"/>
          <w:szCs w:val="24"/>
          <w:lang w:val="pt-BR"/>
        </w:rPr>
      </w:pPr>
    </w:p>
    <w:p w14:paraId="0B79145E" w14:textId="3E1B419E" w:rsidR="0050099E" w:rsidRPr="00C35766" w:rsidRDefault="0050099E" w:rsidP="0050099E">
      <w:pPr>
        <w:pStyle w:val="a3"/>
        <w:rPr>
          <w:lang w:val="pt-BR"/>
        </w:rPr>
      </w:pPr>
      <w:r w:rsidRPr="00C35766">
        <w:rPr>
          <w:rFonts w:eastAsia="Times New Roman"/>
          <w:lang w:val="it-IT"/>
        </w:rPr>
        <w:t xml:space="preserve">Yuflyma </w:t>
      </w:r>
      <w:r w:rsidR="007750EF" w:rsidRPr="00C35766">
        <w:rPr>
          <w:rFonts w:eastAsia="Times New Roman"/>
          <w:lang w:val="it-IT"/>
        </w:rPr>
        <w:t>8</w:t>
      </w:r>
      <w:r w:rsidRPr="00C35766">
        <w:rPr>
          <w:rFonts w:eastAsia="Times New Roman"/>
          <w:lang w:val="it-IT"/>
        </w:rPr>
        <w:t xml:space="preserve">0 mg soluzione iniettabile in siringa pre-riempita </w:t>
      </w:r>
      <w:r w:rsidRPr="00C35766">
        <w:rPr>
          <w:rFonts w:eastAsia="Times New Roman"/>
          <w:highlight w:val="lightGray"/>
          <w:lang w:val="it-IT"/>
        </w:rPr>
        <w:t>con dispositivo di sicurezza</w:t>
      </w:r>
      <w:r w:rsidRPr="00C35766">
        <w:rPr>
          <w:highlight w:val="lightGray"/>
          <w:lang w:val="it-IT"/>
        </w:rPr>
        <w:t xml:space="preserve"> per l’ago</w:t>
      </w:r>
      <w:r w:rsidRPr="00C35766">
        <w:rPr>
          <w:rFonts w:eastAsia="Times New Roman"/>
          <w:lang w:val="it-IT"/>
        </w:rPr>
        <w:t xml:space="preserve"> è fornito come soluzione sterile di </w:t>
      </w:r>
      <w:r w:rsidR="007750EF" w:rsidRPr="00C35766">
        <w:rPr>
          <w:rFonts w:eastAsia="Times New Roman"/>
          <w:lang w:val="it-IT"/>
        </w:rPr>
        <w:t>8</w:t>
      </w:r>
      <w:r w:rsidRPr="00C35766">
        <w:rPr>
          <w:rFonts w:eastAsia="Times New Roman"/>
          <w:lang w:val="it-IT"/>
        </w:rPr>
        <w:t>0 mg di adalimumab disciolti in 0,</w:t>
      </w:r>
      <w:r w:rsidR="007750EF" w:rsidRPr="00C35766">
        <w:rPr>
          <w:rFonts w:eastAsia="Times New Roman"/>
          <w:lang w:val="it-IT"/>
        </w:rPr>
        <w:t>8</w:t>
      </w:r>
      <w:r w:rsidRPr="00C35766">
        <w:rPr>
          <w:rFonts w:eastAsia="Times New Roman"/>
          <w:lang w:val="it-IT"/>
        </w:rPr>
        <w:t xml:space="preserve"> mL di soluzione.</w:t>
      </w:r>
    </w:p>
    <w:p w14:paraId="3F0F042F" w14:textId="77777777" w:rsidR="0050099E" w:rsidRPr="00C35766" w:rsidRDefault="0050099E" w:rsidP="0050099E">
      <w:pPr>
        <w:spacing w:before="11" w:line="240" w:lineRule="exact"/>
        <w:rPr>
          <w:rFonts w:ascii="Times New Roman" w:hAnsi="Times New Roman" w:cs="Times New Roman"/>
          <w:sz w:val="24"/>
          <w:szCs w:val="24"/>
          <w:lang w:val="pt-BR"/>
        </w:rPr>
      </w:pPr>
    </w:p>
    <w:p w14:paraId="21ADA69A" w14:textId="77777777" w:rsidR="007750EF" w:rsidRPr="00C35766" w:rsidRDefault="007750EF" w:rsidP="007750EF">
      <w:pPr>
        <w:spacing w:before="10" w:line="240" w:lineRule="exact"/>
        <w:rPr>
          <w:rFonts w:ascii="Times New Roman" w:eastAsia="Times New Roman" w:hAnsi="Times New Roman" w:cs="Times New Roman"/>
          <w:lang w:val="it-IT"/>
        </w:rPr>
      </w:pPr>
      <w:r w:rsidRPr="00C35766">
        <w:rPr>
          <w:rFonts w:ascii="Times New Roman" w:eastAsia="Times New Roman" w:hAnsi="Times New Roman" w:cs="Times New Roman"/>
          <w:lang w:val="it-IT"/>
        </w:rPr>
        <w:t>La siringa preriempita Yuflyma è una siringa di vetro contenente una soluzione di adalimumab. La confezione da 1 siringa preriempita viene fornita con 2 tamponi imbevuti di alcol (1 di riserva).</w:t>
      </w:r>
    </w:p>
    <w:p w14:paraId="1DDD2037" w14:textId="77777777" w:rsidR="007750EF" w:rsidRPr="00C35766" w:rsidRDefault="007750EF" w:rsidP="007750EF">
      <w:pPr>
        <w:spacing w:before="10" w:line="240" w:lineRule="exact"/>
        <w:rPr>
          <w:rFonts w:ascii="Times New Roman" w:eastAsia="Times New Roman" w:hAnsi="Times New Roman" w:cs="Times New Roman"/>
          <w:lang w:val="it-IT"/>
        </w:rPr>
      </w:pPr>
    </w:p>
    <w:p w14:paraId="6AEFCDFA" w14:textId="73E101C8" w:rsidR="0050099E" w:rsidRPr="00C35766" w:rsidRDefault="007750EF" w:rsidP="007750EF">
      <w:pPr>
        <w:spacing w:before="10" w:line="240" w:lineRule="exact"/>
        <w:rPr>
          <w:rFonts w:ascii="Times New Roman" w:hAnsi="Times New Roman" w:cs="Times New Roman"/>
          <w:sz w:val="24"/>
          <w:szCs w:val="24"/>
          <w:lang w:val="it-IT"/>
        </w:rPr>
      </w:pPr>
      <w:r w:rsidRPr="00C35766">
        <w:rPr>
          <w:rFonts w:ascii="Times New Roman" w:eastAsia="Times New Roman" w:hAnsi="Times New Roman" w:cs="Times New Roman"/>
          <w:highlight w:val="lightGray"/>
          <w:lang w:val="it-IT"/>
        </w:rPr>
        <w:t xml:space="preserve">La siringa preriempita di Yuflyma è una siringa di vetro con protezione dell'ago contenente una soluzione di adalimumab. La 1 siringa preriempita con confezione di protezione dell'ago viene fornita con 2 tamponi imbevuti di alcol (1 di </w:t>
      </w:r>
      <w:r w:rsidR="006C6890" w:rsidRPr="006C6890">
        <w:rPr>
          <w:rFonts w:ascii="Times New Roman" w:eastAsia="Times New Roman" w:hAnsi="Times New Roman" w:cs="Times New Roman"/>
          <w:highlight w:val="lightGray"/>
          <w:lang w:val="it-IT"/>
        </w:rPr>
        <w:t>riserva</w:t>
      </w:r>
      <w:r w:rsidRPr="00C35766">
        <w:rPr>
          <w:rFonts w:ascii="Times New Roman" w:eastAsia="Times New Roman" w:hAnsi="Times New Roman" w:cs="Times New Roman"/>
          <w:highlight w:val="lightGray"/>
          <w:lang w:val="it-IT"/>
        </w:rPr>
        <w:t>).</w:t>
      </w:r>
    </w:p>
    <w:p w14:paraId="6BD67D22" w14:textId="77777777" w:rsidR="0050099E" w:rsidRPr="00C35766" w:rsidRDefault="0050099E" w:rsidP="0050099E">
      <w:pPr>
        <w:spacing w:before="13" w:line="240" w:lineRule="exact"/>
        <w:rPr>
          <w:rFonts w:ascii="Times New Roman" w:hAnsi="Times New Roman" w:cs="Times New Roman"/>
          <w:sz w:val="24"/>
          <w:szCs w:val="24"/>
          <w:lang w:val="fr-FR"/>
        </w:rPr>
      </w:pPr>
    </w:p>
    <w:p w14:paraId="1E8B7964" w14:textId="77777777" w:rsidR="0050099E" w:rsidRPr="00C35766" w:rsidRDefault="0050099E" w:rsidP="0050099E">
      <w:pPr>
        <w:pStyle w:val="a3"/>
        <w:rPr>
          <w:lang w:val="pt-BR"/>
        </w:rPr>
      </w:pPr>
      <w:r w:rsidRPr="00C35766">
        <w:rPr>
          <w:rFonts w:eastAsia="Times New Roman"/>
          <w:lang w:val="it-IT"/>
        </w:rPr>
        <w:t>Yuflyma può essere disponibile come siringa pre-riempita e/o penna pre-riempita.</w:t>
      </w:r>
    </w:p>
    <w:p w14:paraId="67BCA481" w14:textId="77777777" w:rsidR="0050099E" w:rsidRPr="00C35766" w:rsidRDefault="0050099E" w:rsidP="0050099E">
      <w:pPr>
        <w:spacing w:before="18" w:line="240" w:lineRule="exact"/>
        <w:rPr>
          <w:rFonts w:ascii="Times New Roman" w:hAnsi="Times New Roman" w:cs="Times New Roman"/>
          <w:sz w:val="24"/>
          <w:szCs w:val="24"/>
          <w:lang w:val="pt-BR"/>
        </w:rPr>
      </w:pPr>
    </w:p>
    <w:p w14:paraId="4AFFC506" w14:textId="77777777" w:rsidR="0050099E" w:rsidRPr="00C35766" w:rsidRDefault="0050099E" w:rsidP="0050099E">
      <w:pPr>
        <w:pStyle w:val="a3"/>
        <w:keepNext/>
        <w:rPr>
          <w:rFonts w:eastAsia="Times New Roman"/>
          <w:b/>
          <w:bCs/>
          <w:lang w:val="it-IT"/>
        </w:rPr>
      </w:pPr>
      <w:r w:rsidRPr="00C35766">
        <w:rPr>
          <w:rFonts w:eastAsia="Times New Roman"/>
          <w:b/>
          <w:bCs/>
          <w:lang w:val="it-IT"/>
        </w:rPr>
        <w:t>Titolare dell’autorizzazione all’immissione in commercio</w:t>
      </w:r>
    </w:p>
    <w:p w14:paraId="5136610D" w14:textId="77777777" w:rsidR="0050099E" w:rsidRPr="00C35766" w:rsidRDefault="0050099E" w:rsidP="0050099E">
      <w:pPr>
        <w:spacing w:before="12" w:line="240" w:lineRule="exact"/>
        <w:rPr>
          <w:rFonts w:ascii="Times New Roman" w:hAnsi="Times New Roman" w:cs="Times New Roman"/>
          <w:sz w:val="24"/>
          <w:lang w:val="it-IT"/>
        </w:rPr>
      </w:pPr>
    </w:p>
    <w:p w14:paraId="2E3622D0" w14:textId="77777777" w:rsidR="0050099E" w:rsidRPr="00824699" w:rsidRDefault="0050099E" w:rsidP="0050099E">
      <w:pPr>
        <w:pStyle w:val="a3"/>
        <w:rPr>
          <w:lang w:val="it-IT"/>
        </w:rPr>
      </w:pPr>
      <w:r w:rsidRPr="00824699">
        <w:rPr>
          <w:lang w:val="it-IT"/>
        </w:rPr>
        <w:t xml:space="preserve">Celltrion Healthcare Hungary Kft. </w:t>
      </w:r>
    </w:p>
    <w:p w14:paraId="6DE25F66" w14:textId="77777777" w:rsidR="0050099E" w:rsidRPr="00C35766" w:rsidRDefault="0050099E" w:rsidP="0050099E">
      <w:pPr>
        <w:pStyle w:val="a3"/>
      </w:pPr>
      <w:r w:rsidRPr="00C35766">
        <w:t>1062 Budapest</w:t>
      </w:r>
    </w:p>
    <w:p w14:paraId="2072C418" w14:textId="77777777" w:rsidR="0050099E" w:rsidRPr="00C35766" w:rsidRDefault="0050099E" w:rsidP="0050099E">
      <w:pPr>
        <w:pStyle w:val="a3"/>
      </w:pPr>
      <w:r w:rsidRPr="00C35766">
        <w:t>Váci út 1-3. WestEnd Office Building B torony</w:t>
      </w:r>
    </w:p>
    <w:p w14:paraId="6DD97FE4" w14:textId="77777777" w:rsidR="0050099E" w:rsidRPr="00C35766" w:rsidRDefault="0050099E" w:rsidP="0050099E">
      <w:pPr>
        <w:pStyle w:val="a3"/>
        <w:rPr>
          <w:vanish/>
        </w:rPr>
      </w:pPr>
      <w:r w:rsidRPr="00C35766">
        <w:rPr>
          <w:vanish/>
        </w:rPr>
        <w:t xml:space="preserve">Celltrion Healthcare Hungary Kft. </w:t>
      </w:r>
    </w:p>
    <w:p w14:paraId="4C0C505A" w14:textId="77777777" w:rsidR="0050099E" w:rsidRPr="00C35766" w:rsidRDefault="0050099E" w:rsidP="0050099E">
      <w:pPr>
        <w:pStyle w:val="a3"/>
        <w:rPr>
          <w:vanish/>
        </w:rPr>
      </w:pPr>
      <w:r w:rsidRPr="00C35766">
        <w:rPr>
          <w:vanish/>
        </w:rPr>
        <w:t>1062 Budapest</w:t>
      </w:r>
    </w:p>
    <w:p w14:paraId="0F7376B9" w14:textId="77777777" w:rsidR="0050099E" w:rsidRPr="00C35766" w:rsidRDefault="0050099E" w:rsidP="0050099E">
      <w:pPr>
        <w:pStyle w:val="a3"/>
        <w:rPr>
          <w:vanish/>
        </w:rPr>
      </w:pPr>
      <w:r w:rsidRPr="00C35766">
        <w:rPr>
          <w:vanish/>
        </w:rPr>
        <w:t>Váci út 1-3. WestEnd Office Building B torony</w:t>
      </w:r>
    </w:p>
    <w:p w14:paraId="5B9E4B81" w14:textId="77777777" w:rsidR="0050099E" w:rsidRPr="00C35766" w:rsidRDefault="0050099E" w:rsidP="0050099E">
      <w:pPr>
        <w:pStyle w:val="a3"/>
      </w:pPr>
      <w:r w:rsidRPr="00C35766">
        <w:t>Ungheria</w:t>
      </w:r>
    </w:p>
    <w:p w14:paraId="62C38BD2" w14:textId="77777777" w:rsidR="0050099E" w:rsidRPr="00C35766" w:rsidRDefault="0050099E" w:rsidP="0050099E">
      <w:pPr>
        <w:spacing w:before="15" w:line="240" w:lineRule="exact"/>
        <w:rPr>
          <w:rFonts w:ascii="Times New Roman" w:hAnsi="Times New Roman" w:cs="Times New Roman"/>
          <w:b/>
          <w:sz w:val="24"/>
          <w:szCs w:val="24"/>
        </w:rPr>
      </w:pPr>
    </w:p>
    <w:p w14:paraId="02D7F014" w14:textId="77777777" w:rsidR="0050099E" w:rsidRPr="00C35766" w:rsidRDefault="0050099E" w:rsidP="0050099E">
      <w:pPr>
        <w:pStyle w:val="a3"/>
        <w:rPr>
          <w:b/>
        </w:rPr>
      </w:pPr>
      <w:r w:rsidRPr="00C35766">
        <w:rPr>
          <w:b/>
        </w:rPr>
        <w:t>Produttore</w:t>
      </w:r>
    </w:p>
    <w:p w14:paraId="3121DB40" w14:textId="77777777" w:rsidR="0050099E" w:rsidRPr="00C35766" w:rsidRDefault="0050099E" w:rsidP="0050099E">
      <w:pPr>
        <w:pStyle w:val="a3"/>
      </w:pPr>
    </w:p>
    <w:p w14:paraId="7AE4F1A0" w14:textId="3700D646" w:rsidR="0050099E" w:rsidRPr="00BD232C" w:rsidDel="009328A5" w:rsidRDefault="0050099E" w:rsidP="0050099E">
      <w:pPr>
        <w:pStyle w:val="a3"/>
        <w:rPr>
          <w:del w:id="119" w:author="만든 이"/>
        </w:rPr>
      </w:pPr>
      <w:del w:id="120" w:author="만든 이">
        <w:r w:rsidRPr="00BD232C" w:rsidDel="009328A5">
          <w:delText>Millmount Healthcare Ltd.</w:delText>
        </w:r>
      </w:del>
    </w:p>
    <w:p w14:paraId="3C1693FE" w14:textId="5E4D6A54" w:rsidR="0050099E" w:rsidRPr="00BD232C" w:rsidDel="009328A5" w:rsidRDefault="0050099E" w:rsidP="0050099E">
      <w:pPr>
        <w:pStyle w:val="a3"/>
        <w:rPr>
          <w:del w:id="121" w:author="만든 이"/>
        </w:rPr>
      </w:pPr>
      <w:del w:id="122" w:author="만든 이">
        <w:r w:rsidRPr="00BD232C" w:rsidDel="009328A5">
          <w:delText>Block 7</w:delText>
        </w:r>
      </w:del>
    </w:p>
    <w:p w14:paraId="49383D55" w14:textId="02589ADB" w:rsidR="0050099E" w:rsidRPr="00BD232C" w:rsidDel="009328A5" w:rsidRDefault="0050099E" w:rsidP="0050099E">
      <w:pPr>
        <w:pStyle w:val="a3"/>
        <w:rPr>
          <w:del w:id="123" w:author="만든 이"/>
        </w:rPr>
      </w:pPr>
      <w:del w:id="124" w:author="만든 이">
        <w:r w:rsidRPr="00BD232C" w:rsidDel="009328A5">
          <w:delText xml:space="preserve">City North Business Campus </w:delText>
        </w:r>
      </w:del>
    </w:p>
    <w:p w14:paraId="0D95B95A" w14:textId="378A1C11" w:rsidR="0050099E" w:rsidRPr="00BD232C" w:rsidDel="009328A5" w:rsidRDefault="0050099E" w:rsidP="0050099E">
      <w:pPr>
        <w:pStyle w:val="a3"/>
        <w:rPr>
          <w:del w:id="125" w:author="만든 이"/>
          <w:lang w:val="it-IT"/>
        </w:rPr>
      </w:pPr>
      <w:del w:id="126" w:author="만든 이">
        <w:r w:rsidRPr="00BD232C" w:rsidDel="009328A5">
          <w:delText xml:space="preserve">Stamullen, Co. </w:delText>
        </w:r>
        <w:r w:rsidRPr="00BD232C" w:rsidDel="009328A5">
          <w:rPr>
            <w:lang w:val="it-IT"/>
          </w:rPr>
          <w:delText>Meath K32 YD60</w:delText>
        </w:r>
      </w:del>
    </w:p>
    <w:p w14:paraId="43F47282" w14:textId="2ACF2434" w:rsidR="0050099E" w:rsidRPr="00BD232C" w:rsidDel="009328A5" w:rsidRDefault="0050099E" w:rsidP="0050099E">
      <w:pPr>
        <w:pStyle w:val="a3"/>
        <w:rPr>
          <w:del w:id="127" w:author="만든 이"/>
          <w:lang w:val="it-IT"/>
        </w:rPr>
      </w:pPr>
      <w:del w:id="128" w:author="만든 이">
        <w:r w:rsidRPr="00BD232C" w:rsidDel="009328A5">
          <w:rPr>
            <w:lang w:val="it-IT"/>
          </w:rPr>
          <w:delText xml:space="preserve">Irlanda </w:delText>
        </w:r>
      </w:del>
    </w:p>
    <w:p w14:paraId="13D9C3A4" w14:textId="67AC95D0" w:rsidR="0050099E" w:rsidRPr="00BD232C" w:rsidDel="009328A5" w:rsidRDefault="0050099E" w:rsidP="0050099E">
      <w:pPr>
        <w:spacing w:before="14" w:line="240" w:lineRule="exact"/>
        <w:rPr>
          <w:del w:id="129" w:author="만든 이"/>
          <w:rFonts w:ascii="Times New Roman" w:hAnsi="Times New Roman" w:cs="Times New Roman"/>
          <w:sz w:val="24"/>
          <w:lang w:val="it-IT"/>
        </w:rPr>
      </w:pPr>
    </w:p>
    <w:p w14:paraId="0D62F636" w14:textId="77777777" w:rsidR="009328A5" w:rsidRPr="00BD232C" w:rsidRDefault="009328A5" w:rsidP="009328A5">
      <w:pPr>
        <w:spacing w:before="10" w:line="240" w:lineRule="exact"/>
        <w:rPr>
          <w:moveTo w:id="130" w:author="만든 이" w16du:dateUtc="2025-09-09T05:42:00Z"/>
          <w:rFonts w:ascii="Times New Roman" w:eastAsia="Times New Roman" w:hAnsi="Times New Roman" w:cs="Times New Roman"/>
          <w:lang w:val="it-IT"/>
        </w:rPr>
      </w:pPr>
      <w:moveToRangeStart w:id="131" w:author="만든 이" w:name="move208321347"/>
      <w:moveTo w:id="132" w:author="만든 이" w16du:dateUtc="2025-09-09T05:42:00Z">
        <w:r w:rsidRPr="00BD232C">
          <w:rPr>
            <w:rFonts w:ascii="Times New Roman" w:eastAsia="Times New Roman" w:hAnsi="Times New Roman" w:cs="Times New Roman"/>
            <w:lang w:val="it-IT"/>
          </w:rPr>
          <w:t>Nuvisan France SARL</w:t>
        </w:r>
      </w:moveTo>
    </w:p>
    <w:p w14:paraId="288C274C" w14:textId="77777777" w:rsidR="009328A5" w:rsidRPr="006501B3" w:rsidRDefault="009328A5" w:rsidP="009328A5">
      <w:pPr>
        <w:spacing w:before="10" w:line="240" w:lineRule="exact"/>
        <w:rPr>
          <w:moveTo w:id="133" w:author="만든 이" w16du:dateUtc="2025-09-09T05:42:00Z"/>
          <w:rFonts w:ascii="Times New Roman" w:hAnsi="Times New Roman" w:cs="Times New Roman"/>
          <w:lang w:val="fr-CA" w:eastAsia="ko-KR"/>
        </w:rPr>
      </w:pPr>
      <w:moveTo w:id="134" w:author="만든 이" w16du:dateUtc="2025-09-09T05:42:00Z">
        <w:r w:rsidRPr="006501B3">
          <w:rPr>
            <w:rFonts w:ascii="Times New Roman" w:eastAsia="Times New Roman" w:hAnsi="Times New Roman" w:cs="Times New Roman"/>
            <w:lang w:val="fr-CA"/>
          </w:rPr>
          <w:t>2400, Route des Colles</w:t>
        </w:r>
      </w:moveTo>
    </w:p>
    <w:p w14:paraId="23CC527F" w14:textId="77777777" w:rsidR="009328A5" w:rsidRPr="00BD232C" w:rsidRDefault="009328A5" w:rsidP="009328A5">
      <w:pPr>
        <w:spacing w:before="10" w:line="240" w:lineRule="exact"/>
        <w:rPr>
          <w:moveTo w:id="135" w:author="만든 이" w16du:dateUtc="2025-09-09T05:42:00Z"/>
          <w:rFonts w:ascii="Times New Roman" w:hAnsi="Times New Roman" w:cs="Times New Roman"/>
          <w:lang w:eastAsia="ko-KR"/>
        </w:rPr>
      </w:pPr>
      <w:moveTo w:id="136" w:author="만든 이" w16du:dateUtc="2025-09-09T05:42:00Z">
        <w:r w:rsidRPr="00BD232C">
          <w:rPr>
            <w:rFonts w:ascii="Times New Roman" w:eastAsia="Times New Roman" w:hAnsi="Times New Roman" w:cs="Times New Roman"/>
          </w:rPr>
          <w:t>06410, Biot</w:t>
        </w:r>
      </w:moveTo>
    </w:p>
    <w:p w14:paraId="70859B57" w14:textId="77777777" w:rsidR="009328A5" w:rsidRPr="00BD232C" w:rsidRDefault="009328A5" w:rsidP="009328A5">
      <w:pPr>
        <w:autoSpaceDE w:val="0"/>
        <w:autoSpaceDN w:val="0"/>
        <w:adjustRightInd w:val="0"/>
        <w:rPr>
          <w:moveTo w:id="137" w:author="만든 이" w16du:dateUtc="2025-09-09T05:42:00Z"/>
          <w:rFonts w:ascii="Times New Roman" w:eastAsia="Times New Roman" w:hAnsi="Times New Roman" w:cs="Times New Roman"/>
        </w:rPr>
      </w:pPr>
      <w:moveTo w:id="138" w:author="만든 이" w16du:dateUtc="2025-09-09T05:42:00Z">
        <w:r w:rsidRPr="00BD232C">
          <w:rPr>
            <w:rFonts w:ascii="Times New Roman" w:eastAsia="Times New Roman" w:hAnsi="Times New Roman" w:cs="Times New Roman"/>
          </w:rPr>
          <w:t>Francia</w:t>
        </w:r>
      </w:moveTo>
    </w:p>
    <w:p w14:paraId="50A54434" w14:textId="77777777" w:rsidR="009328A5" w:rsidRPr="00BD232C" w:rsidRDefault="009328A5" w:rsidP="009328A5">
      <w:pPr>
        <w:pStyle w:val="a3"/>
        <w:rPr>
          <w:moveTo w:id="139" w:author="만든 이" w16du:dateUtc="2025-09-09T05:42:00Z"/>
          <w:rFonts w:eastAsia="Times New Roman"/>
          <w:lang w:val="es-ES_tradnl"/>
        </w:rPr>
      </w:pPr>
    </w:p>
    <w:moveToRangeEnd w:id="131"/>
    <w:p w14:paraId="243318F6" w14:textId="77777777" w:rsidR="0050099E" w:rsidRPr="00824699" w:rsidRDefault="0050099E" w:rsidP="0050099E">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Nuvisan GmbH</w:t>
      </w:r>
    </w:p>
    <w:p w14:paraId="5751598D" w14:textId="74CCC4D5" w:rsidR="0050099E" w:rsidRPr="00D74B3A" w:rsidRDefault="0050099E" w:rsidP="0050099E">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Wegenerstraße 13</w:t>
      </w:r>
    </w:p>
    <w:p w14:paraId="66E55B4D" w14:textId="69873DB4" w:rsidR="0050099E" w:rsidRPr="00D74B3A" w:rsidRDefault="0050099E" w:rsidP="0050099E">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89231 Neu</w:t>
      </w:r>
      <w:r w:rsidR="003A4F8F">
        <w:rPr>
          <w:rFonts w:ascii="Times New Roman" w:hAnsi="Times New Roman" w:cs="Times New Roman" w:hint="eastAsia"/>
          <w:shd w:val="pct15" w:color="auto" w:fill="FFFFFF"/>
          <w:lang w:val="de-CH" w:eastAsia="ko-KR"/>
        </w:rPr>
        <w:t>-</w:t>
      </w:r>
      <w:r w:rsidRPr="00146E60">
        <w:rPr>
          <w:rFonts w:ascii="Times New Roman" w:eastAsia="Times New Roman" w:hAnsi="Times New Roman" w:cs="Times New Roman"/>
          <w:shd w:val="pct15" w:color="auto" w:fill="FFFFFF"/>
          <w:lang w:val="de-CH"/>
        </w:rPr>
        <w:t>Ulm</w:t>
      </w:r>
    </w:p>
    <w:p w14:paraId="07EC7417" w14:textId="77777777" w:rsidR="0050099E" w:rsidRPr="00824699" w:rsidRDefault="0050099E" w:rsidP="0050099E">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Germania</w:t>
      </w:r>
    </w:p>
    <w:p w14:paraId="152E450A" w14:textId="77777777" w:rsidR="0050099E" w:rsidRPr="00824699" w:rsidRDefault="0050099E" w:rsidP="0050099E">
      <w:pPr>
        <w:spacing w:before="10" w:line="240" w:lineRule="exact"/>
        <w:rPr>
          <w:rFonts w:ascii="Times New Roman" w:eastAsia="Times New Roman" w:hAnsi="Times New Roman" w:cs="Times New Roman"/>
          <w:shd w:val="pct15" w:color="auto" w:fill="FFFFFF"/>
          <w:lang w:val="it-IT"/>
        </w:rPr>
      </w:pPr>
    </w:p>
    <w:p w14:paraId="2B1B4A54" w14:textId="5494207D" w:rsidR="0050099E" w:rsidRPr="00824699" w:rsidDel="009328A5" w:rsidRDefault="0050099E" w:rsidP="0050099E">
      <w:pPr>
        <w:spacing w:before="10" w:line="240" w:lineRule="exact"/>
        <w:rPr>
          <w:moveFrom w:id="140" w:author="만든 이" w16du:dateUtc="2025-09-09T05:42:00Z"/>
          <w:rFonts w:ascii="Times New Roman" w:eastAsia="Times New Roman" w:hAnsi="Times New Roman" w:cs="Times New Roman"/>
          <w:shd w:val="pct15" w:color="auto" w:fill="FFFFFF"/>
          <w:lang w:val="it-IT"/>
        </w:rPr>
      </w:pPr>
      <w:moveFromRangeStart w:id="141" w:author="만든 이" w:name="move208321347"/>
      <w:moveFrom w:id="142" w:author="만든 이" w16du:dateUtc="2025-09-09T05:42:00Z">
        <w:r w:rsidRPr="00824699" w:rsidDel="009328A5">
          <w:rPr>
            <w:rFonts w:ascii="Times New Roman" w:eastAsia="Times New Roman" w:hAnsi="Times New Roman" w:cs="Times New Roman"/>
            <w:shd w:val="pct15" w:color="auto" w:fill="FFFFFF"/>
            <w:lang w:val="it-IT"/>
          </w:rPr>
          <w:t>Nuvisan France SARL</w:t>
        </w:r>
      </w:moveFrom>
    </w:p>
    <w:p w14:paraId="50FF4D1C" w14:textId="4DB3DAB8" w:rsidR="0050099E" w:rsidRPr="00D74B3A" w:rsidDel="009328A5" w:rsidRDefault="0050099E" w:rsidP="0050099E">
      <w:pPr>
        <w:spacing w:before="10" w:line="240" w:lineRule="exact"/>
        <w:rPr>
          <w:moveFrom w:id="143" w:author="만든 이" w16du:dateUtc="2025-09-09T05:42:00Z"/>
          <w:rFonts w:ascii="Times New Roman" w:hAnsi="Times New Roman" w:cs="Times New Roman"/>
          <w:shd w:val="pct15" w:color="auto" w:fill="FFFFFF"/>
          <w:lang w:eastAsia="ko-KR"/>
        </w:rPr>
      </w:pPr>
      <w:moveFrom w:id="144" w:author="만든 이" w16du:dateUtc="2025-09-09T05:42:00Z">
        <w:r w:rsidRPr="00146E60" w:rsidDel="009328A5">
          <w:rPr>
            <w:rFonts w:ascii="Times New Roman" w:eastAsia="Times New Roman" w:hAnsi="Times New Roman" w:cs="Times New Roman"/>
            <w:shd w:val="pct15" w:color="auto" w:fill="FFFFFF"/>
          </w:rPr>
          <w:t>2400, Route des Colles</w:t>
        </w:r>
      </w:moveFrom>
    </w:p>
    <w:p w14:paraId="6D3E07C8" w14:textId="67C19FDC" w:rsidR="0050099E" w:rsidRPr="00D74B3A" w:rsidDel="009328A5" w:rsidRDefault="0050099E" w:rsidP="0050099E">
      <w:pPr>
        <w:spacing w:before="10" w:line="240" w:lineRule="exact"/>
        <w:rPr>
          <w:moveFrom w:id="145" w:author="만든 이" w16du:dateUtc="2025-09-09T05:42:00Z"/>
          <w:rFonts w:ascii="Times New Roman" w:hAnsi="Times New Roman" w:cs="Times New Roman"/>
          <w:shd w:val="pct15" w:color="auto" w:fill="FFFFFF"/>
          <w:lang w:eastAsia="ko-KR"/>
        </w:rPr>
      </w:pPr>
      <w:moveFrom w:id="146" w:author="만든 이" w16du:dateUtc="2025-09-09T05:42:00Z">
        <w:r w:rsidRPr="00146E60" w:rsidDel="009328A5">
          <w:rPr>
            <w:rFonts w:ascii="Times New Roman" w:eastAsia="Times New Roman" w:hAnsi="Times New Roman" w:cs="Times New Roman"/>
            <w:shd w:val="pct15" w:color="auto" w:fill="FFFFFF"/>
          </w:rPr>
          <w:t>06410, Biot</w:t>
        </w:r>
      </w:moveFrom>
    </w:p>
    <w:p w14:paraId="7FBD70F9" w14:textId="52F8A61B" w:rsidR="0050099E" w:rsidRPr="00146E60" w:rsidDel="009328A5" w:rsidRDefault="0050099E" w:rsidP="0050099E">
      <w:pPr>
        <w:autoSpaceDE w:val="0"/>
        <w:autoSpaceDN w:val="0"/>
        <w:adjustRightInd w:val="0"/>
        <w:rPr>
          <w:moveFrom w:id="147" w:author="만든 이" w16du:dateUtc="2025-09-09T05:42:00Z"/>
          <w:rFonts w:ascii="Times New Roman" w:eastAsia="Times New Roman" w:hAnsi="Times New Roman" w:cs="Times New Roman"/>
          <w:shd w:val="pct15" w:color="auto" w:fill="FFFFFF"/>
        </w:rPr>
      </w:pPr>
      <w:moveFrom w:id="148" w:author="만든 이" w16du:dateUtc="2025-09-09T05:42:00Z">
        <w:r w:rsidRPr="00146E60" w:rsidDel="009328A5">
          <w:rPr>
            <w:rFonts w:ascii="Times New Roman" w:eastAsia="Times New Roman" w:hAnsi="Times New Roman" w:cs="Times New Roman"/>
            <w:shd w:val="pct15" w:color="auto" w:fill="FFFFFF"/>
          </w:rPr>
          <w:t>Francia</w:t>
        </w:r>
      </w:moveFrom>
    </w:p>
    <w:p w14:paraId="0CEE81BB" w14:textId="280933E0" w:rsidR="0007460C" w:rsidRPr="00146E60" w:rsidDel="009328A5" w:rsidRDefault="0007460C" w:rsidP="0007460C">
      <w:pPr>
        <w:pStyle w:val="a3"/>
        <w:rPr>
          <w:moveFrom w:id="149" w:author="만든 이" w16du:dateUtc="2025-09-09T05:42:00Z"/>
          <w:rFonts w:eastAsia="Times New Roman"/>
          <w:shd w:val="pct15" w:color="auto" w:fill="FFFFFF"/>
          <w:lang w:val="es-ES_tradnl"/>
        </w:rPr>
      </w:pPr>
    </w:p>
    <w:moveFromRangeEnd w:id="141"/>
    <w:p w14:paraId="34F38AA6" w14:textId="77777777" w:rsidR="0007460C" w:rsidRPr="00BD232C" w:rsidRDefault="0007460C" w:rsidP="0007460C">
      <w:pPr>
        <w:pStyle w:val="a3"/>
        <w:rPr>
          <w:rFonts w:eastAsia="Times New Roman"/>
          <w:shd w:val="pct15" w:color="auto" w:fill="FFFFFF"/>
          <w:lang w:val="es-ES_tradnl"/>
        </w:rPr>
      </w:pPr>
      <w:r w:rsidRPr="00BD232C">
        <w:rPr>
          <w:rFonts w:eastAsia="Times New Roman"/>
          <w:shd w:val="pct15" w:color="auto" w:fill="FFFFFF"/>
          <w:lang w:val="es-ES_tradnl"/>
        </w:rPr>
        <w:t>Midas Pharma GmbH</w:t>
      </w:r>
    </w:p>
    <w:p w14:paraId="7E1AC01E" w14:textId="1FEB7A2B" w:rsidR="0007460C" w:rsidRPr="00BD232C" w:rsidRDefault="0007460C" w:rsidP="0007460C">
      <w:pPr>
        <w:pStyle w:val="a3"/>
        <w:rPr>
          <w:shd w:val="pct15" w:color="auto" w:fill="FFFFFF"/>
          <w:lang w:val="es-ES_tradnl" w:eastAsia="ko-KR"/>
        </w:rPr>
      </w:pPr>
      <w:r w:rsidRPr="00BD232C">
        <w:rPr>
          <w:rFonts w:eastAsia="Times New Roman"/>
          <w:shd w:val="pct15" w:color="auto" w:fill="FFFFFF"/>
          <w:lang w:val="es-ES_tradnl"/>
        </w:rPr>
        <w:t>Rheinstr. 49</w:t>
      </w:r>
    </w:p>
    <w:p w14:paraId="6349397B" w14:textId="27BA948C" w:rsidR="0007460C" w:rsidRPr="00BD232C" w:rsidRDefault="0007460C" w:rsidP="0007460C">
      <w:pPr>
        <w:pStyle w:val="a3"/>
        <w:rPr>
          <w:shd w:val="pct15" w:color="auto" w:fill="FFFFFF"/>
          <w:lang w:val="es-ES_tradnl" w:eastAsia="ko-KR"/>
        </w:rPr>
      </w:pPr>
      <w:r w:rsidRPr="00BD232C">
        <w:rPr>
          <w:rFonts w:eastAsia="Times New Roman"/>
          <w:shd w:val="pct15" w:color="auto" w:fill="FFFFFF"/>
          <w:lang w:val="es-ES_tradnl"/>
        </w:rPr>
        <w:t>55218 Ingelheim</w:t>
      </w:r>
    </w:p>
    <w:p w14:paraId="0B2F03D2" w14:textId="77777777" w:rsidR="0007460C" w:rsidRPr="00BD232C" w:rsidRDefault="0007460C" w:rsidP="0007460C">
      <w:pPr>
        <w:pStyle w:val="a3"/>
        <w:rPr>
          <w:rFonts w:eastAsia="Times New Roman"/>
          <w:shd w:val="pct15" w:color="auto" w:fill="FFFFFF"/>
          <w:lang w:val="es-ES_tradnl"/>
        </w:rPr>
      </w:pPr>
      <w:r w:rsidRPr="00BD232C">
        <w:rPr>
          <w:rFonts w:eastAsia="Times New Roman"/>
          <w:shd w:val="pct15" w:color="auto" w:fill="FFFFFF"/>
          <w:lang w:val="es-ES_tradnl"/>
        </w:rPr>
        <w:t>Germania</w:t>
      </w:r>
    </w:p>
    <w:p w14:paraId="25B2447D" w14:textId="77777777" w:rsidR="0007460C" w:rsidRPr="00BD232C" w:rsidRDefault="0007460C" w:rsidP="0007460C">
      <w:pPr>
        <w:pStyle w:val="a3"/>
        <w:rPr>
          <w:rFonts w:eastAsia="Times New Roman"/>
          <w:shd w:val="pct15" w:color="auto" w:fill="FFFFFF"/>
          <w:lang w:val="es-ES_tradnl"/>
        </w:rPr>
      </w:pPr>
    </w:p>
    <w:p w14:paraId="42FA47E7" w14:textId="3BE178EE" w:rsidR="0007460C" w:rsidRPr="00BD232C" w:rsidRDefault="0007460C" w:rsidP="0007460C">
      <w:pPr>
        <w:pStyle w:val="a3"/>
        <w:rPr>
          <w:shd w:val="pct15" w:color="auto" w:fill="FFFFFF"/>
          <w:lang w:val="es-ES_tradnl" w:eastAsia="ko-KR"/>
        </w:rPr>
      </w:pPr>
      <w:r w:rsidRPr="00BD232C">
        <w:rPr>
          <w:rFonts w:eastAsia="Times New Roman"/>
          <w:shd w:val="pct15" w:color="auto" w:fill="FFFFFF"/>
          <w:lang w:val="es-ES_tradnl"/>
        </w:rPr>
        <w:t>KYMOS S.L.</w:t>
      </w:r>
    </w:p>
    <w:p w14:paraId="16A53041" w14:textId="53E91388" w:rsidR="0007460C" w:rsidRPr="00BD232C" w:rsidRDefault="0007460C" w:rsidP="0007460C">
      <w:pPr>
        <w:pStyle w:val="a3"/>
        <w:rPr>
          <w:shd w:val="pct15" w:color="auto" w:fill="FFFFFF"/>
          <w:lang w:val="es-ES_tradnl" w:eastAsia="ko-KR"/>
        </w:rPr>
      </w:pPr>
      <w:r w:rsidRPr="00BD232C">
        <w:rPr>
          <w:rFonts w:eastAsia="Times New Roman"/>
          <w:shd w:val="pct15" w:color="auto" w:fill="FFFFFF"/>
          <w:lang w:val="es-ES_tradnl"/>
        </w:rPr>
        <w:t>Ronda Can Fatjó, 7B.</w:t>
      </w:r>
    </w:p>
    <w:p w14:paraId="5A38DE17" w14:textId="0A053920" w:rsidR="0007460C" w:rsidRPr="00BD232C" w:rsidRDefault="0007460C" w:rsidP="0007460C">
      <w:pPr>
        <w:pStyle w:val="a3"/>
        <w:rPr>
          <w:shd w:val="pct15" w:color="auto" w:fill="FFFFFF"/>
          <w:lang w:val="es-ES_tradnl" w:eastAsia="ko-KR"/>
        </w:rPr>
      </w:pPr>
      <w:r w:rsidRPr="00BD232C">
        <w:rPr>
          <w:rFonts w:eastAsia="Times New Roman"/>
          <w:shd w:val="pct15" w:color="auto" w:fill="FFFFFF"/>
          <w:lang w:val="es-ES_tradnl"/>
        </w:rPr>
        <w:t>08290 Cerdanyola del Vallès</w:t>
      </w:r>
    </w:p>
    <w:p w14:paraId="52AD0633" w14:textId="4CA4F663" w:rsidR="0007460C" w:rsidRPr="00D74B3A" w:rsidRDefault="0007460C" w:rsidP="0007460C">
      <w:pPr>
        <w:pStyle w:val="a3"/>
        <w:rPr>
          <w:shd w:val="pct15" w:color="auto" w:fill="FFFFFF"/>
          <w:lang w:val="fr-FR" w:eastAsia="ko-KR"/>
        </w:rPr>
      </w:pPr>
      <w:r w:rsidRPr="00146E60">
        <w:rPr>
          <w:rFonts w:eastAsia="Times New Roman"/>
          <w:shd w:val="pct15" w:color="auto" w:fill="FFFFFF"/>
          <w:lang w:val="fr-FR"/>
        </w:rPr>
        <w:t>Barcelona</w:t>
      </w:r>
    </w:p>
    <w:p w14:paraId="52D3B74E" w14:textId="77777777" w:rsidR="0007460C" w:rsidRPr="00146E60" w:rsidRDefault="0007460C" w:rsidP="0007460C">
      <w:pPr>
        <w:pStyle w:val="a3"/>
        <w:rPr>
          <w:rFonts w:eastAsia="Times New Roman"/>
          <w:shd w:val="pct15" w:color="auto" w:fill="FFFFFF"/>
          <w:lang w:val="fr-FR"/>
        </w:rPr>
      </w:pPr>
      <w:r w:rsidRPr="00146E60">
        <w:rPr>
          <w:rFonts w:eastAsia="Times New Roman"/>
          <w:shd w:val="pct15" w:color="auto" w:fill="FFFFFF"/>
          <w:lang w:val="fr-FR"/>
        </w:rPr>
        <w:t>Spagna</w:t>
      </w:r>
    </w:p>
    <w:p w14:paraId="21A40143" w14:textId="77777777" w:rsidR="0050099E" w:rsidRPr="00FB7F5C" w:rsidRDefault="0050099E" w:rsidP="0050099E">
      <w:pPr>
        <w:spacing w:before="14" w:line="240" w:lineRule="exact"/>
        <w:rPr>
          <w:rFonts w:ascii="Times New Roman" w:hAnsi="Times New Roman" w:cs="Times New Roman"/>
          <w:sz w:val="24"/>
          <w:lang w:val="fr-FR"/>
        </w:rPr>
      </w:pPr>
    </w:p>
    <w:p w14:paraId="2BD1241C" w14:textId="77777777" w:rsidR="0050099E" w:rsidRPr="00C35766" w:rsidRDefault="0050099E" w:rsidP="0050099E">
      <w:pPr>
        <w:pStyle w:val="a3"/>
        <w:rPr>
          <w:lang w:val="it-IT"/>
        </w:rPr>
      </w:pPr>
      <w:r w:rsidRPr="00C35766">
        <w:rPr>
          <w:rFonts w:eastAsia="Times New Roman"/>
          <w:lang w:val="it-IT"/>
        </w:rPr>
        <w:t>Per ulteriori informazioni su questo medicinale, contatti il rappresentante locale del titolare dell’autorizzazione all’immissione in commercio:</w:t>
      </w:r>
    </w:p>
    <w:p w14:paraId="11630590" w14:textId="77777777" w:rsidR="0050099E" w:rsidRPr="00C35766" w:rsidRDefault="0050099E" w:rsidP="0050099E">
      <w:pPr>
        <w:numPr>
          <w:ilvl w:val="12"/>
          <w:numId w:val="0"/>
        </w:numPr>
        <w:ind w:right="-2"/>
        <w:rPr>
          <w:rFonts w:ascii="Times New Roman" w:hAnsi="Times New Roman" w:cs="Times New Roman"/>
          <w:b/>
          <w:lang w:val="it-IT"/>
        </w:rPr>
      </w:pPr>
    </w:p>
    <w:tbl>
      <w:tblPr>
        <w:tblW w:w="5000" w:type="pct"/>
        <w:tblLook w:val="04A0" w:firstRow="1" w:lastRow="0" w:firstColumn="1" w:lastColumn="0" w:noHBand="0" w:noVBand="1"/>
      </w:tblPr>
      <w:tblGrid>
        <w:gridCol w:w="4800"/>
        <w:gridCol w:w="4800"/>
      </w:tblGrid>
      <w:tr w:rsidR="0050099E" w:rsidRPr="00C35766" w14:paraId="056F91EB" w14:textId="77777777" w:rsidTr="00933A6C">
        <w:tc>
          <w:tcPr>
            <w:tcW w:w="2500" w:type="pct"/>
            <w:hideMark/>
          </w:tcPr>
          <w:p w14:paraId="28F8ECE0" w14:textId="77777777" w:rsidR="0050099E" w:rsidRPr="00C35766" w:rsidRDefault="0050099E" w:rsidP="00933A6C">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België/Belgique/Belgien</w:t>
            </w:r>
          </w:p>
          <w:p w14:paraId="70A41E72"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Belgium BVBA</w:t>
            </w:r>
          </w:p>
          <w:p w14:paraId="6330E9C8" w14:textId="77777777" w:rsidR="0050099E" w:rsidRPr="00C35766" w:rsidRDefault="0050099E" w:rsidP="00933A6C">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Tél/Tel: + 32 1528 7418</w:t>
            </w:r>
          </w:p>
        </w:tc>
        <w:tc>
          <w:tcPr>
            <w:tcW w:w="2500" w:type="pct"/>
          </w:tcPr>
          <w:p w14:paraId="66858CEC" w14:textId="77777777" w:rsidR="0050099E" w:rsidRPr="00C35766" w:rsidRDefault="0050099E" w:rsidP="00933A6C">
            <w:pPr>
              <w:tabs>
                <w:tab w:val="left" w:pos="-720"/>
              </w:tabs>
              <w:suppressAutoHyphens/>
              <w:rPr>
                <w:rFonts w:ascii="Times New Roman" w:hAnsi="Times New Roman" w:cs="Times New Roman"/>
                <w:b/>
                <w:noProof/>
                <w:lang w:eastAsia="fr-FR"/>
              </w:rPr>
            </w:pPr>
            <w:r w:rsidRPr="00C35766">
              <w:rPr>
                <w:rFonts w:ascii="Times New Roman" w:hAnsi="Times New Roman" w:cs="Times New Roman"/>
                <w:b/>
                <w:noProof/>
                <w:lang w:eastAsia="fr-FR"/>
              </w:rPr>
              <w:t>Lietuva</w:t>
            </w:r>
          </w:p>
          <w:p w14:paraId="2C7C2FD3"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33436F52"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p w14:paraId="3D126313" w14:textId="77777777" w:rsidR="0050099E" w:rsidRPr="00C35766" w:rsidRDefault="0050099E" w:rsidP="00933A6C">
            <w:pPr>
              <w:autoSpaceDE w:val="0"/>
              <w:autoSpaceDN w:val="0"/>
              <w:adjustRightInd w:val="0"/>
              <w:rPr>
                <w:rFonts w:ascii="Times New Roman" w:hAnsi="Times New Roman" w:cs="Times New Roman"/>
                <w:noProof/>
                <w:lang w:eastAsia="fr-FR"/>
              </w:rPr>
            </w:pPr>
          </w:p>
        </w:tc>
      </w:tr>
      <w:tr w:rsidR="0050099E" w:rsidRPr="00C35766" w14:paraId="5101EE72" w14:textId="77777777" w:rsidTr="00933A6C">
        <w:trPr>
          <w:trHeight w:val="619"/>
        </w:trPr>
        <w:tc>
          <w:tcPr>
            <w:tcW w:w="2500" w:type="pct"/>
          </w:tcPr>
          <w:p w14:paraId="243D98D3"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bCs/>
              </w:rPr>
              <w:lastRenderedPageBreak/>
              <w:t>България</w:t>
            </w:r>
          </w:p>
          <w:p w14:paraId="6A1C8FD2"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4C65BD4"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noProof/>
                <w:lang w:eastAsia="fr-FR"/>
              </w:rPr>
              <w:t>Teл.: +36 1 231 0493</w:t>
            </w:r>
          </w:p>
        </w:tc>
        <w:tc>
          <w:tcPr>
            <w:tcW w:w="2500" w:type="pct"/>
            <w:hideMark/>
          </w:tcPr>
          <w:p w14:paraId="28BDCD7A" w14:textId="77777777" w:rsidR="0050099E" w:rsidRPr="00C35766" w:rsidRDefault="0050099E" w:rsidP="00933A6C">
            <w:pPr>
              <w:tabs>
                <w:tab w:val="left" w:pos="-720"/>
              </w:tabs>
              <w:suppressAutoHyphens/>
              <w:rPr>
                <w:rFonts w:ascii="Times New Roman" w:hAnsi="Times New Roman" w:cs="Times New Roman"/>
                <w:noProof/>
                <w:lang w:val="de-CH" w:eastAsia="fr-FR"/>
              </w:rPr>
            </w:pPr>
            <w:r w:rsidRPr="00C35766">
              <w:rPr>
                <w:rFonts w:ascii="Times New Roman" w:eastAsia="맑은 고딕" w:hAnsi="Times New Roman" w:cs="Times New Roman"/>
                <w:b/>
                <w:noProof/>
                <w:lang w:val="de-CH" w:eastAsia="fr-FR"/>
              </w:rPr>
              <w:t>Luxembourg/Luxemburg</w:t>
            </w:r>
          </w:p>
          <w:p w14:paraId="148085A8" w14:textId="77777777" w:rsidR="0050099E" w:rsidRPr="00C35766" w:rsidRDefault="0050099E" w:rsidP="00933A6C">
            <w:pPr>
              <w:tabs>
                <w:tab w:val="left" w:pos="-720"/>
              </w:tabs>
              <w:suppressAutoHyphens/>
              <w:rPr>
                <w:rFonts w:ascii="Times New Roman" w:eastAsia="맑은 고딕" w:hAnsi="Times New Roman" w:cs="Times New Roman"/>
                <w:iCs/>
                <w:noProof/>
                <w:lang w:val="de-CH" w:eastAsia="fr-FR"/>
              </w:rPr>
            </w:pPr>
            <w:r w:rsidRPr="00C35766">
              <w:rPr>
                <w:rFonts w:ascii="Times New Roman" w:eastAsia="맑은 고딕" w:hAnsi="Times New Roman" w:cs="Times New Roman"/>
                <w:iCs/>
                <w:noProof/>
                <w:lang w:val="de-CH" w:eastAsia="fr-FR"/>
              </w:rPr>
              <w:t>Celltrion Healthcare Belgium BVBA</w:t>
            </w:r>
          </w:p>
          <w:p w14:paraId="21944AAF" w14:textId="77777777" w:rsidR="0050099E" w:rsidRPr="00C35766" w:rsidRDefault="0050099E" w:rsidP="00933A6C">
            <w:pPr>
              <w:tabs>
                <w:tab w:val="left" w:pos="-720"/>
              </w:tabs>
              <w:suppressAutoHyphens/>
              <w:rPr>
                <w:rFonts w:ascii="Times New Roman" w:eastAsia="맑은 고딕" w:hAnsi="Times New Roman" w:cs="Times New Roman"/>
                <w:lang w:val="pt-PT" w:eastAsia="ko-KR"/>
              </w:rPr>
            </w:pPr>
            <w:r w:rsidRPr="00C35766">
              <w:rPr>
                <w:rFonts w:ascii="Times New Roman" w:eastAsia="맑은 고딕" w:hAnsi="Times New Roman" w:cs="Times New Roman"/>
                <w:noProof/>
                <w:lang w:val="fr-FR" w:eastAsia="fr-FR"/>
              </w:rPr>
              <w:t xml:space="preserve">Tél/Tel: </w:t>
            </w:r>
            <w:r w:rsidRPr="00C35766">
              <w:rPr>
                <w:rFonts w:ascii="Times New Roman" w:eastAsia="맑은 고딕" w:hAnsi="Times New Roman" w:cs="Times New Roman"/>
                <w:iCs/>
                <w:noProof/>
                <w:lang w:val="pt-PT" w:eastAsia="fr-FR"/>
              </w:rPr>
              <w:t>+ 32 1528 7418</w:t>
            </w:r>
          </w:p>
        </w:tc>
      </w:tr>
      <w:tr w:rsidR="0050099E" w:rsidRPr="00C35766" w14:paraId="4DA5A25A" w14:textId="77777777" w:rsidTr="00933A6C">
        <w:tc>
          <w:tcPr>
            <w:tcW w:w="2500" w:type="pct"/>
            <w:hideMark/>
          </w:tcPr>
          <w:p w14:paraId="52256135" w14:textId="77777777" w:rsidR="0050099E" w:rsidRPr="00C35766" w:rsidRDefault="0050099E" w:rsidP="00933A6C">
            <w:pPr>
              <w:tabs>
                <w:tab w:val="left" w:pos="-720"/>
              </w:tabs>
              <w:suppressAutoHyphen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Česká republika</w:t>
            </w:r>
          </w:p>
          <w:p w14:paraId="7F0F0744"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E96B3CF"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tc>
        <w:tc>
          <w:tcPr>
            <w:tcW w:w="2500" w:type="pct"/>
          </w:tcPr>
          <w:p w14:paraId="767D12FE"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noProof/>
              </w:rPr>
              <w:t>Magyarország</w:t>
            </w:r>
          </w:p>
          <w:p w14:paraId="374E91C9"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C3B9B11"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+36 1 231 0493</w:t>
            </w:r>
          </w:p>
          <w:p w14:paraId="75B8CD37" w14:textId="77777777" w:rsidR="0050099E" w:rsidRPr="00C35766" w:rsidRDefault="0050099E" w:rsidP="00933A6C">
            <w:pPr>
              <w:rPr>
                <w:rFonts w:ascii="Times New Roman" w:eastAsia="맑은 고딕" w:hAnsi="Times New Roman" w:cs="Times New Roman"/>
                <w:noProof/>
                <w:lang w:eastAsia="ko-KR"/>
              </w:rPr>
            </w:pPr>
          </w:p>
        </w:tc>
      </w:tr>
      <w:tr w:rsidR="0050099E" w:rsidRPr="00C35766" w14:paraId="52F8997A" w14:textId="77777777" w:rsidTr="00933A6C">
        <w:tc>
          <w:tcPr>
            <w:tcW w:w="2500" w:type="pct"/>
            <w:hideMark/>
          </w:tcPr>
          <w:p w14:paraId="66523BC6" w14:textId="77777777" w:rsidR="0050099E" w:rsidRPr="00C35766" w:rsidRDefault="0050099E" w:rsidP="00933A6C">
            <w:pPr>
              <w:tabs>
                <w:tab w:val="left" w:pos="-720"/>
              </w:tabs>
              <w:suppressAutoHyphens/>
              <w:rPr>
                <w:rFonts w:ascii="Times New Roman" w:hAnsi="Times New Roman" w:cs="Times New Roman"/>
                <w:b/>
                <w:bCs/>
                <w:i/>
                <w:iCs/>
                <w:noProof/>
                <w:lang w:eastAsia="fr-FR"/>
              </w:rPr>
            </w:pPr>
            <w:r w:rsidRPr="00C35766">
              <w:rPr>
                <w:rFonts w:ascii="Times New Roman" w:hAnsi="Times New Roman" w:cs="Times New Roman"/>
                <w:b/>
                <w:noProof/>
              </w:rPr>
              <w:t>Danmark</w:t>
            </w:r>
          </w:p>
          <w:p w14:paraId="7BCBF60A"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AAAD90A"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tc>
        <w:tc>
          <w:tcPr>
            <w:tcW w:w="2500" w:type="pct"/>
          </w:tcPr>
          <w:p w14:paraId="675534C4"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Malta</w:t>
            </w:r>
          </w:p>
          <w:p w14:paraId="4AD61EC4" w14:textId="11EF46ED" w:rsidR="0050099E" w:rsidRPr="00C35766" w:rsidRDefault="00B5072D" w:rsidP="00933A6C">
            <w:pPr>
              <w:tabs>
                <w:tab w:val="left" w:pos="-720"/>
              </w:tabs>
              <w:suppressAutoHyphens/>
              <w:rPr>
                <w:rFonts w:ascii="Times New Roman" w:eastAsia="맑은 고딕" w:hAnsi="Times New Roman" w:cs="Times New Roman"/>
                <w:noProof/>
                <w:lang w:eastAsia="fr-FR"/>
              </w:rPr>
            </w:pPr>
            <w:r w:rsidRPr="00B5072D">
              <w:rPr>
                <w:rFonts w:ascii="Times New Roman" w:eastAsia="맑은 고딕" w:hAnsi="Times New Roman" w:cs="Times New Roman"/>
                <w:noProof/>
                <w:lang w:eastAsia="fr-FR"/>
              </w:rPr>
              <w:t>Mint Health Ltd.</w:t>
            </w:r>
          </w:p>
          <w:p w14:paraId="13671DB2" w14:textId="2380A08E" w:rsidR="0050099E" w:rsidRPr="00C35766" w:rsidRDefault="0050099E" w:rsidP="00933A6C">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 xml:space="preserve">Tel: +356 </w:t>
            </w:r>
            <w:r w:rsidR="00B5072D" w:rsidRPr="00B5072D">
              <w:rPr>
                <w:rFonts w:ascii="Times New Roman" w:eastAsia="맑은 고딕" w:hAnsi="Times New Roman" w:cs="Times New Roman"/>
                <w:noProof/>
                <w:lang w:eastAsia="fr-FR"/>
              </w:rPr>
              <w:t>2093 9800</w:t>
            </w:r>
          </w:p>
          <w:p w14:paraId="75EAFCFE" w14:textId="77777777" w:rsidR="0050099E" w:rsidRPr="00C35766" w:rsidRDefault="0050099E" w:rsidP="00933A6C">
            <w:pPr>
              <w:rPr>
                <w:rFonts w:ascii="Times New Roman" w:eastAsia="맑은 고딕" w:hAnsi="Times New Roman" w:cs="Times New Roman"/>
                <w:noProof/>
                <w:lang w:eastAsia="ko-KR"/>
              </w:rPr>
            </w:pPr>
          </w:p>
        </w:tc>
      </w:tr>
      <w:tr w:rsidR="0050099E" w:rsidRPr="00C35766" w14:paraId="53946202" w14:textId="77777777" w:rsidTr="00933A6C">
        <w:tc>
          <w:tcPr>
            <w:tcW w:w="2500" w:type="pct"/>
            <w:hideMark/>
          </w:tcPr>
          <w:p w14:paraId="2624CB3E" w14:textId="77777777" w:rsidR="0050099E" w:rsidRPr="00C35766" w:rsidRDefault="0050099E" w:rsidP="00933A6C">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Deutschland</w:t>
            </w:r>
          </w:p>
          <w:p w14:paraId="52BA8BA4" w14:textId="77777777" w:rsidR="00A96424" w:rsidRPr="00B23C0A" w:rsidRDefault="00A96424" w:rsidP="00A96424">
            <w:pPr>
              <w:rPr>
                <w:rFonts w:ascii="Times New Roman" w:hAnsi="Times New Roman" w:cs="Times New Roman"/>
                <w:noProof/>
                <w:lang w:eastAsia="ko-KR"/>
              </w:rPr>
            </w:pPr>
            <w:r w:rsidRPr="00C13DB3">
              <w:rPr>
                <w:rFonts w:ascii="Times New Roman" w:hAnsi="Times New Roman" w:cs="Times New Roman"/>
                <w:noProof/>
                <w:lang w:eastAsia="ko-KR"/>
              </w:rPr>
              <w:t xml:space="preserve">Celltrion Healthcare </w:t>
            </w:r>
            <w:r>
              <w:rPr>
                <w:rFonts w:ascii="Times New Roman" w:hAnsi="Times New Roman" w:cs="Times New Roman"/>
                <w:noProof/>
                <w:lang w:eastAsia="ko-KR"/>
              </w:rPr>
              <w:t>Deutschland GmbH</w:t>
            </w:r>
          </w:p>
          <w:p w14:paraId="598BF57B" w14:textId="780B15B6" w:rsidR="00A96424" w:rsidRDefault="00A96424" w:rsidP="00A96424">
            <w:pPr>
              <w:rPr>
                <w:rFonts w:ascii="Times New Roman" w:eastAsia="맑은 고딕" w:hAnsi="Times New Roman" w:cs="Times New Roman"/>
                <w:noProof/>
                <w:lang w:eastAsia="fr-FR"/>
              </w:rPr>
            </w:pPr>
            <w:r w:rsidRPr="00B23C0A">
              <w:rPr>
                <w:rFonts w:ascii="Times New Roman" w:hAnsi="Times New Roman" w:cs="Times New Roman"/>
                <w:noProof/>
                <w:lang w:eastAsia="ko-KR"/>
              </w:rPr>
              <w:t>T</w:t>
            </w:r>
            <w:r w:rsidR="009D0A47">
              <w:rPr>
                <w:rFonts w:ascii="Times New Roman" w:hAnsi="Times New Roman" w:cs="Times New Roman" w:hint="eastAsia"/>
                <w:noProof/>
                <w:lang w:eastAsia="ko-KR"/>
              </w:rPr>
              <w:t>e</w:t>
            </w:r>
            <w:r w:rsidRPr="00B23C0A">
              <w:rPr>
                <w:rFonts w:ascii="Times New Roman" w:hAnsi="Times New Roman" w:cs="Times New Roman"/>
                <w:noProof/>
                <w:lang w:eastAsia="ko-KR"/>
              </w:rPr>
              <w:t>l.: +</w:t>
            </w:r>
            <w:r>
              <w:rPr>
                <w:rFonts w:ascii="Times New Roman" w:hAnsi="Times New Roman" w:cs="Times New Roman"/>
                <w:noProof/>
                <w:lang w:eastAsia="ko-KR"/>
              </w:rPr>
              <w:t>49</w:t>
            </w:r>
            <w:r w:rsidRPr="00B23C0A">
              <w:rPr>
                <w:rFonts w:ascii="Times New Roman" w:hAnsi="Times New Roman" w:cs="Times New Roman"/>
                <w:noProof/>
                <w:lang w:eastAsia="ko-KR"/>
              </w:rPr>
              <w:t xml:space="preserve"> (0)</w:t>
            </w:r>
            <w:r w:rsidR="00893A16">
              <w:rPr>
                <w:rFonts w:ascii="Times New Roman" w:hAnsi="Times New Roman" w:cs="Times New Roman"/>
                <w:noProof/>
                <w:lang w:eastAsia="ko-KR"/>
              </w:rPr>
              <w:t>30 346494150</w:t>
            </w:r>
          </w:p>
          <w:p w14:paraId="695566E4" w14:textId="77777777" w:rsidR="00A96424" w:rsidRPr="001166DC" w:rsidRDefault="00A96424" w:rsidP="001166DC">
            <w:pPr>
              <w:tabs>
                <w:tab w:val="left" w:pos="-720"/>
              </w:tabs>
              <w:suppressAutoHyphens/>
              <w:rPr>
                <w:rStyle w:val="ad"/>
                <w:rFonts w:ascii="Times New Roman" w:hAnsi="Times New Roman" w:cs="Times New Roman"/>
                <w:lang w:eastAsia="ko-KR"/>
              </w:rPr>
            </w:pPr>
            <w:r w:rsidRPr="001166DC">
              <w:rPr>
                <w:rStyle w:val="ad"/>
                <w:rFonts w:ascii="Times New Roman" w:hAnsi="Times New Roman" w:cs="Times New Roman"/>
                <w:lang w:eastAsia="ko-KR"/>
              </w:rPr>
              <w:t>infoDE@celltrionhc.com</w:t>
            </w:r>
          </w:p>
          <w:p w14:paraId="4A2F7BC3" w14:textId="6D8E731D" w:rsidR="0050099E" w:rsidRPr="00C35766" w:rsidRDefault="0050099E" w:rsidP="00933A6C">
            <w:pPr>
              <w:tabs>
                <w:tab w:val="left" w:pos="-720"/>
              </w:tabs>
              <w:suppressAutoHyphens/>
              <w:rPr>
                <w:rFonts w:ascii="Times New Roman" w:eastAsia="맑은 고딕" w:hAnsi="Times New Roman" w:cs="Times New Roman"/>
                <w:noProof/>
                <w:lang w:eastAsia="fr-FR"/>
              </w:rPr>
            </w:pPr>
          </w:p>
          <w:p w14:paraId="1AABCDD2"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p>
        </w:tc>
        <w:tc>
          <w:tcPr>
            <w:tcW w:w="2500" w:type="pct"/>
          </w:tcPr>
          <w:p w14:paraId="4C03ACEE"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Nederland</w:t>
            </w:r>
          </w:p>
          <w:p w14:paraId="440E16C7"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Netherlands B.V.</w:t>
            </w:r>
          </w:p>
          <w:p w14:paraId="6B8CB4D8"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+ 31 20 888 7300</w:t>
            </w:r>
          </w:p>
          <w:p w14:paraId="1002B988" w14:textId="77777777" w:rsidR="0050099E" w:rsidRPr="00C35766" w:rsidRDefault="0050099E" w:rsidP="00933A6C">
            <w:pPr>
              <w:rPr>
                <w:rFonts w:ascii="Times New Roman" w:eastAsia="맑은 고딕" w:hAnsi="Times New Roman" w:cs="Times New Roman"/>
                <w:noProof/>
                <w:lang w:eastAsia="fr-FR"/>
              </w:rPr>
            </w:pPr>
          </w:p>
        </w:tc>
      </w:tr>
      <w:tr w:rsidR="0050099E" w:rsidRPr="00C35766" w14:paraId="14683801" w14:textId="77777777" w:rsidTr="00933A6C">
        <w:tc>
          <w:tcPr>
            <w:tcW w:w="2500" w:type="pct"/>
            <w:hideMark/>
          </w:tcPr>
          <w:p w14:paraId="7E80CB21" w14:textId="77777777" w:rsidR="0050099E" w:rsidRPr="00C35766" w:rsidRDefault="0050099E" w:rsidP="00933A6C">
            <w:pPr>
              <w:tabs>
                <w:tab w:val="left" w:pos="-720"/>
                <w:tab w:val="left" w:pos="4536"/>
              </w:tabs>
              <w:suppressAutoHyphens/>
              <w:rPr>
                <w:rFonts w:ascii="Times New Roman" w:hAnsi="Times New Roman" w:cs="Times New Roman"/>
                <w:b/>
                <w:noProof/>
                <w:lang w:val="en-GB" w:eastAsia="fr-FR"/>
              </w:rPr>
            </w:pPr>
            <w:r w:rsidRPr="00C35766">
              <w:rPr>
                <w:rFonts w:ascii="Times New Roman" w:eastAsia="맑은 고딕" w:hAnsi="Times New Roman" w:cs="Times New Roman"/>
                <w:b/>
                <w:noProof/>
                <w:lang w:val="en-GB" w:eastAsia="fr-FR"/>
              </w:rPr>
              <w:t>Eesti</w:t>
            </w:r>
          </w:p>
          <w:p w14:paraId="2DFD9A1D" w14:textId="77777777" w:rsidR="0050099E" w:rsidRPr="00C35766" w:rsidRDefault="0050099E" w:rsidP="00933A6C">
            <w:pPr>
              <w:rPr>
                <w:rFonts w:ascii="Times New Roman" w:eastAsia="맑은 고딕" w:hAnsi="Times New Roman" w:cs="Times New Roman"/>
                <w:noProof/>
                <w:lang w:val="en-GB" w:eastAsia="fr-FR"/>
              </w:rPr>
            </w:pPr>
            <w:r w:rsidRPr="00C35766">
              <w:rPr>
                <w:rFonts w:ascii="Times New Roman" w:eastAsia="맑은 고딕" w:hAnsi="Times New Roman" w:cs="Times New Roman"/>
                <w:noProof/>
                <w:lang w:val="en-GB" w:eastAsia="fr-FR"/>
              </w:rPr>
              <w:t>Celltrion Healthcare Hungary Kft.</w:t>
            </w:r>
          </w:p>
          <w:p w14:paraId="750E1E61" w14:textId="77777777" w:rsidR="0050099E" w:rsidRPr="00C35766" w:rsidRDefault="0050099E" w:rsidP="00933A6C">
            <w:pPr>
              <w:tabs>
                <w:tab w:val="left" w:pos="-720"/>
              </w:tabs>
              <w:suppressAutoHyphens/>
              <w:rPr>
                <w:rFonts w:ascii="Times New Roman" w:eastAsia="맑은 고딕" w:hAnsi="Times New Roman" w:cs="Times New Roman"/>
                <w:noProof/>
                <w:lang w:val="fi-FI" w:eastAsia="fr-FR"/>
              </w:rPr>
            </w:pPr>
            <w:r w:rsidRPr="00C35766">
              <w:rPr>
                <w:rFonts w:ascii="Times New Roman" w:eastAsia="맑은 고딕" w:hAnsi="Times New Roman" w:cs="Times New Roman"/>
                <w:noProof/>
                <w:lang w:eastAsia="fr-FR"/>
              </w:rPr>
              <w:t xml:space="preserve">Tel: </w:t>
            </w:r>
            <w:r w:rsidRPr="00C35766">
              <w:rPr>
                <w:rFonts w:ascii="Times New Roman" w:eastAsia="맑은 고딕" w:hAnsi="Times New Roman" w:cs="Times New Roman"/>
                <w:noProof/>
                <w:lang w:val="fi-FI" w:eastAsia="fr-FR"/>
              </w:rPr>
              <w:t>+36 1 231 0493</w:t>
            </w:r>
          </w:p>
          <w:p w14:paraId="39B052E5" w14:textId="77777777" w:rsidR="0050099E" w:rsidRPr="00C35766" w:rsidRDefault="0050099E" w:rsidP="00933A6C">
            <w:pPr>
              <w:tabs>
                <w:tab w:val="left" w:pos="-720"/>
              </w:tabs>
              <w:suppressAutoHyphens/>
              <w:rPr>
                <w:rFonts w:ascii="Times New Roman" w:eastAsia="맑은 고딕" w:hAnsi="Times New Roman" w:cs="Times New Roman"/>
                <w:noProof/>
                <w:lang w:val="fi-FI" w:eastAsia="ko-KR"/>
              </w:rPr>
            </w:pPr>
          </w:p>
        </w:tc>
        <w:tc>
          <w:tcPr>
            <w:tcW w:w="2500" w:type="pct"/>
          </w:tcPr>
          <w:p w14:paraId="3C68E525"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Norge</w:t>
            </w:r>
          </w:p>
          <w:p w14:paraId="1F2BA0FF"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7CC2755"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p w14:paraId="1E0DD9C6" w14:textId="77777777" w:rsidR="0050099E" w:rsidRPr="00C35766" w:rsidRDefault="0050099E" w:rsidP="00933A6C">
            <w:pPr>
              <w:tabs>
                <w:tab w:val="left" w:pos="-720"/>
              </w:tabs>
              <w:suppressAutoHyphens/>
              <w:rPr>
                <w:rFonts w:ascii="Times New Roman" w:eastAsia="맑은 고딕" w:hAnsi="Times New Roman" w:cs="Times New Roman"/>
                <w:noProof/>
                <w:lang w:eastAsia="ko-KR"/>
              </w:rPr>
            </w:pPr>
          </w:p>
        </w:tc>
      </w:tr>
      <w:tr w:rsidR="0050099E" w:rsidRPr="007B2F1E" w14:paraId="722D12A2" w14:textId="77777777" w:rsidTr="00933A6C">
        <w:tc>
          <w:tcPr>
            <w:tcW w:w="2500" w:type="pct"/>
            <w:hideMark/>
          </w:tcPr>
          <w:p w14:paraId="7D39453E" w14:textId="77777777" w:rsidR="0050099E" w:rsidRPr="00C35766" w:rsidRDefault="0050099E" w:rsidP="00933A6C">
            <w:pPr>
              <w:rPr>
                <w:rFonts w:ascii="Times New Roman" w:hAnsi="Times New Roman" w:cs="Times New Roman"/>
                <w:noProof/>
                <w:lang w:val="es-ES_tradnl" w:eastAsia="fr-FR"/>
              </w:rPr>
            </w:pPr>
            <w:r w:rsidRPr="00C35766">
              <w:rPr>
                <w:rFonts w:ascii="Times New Roman" w:hAnsi="Times New Roman" w:cs="Times New Roman"/>
                <w:b/>
                <w:noProof/>
                <w:lang w:val="es-ES_tradnl"/>
              </w:rPr>
              <w:t>España</w:t>
            </w:r>
          </w:p>
          <w:p w14:paraId="19225549" w14:textId="77777777" w:rsidR="0050099E" w:rsidRPr="00C35766" w:rsidRDefault="0050099E" w:rsidP="00933A6C">
            <w:pPr>
              <w:rPr>
                <w:rFonts w:ascii="Times New Roman" w:eastAsia="맑은 고딕" w:hAnsi="Times New Roman" w:cs="Times New Roman"/>
                <w:noProof/>
                <w:lang w:val="es-ES_tradnl" w:eastAsia="fr-FR"/>
              </w:rPr>
            </w:pPr>
            <w:r w:rsidRPr="00C35766">
              <w:rPr>
                <w:rFonts w:ascii="Times New Roman" w:eastAsia="맑은 고딕" w:hAnsi="Times New Roman" w:cs="Times New Roman"/>
                <w:noProof/>
                <w:lang w:val="es-ES_tradnl" w:eastAsia="fr-FR"/>
              </w:rPr>
              <w:t>Kern Pharma, S.L.</w:t>
            </w:r>
          </w:p>
          <w:p w14:paraId="552E8B70"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+34 93 700 2525</w:t>
            </w:r>
          </w:p>
          <w:p w14:paraId="75A8312F" w14:textId="77777777" w:rsidR="0050099E" w:rsidRPr="00C35766" w:rsidRDefault="0050099E" w:rsidP="00933A6C">
            <w:pPr>
              <w:rPr>
                <w:rFonts w:ascii="Times New Roman" w:hAnsi="Times New Roman" w:cs="Times New Roman"/>
                <w:b/>
                <w:noProof/>
                <w:lang w:eastAsia="fr-FR"/>
              </w:rPr>
            </w:pPr>
          </w:p>
        </w:tc>
        <w:tc>
          <w:tcPr>
            <w:tcW w:w="2500" w:type="pct"/>
          </w:tcPr>
          <w:p w14:paraId="5073CEAF" w14:textId="77777777" w:rsidR="0050099E" w:rsidRPr="00C35766" w:rsidRDefault="0050099E" w:rsidP="00933A6C">
            <w:pPr>
              <w:rPr>
                <w:rFonts w:ascii="Times New Roman" w:hAnsi="Times New Roman" w:cs="Times New Roman"/>
                <w:noProof/>
                <w:lang w:val="de-DE" w:eastAsia="fr-FR"/>
              </w:rPr>
            </w:pPr>
            <w:r w:rsidRPr="00C35766">
              <w:rPr>
                <w:rFonts w:ascii="Times New Roman" w:hAnsi="Times New Roman" w:cs="Times New Roman"/>
                <w:b/>
                <w:noProof/>
                <w:lang w:val="de-DE"/>
              </w:rPr>
              <w:t>Österreich</w:t>
            </w:r>
          </w:p>
          <w:p w14:paraId="05CCFE19" w14:textId="77777777" w:rsidR="0050099E" w:rsidRPr="00C35766" w:rsidRDefault="0050099E" w:rsidP="00933A6C">
            <w:pPr>
              <w:rPr>
                <w:rFonts w:ascii="Times New Roman" w:eastAsia="맑은 고딕" w:hAnsi="Times New Roman" w:cs="Times New Roman"/>
                <w:noProof/>
                <w:lang w:val="de-DE" w:eastAsia="ko-KR"/>
              </w:rPr>
            </w:pPr>
            <w:r w:rsidRPr="00C35766">
              <w:rPr>
                <w:rFonts w:ascii="Times New Roman" w:eastAsia="맑은 고딕" w:hAnsi="Times New Roman" w:cs="Times New Roman"/>
                <w:noProof/>
                <w:lang w:val="de-DE" w:eastAsia="fr-FR"/>
              </w:rPr>
              <w:t>Astro-Pharma GmbH</w:t>
            </w:r>
          </w:p>
          <w:p w14:paraId="243CB57D" w14:textId="77777777" w:rsidR="0050099E" w:rsidRPr="00C35766" w:rsidRDefault="0050099E" w:rsidP="00933A6C">
            <w:pPr>
              <w:tabs>
                <w:tab w:val="left" w:pos="-720"/>
              </w:tabs>
              <w:suppressAutoHyphens/>
              <w:rPr>
                <w:rFonts w:ascii="Times New Roman" w:eastAsia="맑은 고딕" w:hAnsi="Times New Roman" w:cs="Times New Roman"/>
                <w:noProof/>
                <w:lang w:val="de-DE" w:eastAsia="fr-FR"/>
              </w:rPr>
            </w:pPr>
            <w:r w:rsidRPr="00C35766">
              <w:rPr>
                <w:rFonts w:ascii="Times New Roman" w:eastAsia="맑은 고딕" w:hAnsi="Times New Roman" w:cs="Times New Roman"/>
                <w:noProof/>
                <w:lang w:val="de-DE" w:eastAsia="fr-FR"/>
              </w:rPr>
              <w:t>Tel: +43 1 97 99 860</w:t>
            </w:r>
          </w:p>
          <w:p w14:paraId="480B3CEC" w14:textId="77777777" w:rsidR="0050099E" w:rsidRPr="00C35766" w:rsidRDefault="0050099E" w:rsidP="00933A6C">
            <w:pPr>
              <w:tabs>
                <w:tab w:val="left" w:pos="-720"/>
              </w:tabs>
              <w:suppressAutoHyphens/>
              <w:rPr>
                <w:rFonts w:ascii="Times New Roman" w:hAnsi="Times New Roman" w:cs="Times New Roman"/>
                <w:noProof/>
                <w:lang w:val="de-DE" w:eastAsia="fr-FR"/>
              </w:rPr>
            </w:pPr>
          </w:p>
        </w:tc>
      </w:tr>
      <w:tr w:rsidR="0050099E" w:rsidRPr="00C35766" w14:paraId="5E7E3964" w14:textId="77777777" w:rsidTr="00933A6C">
        <w:tc>
          <w:tcPr>
            <w:tcW w:w="2500" w:type="pct"/>
          </w:tcPr>
          <w:p w14:paraId="4630B614" w14:textId="77777777" w:rsidR="0050099E" w:rsidRPr="00C35766" w:rsidRDefault="0050099E" w:rsidP="00933A6C">
            <w:pPr>
              <w:rPr>
                <w:rFonts w:ascii="Times New Roman" w:hAnsi="Times New Roman" w:cs="Times New Roman"/>
                <w:b/>
                <w:noProof/>
                <w:lang w:val="el-GR" w:eastAsia="fr-FR"/>
              </w:rPr>
            </w:pPr>
            <w:r w:rsidRPr="00C35766">
              <w:rPr>
                <w:rFonts w:ascii="Times New Roman" w:hAnsi="Times New Roman" w:cs="Times New Roman"/>
                <w:b/>
                <w:noProof/>
                <w:lang w:val="el-GR" w:eastAsia="fr-FR"/>
              </w:rPr>
              <w:t>Ελλάδα</w:t>
            </w:r>
          </w:p>
          <w:p w14:paraId="55C60664" w14:textId="77777777" w:rsidR="0050099E" w:rsidRPr="00C35766" w:rsidRDefault="0050099E" w:rsidP="00933A6C">
            <w:pPr>
              <w:rPr>
                <w:rFonts w:ascii="Times New Roman" w:hAnsi="Times New Roman" w:cs="Times New Roman"/>
                <w:noProof/>
                <w:lang w:val="el-GR" w:eastAsia="fr-FR"/>
              </w:rPr>
            </w:pPr>
            <w:r w:rsidRPr="00C35766">
              <w:rPr>
                <w:rFonts w:ascii="Times New Roman" w:hAnsi="Times New Roman" w:cs="Times New Roman"/>
                <w:noProof/>
                <w:lang w:val="el-GR" w:eastAsia="fr-FR"/>
              </w:rPr>
              <w:t>ΒΙΑΝΕΞ Α.Ε.</w:t>
            </w:r>
          </w:p>
          <w:p w14:paraId="28EFFE1A" w14:textId="0CE30464" w:rsidR="0050099E" w:rsidRPr="00C35766" w:rsidRDefault="0050099E" w:rsidP="00933A6C">
            <w:pPr>
              <w:rPr>
                <w:rFonts w:ascii="Times New Roman" w:hAnsi="Times New Roman" w:cs="Times New Roman"/>
                <w:noProof/>
                <w:lang w:val="el-GR" w:eastAsia="fr-FR"/>
              </w:rPr>
            </w:pPr>
            <w:r w:rsidRPr="00C35766">
              <w:rPr>
                <w:rFonts w:ascii="Times New Roman" w:hAnsi="Times New Roman" w:cs="Times New Roman"/>
                <w:noProof/>
                <w:lang w:val="el-GR" w:eastAsia="fr-FR"/>
              </w:rPr>
              <w:t>Τηλ: +30 210 8009111</w:t>
            </w:r>
          </w:p>
          <w:p w14:paraId="19F3E1C5" w14:textId="77777777" w:rsidR="0050099E" w:rsidRPr="00C35766" w:rsidRDefault="0050099E" w:rsidP="00933A6C">
            <w:pPr>
              <w:rPr>
                <w:rFonts w:ascii="Times New Roman" w:eastAsia="맑은 고딕" w:hAnsi="Times New Roman" w:cs="Times New Roman"/>
                <w:noProof/>
                <w:lang w:val="el-GR" w:eastAsia="fr-FR"/>
              </w:rPr>
            </w:pPr>
          </w:p>
        </w:tc>
        <w:tc>
          <w:tcPr>
            <w:tcW w:w="2500" w:type="pct"/>
          </w:tcPr>
          <w:p w14:paraId="3C29107E" w14:textId="77777777" w:rsidR="0050099E" w:rsidRPr="00C35766" w:rsidRDefault="0050099E" w:rsidP="00933A6C">
            <w:pPr>
              <w:rPr>
                <w:rFonts w:ascii="Times New Roman" w:eastAsia="맑은 고딕" w:hAnsi="Times New Roman" w:cs="Times New Roman"/>
                <w:b/>
                <w:noProof/>
                <w:lang w:val="pl-PL" w:eastAsia="fr-FR"/>
              </w:rPr>
            </w:pPr>
            <w:r w:rsidRPr="00C35766">
              <w:rPr>
                <w:rFonts w:ascii="Times New Roman" w:eastAsia="맑은 고딕" w:hAnsi="Times New Roman" w:cs="Times New Roman"/>
                <w:b/>
                <w:noProof/>
                <w:lang w:val="pl-PL" w:eastAsia="fr-FR"/>
              </w:rPr>
              <w:t>Polska</w:t>
            </w:r>
          </w:p>
          <w:p w14:paraId="0E6A8805"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7F0DDEB" w14:textId="77777777" w:rsidR="0050099E" w:rsidRPr="00C35766" w:rsidRDefault="0050099E" w:rsidP="00933A6C">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50099E" w:rsidRPr="006501B3" w14:paraId="1CEF1EB4" w14:textId="77777777" w:rsidTr="00933A6C">
        <w:tc>
          <w:tcPr>
            <w:tcW w:w="2500" w:type="pct"/>
          </w:tcPr>
          <w:p w14:paraId="2B6C93EF" w14:textId="77777777" w:rsidR="0050099E" w:rsidRPr="00C35766" w:rsidRDefault="0050099E" w:rsidP="00933A6C">
            <w:pPr>
              <w:rPr>
                <w:rFonts w:ascii="Times New Roman" w:hAnsi="Times New Roman" w:cs="Times New Roman"/>
                <w:b/>
                <w:noProof/>
                <w:lang w:eastAsia="ko-KR"/>
              </w:rPr>
            </w:pPr>
            <w:r w:rsidRPr="00C35766">
              <w:rPr>
                <w:rFonts w:ascii="Times New Roman" w:hAnsi="Times New Roman" w:cs="Times New Roman"/>
                <w:b/>
                <w:noProof/>
                <w:lang w:eastAsia="ko-KR"/>
              </w:rPr>
              <w:t>France</w:t>
            </w:r>
          </w:p>
          <w:p w14:paraId="7F741329" w14:textId="189C32BE" w:rsidR="0050099E" w:rsidRPr="00C35766" w:rsidRDefault="00B5072D" w:rsidP="00933A6C">
            <w:pPr>
              <w:rPr>
                <w:rFonts w:ascii="Times New Roman" w:hAnsi="Times New Roman" w:cs="Times New Roman"/>
                <w:noProof/>
                <w:lang w:eastAsia="ko-KR"/>
              </w:rPr>
            </w:pPr>
            <w:r w:rsidRPr="00B5072D">
              <w:rPr>
                <w:rFonts w:ascii="Times New Roman" w:hAnsi="Times New Roman" w:cs="Times New Roman"/>
                <w:noProof/>
                <w:lang w:eastAsia="ko-KR"/>
              </w:rPr>
              <w:t>Celltrion Healthcare France SAS</w:t>
            </w:r>
          </w:p>
          <w:p w14:paraId="230FF5D8" w14:textId="77777777" w:rsidR="0050099E" w:rsidRPr="00C35766" w:rsidRDefault="0050099E" w:rsidP="00933A6C">
            <w:pPr>
              <w:rPr>
                <w:rFonts w:ascii="Times New Roman" w:eastAsia="맑은 고딕" w:hAnsi="Times New Roman" w:cs="Times New Roman"/>
                <w:noProof/>
                <w:lang w:eastAsia="ko-KR"/>
              </w:rPr>
            </w:pPr>
            <w:r w:rsidRPr="00C35766">
              <w:rPr>
                <w:rFonts w:ascii="Times New Roman" w:hAnsi="Times New Roman" w:cs="Times New Roman"/>
                <w:noProof/>
                <w:lang w:eastAsia="ko-KR"/>
              </w:rPr>
              <w:t>T</w:t>
            </w:r>
            <w:r w:rsidRPr="00C35766">
              <w:rPr>
                <w:rFonts w:ascii="Times New Roman" w:hAnsi="Times New Roman" w:cs="Times New Roman"/>
              </w:rPr>
              <w:t>é</w:t>
            </w:r>
            <w:r w:rsidRPr="00C35766">
              <w:rPr>
                <w:rFonts w:ascii="Times New Roman" w:hAnsi="Times New Roman" w:cs="Times New Roman"/>
                <w:noProof/>
                <w:lang w:eastAsia="ko-KR"/>
              </w:rPr>
              <w:t>l.: +33 (0)1 71 25 27 00</w:t>
            </w:r>
          </w:p>
          <w:p w14:paraId="36573350"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2B315DB7" w14:textId="77777777" w:rsidR="00B71A1B" w:rsidRPr="002F72A3" w:rsidRDefault="00B71A1B" w:rsidP="00B71A1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1FE4FEEA" w14:textId="41836962" w:rsidR="00B71A1B" w:rsidRDefault="00B71A1B" w:rsidP="00B71A1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2F140AC9" w14:textId="696EBAE0" w:rsidR="00B71A1B" w:rsidRPr="00BD232C" w:rsidRDefault="00B71A1B" w:rsidP="00B71A1B">
            <w:pPr>
              <w:rPr>
                <w:rFonts w:ascii="Times New Roman" w:eastAsia="맑은 고딕" w:hAnsi="Times New Roman" w:cs="Times New Roman"/>
                <w:noProof/>
                <w:lang w:val="fr-CA" w:eastAsia="fr-FR"/>
              </w:rPr>
            </w:pPr>
            <w:r w:rsidRPr="00BD232C">
              <w:rPr>
                <w:rFonts w:ascii="Times New Roman" w:eastAsia="맑은 고딕" w:hAnsi="Times New Roman" w:cs="Times New Roman"/>
                <w:noProof/>
                <w:lang w:val="fr-CA" w:eastAsia="fr-FR"/>
              </w:rPr>
              <w:t>Tel: +351 21 936 8542</w:t>
            </w:r>
          </w:p>
          <w:p w14:paraId="3CB593AD" w14:textId="77777777" w:rsidR="0050099E" w:rsidRPr="00BD232C" w:rsidRDefault="0050099E" w:rsidP="00933A6C">
            <w:pPr>
              <w:rPr>
                <w:rFonts w:ascii="Times New Roman" w:hAnsi="Times New Roman" w:cs="Times New Roman"/>
                <w:b/>
                <w:noProof/>
                <w:lang w:val="fr-CA"/>
              </w:rPr>
            </w:pPr>
          </w:p>
        </w:tc>
      </w:tr>
      <w:tr w:rsidR="0050099E" w:rsidRPr="00C35766" w14:paraId="1BBE5ABA" w14:textId="77777777" w:rsidTr="00933A6C">
        <w:tc>
          <w:tcPr>
            <w:tcW w:w="2500" w:type="pct"/>
          </w:tcPr>
          <w:p w14:paraId="1C79A47A" w14:textId="77777777" w:rsidR="0050099E" w:rsidRPr="00C35766" w:rsidRDefault="0050099E" w:rsidP="00933A6C">
            <w:pPr>
              <w:rPr>
                <w:rFonts w:ascii="Times New Roman" w:hAnsi="Times New Roman" w:cs="Times New Roman"/>
                <w:b/>
                <w:noProof/>
                <w:lang w:val="de-CH" w:eastAsia="ko-KR"/>
              </w:rPr>
            </w:pPr>
            <w:r w:rsidRPr="00C35766">
              <w:rPr>
                <w:rFonts w:ascii="Times New Roman" w:hAnsi="Times New Roman" w:cs="Times New Roman"/>
                <w:b/>
                <w:noProof/>
                <w:lang w:val="de-CH" w:eastAsia="ko-KR"/>
              </w:rPr>
              <w:t>Hrvatska</w:t>
            </w:r>
          </w:p>
          <w:p w14:paraId="01A7A1EF" w14:textId="77777777" w:rsidR="0050099E" w:rsidRPr="00C35766" w:rsidRDefault="0050099E" w:rsidP="00933A6C">
            <w:pPr>
              <w:rPr>
                <w:rFonts w:ascii="Times New Roman" w:hAnsi="Times New Roman" w:cs="Times New Roman"/>
                <w:noProof/>
                <w:lang w:val="de-CH" w:eastAsia="ko-KR"/>
              </w:rPr>
            </w:pPr>
            <w:r w:rsidRPr="00C35766">
              <w:rPr>
                <w:rFonts w:ascii="Times New Roman" w:hAnsi="Times New Roman" w:cs="Times New Roman"/>
                <w:noProof/>
                <w:lang w:val="de-CH" w:eastAsia="ko-KR"/>
              </w:rPr>
              <w:t>Oktal Pharma d.o.o.</w:t>
            </w:r>
          </w:p>
          <w:p w14:paraId="16FBF77D" w14:textId="77777777" w:rsidR="0050099E" w:rsidRPr="00C35766" w:rsidRDefault="0050099E" w:rsidP="00933A6C">
            <w:pPr>
              <w:rPr>
                <w:rFonts w:ascii="Times New Roman" w:hAnsi="Times New Roman" w:cs="Times New Roman"/>
                <w:noProof/>
                <w:lang w:eastAsia="ko-KR"/>
              </w:rPr>
            </w:pPr>
            <w:r w:rsidRPr="00C35766">
              <w:rPr>
                <w:rFonts w:ascii="Times New Roman" w:hAnsi="Times New Roman" w:cs="Times New Roman"/>
                <w:noProof/>
                <w:lang w:eastAsia="ko-KR"/>
              </w:rPr>
              <w:t>Tel: +385 1 6595 777</w:t>
            </w:r>
          </w:p>
          <w:p w14:paraId="5B522996"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7A124727" w14:textId="77777777" w:rsidR="0050099E" w:rsidRPr="00C35766" w:rsidRDefault="0050099E" w:rsidP="00933A6C">
            <w:pPr>
              <w:tabs>
                <w:tab w:val="left" w:pos="-720"/>
              </w:tabs>
              <w:suppressAutoHyphens/>
              <w:rPr>
                <w:rFonts w:ascii="Times New Roman" w:eastAsia="맑은 고딕" w:hAnsi="Times New Roman" w:cs="Times New Roman"/>
                <w:b/>
                <w:noProof/>
                <w:lang w:eastAsia="fr-FR"/>
              </w:rPr>
            </w:pPr>
            <w:r w:rsidRPr="00C35766">
              <w:rPr>
                <w:rFonts w:ascii="Times New Roman" w:hAnsi="Times New Roman" w:cs="Times New Roman"/>
                <w:b/>
                <w:noProof/>
              </w:rPr>
              <w:t>România</w:t>
            </w:r>
          </w:p>
          <w:p w14:paraId="2A409BA8"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0BA03282" w14:textId="77777777" w:rsidR="0050099E" w:rsidRPr="00C35766" w:rsidRDefault="0050099E" w:rsidP="00933A6C">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50099E" w:rsidRPr="00C35766" w14:paraId="1D3BE355" w14:textId="77777777" w:rsidTr="00933A6C">
        <w:tc>
          <w:tcPr>
            <w:tcW w:w="2500" w:type="pct"/>
          </w:tcPr>
          <w:p w14:paraId="70AB5F91"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Ireland</w:t>
            </w:r>
          </w:p>
          <w:p w14:paraId="797E413F"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Ireland Limited</w:t>
            </w:r>
          </w:p>
          <w:p w14:paraId="7B9A0C96"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+353 1 223 4026</w:t>
            </w:r>
          </w:p>
          <w:p w14:paraId="5FE1DCB0"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76DC3210" w14:textId="77777777" w:rsidR="0050099E" w:rsidRPr="00C35766" w:rsidRDefault="0050099E" w:rsidP="00933A6C">
            <w:pPr>
              <w:rPr>
                <w:rFonts w:ascii="Times New Roman" w:eastAsia="맑은 고딕" w:hAnsi="Times New Roman" w:cs="Times New Roman"/>
                <w:b/>
                <w:noProof/>
                <w:lang w:val="it-IT" w:eastAsia="fr-FR"/>
              </w:rPr>
            </w:pPr>
            <w:r w:rsidRPr="00C35766">
              <w:rPr>
                <w:rFonts w:ascii="Times New Roman" w:eastAsia="맑은 고딕" w:hAnsi="Times New Roman" w:cs="Times New Roman"/>
                <w:b/>
                <w:noProof/>
                <w:lang w:val="it-IT" w:eastAsia="fr-FR"/>
              </w:rPr>
              <w:t>Slovenija</w:t>
            </w:r>
          </w:p>
          <w:p w14:paraId="78797FC1" w14:textId="77777777" w:rsidR="0050099E" w:rsidRPr="00C35766" w:rsidRDefault="0050099E" w:rsidP="00933A6C">
            <w:pPr>
              <w:rPr>
                <w:rFonts w:ascii="Times New Roman" w:eastAsia="맑은 고딕" w:hAnsi="Times New Roman" w:cs="Times New Roman"/>
                <w:noProof/>
                <w:lang w:val="it-IT" w:eastAsia="fr-FR"/>
              </w:rPr>
            </w:pPr>
            <w:r w:rsidRPr="00C35766">
              <w:rPr>
                <w:rFonts w:ascii="Times New Roman" w:eastAsia="맑은 고딕" w:hAnsi="Times New Roman" w:cs="Times New Roman"/>
                <w:noProof/>
                <w:lang w:val="it-IT" w:eastAsia="fr-FR"/>
              </w:rPr>
              <w:t>OPH Oktal Pharma d.o.o.</w:t>
            </w:r>
          </w:p>
          <w:p w14:paraId="6826F756"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+386 1 519 29 22</w:t>
            </w:r>
          </w:p>
          <w:p w14:paraId="39EB918F" w14:textId="77777777" w:rsidR="0050099E" w:rsidRPr="00C35766" w:rsidRDefault="0050099E" w:rsidP="00933A6C">
            <w:pPr>
              <w:rPr>
                <w:rFonts w:ascii="Times New Roman" w:hAnsi="Times New Roman" w:cs="Times New Roman"/>
                <w:b/>
                <w:noProof/>
              </w:rPr>
            </w:pPr>
          </w:p>
        </w:tc>
      </w:tr>
      <w:tr w:rsidR="0050099E" w:rsidRPr="00C35766" w14:paraId="518FA0F9" w14:textId="77777777" w:rsidTr="00933A6C">
        <w:tc>
          <w:tcPr>
            <w:tcW w:w="2500" w:type="pct"/>
          </w:tcPr>
          <w:p w14:paraId="1D8CF931"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b/>
                <w:noProof/>
                <w:lang w:eastAsia="fr-FR"/>
              </w:rPr>
              <w:t>Ísland</w:t>
            </w:r>
          </w:p>
          <w:p w14:paraId="444080F3"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99FD44C"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Sími: +36 1 231 0493</w:t>
            </w:r>
          </w:p>
        </w:tc>
        <w:tc>
          <w:tcPr>
            <w:tcW w:w="2500" w:type="pct"/>
          </w:tcPr>
          <w:p w14:paraId="03A068A4"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noProof/>
              </w:rPr>
              <w:t>Slovenská republika</w:t>
            </w:r>
          </w:p>
          <w:p w14:paraId="3BDB06F6"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CA6EBB9"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eastAsia="맑은 고딕" w:hAnsi="Times New Roman" w:cs="Times New Roman"/>
                <w:noProof/>
                <w:lang w:eastAsia="fr-FR"/>
              </w:rPr>
              <w:t>Tel: +36 1 231 0493</w:t>
            </w:r>
          </w:p>
          <w:p w14:paraId="0AAE08AE" w14:textId="77777777" w:rsidR="0050099E" w:rsidRPr="00C35766" w:rsidRDefault="0050099E" w:rsidP="00933A6C">
            <w:pPr>
              <w:rPr>
                <w:rFonts w:ascii="Times New Roman" w:eastAsia="맑은 고딕" w:hAnsi="Times New Roman" w:cs="Times New Roman"/>
                <w:b/>
                <w:noProof/>
                <w:lang w:eastAsia="fr-FR"/>
              </w:rPr>
            </w:pPr>
          </w:p>
        </w:tc>
      </w:tr>
      <w:tr w:rsidR="0050099E" w:rsidRPr="00C35766" w14:paraId="67BC45D0" w14:textId="77777777" w:rsidTr="00933A6C">
        <w:tc>
          <w:tcPr>
            <w:tcW w:w="2500" w:type="pct"/>
          </w:tcPr>
          <w:p w14:paraId="0E1F5F48"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Italia</w:t>
            </w:r>
          </w:p>
          <w:p w14:paraId="6496F311" w14:textId="083B51E4"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Italy S.</w:t>
            </w:r>
            <w:r w:rsidR="00B5072D">
              <w:rPr>
                <w:rFonts w:ascii="Times New Roman" w:eastAsia="맑은 고딕" w:hAnsi="Times New Roman" w:cs="Times New Roman"/>
                <w:noProof/>
                <w:lang w:eastAsia="fr-FR"/>
              </w:rPr>
              <w:t>r</w:t>
            </w:r>
            <w:r w:rsidRPr="00C35766">
              <w:rPr>
                <w:rFonts w:ascii="Times New Roman" w:eastAsia="맑은 고딕" w:hAnsi="Times New Roman" w:cs="Times New Roman"/>
                <w:noProof/>
                <w:lang w:eastAsia="fr-FR"/>
              </w:rPr>
              <w:t>.</w:t>
            </w:r>
            <w:r w:rsidR="00B5072D">
              <w:rPr>
                <w:rFonts w:ascii="Times New Roman" w:eastAsia="맑은 고딕" w:hAnsi="Times New Roman" w:cs="Times New Roman"/>
                <w:noProof/>
                <w:lang w:eastAsia="fr-FR"/>
              </w:rPr>
              <w:t>l</w:t>
            </w:r>
            <w:r w:rsidRPr="00C35766">
              <w:rPr>
                <w:rFonts w:ascii="Times New Roman" w:eastAsia="맑은 고딕" w:hAnsi="Times New Roman" w:cs="Times New Roman"/>
                <w:noProof/>
                <w:lang w:eastAsia="fr-FR"/>
              </w:rPr>
              <w:t>.</w:t>
            </w:r>
          </w:p>
          <w:p w14:paraId="0DF7CFEF" w14:textId="5B30B4A2"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+39 </w:t>
            </w:r>
            <w:r w:rsidR="00B5072D" w:rsidRPr="00B5072D">
              <w:rPr>
                <w:rFonts w:ascii="Times New Roman" w:eastAsia="맑은 고딕" w:hAnsi="Times New Roman" w:cs="Times New Roman"/>
                <w:noProof/>
                <w:lang w:eastAsia="fr-FR"/>
              </w:rPr>
              <w:t>02</w:t>
            </w:r>
            <w:r w:rsidR="00471BD2">
              <w:rPr>
                <w:rFonts w:ascii="Times New Roman" w:eastAsia="맑은 고딕" w:hAnsi="Times New Roman" w:cs="Times New Roman"/>
                <w:noProof/>
                <w:lang w:eastAsia="fr-FR"/>
              </w:rPr>
              <w:t xml:space="preserve"> </w:t>
            </w:r>
            <w:r w:rsidR="00B5072D" w:rsidRPr="00B5072D">
              <w:rPr>
                <w:rFonts w:ascii="Times New Roman" w:eastAsia="맑은 고딕" w:hAnsi="Times New Roman" w:cs="Times New Roman"/>
                <w:noProof/>
                <w:lang w:eastAsia="fr-FR"/>
              </w:rPr>
              <w:t>47927040</w:t>
            </w:r>
          </w:p>
          <w:p w14:paraId="76F0C7DB"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0E301A11"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Suomi/Finland</w:t>
            </w:r>
          </w:p>
          <w:p w14:paraId="29B9C0AB" w14:textId="77777777" w:rsidR="00471BD2" w:rsidRDefault="00471BD2" w:rsidP="00471BD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Finland Oy. </w:t>
            </w:r>
          </w:p>
          <w:p w14:paraId="417014C9" w14:textId="28F19177" w:rsidR="0050099E" w:rsidRPr="00C35766" w:rsidRDefault="00471BD2" w:rsidP="00933A6C">
            <w:pPr>
              <w:autoSpaceDE w:val="0"/>
              <w:autoSpaceDN w:val="0"/>
              <w:adjustRightInd w:val="0"/>
              <w:rPr>
                <w:rFonts w:ascii="Times New Roman" w:eastAsia="맑은 고딕" w:hAnsi="Times New Roman" w:cs="Times New Roman"/>
                <w:noProof/>
                <w:lang w:val="sv-SE" w:eastAsia="fr-FR"/>
              </w:rPr>
            </w:pPr>
            <w:r>
              <w:rPr>
                <w:rFonts w:ascii="Times New Roman" w:eastAsia="맑은 고딕" w:hAnsi="Times New Roman" w:cs="Times New Roman"/>
                <w:noProof/>
                <w:lang w:eastAsia="fr-FR"/>
              </w:rPr>
              <w:t>Puh/Tel: +358 29 170 7755</w:t>
            </w:r>
          </w:p>
          <w:p w14:paraId="03DA4601" w14:textId="77777777" w:rsidR="0050099E" w:rsidRPr="00C35766" w:rsidRDefault="0050099E" w:rsidP="00933A6C">
            <w:pPr>
              <w:autoSpaceDE w:val="0"/>
              <w:autoSpaceDN w:val="0"/>
              <w:adjustRightInd w:val="0"/>
              <w:rPr>
                <w:rFonts w:ascii="Times New Roman" w:eastAsia="맑은 고딕" w:hAnsi="Times New Roman" w:cs="Times New Roman"/>
                <w:noProof/>
                <w:lang w:val="sv-SE" w:eastAsia="ko-KR"/>
              </w:rPr>
            </w:pPr>
          </w:p>
        </w:tc>
      </w:tr>
      <w:tr w:rsidR="00B71A1B" w:rsidRPr="00C35766" w14:paraId="7FA7D555" w14:textId="77777777" w:rsidTr="00933A6C">
        <w:tc>
          <w:tcPr>
            <w:tcW w:w="2500" w:type="pct"/>
          </w:tcPr>
          <w:p w14:paraId="3CCF3845" w14:textId="77777777" w:rsidR="00B71A1B" w:rsidRPr="00C35766" w:rsidRDefault="00B71A1B" w:rsidP="00B71A1B">
            <w:pPr>
              <w:tabs>
                <w:tab w:val="left" w:pos="-720"/>
              </w:tabs>
              <w:suppressAutoHyphens/>
              <w:rPr>
                <w:rFonts w:ascii="Times New Roman" w:hAnsi="Times New Roman" w:cs="Times New Roman"/>
                <w:b/>
                <w:bCs/>
                <w:noProof/>
                <w:lang w:eastAsia="fr-FR"/>
              </w:rPr>
            </w:pPr>
            <w:r w:rsidRPr="00C35766">
              <w:rPr>
                <w:rFonts w:ascii="Times New Roman" w:hAnsi="Times New Roman" w:cs="Times New Roman"/>
                <w:b/>
                <w:noProof/>
              </w:rPr>
              <w:t>Κύπρος</w:t>
            </w:r>
          </w:p>
          <w:p w14:paraId="74AE84A2" w14:textId="77777777" w:rsidR="00B71A1B" w:rsidRPr="00C35766" w:rsidRDefault="00B71A1B" w:rsidP="00B71A1B">
            <w:pPr>
              <w:tabs>
                <w:tab w:val="left" w:pos="-720"/>
              </w:tabs>
              <w:suppressAutoHyphen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C.A. Papaellinas Ltd</w:t>
            </w:r>
          </w:p>
          <w:p w14:paraId="66232553"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hAnsi="Times New Roman" w:cs="Times New Roman"/>
                <w:noProof/>
              </w:rPr>
              <w:t xml:space="preserve">Τηλ: </w:t>
            </w:r>
            <w:r w:rsidRPr="00C35766">
              <w:rPr>
                <w:rFonts w:ascii="Times New Roman" w:eastAsia="맑은 고딕" w:hAnsi="Times New Roman" w:cs="Times New Roman"/>
                <w:noProof/>
                <w:lang w:eastAsia="fr-FR"/>
              </w:rPr>
              <w:t>+357 22741741</w:t>
            </w:r>
          </w:p>
          <w:p w14:paraId="6D5BBF56" w14:textId="77777777" w:rsidR="00B71A1B" w:rsidRPr="00C35766" w:rsidRDefault="00B71A1B" w:rsidP="00B71A1B">
            <w:pPr>
              <w:autoSpaceDE w:val="0"/>
              <w:autoSpaceDN w:val="0"/>
              <w:adjustRightInd w:val="0"/>
              <w:rPr>
                <w:rFonts w:ascii="Times New Roman" w:eastAsia="맑은 고딕" w:hAnsi="Times New Roman" w:cs="Times New Roman"/>
                <w:b/>
                <w:noProof/>
                <w:lang w:eastAsia="fr-FR"/>
              </w:rPr>
            </w:pPr>
          </w:p>
        </w:tc>
        <w:tc>
          <w:tcPr>
            <w:tcW w:w="2500" w:type="pct"/>
          </w:tcPr>
          <w:p w14:paraId="41CC9287" w14:textId="77777777" w:rsidR="00B71A1B" w:rsidRPr="00D86615" w:rsidRDefault="00B71A1B" w:rsidP="00B71A1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BB9769E" w14:textId="317C9A73" w:rsidR="00B71A1B" w:rsidRPr="001166DC" w:rsidRDefault="00B71A1B" w:rsidP="00B71A1B">
            <w:pPr>
              <w:tabs>
                <w:tab w:val="left" w:pos="-720"/>
              </w:tabs>
              <w:suppressAutoHyphens/>
              <w:rPr>
                <w:rFonts w:ascii="Times New Roman" w:eastAsia="맑은 고딕" w:hAnsi="Times New Roman" w:cs="Times New Roman"/>
                <w:noProof/>
                <w:lang w:eastAsia="ko-KR"/>
              </w:rPr>
            </w:pPr>
            <w:r>
              <w:rPr>
                <w:rFonts w:ascii="Times New Roman" w:eastAsia="맑은 고딕" w:hAnsi="Times New Roman" w:cs="Times New Roman" w:hint="eastAsia"/>
                <w:noProof/>
                <w:lang w:eastAsia="ko-KR"/>
              </w:rPr>
              <w:t>C</w:t>
            </w:r>
            <w:r w:rsidRPr="001166DC">
              <w:rPr>
                <w:rFonts w:ascii="Times New Roman" w:eastAsia="맑은 고딕" w:hAnsi="Times New Roman" w:cs="Times New Roman"/>
                <w:noProof/>
                <w:lang w:eastAsia="ko-KR"/>
              </w:rPr>
              <w:t>elltrion Sweden AB</w:t>
            </w:r>
          </w:p>
          <w:p w14:paraId="15089618" w14:textId="77777777" w:rsidR="00B71A1B" w:rsidRPr="001166DC" w:rsidRDefault="00B71A1B" w:rsidP="00B71A1B">
            <w:pPr>
              <w:tabs>
                <w:tab w:val="left" w:pos="-720"/>
              </w:tabs>
              <w:suppressAutoHyphens/>
              <w:rPr>
                <w:rFonts w:ascii="Times New Roman" w:eastAsia="맑은 고딕" w:hAnsi="Times New Roman" w:cs="Times New Roman"/>
                <w:bCs/>
                <w:noProof/>
                <w:u w:val="single"/>
                <w:lang w:eastAsia="ko-KR"/>
              </w:rPr>
            </w:pPr>
            <w:hyperlink r:id="rId100" w:history="1">
              <w:r w:rsidRPr="001166DC">
                <w:rPr>
                  <w:rStyle w:val="ad"/>
                  <w:rFonts w:ascii="Times New Roman" w:eastAsia="맑은 고딕" w:hAnsi="Times New Roman" w:cs="Times New Roman"/>
                  <w:noProof/>
                  <w:lang w:eastAsia="ko-KR"/>
                </w:rPr>
                <w:t>contact_se@celltrionhc.com</w:t>
              </w:r>
            </w:hyperlink>
          </w:p>
          <w:p w14:paraId="69B27E65" w14:textId="0FDA3915"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r w:rsidR="0050099E" w:rsidRPr="00C35766" w14:paraId="3A23CB3D" w14:textId="77777777" w:rsidTr="00933A6C">
        <w:tc>
          <w:tcPr>
            <w:tcW w:w="2500" w:type="pct"/>
          </w:tcPr>
          <w:p w14:paraId="64B02C9E" w14:textId="77777777" w:rsidR="0050099E" w:rsidRPr="00C35766" w:rsidRDefault="0050099E" w:rsidP="00EF70FD">
            <w:pPr>
              <w:keepNext/>
              <w:keepLine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lastRenderedPageBreak/>
              <w:t>Latvija</w:t>
            </w:r>
          </w:p>
          <w:p w14:paraId="55AC8449" w14:textId="77777777" w:rsidR="0050099E" w:rsidRPr="00C35766" w:rsidRDefault="0050099E" w:rsidP="00EF70FD">
            <w:pPr>
              <w:keepNext/>
              <w:keepLines/>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65BCB05" w14:textId="77777777" w:rsidR="0050099E" w:rsidRPr="00C35766" w:rsidRDefault="0050099E" w:rsidP="00EF70FD">
            <w:pPr>
              <w:keepNext/>
              <w:keepLines/>
              <w:autoSpaceDE w:val="0"/>
              <w:autoSpaceDN w:val="0"/>
              <w:adjustRightInd w:val="0"/>
              <w:rPr>
                <w:rFonts w:ascii="Times New Roman" w:eastAsia="맑은 고딕" w:hAnsi="Times New Roman" w:cs="Times New Roman"/>
                <w:b/>
                <w:bCs/>
                <w:lang w:eastAsia="fr-FR"/>
              </w:rPr>
            </w:pPr>
            <w:r w:rsidRPr="00C35766">
              <w:rPr>
                <w:rFonts w:ascii="Times New Roman" w:eastAsia="맑은 고딕" w:hAnsi="Times New Roman" w:cs="Times New Roman"/>
                <w:noProof/>
                <w:lang w:eastAsia="fr-FR"/>
              </w:rPr>
              <w:t>Tālr.: +36 1 231 0493</w:t>
            </w:r>
          </w:p>
        </w:tc>
        <w:tc>
          <w:tcPr>
            <w:tcW w:w="2500" w:type="pct"/>
          </w:tcPr>
          <w:p w14:paraId="047FE93F" w14:textId="77777777" w:rsidR="0050099E" w:rsidRPr="00C35766" w:rsidRDefault="0050099E" w:rsidP="005D7602">
            <w:pPr>
              <w:tabs>
                <w:tab w:val="left" w:pos="-720"/>
              </w:tabs>
              <w:suppressAutoHyphens/>
              <w:rPr>
                <w:rFonts w:ascii="Times New Roman" w:eastAsia="맑은 고딕" w:hAnsi="Times New Roman" w:cs="Times New Roman"/>
                <w:b/>
                <w:noProof/>
                <w:lang w:eastAsia="fr-FR"/>
              </w:rPr>
            </w:pPr>
          </w:p>
        </w:tc>
      </w:tr>
    </w:tbl>
    <w:p w14:paraId="0A38A33A" w14:textId="77777777" w:rsidR="0050099E" w:rsidRPr="00C35766" w:rsidRDefault="0050099E" w:rsidP="0050099E">
      <w:pPr>
        <w:numPr>
          <w:ilvl w:val="12"/>
          <w:numId w:val="0"/>
        </w:numPr>
        <w:rPr>
          <w:rFonts w:ascii="Times New Roman" w:hAnsi="Times New Roman" w:cs="Times New Roman"/>
          <w:b/>
          <w:noProof/>
        </w:rPr>
      </w:pPr>
    </w:p>
    <w:p w14:paraId="39DAA729" w14:textId="77777777" w:rsidR="0050099E" w:rsidRPr="00C35766" w:rsidRDefault="0050099E" w:rsidP="0050099E">
      <w:pPr>
        <w:numPr>
          <w:ilvl w:val="12"/>
          <w:numId w:val="0"/>
        </w:numPr>
        <w:rPr>
          <w:rFonts w:ascii="Times New Roman" w:hAnsi="Times New Roman" w:cs="Times New Roman"/>
          <w:b/>
          <w:noProof/>
        </w:rPr>
      </w:pPr>
    </w:p>
    <w:p w14:paraId="144BA77D" w14:textId="77777777" w:rsidR="0050099E" w:rsidRPr="00C35766" w:rsidRDefault="0050099E" w:rsidP="0050099E">
      <w:pPr>
        <w:numPr>
          <w:ilvl w:val="12"/>
          <w:numId w:val="0"/>
        </w:numPr>
        <w:rPr>
          <w:rFonts w:ascii="Times New Roman" w:eastAsia="맑은 고딕" w:hAnsi="Times New Roman" w:cs="Times New Roman"/>
          <w:noProof/>
          <w:lang w:val="pt-BR" w:eastAsia="ko-KR"/>
        </w:rPr>
      </w:pPr>
      <w:r w:rsidRPr="00C35766">
        <w:rPr>
          <w:rFonts w:ascii="Times New Roman" w:eastAsia="Times New Roman" w:hAnsi="Times New Roman" w:cs="Times New Roman"/>
          <w:b/>
          <w:bCs/>
          <w:noProof/>
          <w:lang w:val="it-IT"/>
        </w:rPr>
        <w:t xml:space="preserve">Questo foglio illustrativo è stato aggiornato il </w:t>
      </w:r>
      <w:r w:rsidRPr="00C35766">
        <w:rPr>
          <w:rFonts w:ascii="Times New Roman" w:eastAsia="Times New Roman" w:hAnsi="Times New Roman" w:cs="Times New Roman"/>
          <w:noProof/>
          <w:lang w:val="it-IT"/>
        </w:rPr>
        <w:t>.</w:t>
      </w:r>
    </w:p>
    <w:p w14:paraId="356526D9" w14:textId="77777777" w:rsidR="0050099E" w:rsidRPr="00C35766" w:rsidRDefault="0050099E" w:rsidP="0050099E">
      <w:pPr>
        <w:numPr>
          <w:ilvl w:val="12"/>
          <w:numId w:val="0"/>
        </w:numPr>
        <w:rPr>
          <w:rFonts w:ascii="Times New Roman" w:hAnsi="Times New Roman" w:cs="Times New Roman"/>
          <w:noProof/>
          <w:lang w:val="pt-BR"/>
        </w:rPr>
      </w:pPr>
    </w:p>
    <w:p w14:paraId="049034C4" w14:textId="77777777" w:rsidR="0050099E" w:rsidRPr="00C35766" w:rsidRDefault="0050099E" w:rsidP="0050099E">
      <w:pPr>
        <w:numPr>
          <w:ilvl w:val="12"/>
          <w:numId w:val="0"/>
        </w:numPr>
        <w:rPr>
          <w:rFonts w:ascii="Times New Roman" w:hAnsi="Times New Roman" w:cs="Times New Roman"/>
          <w:b/>
          <w:noProof/>
          <w:lang w:val="pt-BR"/>
        </w:rPr>
      </w:pPr>
      <w:r w:rsidRPr="00C35766">
        <w:rPr>
          <w:rFonts w:ascii="Times New Roman" w:eastAsia="Times New Roman" w:hAnsi="Times New Roman" w:cs="Times New Roman"/>
          <w:b/>
          <w:bCs/>
          <w:noProof/>
          <w:lang w:val="it-IT"/>
        </w:rPr>
        <w:t>Altre fonti d’informazioni</w:t>
      </w:r>
    </w:p>
    <w:p w14:paraId="2B450631" w14:textId="77777777" w:rsidR="0050099E" w:rsidRPr="00C35766" w:rsidRDefault="0050099E" w:rsidP="0050099E">
      <w:pPr>
        <w:pStyle w:val="a3"/>
        <w:rPr>
          <w:lang w:val="pt-BR"/>
        </w:rPr>
      </w:pPr>
    </w:p>
    <w:p w14:paraId="120B481E" w14:textId="77777777" w:rsidR="0050099E" w:rsidRPr="00C35766" w:rsidRDefault="0050099E" w:rsidP="0050099E">
      <w:pPr>
        <w:numPr>
          <w:ilvl w:val="12"/>
          <w:numId w:val="0"/>
        </w:numPr>
        <w:rPr>
          <w:rFonts w:ascii="Times New Roman" w:eastAsia="Times New Roman" w:hAnsi="Times New Roman" w:cs="Times New Roman"/>
          <w:color w:val="0000FF"/>
          <w:u w:val="single"/>
          <w:lang w:val="it-IT"/>
        </w:rPr>
      </w:pPr>
      <w:r w:rsidRPr="00C35766">
        <w:rPr>
          <w:rFonts w:ascii="Times New Roman" w:eastAsia="Times New Roman" w:hAnsi="Times New Roman" w:cs="Times New Roman"/>
          <w:lang w:val="it-IT"/>
        </w:rPr>
        <w:t xml:space="preserve">Informazioni più dettagliate su questo medicinale sono disponibili sul sito web dell’Agenzia europea per i medicinali, </w:t>
      </w:r>
      <w:hyperlink r:id="rId101" w:history="1">
        <w:r w:rsidRPr="00C35766">
          <w:rPr>
            <w:rStyle w:val="ad"/>
            <w:rFonts w:ascii="Times New Roman" w:eastAsia="Times New Roman" w:hAnsi="Times New Roman" w:cs="Times New Roman"/>
            <w:lang w:val="it-IT"/>
          </w:rPr>
          <w:t>http://www.ema.europa.eu</w:t>
        </w:r>
      </w:hyperlink>
    </w:p>
    <w:p w14:paraId="55DA50DB" w14:textId="77777777" w:rsidR="0050099E" w:rsidRPr="00C35766" w:rsidRDefault="0050099E" w:rsidP="0050099E">
      <w:pPr>
        <w:spacing w:line="200" w:lineRule="exact"/>
        <w:rPr>
          <w:rFonts w:ascii="Times New Roman" w:hAnsi="Times New Roman" w:cs="Times New Roman"/>
          <w:b/>
          <w:sz w:val="20"/>
          <w:szCs w:val="20"/>
          <w:lang w:val="pt-BR"/>
        </w:rPr>
      </w:pPr>
    </w:p>
    <w:p w14:paraId="335CD6F9" w14:textId="77777777" w:rsidR="0050099E" w:rsidRPr="00C35766" w:rsidRDefault="0050099E" w:rsidP="0050099E">
      <w:pPr>
        <w:spacing w:line="200" w:lineRule="exact"/>
        <w:rPr>
          <w:rFonts w:ascii="Times New Roman" w:hAnsi="Times New Roman" w:cs="Times New Roman"/>
          <w:b/>
          <w:sz w:val="20"/>
          <w:szCs w:val="20"/>
          <w:lang w:val="pt-BR"/>
        </w:rPr>
      </w:pPr>
    </w:p>
    <w:p w14:paraId="0BAFDA23" w14:textId="77777777" w:rsidR="0050099E" w:rsidRPr="00C35766" w:rsidRDefault="0050099E" w:rsidP="00933A6C">
      <w:pPr>
        <w:pStyle w:val="a4"/>
        <w:numPr>
          <w:ilvl w:val="0"/>
          <w:numId w:val="62"/>
        </w:numPr>
        <w:spacing w:before="18" w:line="240" w:lineRule="exact"/>
        <w:ind w:hanging="468"/>
        <w:rPr>
          <w:rFonts w:ascii="Times New Roman" w:eastAsia="Times New Roman" w:hAnsi="Times New Roman" w:cs="Times New Roman"/>
          <w:b/>
        </w:rPr>
      </w:pPr>
      <w:r w:rsidRPr="00C35766">
        <w:rPr>
          <w:rFonts w:ascii="Times New Roman" w:eastAsia="Times New Roman" w:hAnsi="Times New Roman" w:cs="Times New Roman"/>
          <w:b/>
          <w:bCs/>
          <w:spacing w:val="-1"/>
          <w:lang w:val="it-IT"/>
        </w:rPr>
        <w:t>Istruzioni per l’uso</w:t>
      </w:r>
    </w:p>
    <w:p w14:paraId="745035B9" w14:textId="77777777" w:rsidR="0050099E" w:rsidRPr="00C35766" w:rsidRDefault="0050099E" w:rsidP="0050099E">
      <w:pPr>
        <w:spacing w:before="9" w:line="260" w:lineRule="exact"/>
        <w:rPr>
          <w:rFonts w:ascii="Times New Roman" w:hAnsi="Times New Roman" w:cs="Times New Roman"/>
          <w:b/>
          <w:sz w:val="26"/>
          <w:szCs w:val="26"/>
        </w:rPr>
      </w:pPr>
    </w:p>
    <w:p w14:paraId="4429DF36"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Le seguenti istruzioni spiegano come effettuare l’autoiniezione sottocutanea di Yuflyma utilizzando la siringa pre-riempita. Prima di tutto legga attentamente le istruzioni e le segua passo dopo passo.</w:t>
      </w:r>
    </w:p>
    <w:p w14:paraId="1564EEC4" w14:textId="77777777" w:rsidR="0050099E" w:rsidRPr="00C35766" w:rsidRDefault="0050099E" w:rsidP="0050099E">
      <w:pPr>
        <w:pStyle w:val="a3"/>
        <w:rPr>
          <w:lang w:val="pt-BR"/>
        </w:rPr>
      </w:pPr>
    </w:p>
    <w:p w14:paraId="5C288801"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Riceverà istruzioni dal medico, dall’infermiere o dal farmacista sulla tecnica dell’autoiniezione.</w:t>
      </w:r>
    </w:p>
    <w:p w14:paraId="19F66E0D" w14:textId="77777777" w:rsidR="0050099E" w:rsidRPr="00C35766" w:rsidRDefault="0050099E" w:rsidP="0050099E">
      <w:pPr>
        <w:pStyle w:val="a3"/>
        <w:rPr>
          <w:lang w:val="it-IT"/>
        </w:rPr>
      </w:pPr>
    </w:p>
    <w:p w14:paraId="1DE89A7A" w14:textId="77777777" w:rsidR="0050099E" w:rsidRPr="00C35766" w:rsidRDefault="0050099E" w:rsidP="0050099E">
      <w:pPr>
        <w:pStyle w:val="a3"/>
        <w:numPr>
          <w:ilvl w:val="1"/>
          <w:numId w:val="4"/>
        </w:numPr>
        <w:ind w:left="660" w:hanging="660"/>
        <w:rPr>
          <w:lang w:val="it-IT"/>
        </w:rPr>
      </w:pPr>
      <w:r w:rsidRPr="00C35766">
        <w:rPr>
          <w:rFonts w:eastAsia="Times New Roman"/>
          <w:b/>
          <w:bCs/>
          <w:lang w:val="it-IT"/>
        </w:rPr>
        <w:t>Non</w:t>
      </w:r>
      <w:r w:rsidRPr="00C35766">
        <w:rPr>
          <w:rFonts w:eastAsia="Times New Roman"/>
          <w:lang w:val="it-IT"/>
        </w:rPr>
        <w:t xml:space="preserve"> proceda all’iniezione da solo finché non è sicuro di aver capito come preparare ed eseguire l’iniezione.</w:t>
      </w:r>
    </w:p>
    <w:p w14:paraId="7F7B052C" w14:textId="77777777" w:rsidR="0050099E" w:rsidRPr="00C35766" w:rsidRDefault="0050099E" w:rsidP="0050099E">
      <w:pPr>
        <w:pStyle w:val="a3"/>
        <w:rPr>
          <w:lang w:val="it-IT"/>
        </w:rPr>
      </w:pPr>
    </w:p>
    <w:p w14:paraId="2D82546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Dopo adeguate istruzioni l’iniezione può essere eseguita da lei o da altre persone quali, ad esempio, un familiare o un amico.</w:t>
      </w:r>
    </w:p>
    <w:p w14:paraId="7BEDEC14" w14:textId="77777777" w:rsidR="0050099E" w:rsidRPr="00C35766" w:rsidRDefault="0050099E" w:rsidP="0050099E">
      <w:pPr>
        <w:pStyle w:val="a3"/>
        <w:rPr>
          <w:lang w:val="it-IT"/>
        </w:rPr>
      </w:pPr>
    </w:p>
    <w:p w14:paraId="7186BF96"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Usi ciascuna siringa pre-riempita esclusivamente per una sola iniezione.</w:t>
      </w:r>
    </w:p>
    <w:p w14:paraId="5970D54D" w14:textId="77777777" w:rsidR="0050099E" w:rsidRPr="00C35766" w:rsidRDefault="0050099E" w:rsidP="0050099E">
      <w:pPr>
        <w:rPr>
          <w:rFonts w:ascii="Times New Roman" w:hAnsi="Times New Roman" w:cs="Times New Roman"/>
          <w:lang w:val="es-ES"/>
        </w:rPr>
      </w:pPr>
    </w:p>
    <w:p w14:paraId="58B3D5E5" w14:textId="77777777" w:rsidR="0050099E" w:rsidRPr="00C35766" w:rsidRDefault="0050099E" w:rsidP="0050099E">
      <w:pPr>
        <w:rPr>
          <w:rFonts w:ascii="Times New Roman" w:hAnsi="Times New Roman" w:cs="Times New Roman"/>
          <w:lang w:val="es-ES"/>
        </w:rPr>
      </w:pPr>
      <w:r w:rsidRPr="00C35766">
        <w:rPr>
          <w:rFonts w:ascii="Times New Roman" w:hAnsi="Times New Roman" w:cs="Times New Roman"/>
          <w:lang w:val="es-ES"/>
        </w:rPr>
        <w:br w:type="page"/>
      </w:r>
    </w:p>
    <w:p w14:paraId="512DF342" w14:textId="77777777" w:rsidR="0050099E" w:rsidRPr="00C35766" w:rsidRDefault="0050099E" w:rsidP="0050099E">
      <w:pPr>
        <w:pStyle w:val="a3"/>
        <w:rPr>
          <w:b/>
        </w:rPr>
      </w:pPr>
      <w:r w:rsidRPr="00C35766">
        <w:rPr>
          <w:rFonts w:eastAsia="Times New Roman"/>
          <w:b/>
          <w:bCs/>
          <w:lang w:val="it-IT"/>
        </w:rPr>
        <w:lastRenderedPageBreak/>
        <w:t>Yuflyma Siringa pre-riempita</w:t>
      </w:r>
    </w:p>
    <w:p w14:paraId="6ADA01E4" w14:textId="77777777" w:rsidR="0050099E" w:rsidRPr="00C35766" w:rsidRDefault="0050099E" w:rsidP="0050099E">
      <w:pPr>
        <w:spacing w:before="13" w:line="240" w:lineRule="exact"/>
        <w:rPr>
          <w:rFonts w:ascii="Times New Roman" w:hAnsi="Times New Roman" w:cs="Times New Roman"/>
          <w:sz w:val="24"/>
          <w:szCs w:val="24"/>
        </w:rPr>
      </w:pPr>
    </w:p>
    <w:p w14:paraId="48877CA4" w14:textId="122D7568" w:rsidR="0050099E" w:rsidRPr="00C35766" w:rsidRDefault="007071FA" w:rsidP="0050099E">
      <w:pPr>
        <w:spacing w:before="3"/>
        <w:ind w:left="1786" w:right="10920"/>
        <w:rPr>
          <w:rFonts w:ascii="Times New Roman" w:eastAsia="Times New Roman" w:hAnsi="Times New Roman" w:cs="Times New Roman"/>
          <w:sz w:val="20"/>
          <w:szCs w:val="20"/>
        </w:rPr>
      </w:pP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4" behindDoc="0" locked="0" layoutInCell="1" allowOverlap="1" wp14:anchorId="37E37320" wp14:editId="15F47140">
                <wp:simplePos x="0" y="0"/>
                <wp:positionH relativeFrom="column">
                  <wp:posOffset>2696845</wp:posOffset>
                </wp:positionH>
                <wp:positionV relativeFrom="paragraph">
                  <wp:posOffset>2263775</wp:posOffset>
                </wp:positionV>
                <wp:extent cx="665979" cy="468172"/>
                <wp:effectExtent l="0" t="0" r="1270" b="8255"/>
                <wp:wrapNone/>
                <wp:docPr id="1080" name="Text Box 1080"/>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C33902"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Ago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7E37320" id="Text Box 1080" o:spid="_x0000_s1200" type="#_x0000_t202" style="position:absolute;left:0;text-align:left;margin-left:212.35pt;margin-top:178.25pt;width:52.45pt;height:36.8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" fillcolor="white [3212]" stroked="f" strokeweight=".5pt">
                <v:textbox inset="0,0,0,0">
                  <w:txbxContent>
                    <w:p w14:paraId="3EC33902"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Ago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1" behindDoc="0" locked="0" layoutInCell="1" allowOverlap="1" wp14:anchorId="5B0C469A" wp14:editId="5DA950C2">
                <wp:simplePos x="0" y="0"/>
                <wp:positionH relativeFrom="column">
                  <wp:posOffset>2699385</wp:posOffset>
                </wp:positionH>
                <wp:positionV relativeFrom="paragraph">
                  <wp:posOffset>353841</wp:posOffset>
                </wp:positionV>
                <wp:extent cx="665979" cy="365760"/>
                <wp:effectExtent l="0" t="0" r="1270" b="0"/>
                <wp:wrapNone/>
                <wp:docPr id="131" name="Text Box 131"/>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E9F7D"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Stantuffo</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B0C469A" id="Text Box 131" o:spid="_x0000_s1201" type="#_x0000_t202" style="position:absolute;left:0;text-align:left;margin-left:212.55pt;margin-top:27.85pt;width:52.45pt;height:28.8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" fillcolor="white [3212]" stroked="f" strokeweight=".5pt">
                <v:textbox inset="0,0,0,0">
                  <w:txbxContent>
                    <w:p w14:paraId="4F5E9F7D"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Stantuffo</w:t>
                      </w:r>
                    </w:p>
                  </w:txbxContent>
                </v:textbox>
              </v:shape>
            </w:pict>
          </mc:Fallback>
        </mc:AlternateContent>
      </w: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0" behindDoc="0" locked="0" layoutInCell="1" allowOverlap="1" wp14:anchorId="15F5BA52" wp14:editId="438BF845">
                <wp:simplePos x="0" y="0"/>
                <wp:positionH relativeFrom="column">
                  <wp:posOffset>1295400</wp:posOffset>
                </wp:positionH>
                <wp:positionV relativeFrom="paragraph">
                  <wp:posOffset>1603473</wp:posOffset>
                </wp:positionV>
                <wp:extent cx="665979" cy="365760"/>
                <wp:effectExtent l="0" t="0" r="1270" b="0"/>
                <wp:wrapNone/>
                <wp:docPr id="136" name="Text Box 136"/>
                <wp:cNvGraphicFramePr/>
                <a:graphic xmlns:a="http://schemas.openxmlformats.org/drawingml/2006/main">
                  <a:graphicData uri="http://schemas.microsoft.com/office/word/2010/wordprocessingShape">
                    <wps:wsp>
                      <wps:cNvSpPr txBox="1"/>
                      <wps:spPr>
                        <a:xfrm>
                          <a:off x="0" y="0"/>
                          <a:ext cx="665979"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1F84F"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Medicinale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F5BA52" id="Text Box 136" o:spid="_x0000_s1202" type="#_x0000_t202" style="position:absolute;left:0;text-align:left;margin-left:102pt;margin-top:126.25pt;width:52.45pt;height:28.8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" fillcolor="white [3212]" stroked="f" strokeweight=".5pt">
                <v:textbox inset="0,0,0,0">
                  <w:txbxContent>
                    <w:p w14:paraId="76E1F84F"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Medicinale</w:t>
                      </w:r>
                    </w:p>
                  </w:txbxContent>
                </v:textbox>
              </v:shape>
            </w:pict>
          </mc:Fallback>
        </mc:AlternateContent>
      </w:r>
      <w:r w:rsidR="0050099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7" behindDoc="0" locked="0" layoutInCell="1" allowOverlap="1" wp14:anchorId="7FC0259A" wp14:editId="6BC04814">
                <wp:simplePos x="0" y="0"/>
                <wp:positionH relativeFrom="column">
                  <wp:posOffset>3335752</wp:posOffset>
                </wp:positionH>
                <wp:positionV relativeFrom="paragraph">
                  <wp:posOffset>3079579</wp:posOffset>
                </wp:positionV>
                <wp:extent cx="665979" cy="375858"/>
                <wp:effectExtent l="0" t="0" r="1270" b="5715"/>
                <wp:wrapNone/>
                <wp:docPr id="1077" name="Text Box 1077"/>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544BD" w14:textId="77777777" w:rsidR="00D97785" w:rsidRDefault="00D97785" w:rsidP="0050099E">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Dopo l’uso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C0259A" id="Text Box 1077" o:spid="_x0000_s1203" type="#_x0000_t202" style="position:absolute;left:0;text-align:left;margin-left:262.65pt;margin-top:242.5pt;width:52.45pt;height:29.6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" fillcolor="white [3212]" stroked="f" strokeweight=".5pt">
                <v:textbox inset="0,0,0,0">
                  <w:txbxContent>
                    <w:p w14:paraId="365544BD" w14:textId="77777777" w:rsidR="00D97785" w:rsidRDefault="00D97785" w:rsidP="0050099E">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Dopo l’uso</w:t>
                      </w:r>
                    </w:p>
                  </w:txbxContent>
                </v:textbox>
              </v:shape>
            </w:pict>
          </mc:Fallback>
        </mc:AlternateContent>
      </w:r>
      <w:r w:rsidR="0050099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6" behindDoc="0" locked="0" layoutInCell="1" allowOverlap="1" wp14:anchorId="15512032" wp14:editId="4A9A1F60">
                <wp:simplePos x="0" y="0"/>
                <wp:positionH relativeFrom="column">
                  <wp:posOffset>2004792</wp:posOffset>
                </wp:positionH>
                <wp:positionV relativeFrom="paragraph">
                  <wp:posOffset>3082123</wp:posOffset>
                </wp:positionV>
                <wp:extent cx="665979" cy="375858"/>
                <wp:effectExtent l="0" t="0" r="1270" b="5715"/>
                <wp:wrapNone/>
                <wp:docPr id="1078" name="Text Box 1078"/>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ACC33" w14:textId="77777777" w:rsidR="00D97785" w:rsidRDefault="00D97785" w:rsidP="0050099E">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Prima dell’uso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5512032" id="Text Box 1078" o:spid="_x0000_s1204" type="#_x0000_t202" style="position:absolute;left:0;text-align:left;margin-left:157.85pt;margin-top:242.7pt;width:52.45pt;height:29.6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" fillcolor="white [3212]" stroked="f" strokeweight=".5pt">
                <v:textbox inset="0,0,0,0">
                  <w:txbxContent>
                    <w:p w14:paraId="003ACC33" w14:textId="77777777" w:rsidR="00D97785" w:rsidRDefault="00D97785" w:rsidP="0050099E">
                      <w:pPr>
                        <w:jc w:val="center"/>
                        <w:rPr>
                          <w:rFonts w:asciiTheme="majorBidi" w:hAnsiTheme="majorBidi" w:cstheme="majorBidi"/>
                          <w:b/>
                          <w:bCs/>
                          <w:sz w:val="20"/>
                          <w:szCs w:val="20"/>
                        </w:rPr>
                      </w:pPr>
                      <w:r>
                        <w:rPr>
                          <w:rFonts w:ascii="Times New Roman" w:eastAsia="Times New Roman" w:hAnsi="Times New Roman" w:cs="Times New Roman"/>
                          <w:b/>
                          <w:bCs/>
                          <w:sz w:val="20"/>
                          <w:szCs w:val="20"/>
                          <w:lang w:val="it-IT"/>
                        </w:rPr>
                        <w:t>Prima dell’uso</w:t>
                      </w:r>
                    </w:p>
                  </w:txbxContent>
                </v:textbox>
              </v:shape>
            </w:pict>
          </mc:Fallback>
        </mc:AlternateContent>
      </w:r>
      <w:r w:rsidR="0050099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5" behindDoc="0" locked="0" layoutInCell="1" allowOverlap="1" wp14:anchorId="7124BCFB" wp14:editId="15B28650">
                <wp:simplePos x="0" y="0"/>
                <wp:positionH relativeFrom="column">
                  <wp:posOffset>2697464</wp:posOffset>
                </wp:positionH>
                <wp:positionV relativeFrom="paragraph">
                  <wp:posOffset>2777417</wp:posOffset>
                </wp:positionV>
                <wp:extent cx="665979" cy="375858"/>
                <wp:effectExtent l="0" t="0" r="1270" b="5715"/>
                <wp:wrapNone/>
                <wp:docPr id="1079" name="Text Box 1079"/>
                <wp:cNvGraphicFramePr/>
                <a:graphic xmlns:a="http://schemas.openxmlformats.org/drawingml/2006/main">
                  <a:graphicData uri="http://schemas.microsoft.com/office/word/2010/wordprocessingShape">
                    <wps:wsp>
                      <wps:cNvSpPr txBox="1"/>
                      <wps:spPr>
                        <a:xfrm>
                          <a:off x="0" y="0"/>
                          <a:ext cx="665979"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86338"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Cappuccio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124BCFB" id="Text Box 1079" o:spid="_x0000_s1205" type="#_x0000_t202" style="position:absolute;left:0;text-align:left;margin-left:212.4pt;margin-top:218.7pt;width:52.45pt;height:29.6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" fillcolor="white [3212]" stroked="f" strokeweight=".5pt">
                <v:textbox inset="0,0,0,0">
                  <w:txbxContent>
                    <w:p w14:paraId="6AB86338"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Cappuccio</w:t>
                      </w:r>
                    </w:p>
                  </w:txbxContent>
                </v:textbox>
              </v:shape>
            </w:pict>
          </mc:Fallback>
        </mc:AlternateContent>
      </w:r>
      <w:r w:rsidR="0050099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3" behindDoc="0" locked="0" layoutInCell="1" allowOverlap="1" wp14:anchorId="274B9C62" wp14:editId="7CD755C5">
                <wp:simplePos x="0" y="0"/>
                <wp:positionH relativeFrom="column">
                  <wp:posOffset>2697024</wp:posOffset>
                </wp:positionH>
                <wp:positionV relativeFrom="paragraph">
                  <wp:posOffset>1430819</wp:posOffset>
                </wp:positionV>
                <wp:extent cx="665979" cy="468172"/>
                <wp:effectExtent l="0" t="0" r="1270" b="8255"/>
                <wp:wrapNone/>
                <wp:docPr id="1081" name="Text Box 1081"/>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D015E"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Corpo</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74B9C62" id="Text Box 1081" o:spid="_x0000_s1206" type="#_x0000_t202" style="position:absolute;left:0;text-align:left;margin-left:212.35pt;margin-top:112.65pt;width:52.45pt;height:36.8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" fillcolor="white [3212]" stroked="f" strokeweight=".5pt">
                <v:textbox inset="0,0,0,0">
                  <w:txbxContent>
                    <w:p w14:paraId="4E9D015E"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Corpo</w:t>
                      </w:r>
                    </w:p>
                  </w:txbxContent>
                </v:textbox>
              </v:shape>
            </w:pict>
          </mc:Fallback>
        </mc:AlternateContent>
      </w:r>
      <w:r w:rsidR="0050099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22" behindDoc="0" locked="0" layoutInCell="1" allowOverlap="1" wp14:anchorId="161B99FB" wp14:editId="6C0254EF">
                <wp:simplePos x="0" y="0"/>
                <wp:positionH relativeFrom="column">
                  <wp:posOffset>2670810</wp:posOffset>
                </wp:positionH>
                <wp:positionV relativeFrom="paragraph">
                  <wp:posOffset>903710</wp:posOffset>
                </wp:positionV>
                <wp:extent cx="665979" cy="468172"/>
                <wp:effectExtent l="0" t="0" r="1270" b="8255"/>
                <wp:wrapNone/>
                <wp:docPr id="1084" name="Text Box 1084"/>
                <wp:cNvGraphicFramePr/>
                <a:graphic xmlns:a="http://schemas.openxmlformats.org/drawingml/2006/main">
                  <a:graphicData uri="http://schemas.microsoft.com/office/word/2010/wordprocessingShape">
                    <wps:wsp>
                      <wps:cNvSpPr txBox="1"/>
                      <wps:spPr>
                        <a:xfrm>
                          <a:off x="0" y="0"/>
                          <a:ext cx="665979" cy="4681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BFB1D1"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Flangia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61B99FB" id="Text Box 1084" o:spid="_x0000_s1207" type="#_x0000_t202" style="position:absolute;left:0;text-align:left;margin-left:210.3pt;margin-top:71.15pt;width:52.45pt;height:36.8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" fillcolor="white [3212]" stroked="f" strokeweight=".5pt">
                <v:textbox inset="0,0,0,0">
                  <w:txbxContent>
                    <w:p w14:paraId="58BFB1D1" w14:textId="77777777" w:rsidR="00D97785" w:rsidRDefault="00D97785" w:rsidP="0050099E">
                      <w:pPr>
                        <w:jc w:val="center"/>
                        <w:rPr>
                          <w:rFonts w:asciiTheme="majorBidi" w:hAnsiTheme="majorBidi" w:cstheme="majorBidi"/>
                          <w:b/>
                          <w:bCs/>
                          <w:sz w:val="18"/>
                          <w:szCs w:val="18"/>
                        </w:rPr>
                      </w:pPr>
                      <w:r>
                        <w:rPr>
                          <w:rFonts w:ascii="Times New Roman" w:eastAsia="Times New Roman" w:hAnsi="Times New Roman" w:cs="Times New Roman"/>
                          <w:b/>
                          <w:bCs/>
                          <w:sz w:val="18"/>
                          <w:szCs w:val="18"/>
                          <w:lang w:val="it-IT"/>
                        </w:rPr>
                        <w:t>Flangia</w:t>
                      </w:r>
                    </w:p>
                  </w:txbxContent>
                </v:textbox>
              </v:shape>
            </w:pict>
          </mc:Fallback>
        </mc:AlternateContent>
      </w:r>
      <w:r w:rsidR="0050099E" w:rsidRPr="00C35766">
        <w:rPr>
          <w:rFonts w:ascii="Times New Roman" w:hAnsi="Times New Roman" w:cs="Times New Roman"/>
          <w:noProof/>
          <w:lang w:eastAsia="ko-KR"/>
        </w:rPr>
        <w:drawing>
          <wp:inline distT="0" distB="0" distL="0" distR="0" wp14:anchorId="16A6A4A1" wp14:editId="30814418">
            <wp:extent cx="3698005" cy="3480289"/>
            <wp:effectExtent l="19050" t="19050" r="17145" b="25400"/>
            <wp:docPr id="3954" name="그림 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 name="그림 3954"/>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709632" cy="3491232"/>
                    </a:xfrm>
                    <a:prstGeom prst="rect">
                      <a:avLst/>
                    </a:prstGeom>
                    <a:noFill/>
                    <a:ln w="12700">
                      <a:solidFill>
                        <a:schemeClr val="tx1"/>
                      </a:solidFill>
                    </a:ln>
                  </pic:spPr>
                </pic:pic>
              </a:graphicData>
            </a:graphic>
          </wp:inline>
        </w:drawing>
      </w:r>
    </w:p>
    <w:p w14:paraId="10C58050" w14:textId="77777777" w:rsidR="0050099E" w:rsidRPr="00C35766" w:rsidRDefault="0050099E" w:rsidP="0050099E">
      <w:pPr>
        <w:spacing w:before="10" w:line="240" w:lineRule="exact"/>
        <w:ind w:left="5040" w:firstLineChars="450" w:firstLine="901"/>
        <w:rPr>
          <w:rFonts w:ascii="Times New Roman" w:hAnsi="Times New Roman" w:cs="Times New Roman"/>
          <w:b/>
          <w:sz w:val="20"/>
          <w:szCs w:val="24"/>
          <w:lang w:val="es-ES" w:eastAsia="ko-KR"/>
        </w:rPr>
      </w:pPr>
      <w:r w:rsidRPr="00C35766">
        <w:rPr>
          <w:rFonts w:ascii="Times New Roman" w:eastAsia="Times New Roman" w:hAnsi="Times New Roman" w:cs="Times New Roman"/>
          <w:b/>
          <w:bCs/>
          <w:sz w:val="20"/>
          <w:szCs w:val="20"/>
          <w:lang w:val="it-IT" w:eastAsia="ko-KR"/>
        </w:rPr>
        <w:t>Figura A</w:t>
      </w:r>
    </w:p>
    <w:p w14:paraId="03D843A6" w14:textId="77777777" w:rsidR="0050099E" w:rsidRPr="00C35766" w:rsidRDefault="0050099E" w:rsidP="0050099E">
      <w:pPr>
        <w:spacing w:before="10" w:line="240" w:lineRule="exact"/>
        <w:rPr>
          <w:rFonts w:ascii="Times New Roman" w:hAnsi="Times New Roman" w:cs="Times New Roman"/>
          <w:sz w:val="24"/>
          <w:szCs w:val="24"/>
          <w:lang w:val="es-ES"/>
        </w:rPr>
      </w:pPr>
    </w:p>
    <w:p w14:paraId="1AA7EED4" w14:textId="77777777" w:rsidR="0050099E" w:rsidRPr="00C35766" w:rsidRDefault="0050099E" w:rsidP="0050099E">
      <w:pPr>
        <w:pStyle w:val="a3"/>
        <w:rPr>
          <w:b/>
          <w:lang w:val="es-ES"/>
        </w:rPr>
      </w:pPr>
      <w:r w:rsidRPr="00C35766">
        <w:rPr>
          <w:rFonts w:eastAsia="Times New Roman"/>
          <w:b/>
          <w:bCs/>
          <w:lang w:val="it-IT"/>
        </w:rPr>
        <w:t>Non usi la siringa pre-riempita se:</w:t>
      </w:r>
    </w:p>
    <w:p w14:paraId="37820558" w14:textId="77777777" w:rsidR="0050099E" w:rsidRPr="00C35766" w:rsidRDefault="0050099E" w:rsidP="0050099E">
      <w:pPr>
        <w:pStyle w:val="a3"/>
        <w:numPr>
          <w:ilvl w:val="1"/>
          <w:numId w:val="3"/>
        </w:numPr>
        <w:ind w:left="660" w:hanging="660"/>
      </w:pPr>
      <w:r w:rsidRPr="00C35766">
        <w:rPr>
          <w:rFonts w:eastAsia="Times New Roman"/>
          <w:lang w:val="it-IT"/>
        </w:rPr>
        <w:t xml:space="preserve">è incrinata o danneggiata. </w:t>
      </w:r>
    </w:p>
    <w:p w14:paraId="1213E201" w14:textId="77777777" w:rsidR="0050099E" w:rsidRPr="00613304" w:rsidRDefault="0050099E" w:rsidP="0050099E">
      <w:pPr>
        <w:pStyle w:val="a3"/>
        <w:numPr>
          <w:ilvl w:val="1"/>
          <w:numId w:val="3"/>
        </w:numPr>
        <w:ind w:left="660" w:hanging="660"/>
        <w:rPr>
          <w:lang w:val="es-ES"/>
        </w:rPr>
      </w:pPr>
      <w:r w:rsidRPr="00C35766">
        <w:rPr>
          <w:rFonts w:eastAsia="Times New Roman"/>
          <w:lang w:val="it-IT"/>
        </w:rPr>
        <w:t xml:space="preserve">è stata superata la data di scadenza. </w:t>
      </w:r>
    </w:p>
    <w:p w14:paraId="27B812F8" w14:textId="5BBC7FD8" w:rsidR="00F21E03" w:rsidRPr="00C35766" w:rsidRDefault="00F21E03" w:rsidP="0050099E">
      <w:pPr>
        <w:pStyle w:val="a3"/>
        <w:numPr>
          <w:ilvl w:val="1"/>
          <w:numId w:val="3"/>
        </w:numPr>
        <w:ind w:left="660" w:hanging="660"/>
        <w:rPr>
          <w:lang w:val="es-ES"/>
        </w:rPr>
      </w:pPr>
      <w:r w:rsidRPr="00F21E03">
        <w:rPr>
          <w:rFonts w:hint="eastAsia"/>
          <w:lang w:val="es-ES"/>
        </w:rPr>
        <w:t>è</w:t>
      </w:r>
      <w:r w:rsidRPr="00F21E03">
        <w:rPr>
          <w:lang w:val="es-ES"/>
        </w:rPr>
        <w:t xml:space="preserve"> caduta su una superficie dura</w:t>
      </w:r>
      <w:r>
        <w:rPr>
          <w:lang w:val="es-ES"/>
        </w:rPr>
        <w:t>.</w:t>
      </w:r>
    </w:p>
    <w:p w14:paraId="1FD1FC75" w14:textId="77777777" w:rsidR="0050099E" w:rsidRPr="00C35766" w:rsidRDefault="0050099E" w:rsidP="0050099E">
      <w:pPr>
        <w:pStyle w:val="Default"/>
        <w:numPr>
          <w:ilvl w:val="2"/>
          <w:numId w:val="20"/>
        </w:numPr>
        <w:ind w:left="360"/>
        <w:rPr>
          <w:rFonts w:ascii="Times New Roman" w:hAnsi="Times New Roman" w:cs="Times New Roman"/>
          <w:color w:val="211D1E"/>
          <w:sz w:val="20"/>
          <w:szCs w:val="20"/>
          <w:lang w:val="es-ES"/>
        </w:rPr>
      </w:pPr>
    </w:p>
    <w:p w14:paraId="55CEE1E7" w14:textId="77777777" w:rsidR="0050099E" w:rsidRPr="00C35766" w:rsidRDefault="0050099E" w:rsidP="0050099E">
      <w:pPr>
        <w:pStyle w:val="a3"/>
        <w:rPr>
          <w:b/>
          <w:lang w:val="it-IT"/>
        </w:rPr>
      </w:pPr>
      <w:r w:rsidRPr="00C35766">
        <w:rPr>
          <w:rFonts w:eastAsia="Times New Roman"/>
          <w:b/>
          <w:bCs/>
          <w:lang w:val="it-IT"/>
        </w:rPr>
        <w:t>Rimuova il tappo dell’ago solo immediatamente prima dell’iniezione. Tenga Yuflyma fuori dalla vista e dalla portata dei bambini.</w:t>
      </w:r>
    </w:p>
    <w:p w14:paraId="7CBD4D1B" w14:textId="58FD0835" w:rsidR="0050099E" w:rsidRPr="00C35766" w:rsidRDefault="0050099E" w:rsidP="0050099E">
      <w:pPr>
        <w:rPr>
          <w:rFonts w:ascii="Times New Roman" w:hAnsi="Times New Roman" w:cs="Times New Roman"/>
          <w:lang w:val="it-IT"/>
        </w:rPr>
      </w:pP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50099E" w:rsidRPr="00494E69" w14:paraId="5444EDC0" w14:textId="77777777" w:rsidTr="00933A6C">
        <w:trPr>
          <w:trHeight w:val="2684"/>
        </w:trPr>
        <w:tc>
          <w:tcPr>
            <w:tcW w:w="9634" w:type="dxa"/>
          </w:tcPr>
          <w:p w14:paraId="0543FE1F" w14:textId="77777777" w:rsidR="0050099E" w:rsidRPr="00C35766" w:rsidRDefault="0050099E" w:rsidP="00933A6C">
            <w:pPr>
              <w:pStyle w:val="a3"/>
              <w:numPr>
                <w:ilvl w:val="0"/>
                <w:numId w:val="0"/>
              </w:numPr>
              <w:ind w:left="580"/>
              <w:rPr>
                <w:lang w:val="it-IT"/>
              </w:rPr>
            </w:pPr>
          </w:p>
          <w:p w14:paraId="1C78A1BD" w14:textId="77777777" w:rsidR="0050099E" w:rsidRPr="00C35766" w:rsidRDefault="0050099E" w:rsidP="00933A6C">
            <w:pPr>
              <w:pStyle w:val="a3"/>
              <w:numPr>
                <w:ilvl w:val="0"/>
                <w:numId w:val="63"/>
              </w:numPr>
            </w:pPr>
            <w:r w:rsidRPr="00C35766">
              <w:rPr>
                <w:rFonts w:eastAsia="Times New Roman"/>
                <w:b/>
                <w:bCs/>
                <w:lang w:val="it-IT"/>
              </w:rPr>
              <w:t>Prepari i materiali per l’iniezione</w:t>
            </w:r>
          </w:p>
          <w:p w14:paraId="5AE18528" w14:textId="77777777" w:rsidR="0050099E" w:rsidRPr="00C35766" w:rsidRDefault="0050099E" w:rsidP="00933A6C">
            <w:pPr>
              <w:pStyle w:val="a3"/>
              <w:numPr>
                <w:ilvl w:val="0"/>
                <w:numId w:val="0"/>
              </w:numPr>
              <w:ind w:left="580"/>
            </w:pPr>
          </w:p>
          <w:p w14:paraId="18BE43E6" w14:textId="77777777" w:rsidR="0050099E" w:rsidRPr="00C35766" w:rsidRDefault="0050099E" w:rsidP="00933A6C">
            <w:pPr>
              <w:pStyle w:val="AAAA"/>
              <w:framePr w:hSpace="0" w:wrap="auto" w:vAnchor="margin" w:hAnchor="text" w:yAlign="inline"/>
              <w:rPr>
                <w:lang w:val="es-ES"/>
              </w:rPr>
            </w:pPr>
            <w:r w:rsidRPr="00C35766">
              <w:rPr>
                <w:b/>
                <w:bCs/>
              </w:rPr>
              <w:t>a.</w:t>
            </w:r>
            <w:r w:rsidRPr="00C35766">
              <w:tab/>
              <w:t>Prepari una superficie piana pulita, ad esempio un tavolo o ripiano, in un luogo ben illuminato.</w:t>
            </w:r>
          </w:p>
          <w:p w14:paraId="563F8567" w14:textId="77777777" w:rsidR="0050099E" w:rsidRPr="00C35766" w:rsidRDefault="0050099E" w:rsidP="00933A6C">
            <w:pPr>
              <w:pStyle w:val="a3"/>
              <w:ind w:left="720" w:hanging="360"/>
              <w:rPr>
                <w:lang w:val="pt-BR" w:eastAsia="ko-KR"/>
              </w:rPr>
            </w:pPr>
            <w:r w:rsidRPr="00C35766">
              <w:rPr>
                <w:rFonts w:eastAsia="Times New Roman"/>
                <w:b/>
                <w:bCs/>
                <w:lang w:val="it-IT" w:eastAsia="ko-KR"/>
              </w:rPr>
              <w:t>b.</w:t>
            </w:r>
            <w:r w:rsidRPr="00C35766">
              <w:rPr>
                <w:rFonts w:eastAsia="Times New Roman"/>
                <w:lang w:val="it-IT" w:eastAsia="ko-KR"/>
              </w:rPr>
              <w:t xml:space="preserve"> </w:t>
            </w:r>
            <w:r w:rsidRPr="00C35766">
              <w:rPr>
                <w:rFonts w:eastAsia="Times New Roman"/>
                <w:lang w:val="it-IT" w:eastAsia="ko-KR"/>
              </w:rPr>
              <w:tab/>
              <w:t>Rimuova 1 siringa pre-riempita dalla scatola conservata in frigorifero.</w:t>
            </w:r>
          </w:p>
          <w:p w14:paraId="5DED98C2" w14:textId="77777777" w:rsidR="0050099E" w:rsidRPr="00C35766" w:rsidRDefault="0050099E" w:rsidP="00933A6C">
            <w:pPr>
              <w:pStyle w:val="a3"/>
              <w:ind w:left="1080" w:rightChars="100" w:right="220" w:hanging="360"/>
              <w:jc w:val="both"/>
              <w:rPr>
                <w:lang w:val="es-ES" w:eastAsia="ko-KR"/>
              </w:rPr>
            </w:pPr>
            <w:r w:rsidRPr="00C35766">
              <w:rPr>
                <w:rFonts w:eastAsia="맑은 고딕"/>
                <w:lang w:val="it-IT" w:eastAsia="ko-KR"/>
              </w:rPr>
              <w:t>•</w:t>
            </w:r>
            <w:r w:rsidRPr="00C35766">
              <w:rPr>
                <w:rFonts w:eastAsia="Times New Roman"/>
                <w:lang w:val="it-IT" w:eastAsia="ko-KR"/>
              </w:rPr>
              <w:tab/>
              <w:t>Quando rimuove la siringa pre-riempita dalla scatola la tenga per il corpo.</w:t>
            </w:r>
            <w:r w:rsidRPr="00C35766">
              <w:rPr>
                <w:rFonts w:eastAsia="Times New Roman"/>
                <w:b/>
                <w:bCs/>
                <w:lang w:val="it-IT" w:eastAsia="ko-KR"/>
              </w:rPr>
              <w:t xml:space="preserve"> Non </w:t>
            </w:r>
            <w:r w:rsidRPr="00C35766">
              <w:rPr>
                <w:rFonts w:eastAsia="Times New Roman"/>
                <w:lang w:val="it-IT" w:eastAsia="ko-KR"/>
              </w:rPr>
              <w:t>tocchi lo stantuffo.</w:t>
            </w:r>
          </w:p>
          <w:p w14:paraId="7F0A2A3B" w14:textId="77777777" w:rsidR="0050099E" w:rsidRPr="00C35766" w:rsidRDefault="0050099E" w:rsidP="00933A6C">
            <w:pPr>
              <w:pStyle w:val="a3"/>
              <w:ind w:left="720" w:hanging="360"/>
              <w:rPr>
                <w:lang w:val="pt-BR" w:eastAsia="ko-KR"/>
              </w:rPr>
            </w:pPr>
            <w:r w:rsidRPr="00C35766">
              <w:rPr>
                <w:rFonts w:eastAsia="Times New Roman"/>
                <w:b/>
                <w:bCs/>
                <w:lang w:val="it-IT" w:eastAsia="ko-KR"/>
              </w:rPr>
              <w:t>c.</w:t>
            </w:r>
            <w:r w:rsidRPr="00C35766">
              <w:rPr>
                <w:rFonts w:eastAsia="Times New Roman"/>
                <w:lang w:val="it-IT" w:eastAsia="ko-KR"/>
              </w:rPr>
              <w:t xml:space="preserve"> </w:t>
            </w:r>
            <w:r w:rsidRPr="00C35766">
              <w:rPr>
                <w:rFonts w:eastAsia="Times New Roman"/>
                <w:lang w:val="it-IT" w:eastAsia="ko-KR"/>
              </w:rPr>
              <w:tab/>
              <w:t>Si assicuri di avere i seguenti materiali:</w:t>
            </w:r>
          </w:p>
          <w:p w14:paraId="44031EE2" w14:textId="77777777" w:rsidR="0050099E" w:rsidRPr="00C35766" w:rsidRDefault="0050099E" w:rsidP="00933A6C">
            <w:pPr>
              <w:pStyle w:val="a3"/>
              <w:ind w:left="720"/>
              <w:rPr>
                <w:lang w:val="pt-BR" w:eastAsia="ko-KR"/>
              </w:rPr>
            </w:pPr>
            <w:r w:rsidRPr="00C35766">
              <w:rPr>
                <w:rFonts w:eastAsia="Times New Roman"/>
                <w:lang w:val="it-IT" w:eastAsia="ko-KR"/>
              </w:rPr>
              <w:t>- Siringa pre-riempita</w:t>
            </w:r>
          </w:p>
          <w:p w14:paraId="46C48AE9" w14:textId="77777777" w:rsidR="0050099E" w:rsidRPr="00C35766" w:rsidRDefault="0050099E" w:rsidP="00933A6C">
            <w:pPr>
              <w:pStyle w:val="a3"/>
              <w:spacing w:after="120"/>
              <w:ind w:left="720"/>
              <w:rPr>
                <w:lang w:val="pt-BR" w:eastAsia="ko-KR"/>
              </w:rPr>
            </w:pPr>
            <w:r w:rsidRPr="00C35766">
              <w:rPr>
                <w:rFonts w:eastAsia="Times New Roman"/>
                <w:lang w:val="it-IT" w:eastAsia="ko-KR"/>
              </w:rPr>
              <w:t>- tampone imbevuto di alcol</w:t>
            </w:r>
          </w:p>
          <w:p w14:paraId="7D11D911" w14:textId="77777777" w:rsidR="0050099E" w:rsidRPr="00C35766" w:rsidRDefault="0050099E" w:rsidP="00933A6C">
            <w:pPr>
              <w:pStyle w:val="a3"/>
              <w:ind w:left="720"/>
              <w:rPr>
                <w:b/>
                <w:lang w:val="pt-BR" w:eastAsia="ko-KR"/>
              </w:rPr>
            </w:pPr>
            <w:r w:rsidRPr="00C35766">
              <w:rPr>
                <w:rFonts w:eastAsia="Times New Roman"/>
                <w:b/>
                <w:bCs/>
                <w:lang w:val="it-IT" w:eastAsia="ko-KR"/>
              </w:rPr>
              <w:t>Non compreso nella scatola:</w:t>
            </w:r>
          </w:p>
          <w:p w14:paraId="30C16BDF" w14:textId="77777777" w:rsidR="0050099E" w:rsidRPr="00C35766" w:rsidRDefault="0050099E" w:rsidP="00933A6C">
            <w:pPr>
              <w:pStyle w:val="a3"/>
              <w:ind w:left="720"/>
              <w:rPr>
                <w:lang w:val="pt-BR" w:eastAsia="ko-KR"/>
              </w:rPr>
            </w:pPr>
            <w:r w:rsidRPr="00C35766">
              <w:rPr>
                <w:rFonts w:eastAsia="Times New Roman"/>
                <w:lang w:val="it-IT" w:eastAsia="ko-KR"/>
              </w:rPr>
              <w:t>- batuffolo di cotone idrofilo o garza</w:t>
            </w:r>
          </w:p>
          <w:p w14:paraId="075405E2" w14:textId="77777777" w:rsidR="0050099E" w:rsidRPr="00C35766" w:rsidRDefault="0050099E" w:rsidP="00933A6C">
            <w:pPr>
              <w:pStyle w:val="a3"/>
              <w:ind w:left="720"/>
              <w:rPr>
                <w:lang w:val="pt-BR" w:eastAsia="ko-KR"/>
              </w:rPr>
            </w:pPr>
            <w:r w:rsidRPr="00C35766">
              <w:rPr>
                <w:rFonts w:eastAsia="Times New Roman"/>
                <w:lang w:val="it-IT" w:eastAsia="ko-KR"/>
              </w:rPr>
              <w:t>- cerotto adesivo</w:t>
            </w:r>
          </w:p>
          <w:p w14:paraId="3D726799" w14:textId="77777777" w:rsidR="0050099E" w:rsidRPr="00C35766" w:rsidRDefault="0050099E" w:rsidP="00933A6C">
            <w:pPr>
              <w:pStyle w:val="a3"/>
              <w:ind w:left="720"/>
              <w:rPr>
                <w:lang w:val="pt-BR" w:eastAsia="ko-KR"/>
              </w:rPr>
            </w:pPr>
            <w:r w:rsidRPr="00C35766">
              <w:rPr>
                <w:rFonts w:eastAsia="Times New Roman"/>
                <w:lang w:val="it-IT" w:eastAsia="ko-KR"/>
              </w:rPr>
              <w:t>- contenitore per smaltimento di materiale tagliente</w:t>
            </w:r>
          </w:p>
          <w:p w14:paraId="68FD30C5" w14:textId="77777777" w:rsidR="0050099E" w:rsidRPr="00C35766" w:rsidRDefault="0050099E" w:rsidP="00933A6C">
            <w:pPr>
              <w:ind w:left="224" w:right="1248"/>
              <w:rPr>
                <w:rFonts w:ascii="Times New Roman" w:eastAsia="Times New Roman" w:hAnsi="Times New Roman" w:cs="Times New Roman"/>
                <w:b/>
                <w:bCs/>
                <w:spacing w:val="-1"/>
                <w:lang w:val="pt-BR"/>
              </w:rPr>
            </w:pPr>
          </w:p>
        </w:tc>
      </w:tr>
      <w:tr w:rsidR="0050099E" w:rsidRPr="006501B3" w14:paraId="2A38629C" w14:textId="77777777" w:rsidTr="00933A6C">
        <w:trPr>
          <w:trHeight w:val="3969"/>
        </w:trPr>
        <w:tc>
          <w:tcPr>
            <w:tcW w:w="9634" w:type="dxa"/>
          </w:tcPr>
          <w:p w14:paraId="7361C613" w14:textId="77777777" w:rsidR="0050099E" w:rsidRPr="00C35766" w:rsidRDefault="0050099E" w:rsidP="00933A6C">
            <w:pPr>
              <w:ind w:left="224" w:right="1248"/>
              <w:rPr>
                <w:rFonts w:ascii="Times New Roman" w:hAnsi="Times New Roman" w:cs="Times New Roman"/>
                <w:lang w:val="pt-BR"/>
              </w:rPr>
            </w:pPr>
            <w:r w:rsidRPr="00C35766">
              <w:rPr>
                <w:rFonts w:ascii="Times New Roman" w:hAnsi="Times New Roman" w:cs="Times New Roman"/>
                <w:noProof/>
                <w:lang w:eastAsia="ko-KR"/>
              </w:rPr>
              <w:lastRenderedPageBreak/>
              <mc:AlternateContent>
                <mc:Choice Requires="wpg">
                  <w:drawing>
                    <wp:anchor distT="0" distB="0" distL="114300" distR="114300" simplePos="0" relativeHeight="251658328" behindDoc="0" locked="0" layoutInCell="1" allowOverlap="1" wp14:anchorId="1D999044" wp14:editId="6A1E1C84">
                      <wp:simplePos x="0" y="0"/>
                      <wp:positionH relativeFrom="column">
                        <wp:posOffset>5080</wp:posOffset>
                      </wp:positionH>
                      <wp:positionV relativeFrom="paragraph">
                        <wp:posOffset>175260</wp:posOffset>
                      </wp:positionV>
                      <wp:extent cx="2148840" cy="2849880"/>
                      <wp:effectExtent l="0" t="0" r="3810" b="7620"/>
                      <wp:wrapSquare wrapText="bothSides"/>
                      <wp:docPr id="137" name="그룹 137"/>
                      <wp:cNvGraphicFramePr/>
                      <a:graphic xmlns:a="http://schemas.openxmlformats.org/drawingml/2006/main">
                        <a:graphicData uri="http://schemas.microsoft.com/office/word/2010/wordprocessingGroup">
                          <wpg:wgp>
                            <wpg:cNvGrpSpPr/>
                            <wpg:grpSpPr>
                              <a:xfrm>
                                <a:off x="0" y="0"/>
                                <a:ext cx="2148840" cy="2849880"/>
                                <a:chOff x="0" y="10982"/>
                                <a:chExt cx="1659255" cy="2192468"/>
                              </a:xfrm>
                            </wpg:grpSpPr>
                            <wpg:grpSp>
                              <wpg:cNvPr id="138" name="그룹 138"/>
                              <wpg:cNvGrpSpPr/>
                              <wpg:grpSpPr>
                                <a:xfrm>
                                  <a:off x="0" y="10982"/>
                                  <a:ext cx="1659255" cy="2192468"/>
                                  <a:chOff x="0" y="10982"/>
                                  <a:chExt cx="1659790" cy="2192468"/>
                                </a:xfrm>
                              </wpg:grpSpPr>
                              <pic:pic xmlns:pic="http://schemas.openxmlformats.org/drawingml/2006/picture">
                                <pic:nvPicPr>
                                  <pic:cNvPr id="139" name="그림 139"/>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bwMode="auto">
                                  <a:xfrm>
                                    <a:off x="0" y="10982"/>
                                    <a:ext cx="1658620" cy="2022101"/>
                                  </a:xfrm>
                                  <a:prstGeom prst="rect">
                                    <a:avLst/>
                                  </a:prstGeom>
                                  <a:noFill/>
                                  <a:ln>
                                    <a:noFill/>
                                  </a:ln>
                                </pic:spPr>
                              </pic:pic>
                              <wps:wsp>
                                <wps:cNvPr id="140" name="Text Box 140"/>
                                <wps:cNvSpPr txBox="1"/>
                                <wps:spPr>
                                  <a:xfrm>
                                    <a:off x="939800" y="2057400"/>
                                    <a:ext cx="719990" cy="146050"/>
                                  </a:xfrm>
                                  <a:prstGeom prst="rect">
                                    <a:avLst/>
                                  </a:prstGeom>
                                  <a:solidFill>
                                    <a:prstClr val="white"/>
                                  </a:solidFill>
                                  <a:ln>
                                    <a:noFill/>
                                  </a:ln>
                                </wps:spPr>
                                <wps:txbx>
                                  <w:txbxContent>
                                    <w:p w14:paraId="57F85498"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41" name="Text Box 141"/>
                              <wps:cNvSpPr txBox="1"/>
                              <wps:spPr>
                                <a:xfrm>
                                  <a:off x="762000" y="1059180"/>
                                  <a:ext cx="733557"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622C4" w14:textId="77777777" w:rsidR="00D97785" w:rsidRPr="004F566E" w:rsidRDefault="00D97785" w:rsidP="0050099E">
                                    <w:pPr>
                                      <w:rPr>
                                        <w:rFonts w:asciiTheme="majorBidi" w:hAnsiTheme="majorBidi" w:cstheme="majorBidi"/>
                                        <w:b/>
                                        <w:bCs/>
                                        <w:sz w:val="13"/>
                                        <w:szCs w:val="13"/>
                                      </w:rPr>
                                    </w:pPr>
                                    <w:r w:rsidRPr="004F566E">
                                      <w:rPr>
                                        <w:rFonts w:ascii="Times New Roman" w:eastAsia="Times New Roman" w:hAnsi="Times New Roman" w:cs="Times New Roman"/>
                                        <w:b/>
                                        <w:bCs/>
                                        <w:sz w:val="13"/>
                                        <w:szCs w:val="13"/>
                                        <w:lang w:val="it-IT"/>
                                      </w:rPr>
                                      <w:t xml:space="preserve">Scad. </w:t>
                                    </w:r>
                                    <w:r w:rsidRPr="004F566E">
                                      <w:rPr>
                                        <w:rFonts w:ascii="Times New Roman" w:eastAsia="Times New Roman" w:hAnsi="Times New Roman" w:cs="Times New Roman"/>
                                        <w:sz w:val="13"/>
                                        <w:szCs w:val="13"/>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D999044" id="그룹 137" o:spid="_x0000_s1208" style="position:absolute;left:0;text-align:left;margin-left:.4pt;margin-top:13.8pt;width:169.2pt;height:224.4pt;z-index:251658328;mso-width-relative:margin;mso-height-relative:margin" coordorigin=",109" coordsize="16592,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">
                      <v:group id="그룹 138" o:spid="_x0000_s1209" style="position:absolute;top:109;width:16592;height:21925" coordorigin=",109" coordsize="16597,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그림 139" o:spid="_x0000_s1210"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">
                          <v:imagedata r:id="rId104" o:title=""/>
                        </v:shape>
                        <v:shape id="Text Box 140" o:spid="_x0000_s1211"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L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DnDQ/LxQAAANwAAAAP&#10;AAAAAAAAAAAAAAAAAAcCAABkcnMvZG93bnJldi54bWxQSwUGAAAAAAMAAwC3AAAA+QIAAAAA&#10;" stroked="f">
                          <v:textbox inset="0,0,0,0">
                            <w:txbxContent>
                              <w:p w14:paraId="57F85498"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v:textbox>
                        </v:shape>
                      </v:group>
                      <v:shape id="Text Box 141" o:spid="_x0000_s1212" type="#_x0000_t202" style="position:absolute;left:7620;top:10591;width:7335;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" fillcolor="white [3212]" stroked="f" strokeweight=".5pt">
                        <v:textbox inset="0,0,0,0">
                          <w:txbxContent>
                            <w:p w14:paraId="54D622C4" w14:textId="77777777" w:rsidR="00D97785" w:rsidRPr="004F566E" w:rsidRDefault="00D97785" w:rsidP="0050099E">
                              <w:pPr>
                                <w:rPr>
                                  <w:rFonts w:asciiTheme="majorBidi" w:hAnsiTheme="majorBidi" w:cstheme="majorBidi"/>
                                  <w:b/>
                                  <w:bCs/>
                                  <w:sz w:val="13"/>
                                  <w:szCs w:val="13"/>
                                </w:rPr>
                              </w:pPr>
                              <w:r w:rsidRPr="004F566E">
                                <w:rPr>
                                  <w:rFonts w:ascii="Times New Roman" w:eastAsia="Times New Roman" w:hAnsi="Times New Roman" w:cs="Times New Roman"/>
                                  <w:b/>
                                  <w:bCs/>
                                  <w:sz w:val="13"/>
                                  <w:szCs w:val="13"/>
                                  <w:lang w:val="it-IT"/>
                                </w:rPr>
                                <w:t xml:space="preserve">Scad. </w:t>
                              </w:r>
                              <w:r w:rsidRPr="004F566E">
                                <w:rPr>
                                  <w:rFonts w:ascii="Times New Roman" w:eastAsia="Times New Roman" w:hAnsi="Times New Roman" w:cs="Times New Roman"/>
                                  <w:sz w:val="13"/>
                                  <w:szCs w:val="13"/>
                                  <w:lang w:val="it-IT"/>
                                </w:rPr>
                                <w:t>MESE/ANNO</w:t>
                              </w:r>
                            </w:p>
                          </w:txbxContent>
                        </v:textbox>
                      </v:shape>
                      <w10:wrap type="square"/>
                    </v:group>
                  </w:pict>
                </mc:Fallback>
              </mc:AlternateContent>
            </w:r>
          </w:p>
          <w:p w14:paraId="08F8B341" w14:textId="77777777" w:rsidR="0050099E" w:rsidRPr="00C35766" w:rsidRDefault="0050099E" w:rsidP="00933A6C">
            <w:pPr>
              <w:pStyle w:val="a3"/>
              <w:rPr>
                <w:lang w:val="pt-BR"/>
              </w:rPr>
            </w:pPr>
          </w:p>
          <w:p w14:paraId="48016AE7" w14:textId="77777777" w:rsidR="0050099E" w:rsidRPr="00C35766" w:rsidRDefault="0050099E" w:rsidP="00933A6C">
            <w:pPr>
              <w:pStyle w:val="a3"/>
              <w:numPr>
                <w:ilvl w:val="0"/>
                <w:numId w:val="63"/>
              </w:numPr>
              <w:tabs>
                <w:tab w:val="left" w:pos="2519"/>
                <w:tab w:val="left" w:pos="3217"/>
              </w:tabs>
              <w:ind w:leftChars="235" w:left="1174" w:hanging="657"/>
              <w:rPr>
                <w:b/>
              </w:rPr>
            </w:pPr>
            <w:r w:rsidRPr="00C35766">
              <w:rPr>
                <w:rFonts w:eastAsia="Times New Roman"/>
                <w:b/>
                <w:bCs/>
                <w:lang w:val="it-IT"/>
              </w:rPr>
              <w:t>Ispezioni la siringa pre-riempita</w:t>
            </w:r>
          </w:p>
          <w:p w14:paraId="796EF2C9" w14:textId="77777777" w:rsidR="0050099E" w:rsidRPr="00C35766" w:rsidRDefault="0050099E" w:rsidP="00933A6C">
            <w:pPr>
              <w:pStyle w:val="a3"/>
              <w:numPr>
                <w:ilvl w:val="0"/>
                <w:numId w:val="0"/>
              </w:numPr>
              <w:ind w:left="580"/>
            </w:pPr>
          </w:p>
          <w:p w14:paraId="3065052D" w14:textId="52C8E668" w:rsidR="0050099E" w:rsidRPr="00C35766" w:rsidRDefault="0050099E" w:rsidP="00933A6C">
            <w:pPr>
              <w:pStyle w:val="AAAA"/>
              <w:framePr w:hSpace="0" w:wrap="auto" w:vAnchor="margin" w:hAnchor="text" w:yAlign="inline"/>
              <w:ind w:left="3487"/>
              <w:rPr>
                <w:lang w:val="pt-BR"/>
              </w:rPr>
            </w:pPr>
            <w:r w:rsidRPr="00C35766">
              <w:rPr>
                <w:b/>
                <w:bCs/>
              </w:rPr>
              <w:t>a</w:t>
            </w:r>
            <w:r w:rsidRPr="00C35766">
              <w:t>.</w:t>
            </w:r>
            <w:r w:rsidRPr="00C35766">
              <w:tab/>
            </w:r>
            <w:r w:rsidR="00297CA7">
              <w:t>Si a</w:t>
            </w:r>
            <w:r w:rsidRPr="00C35766">
              <w:t xml:space="preserve">ssicuri di avere il medicinale (Yuflyma) e il dosaggio corretti. </w:t>
            </w:r>
          </w:p>
          <w:p w14:paraId="2E846870" w14:textId="77777777" w:rsidR="0050099E" w:rsidRPr="00C35766" w:rsidRDefault="0050099E" w:rsidP="00933A6C">
            <w:pPr>
              <w:pStyle w:val="AAAA"/>
              <w:framePr w:hSpace="0" w:wrap="auto" w:vAnchor="margin" w:hAnchor="text" w:yAlign="inline"/>
              <w:ind w:left="3487"/>
            </w:pPr>
            <w:r w:rsidRPr="00C35766">
              <w:rPr>
                <w:b/>
                <w:bCs/>
              </w:rPr>
              <w:t>b</w:t>
            </w:r>
            <w:r w:rsidRPr="00C35766">
              <w:t xml:space="preserve">. </w:t>
            </w:r>
            <w:r w:rsidRPr="00C35766">
              <w:tab/>
              <w:t xml:space="preserve">Guardi la siringa pre-riempita e si accerti che non sia incrinata  o danneggiata. </w:t>
            </w:r>
          </w:p>
          <w:p w14:paraId="28A76968" w14:textId="77777777" w:rsidR="0050099E" w:rsidRPr="00C35766" w:rsidRDefault="0050099E" w:rsidP="00933A6C">
            <w:pPr>
              <w:pStyle w:val="AAAA"/>
              <w:framePr w:hSpace="0" w:wrap="auto" w:vAnchor="margin" w:hAnchor="text" w:yAlign="inline"/>
              <w:ind w:left="3487"/>
            </w:pPr>
            <w:r w:rsidRPr="00C35766">
              <w:rPr>
                <w:b/>
                <w:bCs/>
              </w:rPr>
              <w:t>c</w:t>
            </w:r>
            <w:r w:rsidRPr="00C35766">
              <w:t>.</w:t>
            </w:r>
            <w:r w:rsidRPr="00C35766">
              <w:tab/>
              <w:t xml:space="preserve">Controlli la data di scadenza sull’etichetta della siringa pre-riempita. </w:t>
            </w:r>
          </w:p>
          <w:p w14:paraId="398370A8" w14:textId="77777777" w:rsidR="0050099E" w:rsidRPr="00C35766" w:rsidRDefault="0050099E" w:rsidP="00933A6C">
            <w:pPr>
              <w:pStyle w:val="Default"/>
              <w:rPr>
                <w:rFonts w:ascii="Times New Roman" w:hAnsi="Times New Roman" w:cs="Times New Roman"/>
                <w:lang w:val="it-IT"/>
              </w:rPr>
            </w:pPr>
            <w:r w:rsidRPr="00C35766">
              <w:rPr>
                <w:rFonts w:ascii="Times New Roman" w:hAnsi="Times New Roman" w:cs="Times New Roman"/>
                <w:lang w:val="it-IT"/>
              </w:rPr>
              <w:t xml:space="preserve"> </w:t>
            </w:r>
          </w:p>
          <w:p w14:paraId="0285A784" w14:textId="77777777" w:rsidR="0050099E" w:rsidRPr="00C35766" w:rsidRDefault="0050099E" w:rsidP="00933A6C">
            <w:pPr>
              <w:pStyle w:val="a3"/>
              <w:numPr>
                <w:ilvl w:val="0"/>
                <w:numId w:val="0"/>
              </w:numPr>
              <w:rPr>
                <w:b/>
                <w:lang w:val="it-IT" w:eastAsia="ko-KR"/>
              </w:rPr>
            </w:pPr>
          </w:p>
          <w:p w14:paraId="5C781532" w14:textId="77777777" w:rsidR="0050099E" w:rsidRPr="00C35766" w:rsidRDefault="0050099E" w:rsidP="00933A6C">
            <w:pPr>
              <w:pStyle w:val="a3"/>
              <w:numPr>
                <w:ilvl w:val="0"/>
                <w:numId w:val="0"/>
              </w:numPr>
              <w:rPr>
                <w:lang w:val="es-ES" w:eastAsia="ko-KR"/>
              </w:rPr>
            </w:pPr>
            <w:r w:rsidRPr="00C35766">
              <w:rPr>
                <w:rFonts w:eastAsia="Times New Roman"/>
                <w:b/>
                <w:bCs/>
                <w:lang w:val="it-IT" w:eastAsia="ko-KR"/>
              </w:rPr>
              <w:t>Non</w:t>
            </w:r>
            <w:r w:rsidRPr="00C35766">
              <w:rPr>
                <w:rFonts w:eastAsia="Times New Roman"/>
                <w:lang w:val="it-IT" w:eastAsia="ko-KR"/>
              </w:rPr>
              <w:t xml:space="preserve"> usi la siringa pre-riempita se:</w:t>
            </w:r>
          </w:p>
          <w:p w14:paraId="05D1F962" w14:textId="6B293352" w:rsidR="0050099E" w:rsidRPr="00C35766" w:rsidRDefault="0050099E" w:rsidP="00933A6C">
            <w:pPr>
              <w:pStyle w:val="a3"/>
              <w:numPr>
                <w:ilvl w:val="2"/>
                <w:numId w:val="38"/>
              </w:numPr>
              <w:ind w:left="3127" w:hanging="3127"/>
              <w:rPr>
                <w:lang w:eastAsia="ko-KR"/>
              </w:rPr>
            </w:pPr>
            <w:r w:rsidRPr="00C35766">
              <w:rPr>
                <w:rFonts w:eastAsia="Times New Roman"/>
                <w:lang w:val="it-IT" w:eastAsia="ko-KR"/>
              </w:rPr>
              <w:t xml:space="preserve">è incrinata o danneggiata </w:t>
            </w:r>
          </w:p>
          <w:p w14:paraId="6358E364" w14:textId="77777777" w:rsidR="0050099E" w:rsidRPr="00613304" w:rsidRDefault="0050099E" w:rsidP="00933A6C">
            <w:pPr>
              <w:pStyle w:val="a3"/>
              <w:numPr>
                <w:ilvl w:val="2"/>
                <w:numId w:val="38"/>
              </w:numPr>
              <w:ind w:left="3127" w:hanging="3127"/>
              <w:rPr>
                <w:lang w:val="es-ES" w:eastAsia="ko-KR"/>
              </w:rPr>
            </w:pPr>
            <w:r w:rsidRPr="00C35766">
              <w:rPr>
                <w:rFonts w:eastAsia="Times New Roman"/>
                <w:lang w:val="it-IT" w:eastAsia="ko-KR"/>
              </w:rPr>
              <w:t xml:space="preserve">è stata superata la data di scadenza. </w:t>
            </w:r>
          </w:p>
          <w:p w14:paraId="21A12E73" w14:textId="3F7FBCDB" w:rsidR="00F21E03" w:rsidRPr="00C35766" w:rsidRDefault="00F21E03" w:rsidP="00933A6C">
            <w:pPr>
              <w:pStyle w:val="a3"/>
              <w:numPr>
                <w:ilvl w:val="2"/>
                <w:numId w:val="38"/>
              </w:numPr>
              <w:ind w:left="3127" w:hanging="3127"/>
              <w:rPr>
                <w:lang w:val="es-ES" w:eastAsia="ko-KR"/>
              </w:rPr>
            </w:pPr>
            <w:r w:rsidRPr="00F21E03">
              <w:rPr>
                <w:rFonts w:hint="eastAsia"/>
                <w:lang w:val="es-ES"/>
              </w:rPr>
              <w:t>è</w:t>
            </w:r>
            <w:r w:rsidRPr="00F21E03">
              <w:rPr>
                <w:lang w:val="es-ES"/>
              </w:rPr>
              <w:t xml:space="preserve"> caduta su una superficie dura</w:t>
            </w:r>
            <w:r>
              <w:rPr>
                <w:lang w:val="es-ES"/>
              </w:rPr>
              <w:t>.</w:t>
            </w:r>
          </w:p>
          <w:p w14:paraId="64185568" w14:textId="77777777" w:rsidR="0050099E" w:rsidRPr="00C35766" w:rsidRDefault="0050099E" w:rsidP="00933A6C">
            <w:pPr>
              <w:pStyle w:val="Default"/>
              <w:rPr>
                <w:rFonts w:ascii="Times New Roman" w:hAnsi="Times New Roman" w:cs="Times New Roman"/>
                <w:color w:val="211D1E"/>
                <w:sz w:val="20"/>
                <w:szCs w:val="20"/>
                <w:lang w:val="es-ES"/>
              </w:rPr>
            </w:pPr>
          </w:p>
          <w:p w14:paraId="14916E12" w14:textId="77777777" w:rsidR="0050099E" w:rsidRPr="00C35766" w:rsidRDefault="0050099E" w:rsidP="00933A6C">
            <w:pPr>
              <w:ind w:right="1248"/>
              <w:rPr>
                <w:rFonts w:ascii="Times New Roman" w:eastAsia="Times New Roman" w:hAnsi="Times New Roman" w:cs="Times New Roman"/>
                <w:b/>
                <w:bCs/>
                <w:lang w:val="es-ES"/>
              </w:rPr>
            </w:pPr>
          </w:p>
        </w:tc>
      </w:tr>
      <w:tr w:rsidR="0050099E" w:rsidRPr="00C35766" w14:paraId="32611BC2" w14:textId="77777777" w:rsidTr="00933A6C">
        <w:trPr>
          <w:trHeight w:val="5669"/>
        </w:trPr>
        <w:tc>
          <w:tcPr>
            <w:tcW w:w="9634" w:type="dxa"/>
          </w:tcPr>
          <w:p w14:paraId="502BCBBE" w14:textId="70DFE6C9" w:rsidR="0050099E" w:rsidRPr="00C35766" w:rsidRDefault="0050099E" w:rsidP="00933A6C">
            <w:pPr>
              <w:pStyle w:val="a3"/>
              <w:rPr>
                <w:lang w:val="es-ES" w:eastAsia="ko-KR"/>
              </w:rPr>
            </w:pPr>
          </w:p>
          <w:p w14:paraId="3B342665" w14:textId="0BE141A8" w:rsidR="0050099E" w:rsidRPr="00C35766" w:rsidRDefault="00D64D13" w:rsidP="00933A6C">
            <w:pPr>
              <w:pStyle w:val="a3"/>
              <w:rPr>
                <w:lang w:val="es-ES"/>
              </w:rPr>
            </w:pPr>
            <w:r w:rsidRPr="00C35766">
              <w:rPr>
                <w:rFonts w:eastAsia="Times New Roman"/>
                <w:b/>
                <w:bCs/>
                <w:noProof/>
                <w:lang w:eastAsia="ko-KR"/>
              </w:rPr>
              <mc:AlternateContent>
                <mc:Choice Requires="wpg">
                  <w:drawing>
                    <wp:anchor distT="0" distB="0" distL="114300" distR="114300" simplePos="0" relativeHeight="251658350" behindDoc="0" locked="0" layoutInCell="1" allowOverlap="1" wp14:anchorId="69AF15CF" wp14:editId="2038DEF4">
                      <wp:simplePos x="0" y="0"/>
                      <wp:positionH relativeFrom="column">
                        <wp:posOffset>38100</wp:posOffset>
                      </wp:positionH>
                      <wp:positionV relativeFrom="paragraph">
                        <wp:posOffset>160655</wp:posOffset>
                      </wp:positionV>
                      <wp:extent cx="2171700" cy="2884170"/>
                      <wp:effectExtent l="19050" t="19050" r="19050" b="0"/>
                      <wp:wrapSquare wrapText="bothSides"/>
                      <wp:docPr id="142" name="그룹 142"/>
                      <wp:cNvGraphicFramePr/>
                      <a:graphic xmlns:a="http://schemas.openxmlformats.org/drawingml/2006/main">
                        <a:graphicData uri="http://schemas.microsoft.com/office/word/2010/wordprocessingGroup">
                          <wpg:wgp>
                            <wpg:cNvGrpSpPr/>
                            <wpg:grpSpPr>
                              <a:xfrm>
                                <a:off x="0" y="0"/>
                                <a:ext cx="2171700" cy="2884170"/>
                                <a:chOff x="0" y="0"/>
                                <a:chExt cx="2171700" cy="2884303"/>
                              </a:xfrm>
                            </wpg:grpSpPr>
                            <pic:pic xmlns:pic="http://schemas.openxmlformats.org/drawingml/2006/picture">
                              <pic:nvPicPr>
                                <pic:cNvPr id="143" name="그림 143"/>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solidFill>
                                    <a:schemeClr val="tx1"/>
                                  </a:solidFill>
                                </a:ln>
                                <a:extLst>
                                  <a:ext uri="{53640926-AAD7-44D8-BBD7-CCE9431645EC}">
                                    <a14:shadowObscured xmlns:a14="http://schemas.microsoft.com/office/drawing/2010/main"/>
                                  </a:ext>
                                </a:extLst>
                              </pic:spPr>
                            </pic:pic>
                            <wps:wsp>
                              <wps:cNvPr id="144" name="Text Box 144"/>
                              <wps:cNvSpPr txBox="1"/>
                              <wps:spPr>
                                <a:xfrm>
                                  <a:off x="1447800" y="2738253"/>
                                  <a:ext cx="719758" cy="146050"/>
                                </a:xfrm>
                                <a:prstGeom prst="rect">
                                  <a:avLst/>
                                </a:prstGeom>
                                <a:solidFill>
                                  <a:prstClr val="white"/>
                                </a:solidFill>
                                <a:ln>
                                  <a:noFill/>
                                </a:ln>
                              </wps:spPr>
                              <wps:txbx>
                                <w:txbxContent>
                                  <w:p w14:paraId="521DFBC0"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9AF15CF" id="그룹 142" o:spid="_x0000_s1213" style="position:absolute;margin-left:3pt;margin-top:12.65pt;width:171pt;height:227.1pt;z-index:251658350;mso-height-relative:margin" coordsize="21717,28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">
                      <v:shape id="그림 143" o:spid="_x0000_s1214"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" stroked="t" strokecolor="black [3213]">
                        <v:imagedata r:id="rId106" o:title=""/>
                        <v:path arrowok="t"/>
                      </v:shape>
                      <v:shape id="Text Box 144" o:spid="_x0000_s1215" type="#_x0000_t202" style="position:absolute;left:14478;top:27382;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" stroked="f">
                        <v:textbox style="mso-fit-shape-to-text:t" inset="0,0,0,0">
                          <w:txbxContent>
                            <w:p w14:paraId="521DFBC0"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v:textbox>
                      </v:shape>
                      <w10:wrap type="square"/>
                    </v:group>
                  </w:pict>
                </mc:Fallback>
              </mc:AlternateContent>
            </w:r>
          </w:p>
          <w:p w14:paraId="5AB1B985" w14:textId="77777777" w:rsidR="0050099E" w:rsidRPr="00C35766" w:rsidRDefault="0050099E" w:rsidP="00933A6C">
            <w:pPr>
              <w:pStyle w:val="a3"/>
              <w:numPr>
                <w:ilvl w:val="0"/>
                <w:numId w:val="63"/>
              </w:numPr>
              <w:rPr>
                <w:b/>
              </w:rPr>
            </w:pPr>
            <w:r w:rsidRPr="00C35766">
              <w:rPr>
                <w:rFonts w:eastAsia="Times New Roman"/>
                <w:b/>
                <w:bCs/>
                <w:lang w:val="it-IT"/>
              </w:rPr>
              <w:t>Ispezioni il farmaco</w:t>
            </w:r>
          </w:p>
          <w:p w14:paraId="6F27126F" w14:textId="22755F99" w:rsidR="0050099E" w:rsidRPr="00C35766" w:rsidRDefault="0050099E" w:rsidP="00933A6C">
            <w:pPr>
              <w:ind w:right="1248"/>
              <w:rPr>
                <w:rFonts w:ascii="Times New Roman" w:eastAsia="Times New Roman" w:hAnsi="Times New Roman" w:cs="Times New Roman"/>
                <w:b/>
                <w:bCs/>
              </w:rPr>
            </w:pPr>
          </w:p>
          <w:p w14:paraId="48FB1479" w14:textId="77777777" w:rsidR="0050099E" w:rsidRPr="00C35766" w:rsidRDefault="0050099E" w:rsidP="00933A6C">
            <w:pPr>
              <w:pStyle w:val="AAAA"/>
              <w:framePr w:hSpace="0" w:wrap="auto" w:vAnchor="margin" w:hAnchor="text" w:yAlign="inline"/>
              <w:ind w:left="4207" w:hanging="3847"/>
              <w:rPr>
                <w:lang w:val="pt-BR"/>
              </w:rPr>
            </w:pPr>
            <w:r w:rsidRPr="00C35766">
              <w:rPr>
                <w:b/>
                <w:bCs/>
              </w:rPr>
              <w:t>a</w:t>
            </w:r>
            <w:r w:rsidRPr="00C35766">
              <w:t>.</w:t>
            </w:r>
            <w:r w:rsidRPr="00C35766">
              <w:tab/>
              <w:t>Guardi il farmaco per confermare che il liquido sia  limpido, da incolore a marrone chiaro e privo di particelle.</w:t>
            </w:r>
          </w:p>
          <w:p w14:paraId="634D5260" w14:textId="77777777" w:rsidR="0050099E" w:rsidRPr="00C35766" w:rsidRDefault="0050099E" w:rsidP="00933A6C">
            <w:pPr>
              <w:pStyle w:val="a3"/>
              <w:numPr>
                <w:ilvl w:val="0"/>
                <w:numId w:val="0"/>
              </w:numPr>
              <w:tabs>
                <w:tab w:val="left" w:pos="3861"/>
              </w:tabs>
              <w:rPr>
                <w:lang w:val="pt-BR"/>
              </w:rPr>
            </w:pPr>
          </w:p>
          <w:p w14:paraId="285E26B6" w14:textId="77777777" w:rsidR="0050099E" w:rsidRPr="00C35766" w:rsidRDefault="0050099E" w:rsidP="00933A6C">
            <w:pPr>
              <w:pStyle w:val="a3"/>
              <w:numPr>
                <w:ilvl w:val="0"/>
                <w:numId w:val="16"/>
              </w:numPr>
              <w:ind w:left="4207" w:hanging="3223"/>
              <w:rPr>
                <w:lang w:val="pt-BR"/>
              </w:rPr>
            </w:pPr>
            <w:r w:rsidRPr="00C35766">
              <w:rPr>
                <w:rFonts w:eastAsia="Times New Roman"/>
                <w:b/>
                <w:bCs/>
                <w:lang w:val="it-IT"/>
              </w:rPr>
              <w:t>Non</w:t>
            </w:r>
            <w:r w:rsidRPr="00C35766">
              <w:rPr>
                <w:rFonts w:eastAsia="Times New Roman"/>
                <w:lang w:val="it-IT"/>
              </w:rPr>
              <w:t xml:space="preserve"> usi la siringa pre-riempita se il liquido è: </w:t>
            </w:r>
            <w:r w:rsidRPr="00C35766">
              <w:rPr>
                <w:rFonts w:eastAsia="Times New Roman"/>
                <w:lang w:val="it-IT"/>
              </w:rPr>
              <w:br/>
              <w:t>di colore alterato (giallo o marrone scuro), torbido o contiene particelle.</w:t>
            </w:r>
          </w:p>
          <w:p w14:paraId="3EFFD4EE" w14:textId="77777777" w:rsidR="0050099E" w:rsidRPr="00C35766" w:rsidRDefault="0050099E" w:rsidP="00933A6C">
            <w:pPr>
              <w:pStyle w:val="a3"/>
              <w:numPr>
                <w:ilvl w:val="0"/>
                <w:numId w:val="0"/>
              </w:numPr>
              <w:ind w:left="4207" w:hanging="3223"/>
              <w:rPr>
                <w:lang w:val="pt-BR"/>
              </w:rPr>
            </w:pPr>
          </w:p>
          <w:p w14:paraId="77988CDE" w14:textId="77777777" w:rsidR="0050099E" w:rsidRPr="00C35766" w:rsidRDefault="0050099E" w:rsidP="00933A6C">
            <w:pPr>
              <w:pStyle w:val="a3"/>
              <w:numPr>
                <w:ilvl w:val="0"/>
                <w:numId w:val="16"/>
              </w:numPr>
              <w:ind w:left="4207" w:hanging="3223"/>
              <w:rPr>
                <w:b/>
                <w:bCs/>
              </w:rPr>
            </w:pPr>
            <w:r w:rsidRPr="00C35766">
              <w:rPr>
                <w:rFonts w:eastAsia="Times New Roman"/>
                <w:lang w:val="it-IT"/>
              </w:rPr>
              <w:t>Potrebbe vedere bolle d’aria nel liquido. Questo è normale.</w:t>
            </w:r>
          </w:p>
        </w:tc>
      </w:tr>
      <w:tr w:rsidR="0050099E" w:rsidRPr="006501B3" w14:paraId="1BE56498" w14:textId="77777777" w:rsidTr="00933A6C">
        <w:trPr>
          <w:trHeight w:val="5669"/>
        </w:trPr>
        <w:tc>
          <w:tcPr>
            <w:tcW w:w="9634" w:type="dxa"/>
          </w:tcPr>
          <w:p w14:paraId="5272A5BC" w14:textId="77777777" w:rsidR="0050099E" w:rsidRPr="00C35766" w:rsidRDefault="0050099E" w:rsidP="00933A6C">
            <w:pPr>
              <w:ind w:right="1248"/>
              <w:rPr>
                <w:rFonts w:ascii="Times New Roman" w:eastAsia="Times New Roman" w:hAnsi="Times New Roman" w:cs="Times New Roman"/>
                <w:b/>
                <w:bCs/>
                <w:spacing w:val="-1"/>
              </w:rPr>
            </w:pPr>
          </w:p>
          <w:p w14:paraId="134D0959" w14:textId="77777777" w:rsidR="0050099E" w:rsidRPr="00C35766" w:rsidRDefault="0050099E" w:rsidP="00933A6C">
            <w:pPr>
              <w:ind w:right="1248"/>
              <w:rPr>
                <w:rFonts w:ascii="Times New Roman" w:eastAsia="Times New Roman" w:hAnsi="Times New Roman" w:cs="Times New Roman"/>
                <w:bCs/>
              </w:rPr>
            </w:pPr>
          </w:p>
          <w:p w14:paraId="0D6C4BF7" w14:textId="77777777" w:rsidR="0050099E" w:rsidRPr="00C35766" w:rsidRDefault="0050099E" w:rsidP="00933A6C">
            <w:pPr>
              <w:ind w:right="1248"/>
              <w:rPr>
                <w:rFonts w:ascii="Times New Roman" w:eastAsia="Times New Roman" w:hAnsi="Times New Roman" w:cs="Times New Roman"/>
                <w:bCs/>
              </w:rPr>
            </w:pPr>
            <w:r w:rsidRPr="00C35766">
              <w:rPr>
                <w:rFonts w:ascii="Times New Roman" w:eastAsia="Times New Roman" w:hAnsi="Times New Roman" w:cs="Times New Roman"/>
                <w:bCs/>
                <w:noProof/>
                <w:lang w:eastAsia="ko-KR"/>
              </w:rPr>
              <mc:AlternateContent>
                <mc:Choice Requires="wpg">
                  <w:drawing>
                    <wp:anchor distT="0" distB="0" distL="114300" distR="114300" simplePos="0" relativeHeight="251658329" behindDoc="0" locked="0" layoutInCell="1" allowOverlap="1" wp14:anchorId="69C98AE2" wp14:editId="40CDF8CD">
                      <wp:simplePos x="0" y="0"/>
                      <wp:positionH relativeFrom="column">
                        <wp:posOffset>111760</wp:posOffset>
                      </wp:positionH>
                      <wp:positionV relativeFrom="paragraph">
                        <wp:posOffset>103505</wp:posOffset>
                      </wp:positionV>
                      <wp:extent cx="2124710" cy="2854325"/>
                      <wp:effectExtent l="0" t="0" r="8890" b="3175"/>
                      <wp:wrapSquare wrapText="bothSides"/>
                      <wp:docPr id="145" name="그룹 145"/>
                      <wp:cNvGraphicFramePr/>
                      <a:graphic xmlns:a="http://schemas.openxmlformats.org/drawingml/2006/main">
                        <a:graphicData uri="http://schemas.microsoft.com/office/word/2010/wordprocessingGroup">
                          <wpg:wgp>
                            <wpg:cNvGrpSpPr/>
                            <wpg:grpSpPr>
                              <a:xfrm>
                                <a:off x="0" y="0"/>
                                <a:ext cx="2124710" cy="2854325"/>
                                <a:chOff x="4506" y="0"/>
                                <a:chExt cx="2125222" cy="2854449"/>
                              </a:xfrm>
                            </wpg:grpSpPr>
                            <wpg:grpSp>
                              <wpg:cNvPr id="146" name="그룹 146"/>
                              <wpg:cNvGrpSpPr/>
                              <wpg:grpSpPr>
                                <a:xfrm>
                                  <a:off x="4506" y="0"/>
                                  <a:ext cx="2125222" cy="2854449"/>
                                  <a:chOff x="4506" y="0"/>
                                  <a:chExt cx="2125222" cy="2854449"/>
                                </a:xfrm>
                              </wpg:grpSpPr>
                              <pic:pic xmlns:pic="http://schemas.openxmlformats.org/drawingml/2006/picture">
                                <pic:nvPicPr>
                                  <pic:cNvPr id="147" name="그림 147"/>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bwMode="auto">
                                  <a:xfrm>
                                    <a:off x="4506" y="0"/>
                                    <a:ext cx="2125222" cy="2607310"/>
                                  </a:xfrm>
                                  <a:prstGeom prst="rect">
                                    <a:avLst/>
                                  </a:prstGeom>
                                  <a:noFill/>
                                  <a:ln>
                                    <a:noFill/>
                                  </a:ln>
                                </pic:spPr>
                              </pic:pic>
                              <wps:wsp>
                                <wps:cNvPr id="148" name="Text Box 148"/>
                                <wps:cNvSpPr txBox="1"/>
                                <wps:spPr>
                                  <a:xfrm>
                                    <a:off x="1371600" y="2708399"/>
                                    <a:ext cx="719758" cy="146050"/>
                                  </a:xfrm>
                                  <a:prstGeom prst="rect">
                                    <a:avLst/>
                                  </a:prstGeom>
                                  <a:solidFill>
                                    <a:prstClr val="white"/>
                                  </a:solidFill>
                                  <a:ln>
                                    <a:noFill/>
                                  </a:ln>
                                </wps:spPr>
                                <wps:txbx>
                                  <w:txbxContent>
                                    <w:p w14:paraId="079E4991"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49" name="Text Box 149"/>
                              <wps:cNvSpPr txBox="1"/>
                              <wps:spPr>
                                <a:xfrm>
                                  <a:off x="1165860" y="8382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4BAED" w14:textId="77777777" w:rsidR="00D97785" w:rsidRDefault="00D97785" w:rsidP="0050099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9C98AE2" id="그룹 145" o:spid="_x0000_s1216" style="position:absolute;margin-left:8.8pt;margin-top:8.15pt;width:167.3pt;height:224.75pt;z-index:251658329;mso-width-relative:margin;mso-height-relative:margin" coordorigin="45" coordsize="21252,28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">
                      <v:group id="그룹 146" o:spid="_x0000_s1217" style="position:absolute;left:45;width:21252;height:28544" coordorigin="45" coordsize="21252,2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그림 147" o:spid="_x0000_s1218"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">
                          <v:imagedata r:id="rId108" o:title=""/>
                        </v:shape>
                        <v:shape id="Text Box 148" o:spid="_x0000_s1219" type="#_x0000_t202" style="position:absolute;left:13716;top:27083;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" stroked="f">
                          <v:textbox style="mso-fit-shape-to-text:t" inset="0,0,0,0">
                            <w:txbxContent>
                              <w:p w14:paraId="079E4991"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v:textbox>
                        </v:shape>
                      </v:group>
                      <v:shape id="Text Box 149" o:spid="_x0000_s1220" type="#_x0000_t202" style="position:absolute;left:11658;top:838;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" fillcolor="white [3212]" stroked="f" strokeweight=".5pt">
                        <v:textbox inset="0,0,0,0">
                          <w:txbxContent>
                            <w:p w14:paraId="6034BAED" w14:textId="77777777" w:rsidR="00D97785" w:rsidRDefault="00D97785" w:rsidP="0050099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v:textbox>
                      </v:shape>
                      <w10:wrap type="square"/>
                    </v:group>
                  </w:pict>
                </mc:Fallback>
              </mc:AlternateContent>
            </w:r>
          </w:p>
          <w:p w14:paraId="0EAAF1CA" w14:textId="77777777" w:rsidR="0050099E" w:rsidRPr="00C35766" w:rsidRDefault="0050099E" w:rsidP="00933A6C">
            <w:pPr>
              <w:pStyle w:val="a3"/>
              <w:numPr>
                <w:ilvl w:val="0"/>
                <w:numId w:val="63"/>
              </w:numPr>
              <w:ind w:left="4117" w:hanging="4006"/>
              <w:rPr>
                <w:b/>
              </w:rPr>
            </w:pPr>
            <w:r w:rsidRPr="00C35766">
              <w:rPr>
                <w:rFonts w:eastAsia="Times New Roman"/>
                <w:b/>
                <w:bCs/>
                <w:lang w:val="it-IT"/>
              </w:rPr>
              <w:t xml:space="preserve">Attenda 15-30 minuti </w:t>
            </w:r>
          </w:p>
          <w:p w14:paraId="4F0A888E" w14:textId="77777777" w:rsidR="0050099E" w:rsidRPr="00C35766" w:rsidRDefault="0050099E" w:rsidP="00933A6C">
            <w:pPr>
              <w:pStyle w:val="a3"/>
              <w:numPr>
                <w:ilvl w:val="0"/>
                <w:numId w:val="0"/>
              </w:numPr>
              <w:ind w:left="471"/>
              <w:rPr>
                <w:b/>
              </w:rPr>
            </w:pPr>
          </w:p>
          <w:p w14:paraId="622595F0" w14:textId="77777777" w:rsidR="0050099E" w:rsidRPr="00C35766" w:rsidRDefault="0050099E" w:rsidP="00933A6C">
            <w:pPr>
              <w:pStyle w:val="AAAA"/>
              <w:framePr w:hSpace="0" w:wrap="auto" w:vAnchor="margin" w:hAnchor="text" w:yAlign="inline"/>
              <w:ind w:left="4477" w:hanging="270"/>
              <w:rPr>
                <w:lang w:val="pt-BR"/>
              </w:rPr>
            </w:pPr>
            <w:r w:rsidRPr="00C35766">
              <w:rPr>
                <w:b/>
                <w:bCs/>
              </w:rPr>
              <w:t>a</w:t>
            </w:r>
            <w:r w:rsidRPr="00C35766">
              <w:t>.</w:t>
            </w:r>
            <w:r w:rsidRPr="00C35766">
              <w:tab/>
              <w:t>Lasci la siringa pre-riempita a temperatura ambiente per 15-30 minuti in modo che si possa scaldare.</w:t>
            </w:r>
          </w:p>
          <w:p w14:paraId="56F5F6AC" w14:textId="77777777" w:rsidR="0050099E" w:rsidRPr="00C35766" w:rsidRDefault="0050099E" w:rsidP="00933A6C">
            <w:pPr>
              <w:pStyle w:val="Default"/>
              <w:ind w:left="4117" w:hanging="3757"/>
              <w:rPr>
                <w:rFonts w:ascii="Times New Roman" w:hAnsi="Times New Roman" w:cs="Times New Roman"/>
                <w:color w:val="211D1E"/>
                <w:sz w:val="20"/>
                <w:szCs w:val="20"/>
                <w:lang w:val="pt-BR"/>
              </w:rPr>
            </w:pPr>
          </w:p>
          <w:p w14:paraId="35050033" w14:textId="77777777" w:rsidR="0050099E" w:rsidRPr="00C35766" w:rsidRDefault="0050099E" w:rsidP="00933A6C">
            <w:pPr>
              <w:pStyle w:val="a3"/>
              <w:numPr>
                <w:ilvl w:val="0"/>
                <w:numId w:val="39"/>
              </w:numPr>
              <w:ind w:left="4117" w:hanging="3757"/>
              <w:rPr>
                <w:rFonts w:eastAsia="Times New Roman"/>
                <w:lang w:val="pt-BR"/>
              </w:rPr>
            </w:pPr>
            <w:r w:rsidRPr="00C35766">
              <w:rPr>
                <w:rFonts w:eastAsia="Times New Roman"/>
                <w:b/>
                <w:bCs/>
                <w:lang w:val="it-IT"/>
              </w:rPr>
              <w:t>Non</w:t>
            </w:r>
            <w:r w:rsidRPr="00C35766">
              <w:rPr>
                <w:rFonts w:eastAsia="Times New Roman"/>
                <w:lang w:val="it-IT"/>
              </w:rPr>
              <w:t xml:space="preserve"> riscaldi la siringa pre-riempita utilizzando fonti di calore come acqua calda o microonde.</w:t>
            </w:r>
          </w:p>
        </w:tc>
      </w:tr>
      <w:tr w:rsidR="003B50C6" w:rsidRPr="00494E69" w14:paraId="5D005AD3" w14:textId="77777777" w:rsidTr="00713ADC">
        <w:trPr>
          <w:trHeight w:val="7350"/>
        </w:trPr>
        <w:tc>
          <w:tcPr>
            <w:tcW w:w="9634" w:type="dxa"/>
          </w:tcPr>
          <w:p w14:paraId="7013D8A3" w14:textId="77777777" w:rsidR="003B50C6" w:rsidRPr="00C35766" w:rsidRDefault="003B50C6" w:rsidP="003B50C6">
            <w:pPr>
              <w:ind w:left="224" w:right="1248"/>
              <w:rPr>
                <w:rFonts w:ascii="Times New Roman" w:eastAsia="Times New Roman" w:hAnsi="Times New Roman" w:cs="Times New Roman"/>
                <w:b/>
                <w:bCs/>
                <w:spacing w:val="-1"/>
                <w:lang w:val="pt-BR"/>
              </w:rPr>
            </w:pPr>
          </w:p>
          <w:p w14:paraId="446AD89B" w14:textId="08880C3B" w:rsidR="003B50C6" w:rsidRPr="00C35766" w:rsidRDefault="003B50C6" w:rsidP="003B50C6">
            <w:pPr>
              <w:ind w:right="1248"/>
              <w:rPr>
                <w:rFonts w:ascii="Times New Roman" w:hAnsi="Times New Roman" w:cs="Times New Roman"/>
                <w:lang w:val="pt-BR"/>
              </w:rPr>
            </w:pPr>
            <w:r w:rsidRPr="00C35766">
              <w:rPr>
                <w:rFonts w:ascii="Times New Roman" w:hAnsi="Times New Roman" w:cs="Times New Roman"/>
                <w:noProof/>
                <w:lang w:eastAsia="ko-KR"/>
              </w:rPr>
              <mc:AlternateContent>
                <mc:Choice Requires="wpg">
                  <w:drawing>
                    <wp:anchor distT="0" distB="0" distL="114300" distR="114300" simplePos="0" relativeHeight="251658349" behindDoc="0" locked="0" layoutInCell="1" allowOverlap="1" wp14:anchorId="2F2406AA" wp14:editId="38CEB939">
                      <wp:simplePos x="0" y="0"/>
                      <wp:positionH relativeFrom="column">
                        <wp:posOffset>38100</wp:posOffset>
                      </wp:positionH>
                      <wp:positionV relativeFrom="paragraph">
                        <wp:posOffset>72390</wp:posOffset>
                      </wp:positionV>
                      <wp:extent cx="2199005" cy="4231640"/>
                      <wp:effectExtent l="0" t="0" r="0" b="0"/>
                      <wp:wrapSquare wrapText="bothSides"/>
                      <wp:docPr id="11" name="그룹 11"/>
                      <wp:cNvGraphicFramePr/>
                      <a:graphic xmlns:a="http://schemas.openxmlformats.org/drawingml/2006/main">
                        <a:graphicData uri="http://schemas.microsoft.com/office/word/2010/wordprocessingGroup">
                          <wpg:wgp>
                            <wpg:cNvGrpSpPr/>
                            <wpg:grpSpPr>
                              <a:xfrm>
                                <a:off x="0" y="0"/>
                                <a:ext cx="2199005" cy="4231640"/>
                                <a:chOff x="0" y="0"/>
                                <a:chExt cx="1824658" cy="3219450"/>
                              </a:xfrm>
                            </wpg:grpSpPr>
                            <wpg:grpSp>
                              <wpg:cNvPr id="29" name="그룹 29"/>
                              <wpg:cNvGrpSpPr/>
                              <wpg:grpSpPr>
                                <a:xfrm>
                                  <a:off x="0" y="0"/>
                                  <a:ext cx="1824658" cy="3219450"/>
                                  <a:chOff x="0" y="0"/>
                                  <a:chExt cx="1824658" cy="3219450"/>
                                </a:xfrm>
                              </wpg:grpSpPr>
                              <pic:pic xmlns:pic="http://schemas.openxmlformats.org/drawingml/2006/picture">
                                <pic:nvPicPr>
                                  <pic:cNvPr id="65" name="그림 6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79" name="Text Box 79"/>
                                <wps:cNvSpPr txBox="1"/>
                                <wps:spPr>
                                  <a:xfrm>
                                    <a:off x="1104900" y="3073400"/>
                                    <a:ext cx="719758" cy="146050"/>
                                  </a:xfrm>
                                  <a:prstGeom prst="rect">
                                    <a:avLst/>
                                  </a:prstGeom>
                                  <a:solidFill>
                                    <a:prstClr val="white"/>
                                  </a:solidFill>
                                  <a:ln>
                                    <a:noFill/>
                                  </a:ln>
                                </wps:spPr>
                                <wps:txbx>
                                  <w:txbxContent>
                                    <w:p w14:paraId="412AF8CD" w14:textId="77777777" w:rsidR="00D97785" w:rsidRDefault="00D97785" w:rsidP="003B50C6">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0" name="Text Box 80"/>
                              <wps:cNvSpPr txBox="1"/>
                              <wps:spPr>
                                <a:xfrm>
                                  <a:off x="518160" y="2254250"/>
                                  <a:ext cx="1233377" cy="782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28BF59" w14:textId="77777777" w:rsidR="00D97785" w:rsidRPr="00824699" w:rsidRDefault="00D97785" w:rsidP="003B50C6">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2241980B" w14:textId="77777777" w:rsidR="00D97785" w:rsidRPr="00824699" w:rsidRDefault="00D97785" w:rsidP="003B50C6">
                                    <w:pPr>
                                      <w:rPr>
                                        <w:rFonts w:asciiTheme="majorBidi" w:hAnsiTheme="majorBidi"/>
                                        <w:b/>
                                        <w:sz w:val="6"/>
                                        <w:lang w:val="it-IT"/>
                                      </w:rPr>
                                    </w:pPr>
                                  </w:p>
                                  <w:p w14:paraId="4972A840" w14:textId="77777777" w:rsidR="00D97785" w:rsidRPr="002062B2" w:rsidRDefault="00D97785" w:rsidP="003B50C6">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F2406AA" id="그룹 11" o:spid="_x0000_s1221" style="position:absolute;margin-left:3pt;margin-top:5.7pt;width:173.15pt;height:333.2pt;z-index:251658349;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">
                      <v:group id="그룹 29" o:spid="_x0000_s1222"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그림 65" o:spid="_x0000_s1223"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">
                          <v:imagedata r:id="rId44" o:title=""/>
                        </v:shape>
                        <v:shape id="Text Box 79" o:spid="_x0000_s1224"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14:paraId="412AF8CD" w14:textId="77777777" w:rsidR="00D97785" w:rsidRDefault="00D97785" w:rsidP="003B50C6">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v:textbox>
                        </v:shape>
                      </v:group>
                      <v:shape id="Text Box 80" o:spid="_x0000_s1225" type="#_x0000_t202" style="position:absolute;left:5181;top:22542;width:12334;height:7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" fillcolor="white [3212]" stroked="f" strokeweight=".5pt">
                        <v:textbox inset="0,0,0,0">
                          <w:txbxContent>
                            <w:p w14:paraId="5C28BF59" w14:textId="77777777" w:rsidR="00D97785" w:rsidRPr="00824699" w:rsidRDefault="00D97785" w:rsidP="003B50C6">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2241980B" w14:textId="77777777" w:rsidR="00D97785" w:rsidRPr="00824699" w:rsidRDefault="00D97785" w:rsidP="003B50C6">
                              <w:pPr>
                                <w:rPr>
                                  <w:rFonts w:asciiTheme="majorBidi" w:hAnsiTheme="majorBidi"/>
                                  <w:b/>
                                  <w:sz w:val="6"/>
                                  <w:lang w:val="it-IT"/>
                                </w:rPr>
                              </w:pPr>
                            </w:p>
                            <w:p w14:paraId="4972A840" w14:textId="77777777" w:rsidR="00D97785" w:rsidRPr="002062B2" w:rsidRDefault="00D97785" w:rsidP="003B50C6">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v:textbox>
                      </v:shape>
                      <w10:wrap type="square"/>
                    </v:group>
                  </w:pict>
                </mc:Fallback>
              </mc:AlternateContent>
            </w:r>
          </w:p>
          <w:p w14:paraId="520481A8" w14:textId="1CD09244" w:rsidR="003B50C6" w:rsidRPr="00C35766" w:rsidRDefault="003B50C6" w:rsidP="003B50C6">
            <w:pPr>
              <w:ind w:right="1248"/>
              <w:rPr>
                <w:rFonts w:ascii="Times New Roman" w:hAnsi="Times New Roman" w:cs="Times New Roman"/>
                <w:lang w:val="pt-BR"/>
              </w:rPr>
            </w:pPr>
          </w:p>
          <w:p w14:paraId="11EEF196" w14:textId="77777777" w:rsidR="003B50C6" w:rsidRPr="00C35766" w:rsidRDefault="003B50C6" w:rsidP="003B50C6">
            <w:pPr>
              <w:pStyle w:val="a3"/>
              <w:numPr>
                <w:ilvl w:val="0"/>
                <w:numId w:val="63"/>
              </w:numPr>
              <w:rPr>
                <w:b/>
              </w:rPr>
            </w:pPr>
            <w:r w:rsidRPr="00C35766">
              <w:rPr>
                <w:rFonts w:eastAsia="Times New Roman"/>
                <w:b/>
                <w:bCs/>
                <w:lang w:val="it-IT"/>
              </w:rPr>
              <w:t>Scelga un sito d’iniezione appropriato</w:t>
            </w:r>
          </w:p>
          <w:p w14:paraId="16B6BC05" w14:textId="77777777" w:rsidR="003B50C6" w:rsidRPr="00C35766" w:rsidRDefault="003B50C6" w:rsidP="003B50C6">
            <w:pPr>
              <w:pStyle w:val="a3"/>
            </w:pPr>
          </w:p>
          <w:p w14:paraId="7B57CBF4" w14:textId="77777777" w:rsidR="003B50C6" w:rsidRPr="00C35766" w:rsidRDefault="003B50C6" w:rsidP="003B50C6">
            <w:pPr>
              <w:pStyle w:val="a3"/>
              <w:ind w:left="3847" w:hanging="360"/>
            </w:pPr>
            <w:r w:rsidRPr="00C35766">
              <w:rPr>
                <w:rFonts w:eastAsia="Times New Roman"/>
                <w:b/>
                <w:bCs/>
                <w:lang w:val="it-IT"/>
              </w:rPr>
              <w:t>a.</w:t>
            </w:r>
            <w:r w:rsidRPr="00C35766">
              <w:rPr>
                <w:rFonts w:eastAsia="Times New Roman"/>
                <w:lang w:val="it-IT"/>
              </w:rPr>
              <w:tab/>
              <w:t>Può eseguire l’iniezione:</w:t>
            </w:r>
          </w:p>
          <w:p w14:paraId="72383C0F" w14:textId="26A2B51F" w:rsidR="003B50C6" w:rsidRPr="00C35766" w:rsidRDefault="003B50C6" w:rsidP="003B50C6">
            <w:pPr>
              <w:pStyle w:val="a3"/>
              <w:ind w:left="4297" w:hanging="450"/>
              <w:rPr>
                <w:lang w:val="es-ES"/>
              </w:rPr>
            </w:pPr>
            <w:r w:rsidRPr="00C35766">
              <w:rPr>
                <w:rFonts w:eastAsia="Times New Roman"/>
                <w:lang w:val="it-IT"/>
              </w:rPr>
              <w:t xml:space="preserve"> - </w:t>
            </w:r>
            <w:r w:rsidRPr="00C35766">
              <w:rPr>
                <w:rFonts w:eastAsia="Times New Roman"/>
                <w:lang w:val="it-IT"/>
              </w:rPr>
              <w:tab/>
              <w:t>nella parte anteriore della coscia</w:t>
            </w:r>
          </w:p>
          <w:p w14:paraId="7265055B" w14:textId="4B0B2221" w:rsidR="003B50C6" w:rsidRPr="00C35766" w:rsidRDefault="003B50C6" w:rsidP="003B50C6">
            <w:pPr>
              <w:pStyle w:val="a3"/>
              <w:ind w:left="4297" w:hanging="450"/>
              <w:rPr>
                <w:lang w:val="es-ES"/>
              </w:rPr>
            </w:pPr>
            <w:r w:rsidRPr="00C35766">
              <w:rPr>
                <w:rFonts w:eastAsia="Times New Roman"/>
                <w:lang w:val="it-IT"/>
              </w:rPr>
              <w:t xml:space="preserve"> - </w:t>
            </w:r>
            <w:r w:rsidRPr="00C35766">
              <w:rPr>
                <w:rFonts w:eastAsia="Times New Roman"/>
                <w:lang w:val="it-IT"/>
              </w:rPr>
              <w:tab/>
              <w:t>nell’addome, ad eccezione dell'area di 5 cm intorno  all'ombelico</w:t>
            </w:r>
          </w:p>
          <w:p w14:paraId="288B6248" w14:textId="77777777" w:rsidR="003B50C6" w:rsidRPr="00C35766" w:rsidRDefault="003B50C6" w:rsidP="003B50C6">
            <w:pPr>
              <w:pStyle w:val="a3"/>
              <w:ind w:left="4297" w:hanging="450"/>
              <w:rPr>
                <w:lang w:val="es-ES"/>
              </w:rPr>
            </w:pPr>
            <w:r w:rsidRPr="00C35766">
              <w:rPr>
                <w:rFonts w:eastAsia="Times New Roman"/>
                <w:lang w:val="it-IT"/>
              </w:rPr>
              <w:t xml:space="preserve"> - </w:t>
            </w:r>
            <w:r w:rsidRPr="00C35766">
              <w:rPr>
                <w:rFonts w:eastAsia="Times New Roman"/>
                <w:lang w:val="it-IT"/>
              </w:rPr>
              <w:tab/>
              <w:t xml:space="preserve">nella zona esterna della parte superiore del braccio (SOLO se Lei è una  persona che assiste il paziente). </w:t>
            </w:r>
          </w:p>
          <w:p w14:paraId="06461F21" w14:textId="77777777" w:rsidR="003B50C6" w:rsidRPr="00C35766" w:rsidRDefault="003B50C6" w:rsidP="003B50C6">
            <w:pPr>
              <w:pStyle w:val="a3"/>
              <w:ind w:left="4297" w:hanging="450"/>
              <w:rPr>
                <w:lang w:val="es-ES"/>
              </w:rPr>
            </w:pPr>
          </w:p>
          <w:p w14:paraId="4B24E697" w14:textId="77777777" w:rsidR="003B50C6" w:rsidRPr="00C35766" w:rsidRDefault="003B50C6" w:rsidP="003B50C6">
            <w:pPr>
              <w:pStyle w:val="a3"/>
              <w:numPr>
                <w:ilvl w:val="0"/>
                <w:numId w:val="17"/>
              </w:numPr>
              <w:ind w:left="4297" w:hanging="450"/>
              <w:rPr>
                <w:lang w:val="es-ES"/>
              </w:rPr>
            </w:pPr>
            <w:r w:rsidRPr="00C35766">
              <w:rPr>
                <w:b/>
                <w:bCs/>
                <w:lang w:val="es-ES"/>
              </w:rPr>
              <w:t>Non</w:t>
            </w:r>
            <w:r w:rsidRPr="00C35766">
              <w:rPr>
                <w:lang w:val="es-ES"/>
              </w:rPr>
              <w:t xml:space="preserve"> esegua </w:t>
            </w:r>
            <w:r w:rsidRPr="00C35766">
              <w:rPr>
                <w:rFonts w:eastAsia="Times New Roman"/>
                <w:lang w:val="it-IT"/>
              </w:rPr>
              <w:t>l’iniezione</w:t>
            </w:r>
            <w:r w:rsidRPr="00C35766">
              <w:rPr>
                <w:lang w:val="es-ES"/>
              </w:rPr>
              <w:t xml:space="preserve"> in aree cutanee entro 5 cm </w:t>
            </w:r>
            <w:r w:rsidRPr="00C35766">
              <w:rPr>
                <w:rFonts w:eastAsia="Times New Roman"/>
                <w:lang w:val="it-IT"/>
              </w:rPr>
              <w:t xml:space="preserve"> dal Suo ombelico o in un’area arrossata, dura, dolorante, danneggiata, livida, o  che presenta cicatrici. </w:t>
            </w:r>
          </w:p>
          <w:p w14:paraId="61AF1222" w14:textId="77777777" w:rsidR="003B50C6" w:rsidRPr="00C35766" w:rsidRDefault="003B50C6" w:rsidP="003B50C6">
            <w:pPr>
              <w:pStyle w:val="a3"/>
              <w:numPr>
                <w:ilvl w:val="0"/>
                <w:numId w:val="17"/>
              </w:numPr>
              <w:ind w:left="4297" w:hanging="450"/>
              <w:rPr>
                <w:lang w:val="es-ES"/>
              </w:rPr>
            </w:pPr>
            <w:r w:rsidRPr="00C35766">
              <w:rPr>
                <w:rFonts w:eastAsia="Times New Roman"/>
                <w:lang w:val="it-IT"/>
              </w:rPr>
              <w:t xml:space="preserve">Se ha la psoriasi, </w:t>
            </w:r>
            <w:r w:rsidRPr="00C35766">
              <w:rPr>
                <w:rFonts w:eastAsia="Times New Roman"/>
                <w:b/>
                <w:bCs/>
                <w:lang w:val="it-IT"/>
              </w:rPr>
              <w:t>non</w:t>
            </w:r>
            <w:r w:rsidRPr="00C35766">
              <w:rPr>
                <w:rFonts w:eastAsia="Times New Roman"/>
                <w:lang w:val="it-IT"/>
              </w:rPr>
              <w:t xml:space="preserve"> esegua l’iniezione su nessuna macchia in rilievo,  ispessita, arrossata o squamosa né su nessuna lesione cutanea. </w:t>
            </w:r>
          </w:p>
          <w:p w14:paraId="1457960B" w14:textId="77777777" w:rsidR="003B50C6" w:rsidRPr="00C35766" w:rsidRDefault="003B50C6" w:rsidP="003B50C6">
            <w:pPr>
              <w:pStyle w:val="a3"/>
              <w:numPr>
                <w:ilvl w:val="0"/>
                <w:numId w:val="17"/>
              </w:numPr>
              <w:ind w:left="4297" w:hanging="450"/>
              <w:rPr>
                <w:lang w:val="fr-FR"/>
              </w:rPr>
            </w:pPr>
            <w:r w:rsidRPr="00C35766">
              <w:rPr>
                <w:rFonts w:eastAsia="Times New Roman"/>
                <w:b/>
                <w:bCs/>
                <w:lang w:val="it-IT"/>
              </w:rPr>
              <w:t xml:space="preserve">Non </w:t>
            </w:r>
            <w:r w:rsidRPr="00C35766">
              <w:rPr>
                <w:rFonts w:eastAsia="Times New Roman"/>
                <w:lang w:val="it-IT"/>
              </w:rPr>
              <w:t>esegua l’iniezione attraverso gli indumenti.</w:t>
            </w:r>
          </w:p>
          <w:p w14:paraId="7F23E8DA" w14:textId="77777777" w:rsidR="003B50C6" w:rsidRPr="00C35766" w:rsidRDefault="003B50C6" w:rsidP="003B50C6">
            <w:pPr>
              <w:pStyle w:val="a3"/>
              <w:rPr>
                <w:lang w:val="fr-FR"/>
              </w:rPr>
            </w:pPr>
          </w:p>
          <w:p w14:paraId="346D37BF" w14:textId="1FA8F0A1" w:rsidR="003B50C6" w:rsidRPr="00BD232C" w:rsidRDefault="003B50C6" w:rsidP="003B50C6">
            <w:pPr>
              <w:ind w:right="1248"/>
              <w:rPr>
                <w:rFonts w:ascii="Times New Roman" w:eastAsia="Times New Roman" w:hAnsi="Times New Roman" w:cs="Times New Roman"/>
                <w:b/>
                <w:bCs/>
                <w:spacing w:val="-1"/>
              </w:rPr>
            </w:pPr>
            <w:r w:rsidRPr="00C35766">
              <w:rPr>
                <w:rFonts w:ascii="Times New Roman" w:eastAsia="Times New Roman" w:hAnsi="Times New Roman" w:cs="Times New Roman"/>
                <w:b/>
                <w:bCs/>
                <w:lang w:val="it-IT"/>
              </w:rPr>
              <w:t>b.</w:t>
            </w:r>
            <w:r w:rsidRPr="00C35766">
              <w:rPr>
                <w:rFonts w:ascii="Times New Roman" w:eastAsia="Times New Roman" w:hAnsi="Times New Roman" w:cs="Times New Roman"/>
                <w:lang w:val="it-IT"/>
              </w:rPr>
              <w:t xml:space="preserve"> </w:t>
            </w:r>
            <w:r w:rsidRPr="00C35766">
              <w:rPr>
                <w:rFonts w:ascii="Times New Roman" w:eastAsia="Times New Roman" w:hAnsi="Times New Roman" w:cs="Times New Roman"/>
                <w:lang w:val="it-IT"/>
              </w:rPr>
              <w:tab/>
              <w:t>Esegua una rotazione del sito d’iniezione ogni volta che somministra un iniezione. Ogni nuovo sito d’iniezione deve essere ad almeno 3 cm di distanza dal sito d’iniezione utilizzato in precedenza.</w:t>
            </w:r>
          </w:p>
        </w:tc>
      </w:tr>
    </w:tbl>
    <w:tbl>
      <w:tblPr>
        <w:tblStyle w:val="ac"/>
        <w:tblW w:w="0" w:type="auto"/>
        <w:tblLook w:val="04A0" w:firstRow="1" w:lastRow="0" w:firstColumn="1" w:lastColumn="0" w:noHBand="0" w:noVBand="1"/>
      </w:tblPr>
      <w:tblGrid>
        <w:gridCol w:w="9550"/>
      </w:tblGrid>
      <w:tr w:rsidR="0050099E" w:rsidRPr="006501B3" w14:paraId="67DFC328" w14:textId="77777777" w:rsidTr="00713ADC">
        <w:trPr>
          <w:trHeight w:val="5522"/>
        </w:trPr>
        <w:tc>
          <w:tcPr>
            <w:tcW w:w="9550" w:type="dxa"/>
          </w:tcPr>
          <w:p w14:paraId="49C9D8F8" w14:textId="77777777" w:rsidR="0050099E" w:rsidRPr="00BD232C" w:rsidRDefault="0050099E" w:rsidP="00933A6C">
            <w:pPr>
              <w:pStyle w:val="1"/>
              <w:spacing w:before="76"/>
              <w:ind w:left="0" w:right="2736"/>
              <w:rPr>
                <w:rFonts w:eastAsiaTheme="minorEastAsia" w:cs="Times New Roman"/>
                <w:lang w:eastAsia="ko-KR"/>
              </w:rPr>
            </w:pPr>
          </w:p>
          <w:p w14:paraId="5F958E70" w14:textId="77777777" w:rsidR="0050099E" w:rsidRPr="00BD232C" w:rsidRDefault="0050099E" w:rsidP="00933A6C">
            <w:pPr>
              <w:pStyle w:val="1"/>
              <w:spacing w:before="76"/>
              <w:ind w:left="0" w:right="2736"/>
              <w:rPr>
                <w:rFonts w:eastAsiaTheme="minorEastAsia" w:cs="Times New Roman"/>
                <w:lang w:eastAsia="ko-KR"/>
              </w:rPr>
            </w:pPr>
            <w:r w:rsidRPr="00C35766">
              <w:rPr>
                <w:rFonts w:eastAsiaTheme="minorEastAsia" w:cs="Times New Roman"/>
                <w:noProof/>
                <w:lang w:eastAsia="ko-KR"/>
              </w:rPr>
              <mc:AlternateContent>
                <mc:Choice Requires="wpg">
                  <w:drawing>
                    <wp:anchor distT="0" distB="0" distL="114300" distR="114300" simplePos="0" relativeHeight="251658310" behindDoc="0" locked="0" layoutInCell="1" allowOverlap="1" wp14:anchorId="4468107A" wp14:editId="6DA496FF">
                      <wp:simplePos x="0" y="0"/>
                      <wp:positionH relativeFrom="column">
                        <wp:posOffset>-20955</wp:posOffset>
                      </wp:positionH>
                      <wp:positionV relativeFrom="paragraph">
                        <wp:posOffset>100330</wp:posOffset>
                      </wp:positionV>
                      <wp:extent cx="2407920" cy="3092450"/>
                      <wp:effectExtent l="0" t="0" r="0" b="0"/>
                      <wp:wrapSquare wrapText="bothSides"/>
                      <wp:docPr id="155" name="그룹 155"/>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56" name="그림 15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57" name="Text Box 157"/>
                              <wps:cNvSpPr txBox="1"/>
                              <wps:spPr>
                                <a:xfrm>
                                  <a:off x="1670050" y="2946400"/>
                                  <a:ext cx="719758" cy="146050"/>
                                </a:xfrm>
                                <a:prstGeom prst="rect">
                                  <a:avLst/>
                                </a:prstGeom>
                                <a:solidFill>
                                  <a:prstClr val="white"/>
                                </a:solidFill>
                                <a:ln>
                                  <a:noFill/>
                                </a:ln>
                              </wps:spPr>
                              <wps:txbx>
                                <w:txbxContent>
                                  <w:p w14:paraId="3180E9A3"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68107A" id="그룹 155" o:spid="_x0000_s1226" style="position:absolute;margin-left:-1.65pt;margin-top:7.9pt;width:189.6pt;height:243.5pt;z-index:251658310"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">
                      <v:shape id="그림 156" o:spid="_x0000_s122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">
                        <v:imagedata r:id="rId46" o:title=""/>
                      </v:shape>
                      <v:shape id="Text Box 157" o:spid="_x0000_s1228"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" stroked="f">
                        <v:textbox style="mso-fit-shape-to-text:t" inset="0,0,0,0">
                          <w:txbxContent>
                            <w:p w14:paraId="3180E9A3"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v:textbox>
                      </v:shape>
                      <w10:wrap type="square"/>
                    </v:group>
                  </w:pict>
                </mc:Fallback>
              </mc:AlternateContent>
            </w:r>
          </w:p>
          <w:p w14:paraId="0786518E" w14:textId="77777777" w:rsidR="0050099E" w:rsidRPr="00C35766" w:rsidRDefault="0050099E" w:rsidP="00933A6C">
            <w:pPr>
              <w:pStyle w:val="a3"/>
              <w:numPr>
                <w:ilvl w:val="0"/>
                <w:numId w:val="63"/>
              </w:numPr>
            </w:pPr>
            <w:r w:rsidRPr="00C35766">
              <w:rPr>
                <w:rFonts w:eastAsia="Times New Roman"/>
                <w:b/>
                <w:bCs/>
                <w:lang w:val="it-IT"/>
              </w:rPr>
              <w:t>Si lavi le mani.</w:t>
            </w:r>
          </w:p>
          <w:p w14:paraId="46F37985" w14:textId="77777777" w:rsidR="0050099E" w:rsidRPr="00C35766" w:rsidRDefault="0050099E" w:rsidP="00933A6C">
            <w:pPr>
              <w:pStyle w:val="a3"/>
              <w:numPr>
                <w:ilvl w:val="0"/>
                <w:numId w:val="0"/>
              </w:numPr>
              <w:ind w:left="471"/>
            </w:pPr>
          </w:p>
          <w:p w14:paraId="0589C15B" w14:textId="77777777" w:rsidR="0050099E" w:rsidRPr="00C35766" w:rsidRDefault="0050099E" w:rsidP="00933A6C">
            <w:pPr>
              <w:pStyle w:val="a3"/>
              <w:ind w:left="465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 xml:space="preserve">Si lavi le mani con acqua e sapone e le asciughi  accuratamente. </w:t>
            </w:r>
          </w:p>
          <w:p w14:paraId="10CB71F7" w14:textId="77777777" w:rsidR="0050099E" w:rsidRPr="00C35766" w:rsidRDefault="0050099E" w:rsidP="00933A6C">
            <w:pPr>
              <w:spacing w:line="252" w:lineRule="exact"/>
              <w:rPr>
                <w:rFonts w:ascii="Times New Roman" w:hAnsi="Times New Roman" w:cs="Times New Roman"/>
                <w:lang w:val="es-ES"/>
              </w:rPr>
            </w:pPr>
          </w:p>
        </w:tc>
      </w:tr>
      <w:tr w:rsidR="0050099E" w:rsidRPr="006501B3" w14:paraId="532C598A" w14:textId="77777777" w:rsidTr="00933A6C">
        <w:trPr>
          <w:trHeight w:val="5945"/>
        </w:trPr>
        <w:tc>
          <w:tcPr>
            <w:tcW w:w="9550" w:type="dxa"/>
          </w:tcPr>
          <w:p w14:paraId="0E4EB8BD" w14:textId="77777777" w:rsidR="0050099E" w:rsidRPr="00C35766" w:rsidRDefault="0050099E" w:rsidP="00933A6C">
            <w:pPr>
              <w:ind w:left="104"/>
              <w:rPr>
                <w:rFonts w:ascii="Times New Roman" w:eastAsia="Times New Roman" w:hAnsi="Times New Roman" w:cs="Times New Roman"/>
                <w:b/>
                <w:bCs/>
                <w:spacing w:val="-1"/>
                <w:lang w:val="es-ES"/>
              </w:rPr>
            </w:pPr>
          </w:p>
          <w:p w14:paraId="324909F4" w14:textId="5285BFB7" w:rsidR="0050099E" w:rsidRPr="00C35766" w:rsidRDefault="00713ADC" w:rsidP="00933A6C">
            <w:pPr>
              <w:pStyle w:val="a3"/>
              <w:rPr>
                <w:lang w:val="es-ES"/>
              </w:rPr>
            </w:pPr>
            <w:r w:rsidRPr="00C35766">
              <w:rPr>
                <w:noProof/>
                <w:lang w:eastAsia="ko-KR"/>
              </w:rPr>
              <mc:AlternateContent>
                <mc:Choice Requires="wpg">
                  <w:drawing>
                    <wp:anchor distT="0" distB="0" distL="114300" distR="114300" simplePos="0" relativeHeight="251658311" behindDoc="0" locked="0" layoutInCell="1" allowOverlap="1" wp14:anchorId="0F7F8EB9" wp14:editId="5E41A5ED">
                      <wp:simplePos x="0" y="0"/>
                      <wp:positionH relativeFrom="column">
                        <wp:posOffset>74295</wp:posOffset>
                      </wp:positionH>
                      <wp:positionV relativeFrom="paragraph">
                        <wp:posOffset>65804</wp:posOffset>
                      </wp:positionV>
                      <wp:extent cx="2256458" cy="2921000"/>
                      <wp:effectExtent l="0" t="0" r="0" b="0"/>
                      <wp:wrapSquare wrapText="bothSides"/>
                      <wp:docPr id="158" name="그룹 158"/>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59" name="그림 15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61" name="Text Box 161"/>
                              <wps:cNvSpPr txBox="1"/>
                              <wps:spPr>
                                <a:xfrm>
                                  <a:off x="1536700" y="2774950"/>
                                  <a:ext cx="719758" cy="146050"/>
                                </a:xfrm>
                                <a:prstGeom prst="rect">
                                  <a:avLst/>
                                </a:prstGeom>
                                <a:solidFill>
                                  <a:prstClr val="white"/>
                                </a:solidFill>
                                <a:ln>
                                  <a:noFill/>
                                </a:ln>
                              </wps:spPr>
                              <wps:txbx>
                                <w:txbxContent>
                                  <w:p w14:paraId="616B263D"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7F8EB9" id="그룹 158" o:spid="_x0000_s1229" style="position:absolute;margin-left:5.85pt;margin-top:5.2pt;width:177.65pt;height:230pt;z-index:251658311"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">
                      <v:shape id="그림 159" o:spid="_x0000_s1230"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">
                        <v:imagedata r:id="rId48" o:title=""/>
                      </v:shape>
                      <v:shape id="Text Box 161" o:spid="_x0000_s1231"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" stroked="f">
                        <v:textbox style="mso-fit-shape-to-text:t" inset="0,0,0,0">
                          <w:txbxContent>
                            <w:p w14:paraId="616B263D"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v:textbox>
                      </v:shape>
                      <w10:wrap type="square"/>
                    </v:group>
                  </w:pict>
                </mc:Fallback>
              </mc:AlternateContent>
            </w:r>
          </w:p>
          <w:p w14:paraId="370F9D20" w14:textId="77777777" w:rsidR="0050099E" w:rsidRPr="00C35766" w:rsidRDefault="0050099E" w:rsidP="00933A6C">
            <w:pPr>
              <w:pStyle w:val="a3"/>
              <w:numPr>
                <w:ilvl w:val="0"/>
                <w:numId w:val="63"/>
              </w:numPr>
              <w:rPr>
                <w:b/>
              </w:rPr>
            </w:pPr>
            <w:r w:rsidRPr="00C35766">
              <w:rPr>
                <w:rFonts w:eastAsia="Times New Roman"/>
                <w:b/>
                <w:bCs/>
                <w:lang w:val="it-IT"/>
              </w:rPr>
              <w:t>Pulisca il sito d’iniezione</w:t>
            </w:r>
          </w:p>
          <w:p w14:paraId="6D0B930A" w14:textId="77777777" w:rsidR="0050099E" w:rsidRPr="00C35766" w:rsidRDefault="0050099E" w:rsidP="00933A6C">
            <w:pPr>
              <w:pStyle w:val="a3"/>
            </w:pPr>
          </w:p>
          <w:p w14:paraId="7014CC3C" w14:textId="77777777" w:rsidR="0050099E" w:rsidRPr="00C35766" w:rsidRDefault="0050099E" w:rsidP="00933A6C">
            <w:pPr>
              <w:pStyle w:val="a3"/>
              <w:ind w:left="456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Pulisca il sito d’iniezione con un tampone imbevuto di alcol eseguendo un movimento circolare.</w:t>
            </w:r>
          </w:p>
          <w:p w14:paraId="68EBFF53" w14:textId="77777777" w:rsidR="0050099E" w:rsidRPr="00C35766" w:rsidRDefault="0050099E" w:rsidP="00933A6C">
            <w:pPr>
              <w:pStyle w:val="a3"/>
              <w:ind w:left="4567" w:hanging="360"/>
              <w:rPr>
                <w:lang w:val="es-ES"/>
              </w:rPr>
            </w:pPr>
            <w:r w:rsidRPr="00C35766">
              <w:rPr>
                <w:rFonts w:eastAsia="Times New Roman"/>
                <w:b/>
                <w:bCs/>
                <w:lang w:val="it-IT"/>
              </w:rPr>
              <w:t>b.</w:t>
            </w:r>
            <w:r w:rsidRPr="00C35766">
              <w:rPr>
                <w:rFonts w:eastAsia="Times New Roman"/>
                <w:lang w:val="it-IT"/>
              </w:rPr>
              <w:t xml:space="preserve"> </w:t>
            </w:r>
            <w:r w:rsidRPr="00C35766">
              <w:rPr>
                <w:rFonts w:eastAsia="Times New Roman"/>
                <w:lang w:val="it-IT"/>
              </w:rPr>
              <w:tab/>
              <w:t>Lasci asciugare la pelle prima dell’iniezione.</w:t>
            </w:r>
          </w:p>
          <w:p w14:paraId="40AEF1C9" w14:textId="77777777" w:rsidR="0050099E" w:rsidRPr="00C35766" w:rsidRDefault="0050099E" w:rsidP="00933A6C">
            <w:pPr>
              <w:pStyle w:val="a3"/>
              <w:rPr>
                <w:lang w:val="es-ES"/>
              </w:rPr>
            </w:pPr>
          </w:p>
          <w:p w14:paraId="127E95AC" w14:textId="77777777" w:rsidR="0050099E" w:rsidRPr="00C35766" w:rsidRDefault="0050099E" w:rsidP="00933A6C">
            <w:pPr>
              <w:pStyle w:val="a3"/>
              <w:rPr>
                <w:lang w:val="es-ES"/>
              </w:rPr>
            </w:pPr>
          </w:p>
          <w:p w14:paraId="1D409F4F" w14:textId="77777777" w:rsidR="0050099E" w:rsidRPr="00C35766" w:rsidRDefault="0050099E" w:rsidP="00933A6C">
            <w:pPr>
              <w:ind w:left="4117" w:hanging="4117"/>
              <w:rPr>
                <w:rFonts w:ascii="Times New Roman" w:hAnsi="Times New Roman" w:cs="Times New Roman"/>
                <w:lang w:val="it-IT"/>
              </w:rPr>
            </w:pPr>
            <w:r w:rsidRPr="00C35766">
              <w:rPr>
                <w:rFonts w:ascii="Times New Roman" w:eastAsia="맑은 고딕" w:hAnsi="Times New Roman" w:cs="Times New Roman"/>
                <w:lang w:val="it-IT"/>
              </w:rPr>
              <w:t>•</w:t>
            </w:r>
            <w:r w:rsidRPr="00C35766">
              <w:rPr>
                <w:rFonts w:ascii="Times New Roman" w:eastAsia="Calibri" w:hAnsi="Times New Roman" w:cs="Times New Roman"/>
                <w:lang w:val="it-IT"/>
              </w:rPr>
              <w:tab/>
            </w:r>
            <w:r w:rsidRPr="00C35766">
              <w:rPr>
                <w:rFonts w:ascii="Times New Roman" w:eastAsia="Times New Roman" w:hAnsi="Times New Roman" w:cs="Times New Roman"/>
                <w:b/>
                <w:bCs/>
                <w:lang w:val="it-IT"/>
              </w:rPr>
              <w:t>Non</w:t>
            </w:r>
            <w:r w:rsidRPr="00C35766">
              <w:rPr>
                <w:rFonts w:ascii="Times New Roman" w:eastAsia="Times New Roman" w:hAnsi="Times New Roman" w:cs="Times New Roman"/>
                <w:lang w:val="it-IT"/>
              </w:rPr>
              <w:t xml:space="preserve"> soffi sul sito d’iniezione né lo tocchi nuovamente prima di eseguire l’iniezione.</w:t>
            </w:r>
          </w:p>
        </w:tc>
      </w:tr>
    </w:tbl>
    <w:p w14:paraId="6773D3AE" w14:textId="77777777" w:rsidR="0050099E" w:rsidRPr="00C35766" w:rsidRDefault="0050099E" w:rsidP="0050099E">
      <w:pPr>
        <w:spacing w:line="252" w:lineRule="exact"/>
        <w:rPr>
          <w:rFonts w:ascii="Times New Roman" w:hAnsi="Times New Roman" w:cs="Times New Roman"/>
          <w:lang w:val="it-IT"/>
        </w:rPr>
      </w:pPr>
    </w:p>
    <w:p w14:paraId="618C9E2A" w14:textId="77777777" w:rsidR="0050099E" w:rsidRPr="00C35766" w:rsidRDefault="0050099E" w:rsidP="0050099E">
      <w:pPr>
        <w:spacing w:before="9" w:line="110" w:lineRule="exact"/>
        <w:rPr>
          <w:rFonts w:ascii="Times New Roman" w:hAnsi="Times New Roman" w:cs="Times New Roman"/>
          <w:sz w:val="20"/>
          <w:lang w:val="it-IT"/>
        </w:rPr>
      </w:pPr>
    </w:p>
    <w:tbl>
      <w:tblPr>
        <w:tblStyle w:val="ac"/>
        <w:tblW w:w="0" w:type="auto"/>
        <w:tblLook w:val="04A0" w:firstRow="1" w:lastRow="0" w:firstColumn="1" w:lastColumn="0" w:noHBand="0" w:noVBand="1"/>
      </w:tblPr>
      <w:tblGrid>
        <w:gridCol w:w="9209"/>
      </w:tblGrid>
      <w:tr w:rsidR="0050099E" w:rsidRPr="00494E69" w14:paraId="53F50B1C" w14:textId="77777777" w:rsidTr="00933A6C">
        <w:trPr>
          <w:trHeight w:val="5669"/>
        </w:trPr>
        <w:tc>
          <w:tcPr>
            <w:tcW w:w="9209" w:type="dxa"/>
          </w:tcPr>
          <w:p w14:paraId="6A9C96EF" w14:textId="77777777" w:rsidR="0050099E" w:rsidRPr="00C35766" w:rsidRDefault="0050099E" w:rsidP="00933A6C">
            <w:pPr>
              <w:ind w:left="104"/>
              <w:rPr>
                <w:rFonts w:ascii="Times New Roman" w:hAnsi="Times New Roman" w:cs="Times New Roman"/>
                <w:b/>
                <w:spacing w:val="-1"/>
                <w:lang w:val="it-IT"/>
              </w:rPr>
            </w:pPr>
          </w:p>
          <w:p w14:paraId="14573B53" w14:textId="77777777" w:rsidR="0050099E" w:rsidRPr="00C35766" w:rsidRDefault="0050099E" w:rsidP="00933A6C">
            <w:pPr>
              <w:pStyle w:val="Default"/>
              <w:rPr>
                <w:rFonts w:ascii="Times New Roman" w:hAnsi="Times New Roman" w:cs="Times New Roman"/>
                <w:lang w:val="it-IT"/>
              </w:rPr>
            </w:pPr>
          </w:p>
          <w:p w14:paraId="718B933A" w14:textId="77777777" w:rsidR="0050099E" w:rsidRPr="00C35766" w:rsidRDefault="0050099E" w:rsidP="00933A6C">
            <w:pPr>
              <w:pStyle w:val="Default"/>
              <w:rPr>
                <w:rFonts w:ascii="Times New Roman" w:hAnsi="Times New Roman" w:cs="Times New Roman"/>
                <w:lang w:val="it-IT"/>
              </w:rPr>
            </w:pPr>
            <w:r w:rsidRPr="00C35766">
              <w:rPr>
                <w:rFonts w:ascii="Times New Roman" w:hAnsi="Times New Roman" w:cs="Times New Roman"/>
                <w:noProof/>
                <w:lang w:eastAsia="ko-KR"/>
              </w:rPr>
              <mc:AlternateContent>
                <mc:Choice Requires="wpg">
                  <w:drawing>
                    <wp:anchor distT="0" distB="0" distL="114300" distR="114300" simplePos="0" relativeHeight="251658312" behindDoc="0" locked="0" layoutInCell="1" allowOverlap="1" wp14:anchorId="42CC3A62" wp14:editId="17876784">
                      <wp:simplePos x="0" y="0"/>
                      <wp:positionH relativeFrom="column">
                        <wp:posOffset>48895</wp:posOffset>
                      </wp:positionH>
                      <wp:positionV relativeFrom="paragraph">
                        <wp:posOffset>76835</wp:posOffset>
                      </wp:positionV>
                      <wp:extent cx="2370455" cy="3054350"/>
                      <wp:effectExtent l="0" t="0" r="0" b="0"/>
                      <wp:wrapSquare wrapText="bothSides"/>
                      <wp:docPr id="162" name="그룹 162"/>
                      <wp:cNvGraphicFramePr/>
                      <a:graphic xmlns:a="http://schemas.openxmlformats.org/drawingml/2006/main">
                        <a:graphicData uri="http://schemas.microsoft.com/office/word/2010/wordprocessingGroup">
                          <wpg:wgp>
                            <wpg:cNvGrpSpPr/>
                            <wpg:grpSpPr>
                              <a:xfrm>
                                <a:off x="0" y="0"/>
                                <a:ext cx="2359824" cy="3054350"/>
                                <a:chOff x="5315" y="0"/>
                                <a:chExt cx="2359824" cy="3054350"/>
                              </a:xfrm>
                            </wpg:grpSpPr>
                            <pic:pic xmlns:pic="http://schemas.openxmlformats.org/drawingml/2006/picture">
                              <pic:nvPicPr>
                                <pic:cNvPr id="163" name="그림 163"/>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bwMode="auto">
                                <a:xfrm>
                                  <a:off x="5315" y="0"/>
                                  <a:ext cx="2359824" cy="2907030"/>
                                </a:xfrm>
                                <a:prstGeom prst="rect">
                                  <a:avLst/>
                                </a:prstGeom>
                                <a:noFill/>
                                <a:ln>
                                  <a:noFill/>
                                </a:ln>
                              </pic:spPr>
                            </pic:pic>
                            <wps:wsp>
                              <wps:cNvPr id="164" name="Text Box 164"/>
                              <wps:cNvSpPr txBox="1"/>
                              <wps:spPr>
                                <a:xfrm>
                                  <a:off x="1612900" y="2908300"/>
                                  <a:ext cx="719758" cy="146050"/>
                                </a:xfrm>
                                <a:prstGeom prst="rect">
                                  <a:avLst/>
                                </a:prstGeom>
                                <a:solidFill>
                                  <a:prstClr val="white"/>
                                </a:solidFill>
                                <a:ln>
                                  <a:noFill/>
                                </a:ln>
                              </wps:spPr>
                              <wps:txbx>
                                <w:txbxContent>
                                  <w:p w14:paraId="2B2308B0"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CC3A62" id="그룹 162" o:spid="_x0000_s1232" style="position:absolute;margin-left:3.85pt;margin-top:6.05pt;width:186.65pt;height:240.5pt;z-index:251658312" coordorigin="53" coordsize="23598,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">
                      <v:shape id="그림 163" o:spid="_x0000_s1233" type="#_x0000_t75" style="position:absolute;left:53;width:23598;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">
                        <v:imagedata r:id="rId110" o:title=""/>
                      </v:shape>
                      <v:shape id="Text Box 164" o:spid="_x0000_s1234"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" stroked="f">
                        <v:textbox style="mso-fit-shape-to-text:t" inset="0,0,0,0">
                          <w:txbxContent>
                            <w:p w14:paraId="2B2308B0"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v:textbox>
                      </v:shape>
                      <w10:wrap type="square"/>
                    </v:group>
                  </w:pict>
                </mc:Fallback>
              </mc:AlternateContent>
            </w:r>
          </w:p>
          <w:p w14:paraId="129BFB21" w14:textId="77777777" w:rsidR="0050099E" w:rsidRPr="00C35766" w:rsidRDefault="0050099E" w:rsidP="00933A6C">
            <w:pPr>
              <w:pStyle w:val="a3"/>
              <w:numPr>
                <w:ilvl w:val="0"/>
                <w:numId w:val="63"/>
              </w:numPr>
            </w:pPr>
            <w:r w:rsidRPr="00C35766">
              <w:rPr>
                <w:rFonts w:eastAsia="Times New Roman"/>
                <w:b/>
                <w:bCs/>
                <w:lang w:val="it-IT"/>
              </w:rPr>
              <w:t>Rimuova il cappuccio</w:t>
            </w:r>
          </w:p>
          <w:p w14:paraId="04FDD990" w14:textId="77777777" w:rsidR="0050099E" w:rsidRPr="00C35766" w:rsidRDefault="0050099E" w:rsidP="00933A6C">
            <w:pPr>
              <w:pStyle w:val="a3"/>
              <w:numPr>
                <w:ilvl w:val="0"/>
                <w:numId w:val="0"/>
              </w:numPr>
              <w:ind w:left="471"/>
            </w:pPr>
          </w:p>
          <w:p w14:paraId="1990221C" w14:textId="77777777" w:rsidR="0050099E" w:rsidRPr="00C35766" w:rsidRDefault="0050099E" w:rsidP="00933A6C">
            <w:pPr>
              <w:pStyle w:val="a3"/>
              <w:ind w:left="4657" w:hanging="360"/>
            </w:pPr>
            <w:r w:rsidRPr="00C35766">
              <w:rPr>
                <w:rFonts w:eastAsia="Times New Roman"/>
                <w:b/>
                <w:bCs/>
                <w:lang w:val="it-IT"/>
              </w:rPr>
              <w:t>a</w:t>
            </w:r>
            <w:r w:rsidRPr="00C35766">
              <w:rPr>
                <w:rFonts w:eastAsia="Times New Roman"/>
                <w:lang w:val="it-IT"/>
              </w:rPr>
              <w:t>.</w:t>
            </w:r>
            <w:r w:rsidRPr="00C35766">
              <w:rPr>
                <w:rFonts w:eastAsia="Times New Roman"/>
                <w:lang w:val="it-IT"/>
              </w:rPr>
              <w:tab/>
              <w:t xml:space="preserve">Rimuova il cappuccio tenendo il corpo della siringa pre-riempita con una mano. Tiri delicatamente il cappuccio con l'altra mano. </w:t>
            </w:r>
          </w:p>
          <w:p w14:paraId="497959DF" w14:textId="77777777" w:rsidR="0050099E" w:rsidRPr="00C35766" w:rsidRDefault="0050099E" w:rsidP="00933A6C">
            <w:pPr>
              <w:pStyle w:val="a3"/>
            </w:pPr>
          </w:p>
          <w:p w14:paraId="4F79A7B6" w14:textId="77777777" w:rsidR="0050099E" w:rsidRPr="00C35766" w:rsidRDefault="0050099E" w:rsidP="00933A6C">
            <w:pPr>
              <w:pStyle w:val="a3"/>
              <w:numPr>
                <w:ilvl w:val="0"/>
                <w:numId w:val="18"/>
              </w:numPr>
              <w:ind w:left="4297" w:hanging="3313"/>
              <w:rPr>
                <w:lang w:val="fr-FR"/>
              </w:rPr>
            </w:pPr>
            <w:r w:rsidRPr="00C35766">
              <w:rPr>
                <w:rFonts w:eastAsia="Times New Roman"/>
                <w:b/>
                <w:bCs/>
                <w:lang w:val="it-IT"/>
              </w:rPr>
              <w:t>Non</w:t>
            </w:r>
            <w:r w:rsidRPr="00C35766">
              <w:rPr>
                <w:rFonts w:eastAsia="Times New Roman"/>
                <w:lang w:val="it-IT"/>
              </w:rPr>
              <w:t xml:space="preserve"> rimuova il cappuccio fino a quando non è pronto per effettuare l'iniezione </w:t>
            </w:r>
          </w:p>
          <w:p w14:paraId="0923D9F2" w14:textId="77777777" w:rsidR="0050099E" w:rsidRPr="00C35766" w:rsidRDefault="0050099E" w:rsidP="00933A6C">
            <w:pPr>
              <w:pStyle w:val="a3"/>
              <w:numPr>
                <w:ilvl w:val="0"/>
                <w:numId w:val="0"/>
              </w:numPr>
              <w:ind w:left="4297" w:hanging="3313"/>
              <w:rPr>
                <w:lang w:val="fr-FR"/>
              </w:rPr>
            </w:pPr>
          </w:p>
          <w:p w14:paraId="3F6CD0D0" w14:textId="77777777" w:rsidR="0050099E" w:rsidRPr="00C35766" w:rsidRDefault="0050099E" w:rsidP="00933A6C">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tocchi l’ago. Ciò potrebbe comportare una lesione da puntura da ago.</w:t>
            </w:r>
            <w:r w:rsidRPr="00C35766">
              <w:rPr>
                <w:rFonts w:eastAsia="Times New Roman"/>
                <w:b/>
                <w:bCs/>
                <w:lang w:val="it-IT"/>
              </w:rPr>
              <w:t xml:space="preserve"> </w:t>
            </w:r>
          </w:p>
          <w:p w14:paraId="4C93825F" w14:textId="77777777" w:rsidR="0050099E" w:rsidRPr="00C35766" w:rsidRDefault="0050099E" w:rsidP="00933A6C">
            <w:pPr>
              <w:pStyle w:val="a4"/>
              <w:ind w:left="4297" w:hanging="3313"/>
              <w:rPr>
                <w:rFonts w:ascii="Times New Roman" w:hAnsi="Times New Roman" w:cs="Times New Roman"/>
                <w:lang w:val="it-IT"/>
              </w:rPr>
            </w:pPr>
          </w:p>
          <w:p w14:paraId="51FD42F0" w14:textId="7D50CCAC" w:rsidR="0050099E" w:rsidRPr="00AF25F1" w:rsidRDefault="0050099E" w:rsidP="00933A6C">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riposizioni il cappuccio sulla siringa pre-riempita. Smaltisca immediatamente il cappuccio nel contenitore per lo smaltimento di oggetti taglienti.</w:t>
            </w:r>
          </w:p>
          <w:p w14:paraId="45DACA73" w14:textId="77777777" w:rsidR="00471BD2" w:rsidRDefault="00471BD2" w:rsidP="00AF25F1">
            <w:pPr>
              <w:pStyle w:val="a4"/>
              <w:rPr>
                <w:lang w:val="it-IT"/>
              </w:rPr>
            </w:pPr>
          </w:p>
          <w:p w14:paraId="1FC8E4F0" w14:textId="48CFF849" w:rsidR="00471BD2" w:rsidRPr="00C35766" w:rsidRDefault="00471BD2" w:rsidP="00933A6C">
            <w:pPr>
              <w:pStyle w:val="a3"/>
              <w:numPr>
                <w:ilvl w:val="0"/>
                <w:numId w:val="18"/>
              </w:numPr>
              <w:ind w:left="4297" w:hanging="3313"/>
              <w:rPr>
                <w:lang w:val="it-IT"/>
              </w:rPr>
            </w:pPr>
            <w:r>
              <w:rPr>
                <w:rFonts w:eastAsia="Times New Roman"/>
                <w:lang w:val="it-IT"/>
              </w:rPr>
              <w:t>È normale vedere fuoriuscire alcune gocce di liquido dall'ago.</w:t>
            </w:r>
          </w:p>
          <w:p w14:paraId="7BFDD583" w14:textId="77777777" w:rsidR="0050099E" w:rsidRPr="00C35766" w:rsidRDefault="0050099E" w:rsidP="00933A6C">
            <w:pPr>
              <w:pStyle w:val="a3"/>
              <w:numPr>
                <w:ilvl w:val="0"/>
                <w:numId w:val="0"/>
              </w:numPr>
              <w:ind w:left="1384"/>
              <w:rPr>
                <w:lang w:val="it-IT"/>
              </w:rPr>
            </w:pPr>
          </w:p>
        </w:tc>
      </w:tr>
      <w:tr w:rsidR="0050099E" w:rsidRPr="006501B3" w14:paraId="26866250" w14:textId="77777777" w:rsidTr="00933A6C">
        <w:trPr>
          <w:trHeight w:val="6650"/>
        </w:trPr>
        <w:tc>
          <w:tcPr>
            <w:tcW w:w="9209" w:type="dxa"/>
          </w:tcPr>
          <w:p w14:paraId="7AB80936" w14:textId="77777777" w:rsidR="0050099E" w:rsidRPr="00C35766" w:rsidRDefault="0050099E" w:rsidP="00933A6C">
            <w:pPr>
              <w:ind w:left="104"/>
              <w:rPr>
                <w:rFonts w:ascii="Times New Roman" w:hAnsi="Times New Roman" w:cs="Times New Roman"/>
                <w:b/>
                <w:spacing w:val="-1"/>
                <w:lang w:val="it-IT"/>
              </w:rPr>
            </w:pPr>
          </w:p>
          <w:p w14:paraId="014646DF" w14:textId="77777777" w:rsidR="0050099E" w:rsidRPr="00C35766" w:rsidRDefault="0050099E" w:rsidP="00933A6C">
            <w:pPr>
              <w:ind w:left="104"/>
              <w:rPr>
                <w:rFonts w:ascii="Times New Roman" w:hAnsi="Times New Roman" w:cs="Times New Roman"/>
                <w:lang w:val="it-IT"/>
              </w:rPr>
            </w:pPr>
          </w:p>
          <w:p w14:paraId="00197C02" w14:textId="77777777" w:rsidR="0050099E" w:rsidRPr="00C35766" w:rsidRDefault="0050099E" w:rsidP="00933A6C">
            <w:pPr>
              <w:pStyle w:val="1"/>
              <w:spacing w:before="76"/>
              <w:ind w:left="0" w:right="2736"/>
              <w:rPr>
                <w:rFonts w:eastAsiaTheme="minorEastAsia" w:cs="Times New Roman"/>
                <w:lang w:val="it-IT"/>
              </w:rPr>
            </w:pPr>
            <w:r w:rsidRPr="00C35766">
              <w:rPr>
                <w:rFonts w:eastAsiaTheme="minorEastAsia" w:cs="Times New Roman"/>
                <w:noProof/>
                <w:lang w:eastAsia="ko-KR"/>
              </w:rPr>
              <mc:AlternateContent>
                <mc:Choice Requires="wpg">
                  <w:drawing>
                    <wp:anchor distT="0" distB="0" distL="114300" distR="114300" simplePos="0" relativeHeight="251658333" behindDoc="0" locked="0" layoutInCell="1" allowOverlap="1" wp14:anchorId="096C520E" wp14:editId="409AF471">
                      <wp:simplePos x="0" y="0"/>
                      <wp:positionH relativeFrom="column">
                        <wp:posOffset>131445</wp:posOffset>
                      </wp:positionH>
                      <wp:positionV relativeFrom="paragraph">
                        <wp:posOffset>72390</wp:posOffset>
                      </wp:positionV>
                      <wp:extent cx="2181225" cy="3752850"/>
                      <wp:effectExtent l="0" t="0" r="0" b="0"/>
                      <wp:wrapSquare wrapText="bothSides"/>
                      <wp:docPr id="167" name="그룹 167"/>
                      <wp:cNvGraphicFramePr/>
                      <a:graphic xmlns:a="http://schemas.openxmlformats.org/drawingml/2006/main">
                        <a:graphicData uri="http://schemas.microsoft.com/office/word/2010/wordprocessingGroup">
                          <wpg:wgp>
                            <wpg:cNvGrpSpPr/>
                            <wpg:grpSpPr>
                              <a:xfrm>
                                <a:off x="0" y="0"/>
                                <a:ext cx="2130738" cy="3752850"/>
                                <a:chOff x="22860" y="0"/>
                                <a:chExt cx="2130738" cy="3752850"/>
                              </a:xfrm>
                            </wpg:grpSpPr>
                            <wpg:grpSp>
                              <wpg:cNvPr id="168" name="그룹 168"/>
                              <wpg:cNvGrpSpPr/>
                              <wpg:grpSpPr>
                                <a:xfrm>
                                  <a:off x="27626" y="0"/>
                                  <a:ext cx="2125972" cy="3752850"/>
                                  <a:chOff x="79385" y="0"/>
                                  <a:chExt cx="2125972" cy="3752850"/>
                                </a:xfrm>
                              </wpg:grpSpPr>
                              <pic:pic xmlns:pic="http://schemas.openxmlformats.org/drawingml/2006/picture">
                                <pic:nvPicPr>
                                  <pic:cNvPr id="170" name="그림 170"/>
                                  <pic:cNvPicPr>
                                    <a:picLocks noChangeAspect="1"/>
                                  </pic:cNvPicPr>
                                </pic:nvPicPr>
                                <pic:blipFill>
                                  <a:blip r:embed="rId111" cstate="print">
                                    <a:extLst>
                                      <a:ext uri="{28A0092B-C50C-407E-A947-70E740481C1C}">
                                        <a14:useLocalDpi xmlns:a14="http://schemas.microsoft.com/office/drawing/2010/main" val="0"/>
                                      </a:ext>
                                    </a:extLst>
                                  </a:blip>
                                  <a:srcRect/>
                                  <a:stretch/>
                                </pic:blipFill>
                                <pic:spPr bwMode="auto">
                                  <a:xfrm>
                                    <a:off x="79385" y="0"/>
                                    <a:ext cx="2125972" cy="3606800"/>
                                  </a:xfrm>
                                  <a:prstGeom prst="rect">
                                    <a:avLst/>
                                  </a:prstGeom>
                                  <a:noFill/>
                                  <a:ln>
                                    <a:noFill/>
                                  </a:ln>
                                </pic:spPr>
                              </pic:pic>
                              <wps:wsp>
                                <wps:cNvPr id="174" name="Text Box 174"/>
                                <wps:cNvSpPr txBox="1"/>
                                <wps:spPr>
                                  <a:xfrm>
                                    <a:off x="1466850" y="3606800"/>
                                    <a:ext cx="719758" cy="146050"/>
                                  </a:xfrm>
                                  <a:prstGeom prst="rect">
                                    <a:avLst/>
                                  </a:prstGeom>
                                  <a:solidFill>
                                    <a:prstClr val="white"/>
                                  </a:solidFill>
                                  <a:ln>
                                    <a:noFill/>
                                  </a:ln>
                                </wps:spPr>
                                <wps:txbx>
                                  <w:txbxContent>
                                    <w:p w14:paraId="7A10D197"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5" name="Text Box 175"/>
                              <wps:cNvSpPr txBox="1"/>
                              <wps:spPr>
                                <a:xfrm>
                                  <a:off x="22860" y="1715771"/>
                                  <a:ext cx="2111375" cy="2463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B500F"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96C520E" id="그룹 167" o:spid="_x0000_s1235" style="position:absolute;margin-left:10.35pt;margin-top:5.7pt;width:171.75pt;height:295.5pt;z-index:251658333" coordorigin="228" coordsize="21307,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">
                      <v:group id="그룹 168" o:spid="_x0000_s1236" style="position:absolute;left:276;width:21259;height:37528" coordorigin="793" coordsize="21259,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그림 170" o:spid="_x0000_s1237" type="#_x0000_t75" style="position:absolute;left:793;width:2126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">
                          <v:imagedata r:id="rId112" o:title=""/>
                        </v:shape>
                        <v:shape id="Text Box 174" o:spid="_x0000_s1238"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" stroked="f">
                          <v:textbox style="mso-fit-shape-to-text:t" inset="0,0,0,0">
                            <w:txbxContent>
                              <w:p w14:paraId="7A10D197"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v:textbox>
                        </v:shape>
                      </v:group>
                      <v:shape id="Text Box 175" o:spid="_x0000_s1239" type="#_x0000_t202" style="position:absolute;left:228;top:17157;width:2111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" fillcolor="black [3213]" stroked="f" strokeweight=".5pt">
                        <v:textbox inset="0,0,0,0">
                          <w:txbxContent>
                            <w:p w14:paraId="6DDB500F"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6CB70588" w14:textId="77777777" w:rsidR="0050099E" w:rsidRPr="00C35766" w:rsidRDefault="0050099E" w:rsidP="00933A6C">
            <w:pPr>
              <w:pStyle w:val="a3"/>
              <w:numPr>
                <w:ilvl w:val="0"/>
                <w:numId w:val="63"/>
              </w:numPr>
              <w:ind w:left="4207" w:hanging="4096"/>
              <w:rPr>
                <w:b/>
                <w:lang w:val="es-ES"/>
              </w:rPr>
            </w:pPr>
            <w:r w:rsidRPr="00C35766">
              <w:rPr>
                <w:rFonts w:eastAsia="Times New Roman"/>
                <w:b/>
                <w:bCs/>
                <w:lang w:val="it-IT"/>
              </w:rPr>
              <w:t xml:space="preserve">Inserisca la siringa pre-riempita nel sito d’iniezione </w:t>
            </w:r>
          </w:p>
          <w:p w14:paraId="445C2F92" w14:textId="77777777" w:rsidR="0050099E" w:rsidRPr="00C35766" w:rsidRDefault="0050099E" w:rsidP="00933A6C">
            <w:pPr>
              <w:pStyle w:val="a3"/>
              <w:numPr>
                <w:ilvl w:val="0"/>
                <w:numId w:val="0"/>
              </w:numPr>
              <w:ind w:left="111"/>
              <w:rPr>
                <w:b/>
                <w:lang w:val="es-ES"/>
              </w:rPr>
            </w:pPr>
          </w:p>
          <w:p w14:paraId="1F99DCDE" w14:textId="77777777" w:rsidR="0050099E" w:rsidRPr="00C35766" w:rsidRDefault="0050099E" w:rsidP="00933A6C">
            <w:pPr>
              <w:pStyle w:val="a3"/>
              <w:numPr>
                <w:ilvl w:val="0"/>
                <w:numId w:val="0"/>
              </w:numPr>
              <w:ind w:left="111"/>
              <w:rPr>
                <w:b/>
                <w:lang w:val="es-ES"/>
              </w:rPr>
            </w:pPr>
          </w:p>
          <w:p w14:paraId="6CBAE88B" w14:textId="77777777" w:rsidR="0050099E" w:rsidRPr="00C35766" w:rsidRDefault="0050099E" w:rsidP="00933A6C">
            <w:pPr>
              <w:pStyle w:val="a3"/>
              <w:ind w:left="4477" w:hanging="270"/>
              <w:rPr>
                <w:lang w:val="es-ES"/>
              </w:rPr>
            </w:pPr>
            <w:r w:rsidRPr="00C35766">
              <w:rPr>
                <w:rFonts w:eastAsia="Times New Roman"/>
                <w:b/>
                <w:bCs/>
                <w:lang w:val="it-IT"/>
              </w:rPr>
              <w:t>a.</w:t>
            </w:r>
            <w:r w:rsidRPr="00C35766">
              <w:rPr>
                <w:rFonts w:eastAsia="Times New Roman"/>
                <w:lang w:val="it-IT"/>
              </w:rPr>
              <w:tab/>
              <w:t xml:space="preserve">Con una mano stringa delicatamente la pelle per creare una piega nel sito d’iniezione </w:t>
            </w:r>
          </w:p>
          <w:p w14:paraId="597809AA" w14:textId="77777777" w:rsidR="0050099E" w:rsidRPr="00C35766" w:rsidRDefault="0050099E" w:rsidP="00933A6C">
            <w:pPr>
              <w:pStyle w:val="a3"/>
              <w:ind w:left="4477" w:hanging="270"/>
              <w:rPr>
                <w:lang w:val="es-ES"/>
              </w:rPr>
            </w:pPr>
            <w:r w:rsidRPr="00C35766">
              <w:rPr>
                <w:rFonts w:eastAsia="Times New Roman"/>
                <w:lang w:val="it-IT"/>
              </w:rPr>
              <w:t xml:space="preserve"> .</w:t>
            </w:r>
          </w:p>
          <w:p w14:paraId="6D17B19F" w14:textId="77777777" w:rsidR="0050099E" w:rsidRPr="00C35766" w:rsidRDefault="0050099E" w:rsidP="00933A6C">
            <w:pPr>
              <w:pStyle w:val="a3"/>
              <w:ind w:left="4477" w:hanging="270"/>
              <w:rPr>
                <w:lang w:val="es-ES"/>
              </w:rPr>
            </w:pPr>
          </w:p>
          <w:p w14:paraId="41060C0F" w14:textId="77777777" w:rsidR="0050099E" w:rsidRPr="00C35766" w:rsidRDefault="0050099E" w:rsidP="00933A6C">
            <w:pPr>
              <w:pStyle w:val="a3"/>
              <w:ind w:left="4477" w:hanging="270"/>
              <w:rPr>
                <w:lang w:val="es-ES"/>
              </w:rPr>
            </w:pPr>
            <w:r w:rsidRPr="00C35766">
              <w:rPr>
                <w:rFonts w:eastAsia="Times New Roman"/>
                <w:b/>
                <w:bCs/>
                <w:lang w:val="it-IT"/>
              </w:rPr>
              <w:t>b</w:t>
            </w:r>
            <w:r w:rsidRPr="00C35766">
              <w:rPr>
                <w:rFonts w:eastAsia="Times New Roman"/>
                <w:lang w:val="it-IT"/>
              </w:rPr>
              <w:t>.</w:t>
            </w:r>
            <w:r w:rsidRPr="00C35766">
              <w:rPr>
                <w:rFonts w:eastAsia="Times New Roman"/>
                <w:lang w:val="it-IT"/>
              </w:rPr>
              <w:tab/>
              <w:t>Tenendo la siringa pre-riempita dal corpo, inserisca  l'ago completamente nella piega della pelle con un’angolatura di 45  gradi con un movimento rapido, come quando si lancia una freccetta.</w:t>
            </w:r>
          </w:p>
          <w:p w14:paraId="2009797D" w14:textId="77777777" w:rsidR="0050099E" w:rsidRPr="00C35766" w:rsidRDefault="0050099E" w:rsidP="00933A6C">
            <w:pPr>
              <w:pStyle w:val="a3"/>
              <w:rPr>
                <w:lang w:val="es-ES"/>
              </w:rPr>
            </w:pPr>
          </w:p>
        </w:tc>
      </w:tr>
      <w:tr w:rsidR="0050099E" w:rsidRPr="006501B3" w14:paraId="14951C76" w14:textId="77777777" w:rsidTr="00713ADC">
        <w:trPr>
          <w:trHeight w:val="4422"/>
        </w:trPr>
        <w:tc>
          <w:tcPr>
            <w:tcW w:w="9209" w:type="dxa"/>
          </w:tcPr>
          <w:p w14:paraId="0C766FDB" w14:textId="77777777" w:rsidR="0050099E" w:rsidRPr="00C35766" w:rsidRDefault="0050099E" w:rsidP="00933A6C">
            <w:pPr>
              <w:ind w:left="104"/>
              <w:rPr>
                <w:rFonts w:ascii="Times New Roman" w:eastAsia="Times New Roman" w:hAnsi="Times New Roman" w:cs="Times New Roman"/>
                <w:b/>
                <w:bCs/>
                <w:spacing w:val="-1"/>
                <w:lang w:val="es-ES"/>
              </w:rPr>
            </w:pPr>
          </w:p>
          <w:p w14:paraId="36ADE167" w14:textId="2774285A" w:rsidR="0050099E" w:rsidRPr="00C35766" w:rsidRDefault="00713ADC" w:rsidP="00933A6C">
            <w:pPr>
              <w:ind w:left="104"/>
              <w:rPr>
                <w:rFonts w:ascii="Times New Roman" w:eastAsia="Times New Roman" w:hAnsi="Times New Roman" w:cs="Times New Roman"/>
                <w:lang w:val="es-ES"/>
              </w:rPr>
            </w:pPr>
            <w:r w:rsidRPr="00C35766">
              <w:rPr>
                <w:rFonts w:ascii="Times New Roman" w:hAnsi="Times New Roman" w:cs="Times New Roman"/>
                <w:noProof/>
                <w:lang w:eastAsia="ko-KR"/>
              </w:rPr>
              <mc:AlternateContent>
                <mc:Choice Requires="wpg">
                  <w:drawing>
                    <wp:anchor distT="0" distB="0" distL="114300" distR="114300" simplePos="0" relativeHeight="251658313" behindDoc="0" locked="0" layoutInCell="1" allowOverlap="1" wp14:anchorId="2DEDE929" wp14:editId="13A06374">
                      <wp:simplePos x="0" y="0"/>
                      <wp:positionH relativeFrom="column">
                        <wp:posOffset>69850</wp:posOffset>
                      </wp:positionH>
                      <wp:positionV relativeFrom="paragraph">
                        <wp:posOffset>10352</wp:posOffset>
                      </wp:positionV>
                      <wp:extent cx="1988185" cy="2597785"/>
                      <wp:effectExtent l="0" t="0" r="0" b="0"/>
                      <wp:wrapSquare wrapText="bothSides"/>
                      <wp:docPr id="177" name="그룹 177"/>
                      <wp:cNvGraphicFramePr/>
                      <a:graphic xmlns:a="http://schemas.openxmlformats.org/drawingml/2006/main">
                        <a:graphicData uri="http://schemas.microsoft.com/office/word/2010/wordprocessingGroup">
                          <wpg:wgp>
                            <wpg:cNvGrpSpPr/>
                            <wpg:grpSpPr>
                              <a:xfrm>
                                <a:off x="0" y="0"/>
                                <a:ext cx="1988185" cy="2597785"/>
                                <a:chOff x="0" y="7181"/>
                                <a:chExt cx="2185035" cy="2820512"/>
                              </a:xfrm>
                            </wpg:grpSpPr>
                            <pic:pic xmlns:pic="http://schemas.openxmlformats.org/drawingml/2006/picture">
                              <pic:nvPicPr>
                                <pic:cNvPr id="179" name="그림 179"/>
                                <pic:cNvPicPr>
                                  <a:picLocks noChangeAspect="1"/>
                                </pic:cNvPicPr>
                              </pic:nvPicPr>
                              <pic:blipFill>
                                <a:blip r:embed="rId113" cstate="print">
                                  <a:extLst>
                                    <a:ext uri="{28A0092B-C50C-407E-A947-70E740481C1C}">
                                      <a14:useLocalDpi xmlns:a14="http://schemas.microsoft.com/office/drawing/2010/main" val="0"/>
                                    </a:ext>
                                  </a:extLst>
                                </a:blip>
                                <a:srcRect/>
                                <a:stretch/>
                              </pic:blipFill>
                              <pic:spPr bwMode="auto">
                                <a:xfrm>
                                  <a:off x="0" y="7181"/>
                                  <a:ext cx="2185035" cy="2567548"/>
                                </a:xfrm>
                                <a:prstGeom prst="rect">
                                  <a:avLst/>
                                </a:prstGeom>
                                <a:noFill/>
                                <a:ln>
                                  <a:noFill/>
                                </a:ln>
                              </pic:spPr>
                            </pic:pic>
                            <wps:wsp>
                              <wps:cNvPr id="180" name="Text Box 180"/>
                              <wps:cNvSpPr txBox="1"/>
                              <wps:spPr>
                                <a:xfrm>
                                  <a:off x="1435191" y="2599016"/>
                                  <a:ext cx="719758" cy="228677"/>
                                </a:xfrm>
                                <a:prstGeom prst="rect">
                                  <a:avLst/>
                                </a:prstGeom>
                                <a:solidFill>
                                  <a:prstClr val="white"/>
                                </a:solidFill>
                                <a:ln>
                                  <a:noFill/>
                                </a:ln>
                              </wps:spPr>
                              <wps:txbx>
                                <w:txbxContent>
                                  <w:p w14:paraId="0EF803A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EDE929" id="그룹 177" o:spid="_x0000_s1240" style="position:absolute;left:0;text-align:left;margin-left:5.5pt;margin-top:.8pt;width:156.55pt;height:204.55pt;z-index:251658313;mso-width-relative:margin;mso-height-relative:margin" coordorigin=",71" coordsize="21850,28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">
                      <v:shape id="그림 179" o:spid="_x0000_s1241" type="#_x0000_t75" style="position:absolute;top:71;width:21850;height:25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">
                        <v:imagedata r:id="rId114" o:title=""/>
                      </v:shape>
                      <v:shape id="Text Box 180" o:spid="_x0000_s1242" type="#_x0000_t202" style="position:absolute;left:14351;top:25990;width:719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" stroked="f">
                        <v:textbox inset="0,0,0,0">
                          <w:txbxContent>
                            <w:p w14:paraId="0EF803A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v:textbox>
                      </v:shape>
                      <w10:wrap type="square"/>
                    </v:group>
                  </w:pict>
                </mc:Fallback>
              </mc:AlternateContent>
            </w:r>
          </w:p>
          <w:p w14:paraId="5007A51F" w14:textId="77777777" w:rsidR="0050099E" w:rsidRPr="00C35766" w:rsidRDefault="0050099E" w:rsidP="00933A6C">
            <w:pPr>
              <w:pStyle w:val="a3"/>
              <w:numPr>
                <w:ilvl w:val="0"/>
                <w:numId w:val="63"/>
              </w:numPr>
            </w:pPr>
            <w:r w:rsidRPr="00C35766">
              <w:rPr>
                <w:rFonts w:eastAsia="Times New Roman"/>
                <w:b/>
                <w:bCs/>
                <w:lang w:val="it-IT"/>
              </w:rPr>
              <w:t>Esegua l’iniezione</w:t>
            </w:r>
          </w:p>
          <w:p w14:paraId="5056762B" w14:textId="77777777" w:rsidR="0050099E" w:rsidRPr="00C35766" w:rsidRDefault="0050099E" w:rsidP="00933A6C">
            <w:pPr>
              <w:pStyle w:val="a3"/>
            </w:pPr>
          </w:p>
          <w:p w14:paraId="20003CA5" w14:textId="195FD6E1" w:rsidR="0050099E" w:rsidRPr="00C35766" w:rsidRDefault="0050099E" w:rsidP="00933A6C">
            <w:pPr>
              <w:pStyle w:val="a3"/>
              <w:ind w:left="4387" w:hanging="270"/>
              <w:rPr>
                <w:lang w:val="it-IT"/>
              </w:rPr>
            </w:pPr>
            <w:r w:rsidRPr="00C35766">
              <w:rPr>
                <w:rFonts w:eastAsia="Times New Roman"/>
                <w:b/>
                <w:bCs/>
                <w:lang w:val="it-IT"/>
              </w:rPr>
              <w:t>a.</w:t>
            </w:r>
            <w:r w:rsidRPr="00C35766">
              <w:rPr>
                <w:rFonts w:eastAsia="Times New Roman"/>
                <w:lang w:val="it-IT"/>
              </w:rPr>
              <w:tab/>
              <w:t>Una volta inserito l'ago, lasci andare la  pelle pizzicata.</w:t>
            </w:r>
          </w:p>
          <w:p w14:paraId="4423446F" w14:textId="09DEC7D0" w:rsidR="0050099E" w:rsidRPr="00C35766" w:rsidRDefault="0050099E" w:rsidP="00933A6C">
            <w:pPr>
              <w:pStyle w:val="a3"/>
              <w:ind w:left="4387" w:hanging="270"/>
              <w:rPr>
                <w:lang w:val="it-IT"/>
              </w:rPr>
            </w:pPr>
            <w:r w:rsidRPr="00C35766">
              <w:rPr>
                <w:rFonts w:eastAsia="Times New Roman"/>
                <w:b/>
                <w:bCs/>
                <w:lang w:val="it-IT"/>
              </w:rPr>
              <w:t>b.</w:t>
            </w:r>
            <w:r w:rsidRPr="00C35766">
              <w:rPr>
                <w:rFonts w:eastAsia="Times New Roman"/>
                <w:lang w:val="it-IT"/>
              </w:rPr>
              <w:tab/>
              <w:t>Sping</w:t>
            </w:r>
            <w:r w:rsidR="00A67D26">
              <w:rPr>
                <w:rFonts w:eastAsia="Times New Roman"/>
                <w:lang w:val="it-IT"/>
              </w:rPr>
              <w:t>a</w:t>
            </w:r>
            <w:r w:rsidRPr="00C35766">
              <w:rPr>
                <w:rFonts w:eastAsia="Times New Roman"/>
                <w:lang w:val="it-IT"/>
              </w:rPr>
              <w:t xml:space="preserve"> lentamente e completamente lo stantuffo verso il basso fino a</w:t>
            </w:r>
            <w:r w:rsidR="001E26DC">
              <w:rPr>
                <w:rFonts w:eastAsia="Times New Roman"/>
                <w:lang w:val="it-IT"/>
              </w:rPr>
              <w:t>d</w:t>
            </w:r>
            <w:r w:rsidRPr="00C35766">
              <w:rPr>
                <w:rFonts w:eastAsia="Times New Roman"/>
                <w:lang w:val="it-IT"/>
              </w:rPr>
              <w:t xml:space="preserve"> iniettare tutto il liquido e a svuotare la siringa.</w:t>
            </w:r>
          </w:p>
          <w:p w14:paraId="18051C89" w14:textId="77777777" w:rsidR="0050099E" w:rsidRPr="00C35766" w:rsidRDefault="0050099E" w:rsidP="00933A6C">
            <w:pPr>
              <w:pStyle w:val="a3"/>
              <w:rPr>
                <w:lang w:val="it-IT"/>
              </w:rPr>
            </w:pPr>
          </w:p>
          <w:p w14:paraId="17246ED1" w14:textId="77777777" w:rsidR="0050099E" w:rsidRPr="00C35766" w:rsidRDefault="0050099E" w:rsidP="00933A6C">
            <w:pPr>
              <w:pStyle w:val="a3"/>
              <w:rPr>
                <w:lang w:val="it-IT"/>
              </w:rPr>
            </w:pPr>
          </w:p>
          <w:p w14:paraId="6BBC007F" w14:textId="77777777" w:rsidR="0050099E" w:rsidRPr="00C35766" w:rsidRDefault="0050099E" w:rsidP="00933A6C">
            <w:pPr>
              <w:pStyle w:val="a3"/>
              <w:ind w:left="4027" w:hanging="4027"/>
              <w:rPr>
                <w:lang w:val="es-ES"/>
              </w:rPr>
            </w:pPr>
            <w:r w:rsidRPr="00C35766">
              <w:rPr>
                <w:rFonts w:eastAsia="맑은 고딕"/>
                <w:lang w:val="it-IT"/>
              </w:rPr>
              <w:t>•</w:t>
            </w:r>
            <w:r w:rsidRPr="00C35766">
              <w:rPr>
                <w:rFonts w:eastAsia="Times New Roman"/>
                <w:lang w:val="it-IT"/>
              </w:rPr>
              <w:tab/>
            </w:r>
            <w:r w:rsidRPr="00C35766">
              <w:rPr>
                <w:rFonts w:eastAsia="Times New Roman"/>
                <w:b/>
                <w:bCs/>
                <w:lang w:val="it-IT"/>
              </w:rPr>
              <w:t>Non</w:t>
            </w:r>
            <w:r w:rsidRPr="00C35766">
              <w:rPr>
                <w:rFonts w:eastAsia="Times New Roman"/>
                <w:lang w:val="it-IT"/>
              </w:rPr>
              <w:t xml:space="preserve"> cambi la posizione della siringa pre-riempita una volta iniziata l’iniezione.</w:t>
            </w:r>
          </w:p>
          <w:p w14:paraId="266BE74C" w14:textId="77777777" w:rsidR="0050099E" w:rsidRPr="00C35766" w:rsidRDefault="0050099E" w:rsidP="00933A6C">
            <w:pPr>
              <w:pStyle w:val="a3"/>
              <w:rPr>
                <w:lang w:val="es-ES" w:eastAsia="ko-KR"/>
              </w:rPr>
            </w:pPr>
            <w:r w:rsidRPr="00C35766">
              <w:rPr>
                <w:color w:val="211D1E"/>
                <w:sz w:val="20"/>
                <w:szCs w:val="20"/>
                <w:lang w:val="es-ES"/>
              </w:rPr>
              <w:t xml:space="preserve"> </w:t>
            </w:r>
          </w:p>
        </w:tc>
      </w:tr>
      <w:tr w:rsidR="0050099E" w:rsidRPr="006501B3" w14:paraId="430FE2EB" w14:textId="77777777" w:rsidTr="00713ADC">
        <w:trPr>
          <w:trHeight w:val="4535"/>
        </w:trPr>
        <w:tc>
          <w:tcPr>
            <w:tcW w:w="9209" w:type="dxa"/>
          </w:tcPr>
          <w:p w14:paraId="1E9907AA" w14:textId="5A1E977E" w:rsidR="0050099E" w:rsidRPr="00C35766" w:rsidRDefault="00713ADC" w:rsidP="00713ADC">
            <w:pPr>
              <w:ind w:left="104"/>
              <w:rPr>
                <w:rFonts w:ascii="Times New Roman" w:eastAsia="Times New Roman" w:hAnsi="Times New Roman" w:cs="Times New Roman"/>
                <w:lang w:val="es-ES"/>
              </w:rPr>
            </w:pPr>
            <w:r w:rsidRPr="00C35766">
              <w:rPr>
                <w:rFonts w:ascii="Times New Roman" w:hAnsi="Times New Roman" w:cs="Times New Roman"/>
                <w:noProof/>
                <w:lang w:eastAsia="ko-KR"/>
              </w:rPr>
              <w:drawing>
                <wp:anchor distT="0" distB="0" distL="114300" distR="114300" simplePos="0" relativeHeight="251658319" behindDoc="0" locked="0" layoutInCell="1" allowOverlap="1" wp14:anchorId="4A78244D" wp14:editId="0B1408CC">
                  <wp:simplePos x="0" y="0"/>
                  <wp:positionH relativeFrom="column">
                    <wp:posOffset>36195</wp:posOffset>
                  </wp:positionH>
                  <wp:positionV relativeFrom="paragraph">
                    <wp:posOffset>158750</wp:posOffset>
                  </wp:positionV>
                  <wp:extent cx="1993900" cy="2445385"/>
                  <wp:effectExtent l="19050" t="19050" r="25400" b="12065"/>
                  <wp:wrapSquare wrapText="bothSides"/>
                  <wp:docPr id="3955" name="그림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 name="그림 395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93900" cy="244538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6FC7BD67" w14:textId="77777777" w:rsidR="0050099E" w:rsidRPr="00C35766" w:rsidRDefault="0050099E" w:rsidP="00933A6C">
            <w:pPr>
              <w:pStyle w:val="a3"/>
              <w:rPr>
                <w:lang w:val="es-ES"/>
              </w:rPr>
            </w:pPr>
          </w:p>
          <w:p w14:paraId="5CB9FE8B" w14:textId="2998F230" w:rsidR="0050099E" w:rsidRPr="00C35766" w:rsidRDefault="0050099E" w:rsidP="00933A6C">
            <w:pPr>
              <w:pStyle w:val="a3"/>
              <w:numPr>
                <w:ilvl w:val="0"/>
                <w:numId w:val="63"/>
              </w:numPr>
              <w:ind w:left="4207" w:hanging="4096"/>
              <w:rPr>
                <w:b/>
                <w:lang w:val="es-ES"/>
              </w:rPr>
            </w:pPr>
            <w:r w:rsidRPr="00C35766">
              <w:rPr>
                <w:rFonts w:eastAsia="Times New Roman"/>
                <w:b/>
                <w:bCs/>
                <w:lang w:val="it-IT"/>
              </w:rPr>
              <w:t xml:space="preserve">Rimuova la siringa pre-riempita dal </w:t>
            </w:r>
            <w:r w:rsidRPr="00C35766">
              <w:rPr>
                <w:b/>
                <w:lang w:val="it-IT"/>
              </w:rPr>
              <w:t>sito d’</w:t>
            </w:r>
            <w:r w:rsidRPr="00C35766">
              <w:rPr>
                <w:rFonts w:eastAsia="Times New Roman"/>
                <w:b/>
                <w:bCs/>
                <w:lang w:val="it-IT"/>
              </w:rPr>
              <w:t xml:space="preserve">iniezione </w:t>
            </w:r>
            <w:r w:rsidR="006C14E6">
              <w:rPr>
                <w:rFonts w:eastAsia="Times New Roman"/>
                <w:b/>
                <w:bCs/>
                <w:lang w:val="it-IT"/>
              </w:rPr>
              <w:t xml:space="preserve">e </w:t>
            </w:r>
            <w:r w:rsidRPr="00C35766">
              <w:rPr>
                <w:rFonts w:eastAsia="Times New Roman"/>
                <w:b/>
                <w:bCs/>
                <w:lang w:val="it-IT"/>
              </w:rPr>
              <w:t>si occupi del sito d’iniezione</w:t>
            </w:r>
          </w:p>
          <w:p w14:paraId="66670A83" w14:textId="77777777" w:rsidR="0050099E" w:rsidRPr="00C35766" w:rsidRDefault="0050099E" w:rsidP="00933A6C">
            <w:pPr>
              <w:pStyle w:val="a3"/>
              <w:numPr>
                <w:ilvl w:val="0"/>
                <w:numId w:val="0"/>
              </w:numPr>
              <w:ind w:left="471"/>
              <w:rPr>
                <w:b/>
                <w:lang w:val="es-ES"/>
              </w:rPr>
            </w:pPr>
          </w:p>
          <w:p w14:paraId="1A0B32A3" w14:textId="77777777" w:rsidR="0050099E" w:rsidRPr="00C35766" w:rsidRDefault="0050099E" w:rsidP="00933A6C">
            <w:pPr>
              <w:pStyle w:val="a3"/>
              <w:ind w:left="438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Una volta svuotata la siringa pre-riempita, la rimuova  dalla pelle con la stessa angolazione con cui l’ha inserita.</w:t>
            </w:r>
          </w:p>
          <w:p w14:paraId="3AA25209" w14:textId="77777777" w:rsidR="0050099E" w:rsidRPr="00C35766" w:rsidRDefault="0050099E" w:rsidP="00933A6C">
            <w:pPr>
              <w:pStyle w:val="a3"/>
              <w:ind w:left="4387" w:hanging="360"/>
              <w:rPr>
                <w:rFonts w:eastAsia="Times New Roman"/>
                <w:lang w:val="es-ES"/>
              </w:rPr>
            </w:pPr>
            <w:r w:rsidRPr="00C35766">
              <w:rPr>
                <w:rFonts w:eastAsia="Times New Roman"/>
                <w:b/>
                <w:bCs/>
                <w:lang w:val="it-IT"/>
              </w:rPr>
              <w:t>b.</w:t>
            </w:r>
            <w:r w:rsidRPr="00C35766">
              <w:rPr>
                <w:rFonts w:eastAsia="Times New Roman"/>
                <w:b/>
                <w:bCs/>
                <w:lang w:val="it-IT"/>
              </w:rPr>
              <w:tab/>
            </w:r>
            <w:r w:rsidRPr="00C35766">
              <w:rPr>
                <w:rFonts w:eastAsia="Times New Roman"/>
                <w:lang w:val="it-IT"/>
              </w:rPr>
              <w:t>Medichi il sito d’iniezione premendo delicatamente  su di esso, senza strofinare, un batuffolo di cotone idrofilo o una garza e,  se necessario, applichi un cerotto. Può verificarsi un sanguinamento.</w:t>
            </w:r>
          </w:p>
          <w:p w14:paraId="0031ED4E" w14:textId="77777777" w:rsidR="0050099E" w:rsidRPr="00C35766" w:rsidRDefault="0050099E" w:rsidP="00933A6C">
            <w:pPr>
              <w:pStyle w:val="a3"/>
              <w:rPr>
                <w:lang w:val="es-ES"/>
              </w:rPr>
            </w:pPr>
            <w:r w:rsidRPr="00C35766">
              <w:rPr>
                <w:lang w:val="es-ES"/>
              </w:rPr>
              <w:t xml:space="preserve"> </w:t>
            </w:r>
          </w:p>
          <w:p w14:paraId="16696822" w14:textId="77777777" w:rsidR="0050099E" w:rsidRPr="00C35766" w:rsidRDefault="0050099E" w:rsidP="00933A6C">
            <w:pPr>
              <w:pStyle w:val="a3"/>
              <w:rPr>
                <w:lang w:val="es-ES"/>
              </w:rPr>
            </w:pPr>
            <w:r w:rsidRPr="00C35766">
              <w:rPr>
                <w:rFonts w:eastAsia="맑은 고딕"/>
                <w:lang w:val="it-IT"/>
              </w:rPr>
              <w:t>•</w:t>
            </w:r>
            <w:r w:rsidRPr="00C35766">
              <w:rPr>
                <w:rFonts w:eastAsia="Times New Roman"/>
                <w:lang w:val="it-IT"/>
              </w:rPr>
              <w:t xml:space="preserve"> </w:t>
            </w:r>
            <w:r w:rsidRPr="00C35766">
              <w:rPr>
                <w:rFonts w:eastAsia="Times New Roman"/>
                <w:b/>
                <w:bCs/>
                <w:lang w:val="it-IT"/>
              </w:rPr>
              <w:t>Non</w:t>
            </w:r>
            <w:r w:rsidRPr="00C35766">
              <w:rPr>
                <w:rFonts w:eastAsia="Times New Roman"/>
                <w:lang w:val="it-IT"/>
              </w:rPr>
              <w:t xml:space="preserve"> riutilizzi la siringa pre-riempita.</w:t>
            </w:r>
          </w:p>
          <w:p w14:paraId="7BCB1653" w14:textId="66A890EB" w:rsidR="00713ADC" w:rsidRPr="00C35766" w:rsidRDefault="0050099E" w:rsidP="00713ADC">
            <w:pPr>
              <w:pStyle w:val="a3"/>
              <w:rPr>
                <w:rFonts w:eastAsia="Times New Roman"/>
                <w:lang w:val="it-IT"/>
              </w:rPr>
            </w:pPr>
            <w:r w:rsidRPr="00C35766">
              <w:rPr>
                <w:rFonts w:eastAsia="맑은 고딕"/>
                <w:lang w:val="it-IT"/>
              </w:rPr>
              <w:t>•</w:t>
            </w:r>
            <w:r w:rsidRPr="00C35766">
              <w:rPr>
                <w:rFonts w:eastAsia="Times New Roman"/>
                <w:lang w:val="it-IT"/>
              </w:rPr>
              <w:t xml:space="preserve"> </w:t>
            </w:r>
            <w:r w:rsidRPr="00C35766">
              <w:rPr>
                <w:rFonts w:eastAsia="Times New Roman"/>
                <w:b/>
                <w:bCs/>
                <w:lang w:val="it-IT"/>
              </w:rPr>
              <w:t>Non</w:t>
            </w:r>
            <w:r w:rsidRPr="00C35766">
              <w:rPr>
                <w:rFonts w:eastAsia="Times New Roman"/>
                <w:lang w:val="it-IT"/>
              </w:rPr>
              <w:t xml:space="preserve"> tocchi l'ago e non lo copra col cappuccio. </w:t>
            </w:r>
          </w:p>
          <w:p w14:paraId="1B1300BC" w14:textId="6BCC828D" w:rsidR="0050099E" w:rsidRPr="00C35766" w:rsidRDefault="00713ADC" w:rsidP="00713ADC">
            <w:pPr>
              <w:pStyle w:val="a3"/>
              <w:ind w:leftChars="1557" w:left="3427" w:hanging="2"/>
              <w:rPr>
                <w:lang w:val="fr-FR"/>
              </w:rPr>
            </w:pPr>
            <w:r w:rsidRPr="00C35766">
              <w:rPr>
                <w:noProof/>
                <w:lang w:eastAsia="ko-KR"/>
              </w:rPr>
              <mc:AlternateContent>
                <mc:Choice Requires="wps">
                  <w:drawing>
                    <wp:anchor distT="0" distB="0" distL="114300" distR="114300" simplePos="0" relativeHeight="251658314" behindDoc="0" locked="0" layoutInCell="1" allowOverlap="1" wp14:anchorId="1A62A410" wp14:editId="7C5026F2">
                      <wp:simplePos x="0" y="0"/>
                      <wp:positionH relativeFrom="column">
                        <wp:posOffset>1317625</wp:posOffset>
                      </wp:positionH>
                      <wp:positionV relativeFrom="paragraph">
                        <wp:posOffset>197485</wp:posOffset>
                      </wp:positionV>
                      <wp:extent cx="719455" cy="146050"/>
                      <wp:effectExtent l="0" t="0" r="4445" b="6350"/>
                      <wp:wrapSquare wrapText="bothSides"/>
                      <wp:docPr id="181" name="Text Box 181"/>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333E77EB"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62A410" id="Text Box 181" o:spid="_x0000_s1243" type="#_x0000_t202" style="position:absolute;left:0;text-align:left;margin-left:103.75pt;margin-top:15.55pt;width:56.65pt;height:11.5pt;z-index:2516583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" stroked="f">
                      <v:textbox style="mso-fit-shape-to-text:t" inset="0,0,0,0">
                        <w:txbxContent>
                          <w:p w14:paraId="333E77EB"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K</w:t>
                            </w:r>
                          </w:p>
                        </w:txbxContent>
                      </v:textbox>
                      <w10:wrap type="square"/>
                    </v:shape>
                  </w:pict>
                </mc:Fallback>
              </mc:AlternateContent>
            </w:r>
            <w:r w:rsidR="0050099E" w:rsidRPr="00C35766">
              <w:rPr>
                <w:rFonts w:eastAsia="맑은 고딕"/>
                <w:lang w:val="it-IT"/>
              </w:rPr>
              <w:t>•</w:t>
            </w:r>
            <w:r w:rsidR="0050099E" w:rsidRPr="00C35766">
              <w:rPr>
                <w:rFonts w:eastAsia="Times New Roman"/>
                <w:lang w:val="it-IT"/>
              </w:rPr>
              <w:t xml:space="preserve"> </w:t>
            </w:r>
            <w:r w:rsidR="0050099E" w:rsidRPr="00C35766">
              <w:rPr>
                <w:rFonts w:eastAsia="Times New Roman"/>
                <w:b/>
                <w:bCs/>
                <w:lang w:val="it-IT"/>
              </w:rPr>
              <w:t>Non</w:t>
            </w:r>
            <w:r w:rsidR="0050099E" w:rsidRPr="00C35766">
              <w:rPr>
                <w:rFonts w:eastAsia="Times New Roman"/>
                <w:lang w:val="it-IT"/>
              </w:rPr>
              <w:t xml:space="preserve"> strofini il sito d’iniezione.</w:t>
            </w:r>
          </w:p>
        </w:tc>
      </w:tr>
      <w:tr w:rsidR="0050099E" w:rsidRPr="006501B3" w14:paraId="458B9F4E" w14:textId="77777777" w:rsidTr="00713ADC">
        <w:trPr>
          <w:trHeight w:val="4706"/>
        </w:trPr>
        <w:tc>
          <w:tcPr>
            <w:tcW w:w="9209" w:type="dxa"/>
          </w:tcPr>
          <w:p w14:paraId="53813B2B" w14:textId="6B9F1F94" w:rsidR="0050099E" w:rsidRPr="00C35766" w:rsidRDefault="00713ADC" w:rsidP="00933A6C">
            <w:pPr>
              <w:ind w:left="104"/>
              <w:rPr>
                <w:rFonts w:ascii="Times New Roman" w:eastAsia="Times New Roman" w:hAnsi="Times New Roman" w:cs="Times New Roman"/>
                <w:b/>
                <w:bCs/>
                <w:spacing w:val="-1"/>
                <w:lang w:val="fr-FR"/>
              </w:rPr>
            </w:pPr>
            <w:r w:rsidRPr="00C35766">
              <w:rPr>
                <w:rFonts w:ascii="Times New Roman" w:hAnsi="Times New Roman" w:cs="Times New Roman"/>
                <w:noProof/>
                <w:lang w:eastAsia="ko-KR"/>
              </w:rPr>
              <w:drawing>
                <wp:anchor distT="0" distB="0" distL="114300" distR="114300" simplePos="0" relativeHeight="251658318" behindDoc="0" locked="0" layoutInCell="1" allowOverlap="1" wp14:anchorId="1529B20A" wp14:editId="5DBE0281">
                  <wp:simplePos x="0" y="0"/>
                  <wp:positionH relativeFrom="column">
                    <wp:posOffset>21576</wp:posOffset>
                  </wp:positionH>
                  <wp:positionV relativeFrom="paragraph">
                    <wp:posOffset>146745</wp:posOffset>
                  </wp:positionV>
                  <wp:extent cx="2116455" cy="2606675"/>
                  <wp:effectExtent l="19050" t="19050" r="17145" b="22225"/>
                  <wp:wrapSquare wrapText="bothSides"/>
                  <wp:docPr id="3956" name="그림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 name="그림 3956"/>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16455" cy="26066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1FC7CCBF" w14:textId="35ED4C91" w:rsidR="0050099E" w:rsidRPr="00C35766" w:rsidRDefault="0050099E" w:rsidP="00933A6C">
            <w:pPr>
              <w:pStyle w:val="a3"/>
              <w:rPr>
                <w:lang w:val="fr-FR"/>
              </w:rPr>
            </w:pPr>
          </w:p>
          <w:p w14:paraId="4F0672FC" w14:textId="322FEB05" w:rsidR="0050099E" w:rsidRPr="00C35766" w:rsidRDefault="0050099E" w:rsidP="00933A6C">
            <w:pPr>
              <w:pStyle w:val="a3"/>
              <w:rPr>
                <w:lang w:val="fr-FR"/>
              </w:rPr>
            </w:pPr>
          </w:p>
          <w:p w14:paraId="4575FED8" w14:textId="77777777" w:rsidR="0050099E" w:rsidRPr="00C35766" w:rsidRDefault="0050099E" w:rsidP="00933A6C">
            <w:pPr>
              <w:pStyle w:val="a3"/>
              <w:numPr>
                <w:ilvl w:val="0"/>
                <w:numId w:val="63"/>
              </w:numPr>
              <w:ind w:left="3937" w:hanging="3826"/>
              <w:rPr>
                <w:b/>
              </w:rPr>
            </w:pPr>
            <w:r w:rsidRPr="00C35766">
              <w:rPr>
                <w:rFonts w:eastAsia="Times New Roman"/>
                <w:b/>
                <w:bCs/>
                <w:lang w:val="it-IT"/>
              </w:rPr>
              <w:t>Smaltisca la siringa pre-riempita</w:t>
            </w:r>
          </w:p>
          <w:p w14:paraId="5ABE8161" w14:textId="77777777" w:rsidR="0050099E" w:rsidRPr="00C35766" w:rsidRDefault="0050099E" w:rsidP="00933A6C">
            <w:pPr>
              <w:pStyle w:val="a3"/>
              <w:ind w:left="3937" w:hanging="3937"/>
              <w:rPr>
                <w:b/>
                <w:lang w:val="es-ES"/>
              </w:rPr>
            </w:pPr>
            <w:r w:rsidRPr="00C35766">
              <w:rPr>
                <w:rFonts w:eastAsia="맑은 고딕"/>
                <w:lang w:val="it-IT"/>
              </w:rPr>
              <w:t>•</w:t>
            </w:r>
            <w:r w:rsidRPr="00C35766">
              <w:rPr>
                <w:rFonts w:eastAsia="Times New Roman"/>
                <w:lang w:val="it-IT"/>
              </w:rPr>
              <w:tab/>
            </w:r>
            <w:r w:rsidRPr="00C35766">
              <w:rPr>
                <w:rFonts w:eastAsia="Times New Roman"/>
                <w:b/>
                <w:bCs/>
                <w:lang w:val="it-IT"/>
              </w:rPr>
              <w:t>Non</w:t>
            </w:r>
            <w:r w:rsidRPr="00C35766">
              <w:rPr>
                <w:rFonts w:eastAsia="Times New Roman"/>
                <w:lang w:val="it-IT"/>
              </w:rPr>
              <w:t xml:space="preserve"> riposizioni il cappuccio sulla siringa pre-riempita.</w:t>
            </w:r>
          </w:p>
          <w:p w14:paraId="59764911" w14:textId="77777777" w:rsidR="0050099E" w:rsidRPr="00C35766" w:rsidRDefault="0050099E" w:rsidP="00933A6C">
            <w:pPr>
              <w:pStyle w:val="a3"/>
              <w:ind w:left="4387" w:hanging="450"/>
              <w:rPr>
                <w:lang w:val="it-IT"/>
              </w:rPr>
            </w:pPr>
            <w:r w:rsidRPr="00C35766">
              <w:rPr>
                <w:rFonts w:eastAsia="Times New Roman"/>
                <w:b/>
                <w:bCs/>
                <w:lang w:val="it-IT"/>
              </w:rPr>
              <w:t>a.</w:t>
            </w:r>
            <w:r w:rsidRPr="00C35766">
              <w:rPr>
                <w:rFonts w:eastAsia="Times New Roman"/>
                <w:lang w:val="it-IT"/>
              </w:rPr>
              <w:tab/>
              <w:t>Getti via la siringa pre-riempita usata in un  contenitore speciale per lo smaltimento di oggetti taglienti, come da istruzioni  del medico, del farmacista o dell’infermiere.</w:t>
            </w:r>
          </w:p>
          <w:p w14:paraId="29DE016C" w14:textId="77777777" w:rsidR="0050099E" w:rsidRPr="00C35766" w:rsidRDefault="0050099E" w:rsidP="00933A6C">
            <w:pPr>
              <w:pStyle w:val="a3"/>
              <w:ind w:left="4387" w:hanging="450"/>
              <w:rPr>
                <w:lang w:val="pt-BR"/>
              </w:rPr>
            </w:pPr>
            <w:r w:rsidRPr="00C35766">
              <w:rPr>
                <w:rFonts w:eastAsia="Times New Roman"/>
                <w:b/>
                <w:bCs/>
                <w:lang w:val="it-IT"/>
              </w:rPr>
              <w:t>b.</w:t>
            </w:r>
            <w:r w:rsidRPr="00C35766">
              <w:rPr>
                <w:rFonts w:eastAsia="Times New Roman"/>
                <w:lang w:val="it-IT"/>
              </w:rPr>
              <w:tab/>
              <w:t>Il tampone imbevuto di alcol e l’imballaggio possono essere messi nei rifiuti domestici.</w:t>
            </w:r>
          </w:p>
          <w:p w14:paraId="44E94375" w14:textId="77777777" w:rsidR="0050099E" w:rsidRPr="00C35766" w:rsidRDefault="0050099E" w:rsidP="00933A6C">
            <w:pPr>
              <w:pStyle w:val="a3"/>
              <w:ind w:left="3937" w:hanging="3937"/>
              <w:rPr>
                <w:lang w:val="pt-BR"/>
              </w:rPr>
            </w:pPr>
            <w:r w:rsidRPr="00C35766">
              <w:rPr>
                <w:rFonts w:eastAsia="맑은 고딕"/>
                <w:lang w:val="it-IT"/>
              </w:rPr>
              <w:t>•</w:t>
            </w:r>
            <w:r w:rsidRPr="00C35766">
              <w:rPr>
                <w:rFonts w:eastAsia="Times New Roman"/>
                <w:lang w:val="it-IT"/>
              </w:rPr>
              <w:tab/>
              <w:t>Tenga sempre le siringa pre-riempita e il contenitore speciale per rifiuti taglienti fuori dalla vista e dalla portata dei bambini.</w:t>
            </w:r>
          </w:p>
          <w:p w14:paraId="43CDB453" w14:textId="77777777" w:rsidR="0050099E" w:rsidRPr="00C35766" w:rsidRDefault="0050099E" w:rsidP="00933A6C">
            <w:pPr>
              <w:pStyle w:val="a3"/>
              <w:rPr>
                <w:spacing w:val="-1"/>
                <w:lang w:val="pt-BR"/>
              </w:rPr>
            </w:pPr>
            <w:r w:rsidRPr="00C35766">
              <w:rPr>
                <w:noProof/>
                <w:lang w:eastAsia="ko-KR"/>
              </w:rPr>
              <mc:AlternateContent>
                <mc:Choice Requires="wps">
                  <w:drawing>
                    <wp:anchor distT="0" distB="0" distL="114300" distR="114300" simplePos="0" relativeHeight="251658315" behindDoc="0" locked="0" layoutInCell="1" allowOverlap="1" wp14:anchorId="3F820661" wp14:editId="3F9817D2">
                      <wp:simplePos x="0" y="0"/>
                      <wp:positionH relativeFrom="column">
                        <wp:posOffset>1428750</wp:posOffset>
                      </wp:positionH>
                      <wp:positionV relativeFrom="paragraph">
                        <wp:posOffset>529590</wp:posOffset>
                      </wp:positionV>
                      <wp:extent cx="719455" cy="146050"/>
                      <wp:effectExtent l="0" t="0" r="4445" b="6350"/>
                      <wp:wrapSquare wrapText="bothSides"/>
                      <wp:docPr id="182" name="Text Box 182"/>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41BDDC5E"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20661" id="Text Box 182" o:spid="_x0000_s1244" type="#_x0000_t202" style="position:absolute;margin-left:112.5pt;margin-top:41.7pt;width:56.65pt;height:11.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" stroked="f">
                      <v:textbox style="mso-fit-shape-to-text:t" inset="0,0,0,0">
                        <w:txbxContent>
                          <w:p w14:paraId="41BDDC5E"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v:textbox>
                      <w10:wrap type="square"/>
                    </v:shape>
                  </w:pict>
                </mc:Fallback>
              </mc:AlternateContent>
            </w:r>
          </w:p>
        </w:tc>
      </w:tr>
    </w:tbl>
    <w:p w14:paraId="186B544C" w14:textId="77777777" w:rsidR="0050099E" w:rsidRPr="00C35766" w:rsidRDefault="0050099E" w:rsidP="0050099E">
      <w:pPr>
        <w:spacing w:line="241" w:lineRule="auto"/>
        <w:rPr>
          <w:rFonts w:ascii="Times New Roman" w:hAnsi="Times New Roman" w:cs="Times New Roman"/>
          <w:lang w:val="pt-BR"/>
        </w:rPr>
      </w:pPr>
    </w:p>
    <w:p w14:paraId="25CB577E" w14:textId="77777777" w:rsidR="0050099E" w:rsidRPr="00C35766" w:rsidRDefault="0050099E" w:rsidP="0050099E">
      <w:pPr>
        <w:pStyle w:val="a3"/>
        <w:rPr>
          <w:b/>
          <w:lang w:val="es-ES"/>
        </w:rPr>
      </w:pPr>
      <w:r w:rsidRPr="00C35766">
        <w:rPr>
          <w:rFonts w:eastAsia="Times New Roman"/>
          <w:b/>
          <w:bCs/>
          <w:highlight w:val="lightGray"/>
          <w:lang w:val="it-IT"/>
        </w:rPr>
        <w:t>Yuflyma siringa pre-riempita con dispositivo di sicurezza per l’ago</w:t>
      </w:r>
    </w:p>
    <w:p w14:paraId="04E847C8" w14:textId="77777777" w:rsidR="0050099E" w:rsidRPr="00C35766" w:rsidRDefault="0050099E" w:rsidP="0050099E">
      <w:pPr>
        <w:spacing w:before="3"/>
        <w:ind w:left="1786" w:right="10920"/>
        <w:rPr>
          <w:rFonts w:ascii="Times New Roman" w:eastAsia="Times New Roman" w:hAnsi="Times New Roman" w:cs="Times New Roman"/>
          <w:sz w:val="20"/>
          <w:szCs w:val="20"/>
        </w:rPr>
      </w:pPr>
      <w:r w:rsidRPr="00C35766">
        <w:rPr>
          <w:rFonts w:ascii="Times New Roman" w:hAnsi="Times New Roman" w:cs="Times New Roman"/>
          <w:noProof/>
          <w:lang w:eastAsia="ko-KR"/>
        </w:rPr>
        <w:drawing>
          <wp:inline distT="0" distB="0" distL="0" distR="0" wp14:anchorId="58061749" wp14:editId="1D7B45E0">
            <wp:extent cx="4020054" cy="3792041"/>
            <wp:effectExtent l="0" t="0" r="0" b="0"/>
            <wp:docPr id="3957" name="그림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 name="그림 3957"/>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20054" cy="3792041"/>
                    </a:xfrm>
                    <a:prstGeom prst="rect">
                      <a:avLst/>
                    </a:prstGeom>
                  </pic:spPr>
                </pic:pic>
              </a:graphicData>
            </a:graphic>
          </wp:inline>
        </w:drawing>
      </w:r>
    </w:p>
    <w:p w14:paraId="5E167050" w14:textId="77777777" w:rsidR="0050099E" w:rsidRPr="00C35766" w:rsidRDefault="0050099E" w:rsidP="0050099E">
      <w:pPr>
        <w:spacing w:before="10" w:line="240" w:lineRule="exact"/>
        <w:ind w:left="6480" w:firstLineChars="500" w:firstLine="1001"/>
        <w:rPr>
          <w:rFonts w:ascii="Times New Roman" w:hAnsi="Times New Roman" w:cs="Times New Roman"/>
          <w:b/>
          <w:sz w:val="20"/>
          <w:szCs w:val="24"/>
          <w:lang w:val="es-ES" w:eastAsia="ko-KR"/>
        </w:rPr>
      </w:pPr>
      <w:r w:rsidRPr="00C35766">
        <w:rPr>
          <w:rFonts w:ascii="Times New Roman" w:eastAsia="Times New Roman" w:hAnsi="Times New Roman" w:cs="Times New Roman"/>
          <w:b/>
          <w:bCs/>
          <w:sz w:val="20"/>
          <w:szCs w:val="20"/>
          <w:highlight w:val="lightGray"/>
          <w:lang w:val="it-IT" w:eastAsia="ko-KR"/>
        </w:rPr>
        <w:t>Figura A</w:t>
      </w:r>
    </w:p>
    <w:p w14:paraId="1DDF90CB" w14:textId="77777777" w:rsidR="0050099E" w:rsidRPr="00C35766" w:rsidRDefault="0050099E" w:rsidP="0050099E">
      <w:pPr>
        <w:spacing w:before="10" w:line="240" w:lineRule="exact"/>
        <w:rPr>
          <w:rFonts w:ascii="Times New Roman" w:hAnsi="Times New Roman" w:cs="Times New Roman"/>
          <w:sz w:val="24"/>
          <w:szCs w:val="24"/>
          <w:lang w:val="es-ES"/>
        </w:rPr>
      </w:pPr>
    </w:p>
    <w:p w14:paraId="24C28C85" w14:textId="77777777" w:rsidR="0050099E" w:rsidRPr="00C35766" w:rsidRDefault="0050099E" w:rsidP="0050099E">
      <w:pPr>
        <w:pStyle w:val="a3"/>
        <w:rPr>
          <w:b/>
          <w:highlight w:val="lightGray"/>
          <w:lang w:val="es-ES"/>
        </w:rPr>
      </w:pPr>
      <w:r w:rsidRPr="00C35766">
        <w:rPr>
          <w:rFonts w:eastAsia="Times New Roman"/>
          <w:b/>
          <w:bCs/>
          <w:highlight w:val="lightGray"/>
          <w:lang w:val="it-IT"/>
        </w:rPr>
        <w:t>Non usi la siringa pre-riempita se:</w:t>
      </w:r>
    </w:p>
    <w:p w14:paraId="56959CD0" w14:textId="77777777" w:rsidR="0050099E" w:rsidRPr="00C35766" w:rsidRDefault="0050099E" w:rsidP="0050099E">
      <w:pPr>
        <w:pStyle w:val="a3"/>
        <w:numPr>
          <w:ilvl w:val="1"/>
          <w:numId w:val="23"/>
        </w:numPr>
        <w:ind w:left="660" w:hanging="660"/>
        <w:rPr>
          <w:highlight w:val="lightGray"/>
        </w:rPr>
      </w:pPr>
      <w:r w:rsidRPr="00C35766">
        <w:rPr>
          <w:rFonts w:eastAsia="Times New Roman"/>
          <w:highlight w:val="lightGray"/>
          <w:lang w:val="it-IT"/>
        </w:rPr>
        <w:t xml:space="preserve">è incrinata o danneggiata. </w:t>
      </w:r>
    </w:p>
    <w:p w14:paraId="44ADB0E1" w14:textId="77777777" w:rsidR="0050099E" w:rsidRPr="00613304" w:rsidRDefault="0050099E" w:rsidP="0050099E">
      <w:pPr>
        <w:pStyle w:val="a3"/>
        <w:numPr>
          <w:ilvl w:val="1"/>
          <w:numId w:val="23"/>
        </w:numPr>
        <w:ind w:left="660" w:hanging="660"/>
        <w:rPr>
          <w:highlight w:val="lightGray"/>
          <w:lang w:val="es-ES"/>
        </w:rPr>
      </w:pPr>
      <w:r w:rsidRPr="00C35766">
        <w:rPr>
          <w:rFonts w:eastAsia="Times New Roman"/>
          <w:highlight w:val="lightGray"/>
          <w:lang w:val="it-IT"/>
        </w:rPr>
        <w:t xml:space="preserve">è stata superata la data di scadenza. </w:t>
      </w:r>
    </w:p>
    <w:p w14:paraId="5B9060FF" w14:textId="4CE601B5" w:rsidR="00F21E03" w:rsidRPr="00C35766" w:rsidRDefault="00F21E03" w:rsidP="0050099E">
      <w:pPr>
        <w:pStyle w:val="a3"/>
        <w:numPr>
          <w:ilvl w:val="1"/>
          <w:numId w:val="23"/>
        </w:numPr>
        <w:ind w:left="660" w:hanging="660"/>
        <w:rPr>
          <w:highlight w:val="lightGray"/>
          <w:lang w:val="es-ES"/>
        </w:rPr>
      </w:pPr>
      <w:r w:rsidRPr="00613304">
        <w:rPr>
          <w:rFonts w:eastAsia="Times New Roman" w:hint="eastAsia"/>
          <w:highlight w:val="lightGray"/>
          <w:lang w:val="it-IT"/>
        </w:rPr>
        <w:t>è</w:t>
      </w:r>
      <w:r w:rsidRPr="00613304">
        <w:rPr>
          <w:rFonts w:eastAsia="Times New Roman"/>
          <w:highlight w:val="lightGray"/>
          <w:lang w:val="it-IT"/>
        </w:rPr>
        <w:t xml:space="preserve"> caduta su una superficie dura.</w:t>
      </w:r>
    </w:p>
    <w:p w14:paraId="56676EFE" w14:textId="77777777" w:rsidR="0050099E" w:rsidRPr="00C35766" w:rsidRDefault="0050099E" w:rsidP="0050099E">
      <w:pPr>
        <w:pStyle w:val="Default"/>
        <w:numPr>
          <w:ilvl w:val="2"/>
          <w:numId w:val="20"/>
        </w:numPr>
        <w:ind w:left="360"/>
        <w:rPr>
          <w:rFonts w:ascii="Times New Roman" w:hAnsi="Times New Roman" w:cs="Times New Roman"/>
          <w:color w:val="211D1E"/>
          <w:sz w:val="20"/>
          <w:szCs w:val="20"/>
          <w:highlight w:val="lightGray"/>
          <w:lang w:val="es-ES"/>
        </w:rPr>
      </w:pPr>
    </w:p>
    <w:p w14:paraId="5919FC82" w14:textId="77777777" w:rsidR="0050099E" w:rsidRPr="00C35766" w:rsidRDefault="0050099E" w:rsidP="0050099E">
      <w:pPr>
        <w:pStyle w:val="a3"/>
        <w:rPr>
          <w:b/>
          <w:lang w:val="it-IT"/>
        </w:rPr>
      </w:pPr>
      <w:r w:rsidRPr="00C35766">
        <w:rPr>
          <w:rFonts w:eastAsia="Times New Roman"/>
          <w:b/>
          <w:bCs/>
          <w:highlight w:val="lightGray"/>
          <w:lang w:val="it-IT"/>
        </w:rPr>
        <w:t>Rimuova il tappo dell’ago solo immediatamente prima dell’iniezione. Tenga Yuflyma fuori dalla vista e dalla portata dei bambini.</w:t>
      </w:r>
    </w:p>
    <w:p w14:paraId="54F8F931" w14:textId="73230B8D" w:rsidR="0050099E" w:rsidRPr="00C35766" w:rsidRDefault="0050099E" w:rsidP="0050099E">
      <w:pPr>
        <w:rPr>
          <w:rFonts w:ascii="Times New Roman" w:hAnsi="Times New Roman" w:cs="Times New Roman"/>
          <w:b/>
          <w:spacing w:val="-1"/>
          <w:lang w:val="it-IT"/>
        </w:rPr>
      </w:pPr>
    </w:p>
    <w:tbl>
      <w:tblPr>
        <w:tblStyle w:val="ac"/>
        <w:tblW w:w="0" w:type="auto"/>
        <w:tblLook w:val="04A0" w:firstRow="1" w:lastRow="0" w:firstColumn="1" w:lastColumn="0" w:noHBand="0" w:noVBand="1"/>
      </w:tblPr>
      <w:tblGrid>
        <w:gridCol w:w="9550"/>
      </w:tblGrid>
      <w:tr w:rsidR="0050099E" w:rsidRPr="00494E69" w14:paraId="08D6D347" w14:textId="77777777" w:rsidTr="00933A6C">
        <w:trPr>
          <w:trHeight w:val="2545"/>
        </w:trPr>
        <w:tc>
          <w:tcPr>
            <w:tcW w:w="9550" w:type="dxa"/>
          </w:tcPr>
          <w:p w14:paraId="6E7CB134" w14:textId="77777777" w:rsidR="0050099E" w:rsidRPr="00C35766" w:rsidRDefault="0050099E" w:rsidP="00933A6C">
            <w:pPr>
              <w:ind w:left="224" w:right="1248"/>
              <w:rPr>
                <w:rFonts w:ascii="Times New Roman" w:eastAsia="Times New Roman" w:hAnsi="Times New Roman" w:cs="Times New Roman"/>
                <w:b/>
                <w:bCs/>
                <w:spacing w:val="-1"/>
                <w:lang w:val="es-ES"/>
              </w:rPr>
            </w:pPr>
          </w:p>
          <w:p w14:paraId="40A70104" w14:textId="77777777" w:rsidR="0050099E" w:rsidRPr="00C35766" w:rsidRDefault="0050099E" w:rsidP="00933A6C">
            <w:pPr>
              <w:spacing w:before="9" w:line="240" w:lineRule="exact"/>
              <w:rPr>
                <w:rFonts w:ascii="Times New Roman" w:hAnsi="Times New Roman" w:cs="Times New Roman"/>
                <w:sz w:val="24"/>
                <w:szCs w:val="24"/>
                <w:lang w:val="es-ES"/>
              </w:rPr>
            </w:pPr>
          </w:p>
          <w:p w14:paraId="61DECA4C"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Prepari i materiali per l’iniezione</w:t>
            </w:r>
          </w:p>
          <w:p w14:paraId="3B03A944" w14:textId="77777777" w:rsidR="0050099E" w:rsidRPr="00C35766" w:rsidRDefault="0050099E" w:rsidP="00933A6C">
            <w:pPr>
              <w:pStyle w:val="a3"/>
              <w:numPr>
                <w:ilvl w:val="0"/>
                <w:numId w:val="0"/>
              </w:numPr>
              <w:ind w:left="580"/>
              <w:rPr>
                <w:b/>
                <w:highlight w:val="lightGray"/>
              </w:rPr>
            </w:pPr>
          </w:p>
          <w:p w14:paraId="16815F83" w14:textId="77777777" w:rsidR="0050099E" w:rsidRPr="00C35766" w:rsidRDefault="0050099E" w:rsidP="00933A6C">
            <w:pPr>
              <w:pStyle w:val="a3"/>
              <w:ind w:leftChars="100" w:left="220"/>
              <w:rPr>
                <w:highlight w:val="lightGray"/>
                <w:lang w:val="es-ES"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Prepari una superficie piana pulita, ad esempio un tavolo o ripiano, in un luogo ben illuminato.</w:t>
            </w:r>
          </w:p>
          <w:p w14:paraId="7C39D4D7" w14:textId="77777777" w:rsidR="0050099E" w:rsidRPr="00C35766" w:rsidRDefault="0050099E" w:rsidP="00933A6C">
            <w:pPr>
              <w:pStyle w:val="a3"/>
              <w:ind w:leftChars="100" w:left="220"/>
              <w:rPr>
                <w:highlight w:val="lightGray"/>
                <w:lang w:val="pt-BR" w:eastAsia="ko-KR"/>
              </w:rPr>
            </w:pPr>
            <w:r w:rsidRPr="00C35766">
              <w:rPr>
                <w:rFonts w:eastAsia="Times New Roman"/>
                <w:b/>
                <w:bCs/>
                <w:highlight w:val="lightGray"/>
                <w:lang w:val="it-IT" w:eastAsia="ko-KR"/>
              </w:rPr>
              <w:t xml:space="preserve"> b.</w:t>
            </w:r>
            <w:r w:rsidRPr="00C35766">
              <w:rPr>
                <w:rFonts w:eastAsia="Times New Roman"/>
                <w:highlight w:val="lightGray"/>
                <w:lang w:val="it-IT" w:eastAsia="ko-KR"/>
              </w:rPr>
              <w:t xml:space="preserve"> Rimuova 1 siringa pre-riempita dalla scatola conservata in frigorifero.</w:t>
            </w:r>
          </w:p>
          <w:p w14:paraId="51A73B68" w14:textId="77777777" w:rsidR="0050099E" w:rsidRPr="00C35766" w:rsidRDefault="0050099E" w:rsidP="00933A6C">
            <w:pPr>
              <w:pStyle w:val="a3"/>
              <w:ind w:leftChars="300" w:left="660" w:rightChars="100" w:right="220"/>
              <w:rPr>
                <w:highlight w:val="lightGray"/>
                <w:lang w:val="es-ES" w:eastAsia="ko-KR"/>
              </w:rPr>
            </w:pPr>
            <w:r w:rsidRPr="00C35766">
              <w:rPr>
                <w:rFonts w:eastAsia="맑은 고딕"/>
                <w:highlight w:val="lightGray"/>
                <w:lang w:val="it-IT" w:eastAsia="ko-KR"/>
              </w:rPr>
              <w:t>•</w:t>
            </w:r>
            <w:r w:rsidRPr="00C35766">
              <w:rPr>
                <w:rFonts w:eastAsia="Times New Roman"/>
                <w:highlight w:val="lightGray"/>
                <w:lang w:val="it-IT" w:eastAsia="ko-KR"/>
              </w:rPr>
              <w:t xml:space="preserve"> Quando rimuove la siringa pre-riempita dalla scatola la tenga per il corpo.</w:t>
            </w:r>
            <w:r w:rsidRPr="00C35766">
              <w:rPr>
                <w:rFonts w:eastAsia="Times New Roman"/>
                <w:b/>
                <w:bCs/>
                <w:highlight w:val="lightGray"/>
                <w:lang w:val="it-IT" w:eastAsia="ko-KR"/>
              </w:rPr>
              <w:t xml:space="preserve"> Non </w:t>
            </w:r>
            <w:r w:rsidRPr="00C35766">
              <w:rPr>
                <w:rFonts w:eastAsia="Times New Roman"/>
                <w:highlight w:val="lightGray"/>
                <w:lang w:val="it-IT" w:eastAsia="ko-KR"/>
              </w:rPr>
              <w:t>tocchi lo stantuffo.</w:t>
            </w:r>
          </w:p>
          <w:p w14:paraId="179EF600" w14:textId="77777777" w:rsidR="0050099E" w:rsidRPr="00C35766" w:rsidRDefault="0050099E" w:rsidP="00933A6C">
            <w:pPr>
              <w:pStyle w:val="a3"/>
              <w:ind w:leftChars="100" w:left="220"/>
              <w:rPr>
                <w:highlight w:val="lightGray"/>
                <w:lang w:val="pt-BR" w:eastAsia="ko-KR"/>
              </w:rPr>
            </w:pPr>
            <w:r w:rsidRPr="00C35766">
              <w:rPr>
                <w:rFonts w:eastAsia="Times New Roman"/>
                <w:b/>
                <w:bCs/>
                <w:highlight w:val="lightGray"/>
                <w:lang w:val="it-IT" w:eastAsia="ko-KR"/>
              </w:rPr>
              <w:t xml:space="preserve"> c.</w:t>
            </w:r>
            <w:r w:rsidRPr="00C35766">
              <w:rPr>
                <w:rFonts w:eastAsia="Times New Roman"/>
                <w:highlight w:val="lightGray"/>
                <w:lang w:val="it-IT" w:eastAsia="ko-KR"/>
              </w:rPr>
              <w:t xml:space="preserve"> Si assicuri di avere i seguenti materiali:</w:t>
            </w:r>
          </w:p>
          <w:p w14:paraId="48502315" w14:textId="77777777" w:rsidR="0050099E" w:rsidRPr="00C35766" w:rsidRDefault="0050099E" w:rsidP="00933A6C">
            <w:pPr>
              <w:pStyle w:val="a3"/>
              <w:ind w:leftChars="337" w:left="741"/>
              <w:rPr>
                <w:highlight w:val="lightGray"/>
                <w:lang w:val="pt-BR" w:eastAsia="ko-KR"/>
              </w:rPr>
            </w:pPr>
            <w:r w:rsidRPr="00C35766">
              <w:rPr>
                <w:rFonts w:eastAsia="Times New Roman"/>
                <w:highlight w:val="lightGray"/>
                <w:lang w:val="it-IT" w:eastAsia="ko-KR"/>
              </w:rPr>
              <w:t>- Siringa pre-riempita</w:t>
            </w:r>
          </w:p>
          <w:p w14:paraId="455EC89A" w14:textId="77777777" w:rsidR="0050099E" w:rsidRPr="00C35766" w:rsidRDefault="0050099E" w:rsidP="00933A6C">
            <w:pPr>
              <w:pStyle w:val="a3"/>
              <w:ind w:leftChars="337" w:left="1264" w:hanging="523"/>
              <w:rPr>
                <w:highlight w:val="lightGray"/>
                <w:lang w:val="pt-BR" w:eastAsia="ko-KR"/>
              </w:rPr>
            </w:pPr>
            <w:r w:rsidRPr="00C35766">
              <w:rPr>
                <w:rFonts w:eastAsia="Times New Roman"/>
                <w:highlight w:val="lightGray"/>
                <w:lang w:val="it-IT" w:eastAsia="ko-KR"/>
              </w:rPr>
              <w:t>- tampone imbevuto di alcol</w:t>
            </w:r>
          </w:p>
          <w:p w14:paraId="60428BF8" w14:textId="77777777" w:rsidR="0050099E" w:rsidRPr="00C35766" w:rsidRDefault="0050099E" w:rsidP="00933A6C">
            <w:pPr>
              <w:pStyle w:val="a3"/>
              <w:ind w:leftChars="337" w:left="1264" w:hanging="523"/>
              <w:rPr>
                <w:highlight w:val="lightGray"/>
                <w:lang w:val="pt-BR" w:eastAsia="ko-KR"/>
              </w:rPr>
            </w:pPr>
          </w:p>
          <w:p w14:paraId="740082A1" w14:textId="77777777" w:rsidR="0050099E" w:rsidRPr="00C35766" w:rsidRDefault="0050099E" w:rsidP="00933A6C">
            <w:pPr>
              <w:pStyle w:val="a3"/>
              <w:ind w:left="720"/>
              <w:rPr>
                <w:b/>
                <w:highlight w:val="lightGray"/>
                <w:lang w:val="pt-BR" w:eastAsia="ko-KR"/>
              </w:rPr>
            </w:pPr>
            <w:r w:rsidRPr="00C35766">
              <w:rPr>
                <w:rFonts w:eastAsia="Times New Roman"/>
                <w:b/>
                <w:bCs/>
                <w:highlight w:val="lightGray"/>
                <w:lang w:val="it-IT" w:eastAsia="ko-KR"/>
              </w:rPr>
              <w:t>Non compreso nella scatola:</w:t>
            </w:r>
          </w:p>
          <w:p w14:paraId="52A05D03" w14:textId="77777777" w:rsidR="0050099E" w:rsidRPr="00C35766" w:rsidRDefault="0050099E" w:rsidP="00933A6C">
            <w:pPr>
              <w:pStyle w:val="a3"/>
              <w:ind w:left="720"/>
              <w:rPr>
                <w:highlight w:val="lightGray"/>
                <w:lang w:val="pt-BR" w:eastAsia="ko-KR"/>
              </w:rPr>
            </w:pPr>
            <w:r w:rsidRPr="00C35766">
              <w:rPr>
                <w:rFonts w:eastAsia="Times New Roman"/>
                <w:highlight w:val="lightGray"/>
                <w:lang w:val="it-IT" w:eastAsia="ko-KR"/>
              </w:rPr>
              <w:t>- batuffolo di cotone idrofilo o garza</w:t>
            </w:r>
          </w:p>
          <w:p w14:paraId="6D1D261C" w14:textId="77777777" w:rsidR="0050099E" w:rsidRPr="00C35766" w:rsidRDefault="0050099E" w:rsidP="00933A6C">
            <w:pPr>
              <w:pStyle w:val="a3"/>
              <w:ind w:left="720"/>
              <w:rPr>
                <w:highlight w:val="lightGray"/>
                <w:lang w:val="pt-BR" w:eastAsia="ko-KR"/>
              </w:rPr>
            </w:pPr>
            <w:r w:rsidRPr="00C35766">
              <w:rPr>
                <w:rFonts w:eastAsia="Times New Roman"/>
                <w:highlight w:val="lightGray"/>
                <w:lang w:val="it-IT" w:eastAsia="ko-KR"/>
              </w:rPr>
              <w:t>- cerotto adesivo</w:t>
            </w:r>
          </w:p>
          <w:p w14:paraId="124C0134" w14:textId="77777777" w:rsidR="0050099E" w:rsidRPr="00C35766" w:rsidRDefault="0050099E" w:rsidP="00933A6C">
            <w:pPr>
              <w:pStyle w:val="a3"/>
              <w:ind w:left="720"/>
              <w:rPr>
                <w:lang w:val="pt-BR" w:eastAsia="ko-KR"/>
              </w:rPr>
            </w:pPr>
            <w:r w:rsidRPr="00C35766">
              <w:rPr>
                <w:rFonts w:eastAsia="Times New Roman"/>
                <w:highlight w:val="lightGray"/>
                <w:lang w:val="it-IT" w:eastAsia="ko-KR"/>
              </w:rPr>
              <w:t>- contenitore per smaltimento di materiale tagliente</w:t>
            </w:r>
          </w:p>
        </w:tc>
      </w:tr>
      <w:tr w:rsidR="0050099E" w:rsidRPr="006501B3" w14:paraId="5858B1E3" w14:textId="77777777" w:rsidTr="00933A6C">
        <w:trPr>
          <w:trHeight w:val="5372"/>
        </w:trPr>
        <w:tc>
          <w:tcPr>
            <w:tcW w:w="9550" w:type="dxa"/>
          </w:tcPr>
          <w:p w14:paraId="347404CA" w14:textId="77777777" w:rsidR="0050099E" w:rsidRPr="00C35766" w:rsidRDefault="0050099E" w:rsidP="00933A6C">
            <w:pPr>
              <w:ind w:left="224" w:right="1248"/>
              <w:rPr>
                <w:rFonts w:ascii="Times New Roman" w:eastAsia="Times New Roman" w:hAnsi="Times New Roman" w:cs="Times New Roman"/>
                <w:b/>
                <w:bCs/>
                <w:spacing w:val="-1"/>
                <w:lang w:val="pt-BR"/>
              </w:rPr>
            </w:pPr>
          </w:p>
          <w:p w14:paraId="61E8837C" w14:textId="126F48C0" w:rsidR="0050099E" w:rsidRPr="00C35766" w:rsidRDefault="00713ADC" w:rsidP="00933A6C">
            <w:pPr>
              <w:pStyle w:val="a3"/>
              <w:rPr>
                <w:lang w:val="pt-BR"/>
              </w:rPr>
            </w:pPr>
            <w:r w:rsidRPr="00C35766">
              <w:rPr>
                <w:noProof/>
                <w:lang w:eastAsia="ko-KR"/>
              </w:rPr>
              <mc:AlternateContent>
                <mc:Choice Requires="wpg">
                  <w:drawing>
                    <wp:anchor distT="0" distB="0" distL="114300" distR="114300" simplePos="0" relativeHeight="251658346" behindDoc="0" locked="0" layoutInCell="1" allowOverlap="1" wp14:anchorId="3FC308FE" wp14:editId="1D34570D">
                      <wp:simplePos x="0" y="0"/>
                      <wp:positionH relativeFrom="column">
                        <wp:posOffset>6350</wp:posOffset>
                      </wp:positionH>
                      <wp:positionV relativeFrom="paragraph">
                        <wp:posOffset>74295</wp:posOffset>
                      </wp:positionV>
                      <wp:extent cx="2319655" cy="2997200"/>
                      <wp:effectExtent l="0" t="0" r="4445" b="0"/>
                      <wp:wrapSquare wrapText="bothSides"/>
                      <wp:docPr id="183" name="그룹 183"/>
                      <wp:cNvGraphicFramePr/>
                      <a:graphic xmlns:a="http://schemas.openxmlformats.org/drawingml/2006/main">
                        <a:graphicData uri="http://schemas.microsoft.com/office/word/2010/wordprocessingGroup">
                          <wpg:wgp>
                            <wpg:cNvGrpSpPr/>
                            <wpg:grpSpPr>
                              <a:xfrm>
                                <a:off x="0" y="0"/>
                                <a:ext cx="2319655" cy="2997200"/>
                                <a:chOff x="0" y="-10175"/>
                                <a:chExt cx="2320290" cy="2997822"/>
                              </a:xfrm>
                            </wpg:grpSpPr>
                            <wpg:grpSp>
                              <wpg:cNvPr id="184" name="그룹 184"/>
                              <wpg:cNvGrpSpPr/>
                              <wpg:grpSpPr>
                                <a:xfrm>
                                  <a:off x="0" y="-10175"/>
                                  <a:ext cx="2320290" cy="2997822"/>
                                  <a:chOff x="0" y="-10175"/>
                                  <a:chExt cx="2320290" cy="2997822"/>
                                </a:xfrm>
                              </wpg:grpSpPr>
                              <pic:pic xmlns:pic="http://schemas.openxmlformats.org/drawingml/2006/picture">
                                <pic:nvPicPr>
                                  <pic:cNvPr id="185" name="그림 185"/>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0" y="-10175"/>
                                    <a:ext cx="2320290" cy="2828363"/>
                                  </a:xfrm>
                                  <a:prstGeom prst="rect">
                                    <a:avLst/>
                                  </a:prstGeom>
                                  <a:noFill/>
                                  <a:ln>
                                    <a:noFill/>
                                  </a:ln>
                                </pic:spPr>
                              </pic:pic>
                              <wps:wsp>
                                <wps:cNvPr id="186" name="Text Box 186"/>
                                <wps:cNvSpPr txBox="1"/>
                                <wps:spPr>
                                  <a:xfrm>
                                    <a:off x="1539519" y="2841597"/>
                                    <a:ext cx="719758" cy="146050"/>
                                  </a:xfrm>
                                  <a:prstGeom prst="rect">
                                    <a:avLst/>
                                  </a:prstGeom>
                                  <a:solidFill>
                                    <a:prstClr val="white"/>
                                  </a:solidFill>
                                  <a:ln>
                                    <a:noFill/>
                                  </a:ln>
                                </wps:spPr>
                                <wps:txbx>
                                  <w:txbxContent>
                                    <w:p w14:paraId="5E866684"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87" name="Text Box 187"/>
                              <wps:cNvSpPr txBox="1"/>
                              <wps:spPr>
                                <a:xfrm>
                                  <a:off x="1231084" y="1657645"/>
                                  <a:ext cx="934566" cy="1193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D983BE" w14:textId="77777777" w:rsidR="00D97785" w:rsidRPr="004F566E" w:rsidRDefault="00D97785" w:rsidP="0050099E">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FC308FE" id="그룹 183" o:spid="_x0000_s1245" style="position:absolute;margin-left:.5pt;margin-top:5.85pt;width:182.65pt;height:236pt;z-index:251658346;mso-width-relative:margin;mso-height-relative:margin" coordorigin=",-101" coordsize="23202,29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">
                      <v:group id="그룹 184" o:spid="_x0000_s1246" style="position:absolute;top:-101;width:23202;height:29977" coordorigin=",-101" coordsize="23202,2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그림 185" o:spid="_x0000_s1247" type="#_x0000_t75" style="position:absolute;top:-101;width:23202;height:2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">
                          <v:imagedata r:id="rId119" o:title=""/>
                        </v:shape>
                        <v:shape id="Text Box 186" o:spid="_x0000_s1248" type="#_x0000_t202" style="position:absolute;left:15395;top:28415;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" stroked="f">
                          <v:textbox style="mso-fit-shape-to-text:t" inset="0,0,0,0">
                            <w:txbxContent>
                              <w:p w14:paraId="5E866684"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B</w:t>
                                </w:r>
                              </w:p>
                            </w:txbxContent>
                          </v:textbox>
                        </v:shape>
                      </v:group>
                      <v:shape id="Text Box 187" o:spid="_x0000_s1249" type="#_x0000_t202" style="position:absolute;left:12310;top:16576;width:9346;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" fillcolor="white [3212]" stroked="f" strokeweight=".5pt">
                        <v:textbox inset="0,0,0,0">
                          <w:txbxContent>
                            <w:p w14:paraId="59D983BE" w14:textId="77777777" w:rsidR="00D97785" w:rsidRPr="004F566E" w:rsidRDefault="00D97785" w:rsidP="0050099E">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v:textbox>
                      </v:shape>
                      <w10:wrap type="square"/>
                    </v:group>
                  </w:pict>
                </mc:Fallback>
              </mc:AlternateContent>
            </w:r>
          </w:p>
          <w:p w14:paraId="30091E8A" w14:textId="2BF2889A" w:rsidR="0050099E" w:rsidRPr="00C35766" w:rsidRDefault="0050099E" w:rsidP="00933A6C">
            <w:pPr>
              <w:pStyle w:val="a3"/>
              <w:rPr>
                <w:lang w:val="pt-BR"/>
              </w:rPr>
            </w:pPr>
          </w:p>
          <w:p w14:paraId="68E55C96"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Ispezioni la siringa pre-riempita</w:t>
            </w:r>
          </w:p>
          <w:p w14:paraId="421DD922" w14:textId="77777777" w:rsidR="0050099E" w:rsidRPr="00C35766" w:rsidRDefault="0050099E" w:rsidP="00933A6C">
            <w:pPr>
              <w:pStyle w:val="a3"/>
              <w:numPr>
                <w:ilvl w:val="0"/>
                <w:numId w:val="0"/>
              </w:numPr>
              <w:ind w:left="471"/>
              <w:rPr>
                <w:b/>
                <w:highlight w:val="lightGray"/>
              </w:rPr>
            </w:pPr>
          </w:p>
          <w:p w14:paraId="0E1FC3BF" w14:textId="77777777" w:rsidR="0050099E" w:rsidRPr="00824699" w:rsidRDefault="0050099E" w:rsidP="00933A6C">
            <w:pPr>
              <w:pStyle w:val="a3"/>
              <w:rPr>
                <w:highlight w:val="lightGray"/>
                <w:lang w:val="it-IT"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Si assicuri di avere il medicinale (Yuflyma) e il dosaggio corretti </w:t>
            </w:r>
          </w:p>
          <w:p w14:paraId="73A53A6B" w14:textId="77777777" w:rsidR="0050099E" w:rsidRPr="00824699" w:rsidRDefault="0050099E" w:rsidP="00933A6C">
            <w:pPr>
              <w:pStyle w:val="a3"/>
              <w:rPr>
                <w:highlight w:val="lightGray"/>
                <w:lang w:val="it-IT" w:eastAsia="ko-KR"/>
              </w:rPr>
            </w:pPr>
            <w:r w:rsidRPr="00C35766">
              <w:rPr>
                <w:rFonts w:eastAsia="Times New Roman"/>
                <w:b/>
                <w:bCs/>
                <w:highlight w:val="lightGray"/>
                <w:lang w:val="it-IT" w:eastAsia="ko-KR"/>
              </w:rPr>
              <w:t xml:space="preserve"> b.</w:t>
            </w:r>
            <w:r w:rsidRPr="00C35766">
              <w:rPr>
                <w:rFonts w:eastAsia="Times New Roman"/>
                <w:highlight w:val="lightGray"/>
                <w:lang w:val="it-IT" w:eastAsia="ko-KR"/>
              </w:rPr>
              <w:t xml:space="preserve"> Guardi la siringa pre-riempita e si accerti che non sia </w:t>
            </w:r>
          </w:p>
          <w:p w14:paraId="24BF1861" w14:textId="77777777" w:rsidR="0050099E" w:rsidRPr="00824699" w:rsidRDefault="0050099E" w:rsidP="00933A6C">
            <w:pPr>
              <w:pStyle w:val="a3"/>
              <w:rPr>
                <w:highlight w:val="lightGray"/>
                <w:lang w:val="it-IT" w:eastAsia="ko-KR"/>
              </w:rPr>
            </w:pPr>
            <w:r w:rsidRPr="00C35766">
              <w:rPr>
                <w:rFonts w:eastAsia="Times New Roman"/>
                <w:highlight w:val="lightGray"/>
                <w:lang w:val="it-IT" w:eastAsia="ko-KR"/>
              </w:rPr>
              <w:t xml:space="preserve"> incrinata o danneggiata. </w:t>
            </w:r>
          </w:p>
          <w:p w14:paraId="5216FE4E" w14:textId="77777777" w:rsidR="0050099E" w:rsidRPr="00C35766" w:rsidRDefault="0050099E" w:rsidP="00933A6C">
            <w:pPr>
              <w:pStyle w:val="a3"/>
              <w:ind w:firstLineChars="50" w:firstLine="110"/>
              <w:rPr>
                <w:highlight w:val="lightGray"/>
                <w:lang w:val="es-ES" w:eastAsia="ko-KR"/>
              </w:rPr>
            </w:pPr>
            <w:r w:rsidRPr="00C35766">
              <w:rPr>
                <w:rFonts w:eastAsia="Times New Roman"/>
                <w:b/>
                <w:bCs/>
                <w:highlight w:val="lightGray"/>
                <w:lang w:val="it-IT" w:eastAsia="ko-KR"/>
              </w:rPr>
              <w:t xml:space="preserve"> c.</w:t>
            </w:r>
            <w:r w:rsidRPr="00C35766">
              <w:rPr>
                <w:rFonts w:eastAsia="Times New Roman"/>
                <w:highlight w:val="lightGray"/>
                <w:lang w:val="it-IT" w:eastAsia="ko-KR"/>
              </w:rPr>
              <w:t xml:space="preserve"> Controlli la data di scadenza sull’etichetta della siringa </w:t>
            </w:r>
          </w:p>
          <w:p w14:paraId="5726D199" w14:textId="77777777" w:rsidR="0050099E" w:rsidRPr="00C35766" w:rsidRDefault="0050099E" w:rsidP="00933A6C">
            <w:pPr>
              <w:pStyle w:val="a3"/>
              <w:rPr>
                <w:highlight w:val="lightGray"/>
                <w:lang w:val="es-ES" w:eastAsia="ko-KR"/>
              </w:rPr>
            </w:pPr>
            <w:r w:rsidRPr="00C35766">
              <w:rPr>
                <w:rFonts w:eastAsia="Times New Roman"/>
                <w:highlight w:val="lightGray"/>
                <w:lang w:val="it-IT" w:eastAsia="ko-KR"/>
              </w:rPr>
              <w:t xml:space="preserve"> pre-riempita. </w:t>
            </w:r>
          </w:p>
          <w:p w14:paraId="0743BD91" w14:textId="77777777" w:rsidR="0050099E" w:rsidRPr="00C35766" w:rsidRDefault="0050099E" w:rsidP="00933A6C">
            <w:pPr>
              <w:spacing w:line="260" w:lineRule="exact"/>
              <w:rPr>
                <w:rFonts w:ascii="Times New Roman" w:hAnsi="Times New Roman" w:cs="Times New Roman"/>
                <w:sz w:val="26"/>
                <w:szCs w:val="26"/>
                <w:highlight w:val="lightGray"/>
                <w:lang w:val="es-ES"/>
              </w:rPr>
            </w:pPr>
          </w:p>
          <w:p w14:paraId="4CCC1521" w14:textId="77777777" w:rsidR="0050099E" w:rsidRPr="00C35766" w:rsidRDefault="0050099E" w:rsidP="00933A6C">
            <w:pPr>
              <w:pStyle w:val="a3"/>
              <w:numPr>
                <w:ilvl w:val="0"/>
                <w:numId w:val="0"/>
              </w:numPr>
              <w:rPr>
                <w:highlight w:val="lightGray"/>
                <w:lang w:val="es-ES" w:eastAsia="ko-KR"/>
              </w:rPr>
            </w:pPr>
            <w:r w:rsidRPr="00C35766">
              <w:rPr>
                <w:rFonts w:eastAsia="Times New Roman"/>
                <w:b/>
                <w:bCs/>
                <w:highlight w:val="lightGray"/>
                <w:lang w:val="it-IT" w:eastAsia="ko-KR"/>
              </w:rPr>
              <w:t>Non</w:t>
            </w:r>
            <w:r w:rsidRPr="00C35766">
              <w:rPr>
                <w:rFonts w:eastAsia="Times New Roman"/>
                <w:highlight w:val="lightGray"/>
                <w:lang w:val="it-IT" w:eastAsia="ko-KR"/>
              </w:rPr>
              <w:t xml:space="preserve"> usi la siringa pre-riempita se:</w:t>
            </w:r>
          </w:p>
          <w:p w14:paraId="4C536855" w14:textId="05292ADA" w:rsidR="0050099E" w:rsidRPr="00C35766" w:rsidRDefault="0050099E" w:rsidP="00933A6C">
            <w:pPr>
              <w:pStyle w:val="a3"/>
              <w:numPr>
                <w:ilvl w:val="2"/>
                <w:numId w:val="38"/>
              </w:numPr>
              <w:rPr>
                <w:sz w:val="26"/>
                <w:szCs w:val="26"/>
                <w:highlight w:val="lightGray"/>
              </w:rPr>
            </w:pPr>
            <w:r w:rsidRPr="00C35766">
              <w:rPr>
                <w:rFonts w:eastAsia="Times New Roman"/>
                <w:highlight w:val="lightGray"/>
                <w:lang w:val="it-IT" w:eastAsia="ko-KR"/>
              </w:rPr>
              <w:t xml:space="preserve">è incrinata o danneggiata </w:t>
            </w:r>
          </w:p>
          <w:p w14:paraId="3DB147AF" w14:textId="77777777" w:rsidR="00F21E03" w:rsidRPr="00613304" w:rsidRDefault="0050099E" w:rsidP="00933A6C">
            <w:pPr>
              <w:pStyle w:val="a3"/>
              <w:numPr>
                <w:ilvl w:val="2"/>
                <w:numId w:val="38"/>
              </w:numPr>
              <w:rPr>
                <w:rFonts w:eastAsia="Times New Roman"/>
                <w:highlight w:val="lightGray"/>
                <w:lang w:val="it-IT" w:eastAsia="ko-KR"/>
              </w:rPr>
            </w:pPr>
            <w:r w:rsidRPr="00C35766">
              <w:rPr>
                <w:rFonts w:eastAsia="Times New Roman"/>
                <w:highlight w:val="lightGray"/>
                <w:lang w:val="it-IT" w:eastAsia="ko-KR"/>
              </w:rPr>
              <w:t>la data di scadenza è stata superata.</w:t>
            </w:r>
          </w:p>
          <w:p w14:paraId="36D65A73" w14:textId="5517E9BA" w:rsidR="0050099E" w:rsidRPr="00824699" w:rsidRDefault="00F21E03" w:rsidP="00933A6C">
            <w:pPr>
              <w:pStyle w:val="a3"/>
              <w:numPr>
                <w:ilvl w:val="2"/>
                <w:numId w:val="38"/>
              </w:numPr>
              <w:rPr>
                <w:sz w:val="26"/>
                <w:szCs w:val="26"/>
                <w:lang w:val="it-IT"/>
              </w:rPr>
            </w:pPr>
            <w:r w:rsidRPr="00613304">
              <w:rPr>
                <w:rFonts w:eastAsia="Times New Roman" w:hint="eastAsia"/>
                <w:highlight w:val="lightGray"/>
                <w:lang w:val="it-IT" w:eastAsia="ko-KR"/>
              </w:rPr>
              <w:t>è</w:t>
            </w:r>
            <w:r w:rsidRPr="00613304">
              <w:rPr>
                <w:rFonts w:eastAsia="Times New Roman"/>
                <w:highlight w:val="lightGray"/>
                <w:lang w:val="it-IT" w:eastAsia="ko-KR"/>
              </w:rPr>
              <w:t xml:space="preserve"> caduta su una superficie dura.</w:t>
            </w:r>
            <w:r w:rsidR="0050099E" w:rsidRPr="00613304">
              <w:rPr>
                <w:rFonts w:eastAsia="Times New Roman"/>
                <w:highlight w:val="lightGray"/>
                <w:lang w:val="it-IT" w:eastAsia="ko-KR"/>
              </w:rPr>
              <w:t xml:space="preserve"> </w:t>
            </w:r>
          </w:p>
        </w:tc>
      </w:tr>
      <w:tr w:rsidR="0050099E" w:rsidRPr="00C35766" w14:paraId="4F266CA9" w14:textId="77777777" w:rsidTr="00933A6C">
        <w:trPr>
          <w:trHeight w:val="5521"/>
        </w:trPr>
        <w:tc>
          <w:tcPr>
            <w:tcW w:w="9550" w:type="dxa"/>
          </w:tcPr>
          <w:p w14:paraId="5DAD2F93" w14:textId="77777777" w:rsidR="0050099E" w:rsidRPr="00824699" w:rsidRDefault="0050099E" w:rsidP="00933A6C">
            <w:pPr>
              <w:spacing w:line="260" w:lineRule="exact"/>
              <w:rPr>
                <w:rFonts w:ascii="Times New Roman" w:hAnsi="Times New Roman" w:cs="Times New Roman"/>
                <w:sz w:val="26"/>
                <w:szCs w:val="26"/>
                <w:lang w:val="it-IT"/>
              </w:rPr>
            </w:pPr>
          </w:p>
          <w:p w14:paraId="5806F9A3" w14:textId="62508D0E" w:rsidR="0050099E" w:rsidRPr="00824699" w:rsidRDefault="00713ADC" w:rsidP="00933A6C">
            <w:pPr>
              <w:spacing w:line="260" w:lineRule="exact"/>
              <w:rPr>
                <w:rFonts w:ascii="Times New Roman" w:eastAsia="Times New Roman" w:hAnsi="Times New Roman" w:cs="Times New Roman"/>
                <w:b/>
                <w:bCs/>
                <w:spacing w:val="-1"/>
                <w:lang w:val="it-IT"/>
              </w:rPr>
            </w:pPr>
            <w:r w:rsidRPr="00C35766">
              <w:rPr>
                <w:rFonts w:ascii="Times New Roman" w:hAnsi="Times New Roman" w:cs="Times New Roman"/>
                <w:noProof/>
                <w:sz w:val="26"/>
                <w:szCs w:val="26"/>
                <w:highlight w:val="lightGray"/>
                <w:lang w:eastAsia="ko-KR"/>
              </w:rPr>
              <mc:AlternateContent>
                <mc:Choice Requires="wpg">
                  <w:drawing>
                    <wp:anchor distT="0" distB="0" distL="114300" distR="114300" simplePos="0" relativeHeight="251658345" behindDoc="0" locked="0" layoutInCell="1" allowOverlap="1" wp14:anchorId="0CF71B02" wp14:editId="7BFC5BCB">
                      <wp:simplePos x="0" y="0"/>
                      <wp:positionH relativeFrom="column">
                        <wp:posOffset>91440</wp:posOffset>
                      </wp:positionH>
                      <wp:positionV relativeFrom="paragraph">
                        <wp:posOffset>118110</wp:posOffset>
                      </wp:positionV>
                      <wp:extent cx="2230755" cy="2868295"/>
                      <wp:effectExtent l="0" t="0" r="0" b="8255"/>
                      <wp:wrapSquare wrapText="bothSides"/>
                      <wp:docPr id="190" name="그룹 190"/>
                      <wp:cNvGraphicFramePr/>
                      <a:graphic xmlns:a="http://schemas.openxmlformats.org/drawingml/2006/main">
                        <a:graphicData uri="http://schemas.microsoft.com/office/word/2010/wordprocessingGroup">
                          <wpg:wgp>
                            <wpg:cNvGrpSpPr/>
                            <wpg:grpSpPr>
                              <a:xfrm>
                                <a:off x="0" y="0"/>
                                <a:ext cx="2230755" cy="2868295"/>
                                <a:chOff x="0" y="648"/>
                                <a:chExt cx="2231058" cy="2868113"/>
                              </a:xfrm>
                            </wpg:grpSpPr>
                            <pic:pic xmlns:pic="http://schemas.openxmlformats.org/drawingml/2006/picture">
                              <pic:nvPicPr>
                                <pic:cNvPr id="191" name="그림 191"/>
                                <pic:cNvPicPr>
                                  <a:picLocks noChangeAspect="1"/>
                                </pic:cNvPicPr>
                              </pic:nvPicPr>
                              <pic:blipFill>
                                <a:blip r:embed="rId120" cstate="print">
                                  <a:extLst>
                                    <a:ext uri="{28A0092B-C50C-407E-A947-70E740481C1C}">
                                      <a14:useLocalDpi xmlns:a14="http://schemas.microsoft.com/office/drawing/2010/main" val="0"/>
                                    </a:ext>
                                  </a:extLst>
                                </a:blip>
                                <a:srcRect/>
                                <a:stretch/>
                              </pic:blipFill>
                              <pic:spPr bwMode="auto">
                                <a:xfrm>
                                  <a:off x="0" y="648"/>
                                  <a:ext cx="2230755" cy="2690469"/>
                                </a:xfrm>
                                <a:prstGeom prst="rect">
                                  <a:avLst/>
                                </a:prstGeom>
                                <a:noFill/>
                                <a:ln>
                                  <a:noFill/>
                                </a:ln>
                              </pic:spPr>
                            </pic:pic>
                            <wps:wsp>
                              <wps:cNvPr id="3840" name="Text Box 3840"/>
                              <wps:cNvSpPr txBox="1"/>
                              <wps:spPr>
                                <a:xfrm>
                                  <a:off x="1511300" y="2722711"/>
                                  <a:ext cx="719758" cy="146050"/>
                                </a:xfrm>
                                <a:prstGeom prst="rect">
                                  <a:avLst/>
                                </a:prstGeom>
                                <a:solidFill>
                                  <a:prstClr val="white"/>
                                </a:solidFill>
                                <a:ln>
                                  <a:noFill/>
                                </a:ln>
                              </wps:spPr>
                              <wps:txbx>
                                <w:txbxContent>
                                  <w:p w14:paraId="7C81F66F"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CF71B02" id="그룹 190" o:spid="_x0000_s1250" style="position:absolute;margin-left:7.2pt;margin-top:9.3pt;width:175.65pt;height:225.85pt;z-index:251658345;mso-height-relative:margin" coordorigin=",6" coordsize="22310,28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">
                      <v:shape id="그림 191" o:spid="_x0000_s1251" type="#_x0000_t75" style="position:absolute;top:6;width:22307;height:26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">
                        <v:imagedata r:id="rId121" o:title=""/>
                      </v:shape>
                      <v:shape id="Text Box 3840" o:spid="_x0000_s1252" type="#_x0000_t202" style="position:absolute;left:15113;top:27227;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" stroked="f">
                        <v:textbox style="mso-fit-shape-to-text:t" inset="0,0,0,0">
                          <w:txbxContent>
                            <w:p w14:paraId="7C81F66F"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C</w:t>
                              </w:r>
                            </w:p>
                          </w:txbxContent>
                        </v:textbox>
                      </v:shape>
                      <w10:wrap type="square"/>
                    </v:group>
                  </w:pict>
                </mc:Fallback>
              </mc:AlternateContent>
            </w:r>
          </w:p>
          <w:p w14:paraId="09ABDFAF" w14:textId="1DBFCE0D" w:rsidR="0050099E" w:rsidRPr="00824699" w:rsidRDefault="0050099E" w:rsidP="00933A6C">
            <w:pPr>
              <w:spacing w:line="260" w:lineRule="exact"/>
              <w:rPr>
                <w:rFonts w:ascii="Times New Roman" w:hAnsi="Times New Roman" w:cs="Times New Roman"/>
                <w:sz w:val="26"/>
                <w:szCs w:val="26"/>
                <w:highlight w:val="lightGray"/>
                <w:lang w:val="it-IT"/>
              </w:rPr>
            </w:pPr>
          </w:p>
          <w:p w14:paraId="21B0FF6A" w14:textId="77777777" w:rsidR="0050099E" w:rsidRPr="00C35766" w:rsidRDefault="0050099E" w:rsidP="00933A6C">
            <w:pPr>
              <w:pStyle w:val="a3"/>
              <w:numPr>
                <w:ilvl w:val="0"/>
                <w:numId w:val="64"/>
              </w:numPr>
              <w:rPr>
                <w:b/>
                <w:highlight w:val="lightGray"/>
                <w:lang w:eastAsia="ko-KR"/>
              </w:rPr>
            </w:pPr>
            <w:r w:rsidRPr="00C35766">
              <w:rPr>
                <w:rFonts w:eastAsia="Times New Roman"/>
                <w:b/>
                <w:bCs/>
                <w:highlight w:val="lightGray"/>
                <w:lang w:val="it-IT"/>
              </w:rPr>
              <w:t>Ispezioni il farmaco</w:t>
            </w:r>
          </w:p>
          <w:p w14:paraId="1E4339E3" w14:textId="77777777" w:rsidR="0050099E" w:rsidRPr="00C35766" w:rsidRDefault="0050099E" w:rsidP="00933A6C">
            <w:pPr>
              <w:pStyle w:val="a3"/>
              <w:rPr>
                <w:b/>
                <w:highlight w:val="lightGray"/>
                <w:lang w:eastAsia="ko-KR"/>
              </w:rPr>
            </w:pPr>
          </w:p>
          <w:p w14:paraId="14106BAB" w14:textId="77777777" w:rsidR="0050099E" w:rsidRPr="00824699" w:rsidRDefault="0050099E" w:rsidP="00933A6C">
            <w:pPr>
              <w:pStyle w:val="a3"/>
              <w:rPr>
                <w:highlight w:val="lightGray"/>
                <w:lang w:val="it-IT" w:eastAsia="ko-KR"/>
              </w:rPr>
            </w:pPr>
            <w:r w:rsidRPr="00C35766">
              <w:rPr>
                <w:rFonts w:eastAsia="Times New Roman"/>
                <w:b/>
                <w:bCs/>
                <w:highlight w:val="lightGray"/>
                <w:lang w:val="it-IT" w:eastAsia="ko-KR"/>
              </w:rPr>
              <w:t xml:space="preserve"> a.</w:t>
            </w:r>
            <w:r w:rsidRPr="00C35766">
              <w:rPr>
                <w:rFonts w:eastAsia="Times New Roman"/>
                <w:highlight w:val="lightGray"/>
                <w:lang w:val="it-IT" w:eastAsia="ko-KR"/>
              </w:rPr>
              <w:t xml:space="preserve"> Guardi il farmaco per confermare che il liquido sia </w:t>
            </w:r>
          </w:p>
          <w:p w14:paraId="54FF4D6C" w14:textId="77777777" w:rsidR="0050099E" w:rsidRPr="00C35766" w:rsidRDefault="0050099E" w:rsidP="00933A6C">
            <w:pPr>
              <w:pStyle w:val="a3"/>
              <w:rPr>
                <w:highlight w:val="lightGray"/>
                <w:lang w:val="pt-BR" w:eastAsia="ko-KR"/>
              </w:rPr>
            </w:pPr>
            <w:r w:rsidRPr="00C35766">
              <w:rPr>
                <w:rFonts w:eastAsia="Times New Roman"/>
                <w:highlight w:val="lightGray"/>
                <w:lang w:val="it-IT" w:eastAsia="ko-KR"/>
              </w:rPr>
              <w:t xml:space="preserve"> limpido, da incolore a marrone chiaro e privo di particelle.</w:t>
            </w:r>
          </w:p>
          <w:p w14:paraId="6149FAF4" w14:textId="77777777" w:rsidR="0050099E" w:rsidRPr="00824699" w:rsidRDefault="0050099E" w:rsidP="00933A6C">
            <w:pPr>
              <w:pStyle w:val="a3"/>
              <w:rPr>
                <w:sz w:val="26"/>
                <w:szCs w:val="26"/>
                <w:highlight w:val="lightGray"/>
                <w:lang w:val="it-IT"/>
              </w:rPr>
            </w:pPr>
          </w:p>
          <w:p w14:paraId="6E2D50DC" w14:textId="77777777" w:rsidR="0050099E" w:rsidRPr="00824699" w:rsidRDefault="0050099E" w:rsidP="00933A6C">
            <w:pPr>
              <w:pStyle w:val="a3"/>
              <w:numPr>
                <w:ilvl w:val="0"/>
                <w:numId w:val="16"/>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usi la siringa pre-riempita se il liquido è: </w:t>
            </w:r>
          </w:p>
          <w:p w14:paraId="5B83E92D" w14:textId="77777777" w:rsidR="0050099E" w:rsidRPr="00C35766" w:rsidRDefault="0050099E" w:rsidP="00933A6C">
            <w:pPr>
              <w:pStyle w:val="a3"/>
              <w:numPr>
                <w:ilvl w:val="0"/>
                <w:numId w:val="0"/>
              </w:numPr>
              <w:ind w:firstLineChars="250" w:firstLine="550"/>
              <w:rPr>
                <w:rFonts w:eastAsia="Times New Roman"/>
                <w:highlight w:val="lightGray"/>
                <w:lang w:val="it-IT"/>
              </w:rPr>
            </w:pPr>
            <w:r w:rsidRPr="00C35766">
              <w:rPr>
                <w:rFonts w:eastAsia="Times New Roman"/>
                <w:highlight w:val="lightGray"/>
                <w:lang w:val="it-IT"/>
              </w:rPr>
              <w:t xml:space="preserve">di colore alterato (giallo o marrone scuro), torbido o </w:t>
            </w:r>
          </w:p>
          <w:p w14:paraId="6E955ADB" w14:textId="77777777" w:rsidR="0050099E" w:rsidRPr="00C35766" w:rsidRDefault="0050099E" w:rsidP="00933A6C">
            <w:pPr>
              <w:pStyle w:val="a3"/>
              <w:numPr>
                <w:ilvl w:val="0"/>
                <w:numId w:val="0"/>
              </w:numPr>
              <w:ind w:firstLineChars="250" w:firstLine="550"/>
              <w:rPr>
                <w:highlight w:val="lightGray"/>
              </w:rPr>
            </w:pPr>
            <w:r w:rsidRPr="00C35766">
              <w:rPr>
                <w:rFonts w:eastAsia="Times New Roman"/>
                <w:highlight w:val="lightGray"/>
                <w:lang w:val="it-IT"/>
              </w:rPr>
              <w:t>contiene particelle.</w:t>
            </w:r>
          </w:p>
          <w:p w14:paraId="72CB78E5" w14:textId="77777777" w:rsidR="0050099E" w:rsidRPr="00C35766" w:rsidRDefault="0050099E" w:rsidP="00933A6C">
            <w:pPr>
              <w:pStyle w:val="a3"/>
              <w:numPr>
                <w:ilvl w:val="0"/>
                <w:numId w:val="0"/>
              </w:numPr>
              <w:rPr>
                <w:highlight w:val="lightGray"/>
              </w:rPr>
            </w:pPr>
          </w:p>
          <w:p w14:paraId="02E9D46B" w14:textId="77777777" w:rsidR="0050099E" w:rsidRPr="00C35766" w:rsidRDefault="0050099E" w:rsidP="00933A6C">
            <w:pPr>
              <w:pStyle w:val="a3"/>
              <w:numPr>
                <w:ilvl w:val="0"/>
                <w:numId w:val="16"/>
              </w:numPr>
              <w:rPr>
                <w:sz w:val="26"/>
                <w:szCs w:val="26"/>
                <w:highlight w:val="lightGray"/>
              </w:rPr>
            </w:pPr>
            <w:r w:rsidRPr="00C35766">
              <w:rPr>
                <w:rFonts w:eastAsia="Times New Roman"/>
                <w:highlight w:val="lightGray"/>
                <w:lang w:val="it-IT"/>
              </w:rPr>
              <w:t xml:space="preserve">Potrebbe vedere bolle d’aria nel liquido. Questo è </w:t>
            </w:r>
          </w:p>
          <w:p w14:paraId="5F86BDA6" w14:textId="77777777" w:rsidR="0050099E" w:rsidRPr="00C35766" w:rsidRDefault="0050099E" w:rsidP="00933A6C">
            <w:pPr>
              <w:pStyle w:val="a3"/>
              <w:numPr>
                <w:ilvl w:val="0"/>
                <w:numId w:val="0"/>
              </w:numPr>
              <w:ind w:left="1384" w:firstLineChars="200" w:firstLine="440"/>
              <w:rPr>
                <w:sz w:val="26"/>
                <w:szCs w:val="26"/>
              </w:rPr>
            </w:pPr>
            <w:r w:rsidRPr="00C35766">
              <w:rPr>
                <w:rFonts w:eastAsia="Times New Roman"/>
                <w:highlight w:val="lightGray"/>
                <w:lang w:val="it-IT"/>
              </w:rPr>
              <w:t>normale.</w:t>
            </w:r>
          </w:p>
        </w:tc>
      </w:tr>
      <w:tr w:rsidR="0050099E" w:rsidRPr="006501B3" w14:paraId="273D1A39" w14:textId="77777777" w:rsidTr="00933A6C">
        <w:trPr>
          <w:trHeight w:val="5238"/>
        </w:trPr>
        <w:tc>
          <w:tcPr>
            <w:tcW w:w="9550" w:type="dxa"/>
          </w:tcPr>
          <w:p w14:paraId="10237AB2" w14:textId="77777777" w:rsidR="0050099E" w:rsidRPr="00C35766" w:rsidRDefault="0050099E" w:rsidP="00933A6C">
            <w:pPr>
              <w:ind w:left="224" w:right="1248"/>
              <w:rPr>
                <w:rFonts w:ascii="Times New Roman" w:eastAsia="Times New Roman" w:hAnsi="Times New Roman" w:cs="Times New Roman"/>
                <w:b/>
                <w:bCs/>
                <w:spacing w:val="-1"/>
              </w:rPr>
            </w:pPr>
          </w:p>
          <w:p w14:paraId="3C26B656" w14:textId="1BDC016B" w:rsidR="0050099E" w:rsidRPr="00C35766" w:rsidRDefault="00713ADC" w:rsidP="00933A6C">
            <w:pPr>
              <w:spacing w:line="260" w:lineRule="exact"/>
              <w:rPr>
                <w:rFonts w:ascii="Times New Roman" w:hAnsi="Times New Roman" w:cs="Times New Roman"/>
                <w:sz w:val="26"/>
                <w:szCs w:val="26"/>
              </w:rPr>
            </w:pPr>
            <w:r w:rsidRPr="00C35766">
              <w:rPr>
                <w:rFonts w:ascii="Times New Roman" w:hAnsi="Times New Roman" w:cs="Times New Roman"/>
                <w:noProof/>
                <w:sz w:val="26"/>
                <w:szCs w:val="26"/>
                <w:lang w:eastAsia="ko-KR"/>
              </w:rPr>
              <mc:AlternateContent>
                <mc:Choice Requires="wpg">
                  <w:drawing>
                    <wp:anchor distT="0" distB="0" distL="114300" distR="114300" simplePos="0" relativeHeight="251658330" behindDoc="0" locked="0" layoutInCell="1" allowOverlap="1" wp14:anchorId="1FFD0157" wp14:editId="1B5A854B">
                      <wp:simplePos x="0" y="0"/>
                      <wp:positionH relativeFrom="column">
                        <wp:posOffset>69850</wp:posOffset>
                      </wp:positionH>
                      <wp:positionV relativeFrom="paragraph">
                        <wp:posOffset>84455</wp:posOffset>
                      </wp:positionV>
                      <wp:extent cx="2172335" cy="2945130"/>
                      <wp:effectExtent l="0" t="0" r="0" b="7620"/>
                      <wp:wrapSquare wrapText="bothSides"/>
                      <wp:docPr id="3841" name="그룹 3841"/>
                      <wp:cNvGraphicFramePr/>
                      <a:graphic xmlns:a="http://schemas.openxmlformats.org/drawingml/2006/main">
                        <a:graphicData uri="http://schemas.microsoft.com/office/word/2010/wordprocessingGroup">
                          <wpg:wgp>
                            <wpg:cNvGrpSpPr/>
                            <wpg:grpSpPr>
                              <a:xfrm>
                                <a:off x="0" y="0"/>
                                <a:ext cx="2172335" cy="2945130"/>
                                <a:chOff x="6271" y="0"/>
                                <a:chExt cx="2173191" cy="2946664"/>
                              </a:xfrm>
                            </wpg:grpSpPr>
                            <wpg:grpSp>
                              <wpg:cNvPr id="3842" name="그룹 3842"/>
                              <wpg:cNvGrpSpPr/>
                              <wpg:grpSpPr>
                                <a:xfrm>
                                  <a:off x="6271" y="0"/>
                                  <a:ext cx="2173191" cy="2946664"/>
                                  <a:chOff x="6271" y="0"/>
                                  <a:chExt cx="2173191" cy="2946664"/>
                                </a:xfrm>
                              </wpg:grpSpPr>
                              <pic:pic xmlns:pic="http://schemas.openxmlformats.org/drawingml/2006/picture">
                                <pic:nvPicPr>
                                  <pic:cNvPr id="3843" name="그림 3843"/>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bwMode="auto">
                                  <a:xfrm>
                                    <a:off x="6271" y="0"/>
                                    <a:ext cx="2162966" cy="2654935"/>
                                  </a:xfrm>
                                  <a:prstGeom prst="rect">
                                    <a:avLst/>
                                  </a:prstGeom>
                                  <a:noFill/>
                                  <a:ln>
                                    <a:noFill/>
                                  </a:ln>
                                </pic:spPr>
                              </pic:pic>
                              <wps:wsp>
                                <wps:cNvPr id="3844" name="Text Box 3844"/>
                                <wps:cNvSpPr txBox="1"/>
                                <wps:spPr>
                                  <a:xfrm>
                                    <a:off x="1431595" y="2674731"/>
                                    <a:ext cx="747867" cy="271933"/>
                                  </a:xfrm>
                                  <a:prstGeom prst="rect">
                                    <a:avLst/>
                                  </a:prstGeom>
                                  <a:solidFill>
                                    <a:prstClr val="white"/>
                                  </a:solidFill>
                                  <a:ln>
                                    <a:noFill/>
                                  </a:ln>
                                </wps:spPr>
                                <wps:txbx>
                                  <w:txbxContent>
                                    <w:p w14:paraId="178264D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45" name="Text Box 3845"/>
                              <wps:cNvSpPr txBox="1"/>
                              <wps:spPr>
                                <a:xfrm>
                                  <a:off x="1150620" y="60960"/>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E7DA6B" w14:textId="77777777" w:rsidR="00D97785" w:rsidRDefault="00D97785" w:rsidP="0050099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FFD0157" id="그룹 3841" o:spid="_x0000_s1253" style="position:absolute;margin-left:5.5pt;margin-top:6.65pt;width:171.05pt;height:231.9pt;z-index:251658330;mso-width-relative:margin;mso-height-relative:margin" coordorigin="62" coordsize="21731,29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">
                      <v:group id="그룹 3842" o:spid="_x0000_s1254" style="position:absolute;left:62;width:21732;height:29466" coordorigin="62" coordsize="21731,2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">
                        <v:shape id="그림 3843" o:spid="_x0000_s1255" type="#_x0000_t75" style="position:absolute;left:62;width:21630;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">
                          <v:imagedata r:id="rId123" o:title=""/>
                        </v:shape>
                        <v:shape id="Text Box 3844" o:spid="_x0000_s1256" type="#_x0000_t202" style="position:absolute;left:14315;top:26747;width:7479;height: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" stroked="f">
                          <v:textbox inset="0,0,0,0">
                            <w:txbxContent>
                              <w:p w14:paraId="178264D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D</w:t>
                                </w:r>
                              </w:p>
                            </w:txbxContent>
                          </v:textbox>
                        </v:shape>
                      </v:group>
                      <v:shape id="Text Box 3845" o:spid="_x0000_s1257" type="#_x0000_t202" style="position:absolute;left:11506;top:609;width:8585;height:10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" fillcolor="white [3212]" stroked="f" strokeweight=".5pt">
                        <v:textbox inset="0,0,0,0">
                          <w:txbxContent>
                            <w:p w14:paraId="06E7DA6B" w14:textId="77777777" w:rsidR="00D97785" w:rsidRDefault="00D97785" w:rsidP="0050099E">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it-IT"/>
                                </w:rPr>
                                <w:t>15 - 30 minuti</w:t>
                              </w:r>
                            </w:p>
                          </w:txbxContent>
                        </v:textbox>
                      </v:shape>
                      <w10:wrap type="square"/>
                    </v:group>
                  </w:pict>
                </mc:Fallback>
              </mc:AlternateContent>
            </w:r>
          </w:p>
          <w:p w14:paraId="342DD982" w14:textId="365FFF90" w:rsidR="0050099E" w:rsidRPr="00C35766" w:rsidRDefault="0050099E" w:rsidP="00933A6C">
            <w:pPr>
              <w:spacing w:line="260" w:lineRule="exact"/>
              <w:rPr>
                <w:rFonts w:ascii="Times New Roman" w:hAnsi="Times New Roman" w:cs="Times New Roman"/>
                <w:sz w:val="26"/>
                <w:szCs w:val="26"/>
              </w:rPr>
            </w:pPr>
          </w:p>
          <w:p w14:paraId="5DFE2904" w14:textId="77777777" w:rsidR="0050099E" w:rsidRPr="00C35766" w:rsidRDefault="0050099E" w:rsidP="00933A6C">
            <w:pPr>
              <w:spacing w:line="260" w:lineRule="exact"/>
              <w:rPr>
                <w:rFonts w:ascii="Times New Roman" w:hAnsi="Times New Roman" w:cs="Times New Roman"/>
                <w:sz w:val="26"/>
                <w:szCs w:val="26"/>
              </w:rPr>
            </w:pPr>
          </w:p>
          <w:p w14:paraId="7A7861A8"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 xml:space="preserve">Attenda 15-30 minuti </w:t>
            </w:r>
          </w:p>
          <w:p w14:paraId="774756C0" w14:textId="77777777" w:rsidR="0050099E" w:rsidRPr="00C35766" w:rsidRDefault="0050099E" w:rsidP="00933A6C">
            <w:pPr>
              <w:pStyle w:val="Default"/>
              <w:rPr>
                <w:rFonts w:ascii="Times New Roman" w:hAnsi="Times New Roman" w:cs="Times New Roman"/>
                <w:highlight w:val="lightGray"/>
              </w:rPr>
            </w:pPr>
            <w:r w:rsidRPr="00C35766">
              <w:rPr>
                <w:rFonts w:ascii="Times New Roman" w:hAnsi="Times New Roman" w:cs="Times New Roman"/>
                <w:highlight w:val="lightGray"/>
              </w:rPr>
              <w:t xml:space="preserve"> </w:t>
            </w:r>
          </w:p>
          <w:p w14:paraId="06D7F32C" w14:textId="77777777" w:rsidR="0050099E" w:rsidRPr="00C35766" w:rsidRDefault="0050099E" w:rsidP="00933A6C">
            <w:pPr>
              <w:pStyle w:val="a3"/>
              <w:rPr>
                <w:highlight w:val="lightGray"/>
                <w:lang w:val="it-IT"/>
              </w:rPr>
            </w:pPr>
            <w:r w:rsidRPr="00C35766">
              <w:rPr>
                <w:rFonts w:eastAsia="Times New Roman"/>
                <w:b/>
                <w:bCs/>
                <w:highlight w:val="lightGray"/>
                <w:lang w:val="it-IT"/>
              </w:rPr>
              <w:t xml:space="preserve"> a.</w:t>
            </w:r>
            <w:r w:rsidRPr="00C35766">
              <w:rPr>
                <w:rFonts w:eastAsia="Times New Roman"/>
                <w:highlight w:val="lightGray"/>
                <w:lang w:val="it-IT"/>
              </w:rPr>
              <w:t xml:space="preserve"> Lasci la siringa pre-riempita a temperatura ambiente per </w:t>
            </w:r>
          </w:p>
          <w:p w14:paraId="2598965C" w14:textId="77777777" w:rsidR="0050099E" w:rsidRPr="00C35766" w:rsidRDefault="0050099E" w:rsidP="00933A6C">
            <w:pPr>
              <w:pStyle w:val="a3"/>
              <w:rPr>
                <w:highlight w:val="lightGray"/>
                <w:lang w:val="pt-BR"/>
              </w:rPr>
            </w:pPr>
            <w:r w:rsidRPr="00C35766">
              <w:rPr>
                <w:rFonts w:eastAsia="Times New Roman"/>
                <w:highlight w:val="lightGray"/>
                <w:lang w:val="it-IT"/>
              </w:rPr>
              <w:t xml:space="preserve"> 15-30 minuti in modo che si possa scaldare.</w:t>
            </w:r>
          </w:p>
          <w:p w14:paraId="69CD03D0" w14:textId="77777777" w:rsidR="0050099E" w:rsidRPr="00C35766" w:rsidRDefault="0050099E" w:rsidP="00933A6C">
            <w:pPr>
              <w:pStyle w:val="Default"/>
              <w:rPr>
                <w:rFonts w:ascii="Times New Roman" w:hAnsi="Times New Roman" w:cs="Times New Roman"/>
                <w:color w:val="211D1E"/>
                <w:sz w:val="20"/>
                <w:szCs w:val="20"/>
                <w:highlight w:val="lightGray"/>
                <w:lang w:val="pt-BR"/>
              </w:rPr>
            </w:pPr>
          </w:p>
          <w:p w14:paraId="79182BD5" w14:textId="77777777" w:rsidR="0050099E" w:rsidRPr="00C35766" w:rsidRDefault="0050099E" w:rsidP="00933A6C">
            <w:pPr>
              <w:pStyle w:val="a3"/>
              <w:numPr>
                <w:ilvl w:val="0"/>
                <w:numId w:val="0"/>
              </w:numPr>
              <w:tabs>
                <w:tab w:val="left" w:pos="3861"/>
              </w:tabs>
              <w:ind w:left="911"/>
              <w:rPr>
                <w:b/>
                <w:highlight w:val="lightGray"/>
                <w:lang w:val="pt-BR"/>
              </w:rPr>
            </w:pPr>
          </w:p>
          <w:p w14:paraId="2F569273" w14:textId="77777777" w:rsidR="0050099E" w:rsidRPr="00C35766" w:rsidRDefault="0050099E" w:rsidP="00933A6C">
            <w:pPr>
              <w:pStyle w:val="a3"/>
              <w:numPr>
                <w:ilvl w:val="0"/>
                <w:numId w:val="39"/>
              </w:numPr>
              <w:rPr>
                <w:sz w:val="26"/>
                <w:lang w:val="pt-BR"/>
              </w:rPr>
            </w:pPr>
            <w:r w:rsidRPr="00C35766">
              <w:rPr>
                <w:rFonts w:eastAsia="Times New Roman"/>
                <w:b/>
                <w:bCs/>
                <w:highlight w:val="lightGray"/>
                <w:lang w:val="it-IT"/>
              </w:rPr>
              <w:t>Non</w:t>
            </w:r>
            <w:r w:rsidRPr="00C35766">
              <w:rPr>
                <w:rFonts w:eastAsia="Times New Roman"/>
                <w:highlight w:val="lightGray"/>
                <w:lang w:val="it-IT"/>
              </w:rPr>
              <w:t xml:space="preserve"> riscaldi la siringa pre-riempita utilizzando fonti di </w:t>
            </w:r>
            <w:r w:rsidRPr="00C35766">
              <w:rPr>
                <w:rFonts w:eastAsia="Times New Roman"/>
                <w:highlight w:val="lightGray"/>
                <w:lang w:val="it-IT"/>
              </w:rPr>
              <w:br/>
              <w:t xml:space="preserve">           calore </w:t>
            </w:r>
            <w:r w:rsidRPr="00C35766">
              <w:rPr>
                <w:highlight w:val="lightGray"/>
                <w:lang w:val="it-IT"/>
              </w:rPr>
              <w:t>come acqua calda o microonde.</w:t>
            </w:r>
            <w:r w:rsidRPr="00C35766">
              <w:rPr>
                <w:sz w:val="20"/>
                <w:lang w:val="it-IT"/>
              </w:rPr>
              <w:t xml:space="preserve"> </w:t>
            </w:r>
          </w:p>
        </w:tc>
      </w:tr>
      <w:tr w:rsidR="0050099E" w:rsidRPr="00494E69" w14:paraId="1100BEE1" w14:textId="77777777" w:rsidTr="00713ADC">
        <w:trPr>
          <w:trHeight w:val="7084"/>
        </w:trPr>
        <w:tc>
          <w:tcPr>
            <w:tcW w:w="9550" w:type="dxa"/>
          </w:tcPr>
          <w:p w14:paraId="6E23CB61" w14:textId="5C210671" w:rsidR="0050099E" w:rsidRPr="00C35766" w:rsidRDefault="00713ADC" w:rsidP="00933A6C">
            <w:pPr>
              <w:ind w:left="224" w:right="1248"/>
              <w:rPr>
                <w:rFonts w:ascii="Times New Roman" w:eastAsia="Times New Roman" w:hAnsi="Times New Roman" w:cs="Times New Roman"/>
                <w:b/>
                <w:bCs/>
                <w:spacing w:val="-1"/>
                <w:lang w:val="pt-BR"/>
              </w:rPr>
            </w:pPr>
            <w:r w:rsidRPr="00C35766">
              <w:rPr>
                <w:rFonts w:ascii="Times New Roman" w:eastAsia="Times New Roman" w:hAnsi="Times New Roman" w:cs="Times New Roman"/>
                <w:noProof/>
                <w:spacing w:val="-1"/>
                <w:lang w:eastAsia="ko-KR"/>
              </w:rPr>
              <mc:AlternateContent>
                <mc:Choice Requires="wpg">
                  <w:drawing>
                    <wp:anchor distT="0" distB="0" distL="114300" distR="114300" simplePos="0" relativeHeight="251658344" behindDoc="0" locked="0" layoutInCell="1" allowOverlap="1" wp14:anchorId="6CD75DEB" wp14:editId="7AB83C2D">
                      <wp:simplePos x="0" y="0"/>
                      <wp:positionH relativeFrom="column">
                        <wp:posOffset>69850</wp:posOffset>
                      </wp:positionH>
                      <wp:positionV relativeFrom="paragraph">
                        <wp:posOffset>155575</wp:posOffset>
                      </wp:positionV>
                      <wp:extent cx="2232660" cy="4252595"/>
                      <wp:effectExtent l="0" t="0" r="0" b="0"/>
                      <wp:wrapSquare wrapText="bothSides"/>
                      <wp:docPr id="3846" name="그룹 3846"/>
                      <wp:cNvGraphicFramePr/>
                      <a:graphic xmlns:a="http://schemas.openxmlformats.org/drawingml/2006/main">
                        <a:graphicData uri="http://schemas.microsoft.com/office/word/2010/wordprocessingGroup">
                          <wpg:wgp>
                            <wpg:cNvGrpSpPr/>
                            <wpg:grpSpPr>
                              <a:xfrm>
                                <a:off x="0" y="0"/>
                                <a:ext cx="2232660" cy="4252595"/>
                                <a:chOff x="0" y="0"/>
                                <a:chExt cx="2091690" cy="3670300"/>
                              </a:xfrm>
                            </wpg:grpSpPr>
                            <wpg:grpSp>
                              <wpg:cNvPr id="3847" name="그룹 3847"/>
                              <wpg:cNvGrpSpPr/>
                              <wpg:grpSpPr>
                                <a:xfrm>
                                  <a:off x="0" y="0"/>
                                  <a:ext cx="2091690" cy="3670300"/>
                                  <a:chOff x="0" y="0"/>
                                  <a:chExt cx="2091690" cy="3670300"/>
                                </a:xfrm>
                              </wpg:grpSpPr>
                              <pic:pic xmlns:pic="http://schemas.openxmlformats.org/drawingml/2006/picture">
                                <pic:nvPicPr>
                                  <pic:cNvPr id="3848" name="그림 384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3849" name="Text Box 3849"/>
                                <wps:cNvSpPr txBox="1"/>
                                <wps:spPr>
                                  <a:xfrm>
                                    <a:off x="1371600" y="3524250"/>
                                    <a:ext cx="719455" cy="146050"/>
                                  </a:xfrm>
                                  <a:prstGeom prst="rect">
                                    <a:avLst/>
                                  </a:prstGeom>
                                  <a:solidFill>
                                    <a:prstClr val="white"/>
                                  </a:solidFill>
                                  <a:ln>
                                    <a:noFill/>
                                  </a:ln>
                                </wps:spPr>
                                <wps:txbx>
                                  <w:txbxContent>
                                    <w:p w14:paraId="74CDDF21"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50" name="Text Box 3850"/>
                              <wps:cNvSpPr txBox="1"/>
                              <wps:spPr>
                                <a:xfrm>
                                  <a:off x="593090" y="2620010"/>
                                  <a:ext cx="1392071" cy="7506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99BCB" w14:textId="77777777" w:rsidR="00D97785" w:rsidRPr="00824699" w:rsidRDefault="00D97785" w:rsidP="0050099E">
                                    <w:pPr>
                                      <w:rPr>
                                        <w:rFonts w:asciiTheme="majorBidi" w:hAnsiTheme="majorBidi" w:cstheme="majorBidi"/>
                                        <w:b/>
                                        <w:bCs/>
                                        <w:sz w:val="20"/>
                                        <w:szCs w:val="20"/>
                                        <w:lang w:val="it-IT"/>
                                      </w:rPr>
                                    </w:pPr>
                                    <w:r>
                                      <w:rPr>
                                        <w:rFonts w:ascii="Times New Roman" w:eastAsia="Times New Roman" w:hAnsi="Times New Roman" w:cs="Times New Roman"/>
                                        <w:b/>
                                        <w:bCs/>
                                        <w:sz w:val="20"/>
                                        <w:szCs w:val="20"/>
                                        <w:lang w:val="it-IT"/>
                                      </w:rPr>
                                      <w:t xml:space="preserve">SOLO per la persona che assiste il paziente </w:t>
                                    </w:r>
                                  </w:p>
                                  <w:p w14:paraId="1EAA909E" w14:textId="77777777" w:rsidR="00D97785" w:rsidRPr="00824699" w:rsidRDefault="00D97785" w:rsidP="0050099E">
                                    <w:pPr>
                                      <w:rPr>
                                        <w:rFonts w:asciiTheme="majorBidi" w:hAnsiTheme="majorBidi" w:cstheme="majorBidi"/>
                                        <w:b/>
                                        <w:bCs/>
                                        <w:sz w:val="8"/>
                                        <w:szCs w:val="20"/>
                                        <w:lang w:val="it-IT"/>
                                      </w:rPr>
                                    </w:pPr>
                                  </w:p>
                                  <w:p w14:paraId="107AB706" w14:textId="77777777" w:rsidR="00D97785" w:rsidRPr="002062B2" w:rsidRDefault="00D97785" w:rsidP="0050099E">
                                    <w:pPr>
                                      <w:rPr>
                                        <w:rFonts w:asciiTheme="majorBidi" w:hAnsiTheme="majorBidi" w:cstheme="majorBidi"/>
                                        <w:b/>
                                        <w:bCs/>
                                        <w:sz w:val="20"/>
                                        <w:szCs w:val="20"/>
                                        <w:lang w:val="de-CH"/>
                                      </w:rPr>
                                    </w:pPr>
                                    <w:r>
                                      <w:rPr>
                                        <w:rFonts w:ascii="Times New Roman" w:eastAsia="Times New Roman" w:hAnsi="Times New Roman" w:cs="Times New Roman"/>
                                        <w:b/>
                                        <w:bCs/>
                                        <w:sz w:val="20"/>
                                        <w:szCs w:val="20"/>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CD75DEB" id="그룹 3846" o:spid="_x0000_s1258" style="position:absolute;left:0;text-align:left;margin-left:5.5pt;margin-top:12.25pt;width:175.8pt;height:334.85pt;z-index:251658344;mso-width-relative:margin;mso-height-relative:margin"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">
                      <v:group id="그룹 3847" o:spid="_x0000_s1259"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">
                        <v:shape id="그림 3848" o:spid="_x0000_s1260"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">
                          <v:imagedata r:id="rId44" o:title=""/>
                        </v:shape>
                        <v:shape id="Text Box 3849" o:spid="_x0000_s1261"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" stroked="f">
                          <v:textbox inset="0,0,0,0">
                            <w:txbxContent>
                              <w:p w14:paraId="74CDDF21"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E</w:t>
                                </w:r>
                              </w:p>
                            </w:txbxContent>
                          </v:textbox>
                        </v:shape>
                      </v:group>
                      <v:shape id="Text Box 3850" o:spid="_x0000_s1262" type="#_x0000_t202" style="position:absolute;left:5930;top:26200;width:13921;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" fillcolor="white [3212]" stroked="f" strokeweight=".5pt">
                        <v:textbox inset="0,0,0,0">
                          <w:txbxContent>
                            <w:p w14:paraId="2F099BCB" w14:textId="77777777" w:rsidR="00D97785" w:rsidRPr="00824699" w:rsidRDefault="00D97785" w:rsidP="0050099E">
                              <w:pPr>
                                <w:rPr>
                                  <w:rFonts w:asciiTheme="majorBidi" w:hAnsiTheme="majorBidi" w:cstheme="majorBidi"/>
                                  <w:b/>
                                  <w:bCs/>
                                  <w:sz w:val="20"/>
                                  <w:szCs w:val="20"/>
                                  <w:lang w:val="it-IT"/>
                                </w:rPr>
                              </w:pPr>
                              <w:r>
                                <w:rPr>
                                  <w:rFonts w:ascii="Times New Roman" w:eastAsia="Times New Roman" w:hAnsi="Times New Roman" w:cs="Times New Roman"/>
                                  <w:b/>
                                  <w:bCs/>
                                  <w:sz w:val="20"/>
                                  <w:szCs w:val="20"/>
                                  <w:lang w:val="it-IT"/>
                                </w:rPr>
                                <w:t xml:space="preserve">SOLO per la persona che assiste il paziente </w:t>
                              </w:r>
                            </w:p>
                            <w:p w14:paraId="1EAA909E" w14:textId="77777777" w:rsidR="00D97785" w:rsidRPr="00824699" w:rsidRDefault="00D97785" w:rsidP="0050099E">
                              <w:pPr>
                                <w:rPr>
                                  <w:rFonts w:asciiTheme="majorBidi" w:hAnsiTheme="majorBidi" w:cstheme="majorBidi"/>
                                  <w:b/>
                                  <w:bCs/>
                                  <w:sz w:val="8"/>
                                  <w:szCs w:val="20"/>
                                  <w:lang w:val="it-IT"/>
                                </w:rPr>
                              </w:pPr>
                            </w:p>
                            <w:p w14:paraId="107AB706" w14:textId="77777777" w:rsidR="00D97785" w:rsidRPr="002062B2" w:rsidRDefault="00D97785" w:rsidP="0050099E">
                              <w:pPr>
                                <w:rPr>
                                  <w:rFonts w:asciiTheme="majorBidi" w:hAnsiTheme="majorBidi" w:cstheme="majorBidi"/>
                                  <w:b/>
                                  <w:bCs/>
                                  <w:sz w:val="20"/>
                                  <w:szCs w:val="20"/>
                                  <w:lang w:val="de-CH"/>
                                </w:rPr>
                              </w:pPr>
                              <w:r>
                                <w:rPr>
                                  <w:rFonts w:ascii="Times New Roman" w:eastAsia="Times New Roman" w:hAnsi="Times New Roman" w:cs="Times New Roman"/>
                                  <w:b/>
                                  <w:bCs/>
                                  <w:sz w:val="20"/>
                                  <w:szCs w:val="20"/>
                                  <w:lang w:val="it-IT"/>
                                </w:rPr>
                                <w:t>Autoiniezione e iniezione da parte di un assistente</w:t>
                              </w:r>
                            </w:p>
                          </w:txbxContent>
                        </v:textbox>
                      </v:shape>
                      <w10:wrap type="square"/>
                    </v:group>
                  </w:pict>
                </mc:Fallback>
              </mc:AlternateContent>
            </w:r>
          </w:p>
          <w:p w14:paraId="64D5BB29" w14:textId="1798CDEF" w:rsidR="0050099E" w:rsidRPr="00C35766" w:rsidRDefault="0050099E" w:rsidP="00933A6C">
            <w:pPr>
              <w:pStyle w:val="a4"/>
              <w:ind w:left="471"/>
              <w:rPr>
                <w:rFonts w:ascii="Times New Roman" w:eastAsia="Times New Roman" w:hAnsi="Times New Roman" w:cs="Times New Roman"/>
                <w:spacing w:val="-1"/>
                <w:lang w:val="pt-BR"/>
              </w:rPr>
            </w:pPr>
          </w:p>
          <w:p w14:paraId="7679FE11" w14:textId="77777777" w:rsidR="0050099E" w:rsidRPr="00C35766" w:rsidRDefault="0050099E" w:rsidP="00933A6C">
            <w:pPr>
              <w:pStyle w:val="a4"/>
              <w:numPr>
                <w:ilvl w:val="0"/>
                <w:numId w:val="64"/>
              </w:numPr>
              <w:rPr>
                <w:rFonts w:ascii="Times New Roman" w:eastAsia="Times New Roman" w:hAnsi="Times New Roman" w:cs="Times New Roman"/>
                <w:b/>
                <w:spacing w:val="-1"/>
                <w:highlight w:val="lightGray"/>
              </w:rPr>
            </w:pPr>
            <w:r w:rsidRPr="00C35766">
              <w:rPr>
                <w:rFonts w:ascii="Times New Roman" w:eastAsia="Times New Roman" w:hAnsi="Times New Roman" w:cs="Times New Roman"/>
                <w:b/>
                <w:bCs/>
                <w:spacing w:val="-1"/>
                <w:highlight w:val="lightGray"/>
                <w:lang w:val="it-IT"/>
              </w:rPr>
              <w:t>Scelga un sito d’iniezione appropriato</w:t>
            </w:r>
          </w:p>
          <w:p w14:paraId="4114BAC7" w14:textId="77777777" w:rsidR="0050099E" w:rsidRPr="00C35766" w:rsidRDefault="0050099E" w:rsidP="00933A6C">
            <w:pPr>
              <w:pStyle w:val="a3"/>
              <w:rPr>
                <w:highlight w:val="lightGray"/>
              </w:rPr>
            </w:pPr>
          </w:p>
          <w:p w14:paraId="534E2DA6" w14:textId="77777777" w:rsidR="0050099E" w:rsidRPr="00C35766" w:rsidRDefault="0050099E" w:rsidP="00933A6C">
            <w:pPr>
              <w:pStyle w:val="a3"/>
              <w:rPr>
                <w:highlight w:val="lightGray"/>
              </w:rPr>
            </w:pPr>
            <w:r w:rsidRPr="00C35766">
              <w:rPr>
                <w:rFonts w:eastAsia="Times New Roman"/>
                <w:b/>
                <w:bCs/>
                <w:highlight w:val="lightGray"/>
                <w:lang w:val="it-IT"/>
              </w:rPr>
              <w:t xml:space="preserve"> a. </w:t>
            </w:r>
            <w:r w:rsidRPr="00C35766">
              <w:rPr>
                <w:rFonts w:eastAsia="Times New Roman"/>
                <w:highlight w:val="lightGray"/>
                <w:lang w:val="it-IT"/>
              </w:rPr>
              <w:t>Può eseguire l’iniezione:</w:t>
            </w:r>
          </w:p>
          <w:p w14:paraId="793A0C79" w14:textId="175D9F07" w:rsidR="0050099E" w:rsidRPr="00C35766" w:rsidRDefault="0050099E" w:rsidP="00933A6C">
            <w:pPr>
              <w:pStyle w:val="a3"/>
              <w:rPr>
                <w:highlight w:val="lightGray"/>
                <w:lang w:val="es-ES"/>
              </w:rPr>
            </w:pPr>
            <w:r w:rsidRPr="00C35766">
              <w:rPr>
                <w:rFonts w:eastAsia="Times New Roman"/>
                <w:highlight w:val="lightGray"/>
                <w:lang w:val="it-IT"/>
              </w:rPr>
              <w:t xml:space="preserve"> - nella parte anteriore della coscia</w:t>
            </w:r>
          </w:p>
          <w:p w14:paraId="42FD6FA0" w14:textId="77777777" w:rsidR="0050099E" w:rsidRPr="00C35766" w:rsidRDefault="0050099E" w:rsidP="00933A6C">
            <w:pPr>
              <w:pStyle w:val="a3"/>
              <w:rPr>
                <w:highlight w:val="lightGray"/>
                <w:lang w:val="es-ES"/>
              </w:rPr>
            </w:pPr>
            <w:r w:rsidRPr="00C35766">
              <w:rPr>
                <w:rFonts w:eastAsia="Times New Roman"/>
                <w:highlight w:val="lightGray"/>
                <w:lang w:val="it-IT"/>
              </w:rPr>
              <w:t xml:space="preserve"> - nell’addome, ad eccezione dell'area di 5 cm intorno </w:t>
            </w:r>
          </w:p>
          <w:p w14:paraId="0FB015BC" w14:textId="7DAA7AFF" w:rsidR="0050099E" w:rsidRPr="00C35766" w:rsidRDefault="0050099E" w:rsidP="00933A6C">
            <w:pPr>
              <w:pStyle w:val="a3"/>
              <w:rPr>
                <w:highlight w:val="lightGray"/>
                <w:lang w:val="es-ES"/>
              </w:rPr>
            </w:pPr>
            <w:r w:rsidRPr="00C35766">
              <w:rPr>
                <w:rFonts w:eastAsia="Times New Roman"/>
                <w:highlight w:val="lightGray"/>
                <w:lang w:val="it-IT"/>
              </w:rPr>
              <w:t xml:space="preserve"> all'ombelico</w:t>
            </w:r>
          </w:p>
          <w:p w14:paraId="713E8125" w14:textId="77777777" w:rsidR="0050099E" w:rsidRPr="00824699" w:rsidRDefault="0050099E" w:rsidP="00933A6C">
            <w:pPr>
              <w:pStyle w:val="a3"/>
              <w:rPr>
                <w:highlight w:val="lightGray"/>
                <w:lang w:val="it-IT"/>
              </w:rPr>
            </w:pPr>
            <w:r w:rsidRPr="00C35766">
              <w:rPr>
                <w:rFonts w:eastAsia="Times New Roman"/>
                <w:highlight w:val="lightGray"/>
                <w:lang w:val="it-IT"/>
              </w:rPr>
              <w:t xml:space="preserve"> - nella zona esterna della parte superiore del braccio (SOLO se Lei è una persona che assiste il paziente). </w:t>
            </w:r>
          </w:p>
          <w:p w14:paraId="05ED5CF5" w14:textId="77777777" w:rsidR="0050099E" w:rsidRPr="00824699" w:rsidRDefault="0050099E" w:rsidP="00933A6C">
            <w:pPr>
              <w:pStyle w:val="a3"/>
              <w:rPr>
                <w:highlight w:val="lightGray"/>
                <w:lang w:val="it-IT"/>
              </w:rPr>
            </w:pPr>
          </w:p>
          <w:p w14:paraId="7E13E7DC" w14:textId="77777777" w:rsidR="0050099E" w:rsidRPr="00824699" w:rsidRDefault="0050099E" w:rsidP="00933A6C">
            <w:pPr>
              <w:pStyle w:val="a3"/>
              <w:numPr>
                <w:ilvl w:val="0"/>
                <w:numId w:val="17"/>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esegua l’iniezione in aree cutanee entro 5 cm </w:t>
            </w:r>
          </w:p>
          <w:p w14:paraId="5CB2E05A" w14:textId="77777777" w:rsidR="0050099E" w:rsidRPr="00C35766" w:rsidRDefault="0050099E" w:rsidP="00933A6C">
            <w:pPr>
              <w:pStyle w:val="a3"/>
              <w:numPr>
                <w:ilvl w:val="0"/>
                <w:numId w:val="0"/>
              </w:numPr>
              <w:ind w:left="911" w:firstLineChars="300" w:firstLine="660"/>
              <w:rPr>
                <w:highlight w:val="lightGray"/>
                <w:lang w:val="pt-BR"/>
              </w:rPr>
            </w:pPr>
            <w:r w:rsidRPr="00C35766">
              <w:rPr>
                <w:rFonts w:eastAsia="Times New Roman"/>
                <w:highlight w:val="lightGray"/>
                <w:lang w:val="it-IT"/>
              </w:rPr>
              <w:t xml:space="preserve">dal Suo ombelico o in un’area arrossata, dura, dolorante, danneggiata, livida, o dove ci sono cicatrici. </w:t>
            </w:r>
          </w:p>
          <w:p w14:paraId="5555B93B" w14:textId="77777777" w:rsidR="0050099E" w:rsidRPr="00C35766" w:rsidRDefault="0050099E" w:rsidP="00933A6C">
            <w:pPr>
              <w:pStyle w:val="a3"/>
              <w:numPr>
                <w:ilvl w:val="0"/>
                <w:numId w:val="17"/>
              </w:numPr>
              <w:rPr>
                <w:highlight w:val="lightGray"/>
                <w:lang w:val="pt-BR"/>
              </w:rPr>
            </w:pPr>
            <w:r w:rsidRPr="00C35766">
              <w:rPr>
                <w:rFonts w:eastAsia="Times New Roman"/>
                <w:highlight w:val="lightGray"/>
                <w:lang w:val="it-IT"/>
              </w:rPr>
              <w:t xml:space="preserve">Se ha la psoriasi, </w:t>
            </w:r>
            <w:r w:rsidRPr="00C35766">
              <w:rPr>
                <w:rFonts w:eastAsia="Times New Roman"/>
                <w:b/>
                <w:bCs/>
                <w:highlight w:val="lightGray"/>
                <w:lang w:val="it-IT"/>
              </w:rPr>
              <w:t>non</w:t>
            </w:r>
            <w:r w:rsidRPr="00C35766">
              <w:rPr>
                <w:rFonts w:eastAsia="Times New Roman"/>
                <w:highlight w:val="lightGray"/>
                <w:lang w:val="it-IT"/>
              </w:rPr>
              <w:t xml:space="preserve"> esegua l’iniezione in nessuna macchia ispessita, arrossata o desquamata né su nessuna lesione </w:t>
            </w:r>
          </w:p>
          <w:p w14:paraId="54AFF2C9" w14:textId="77777777" w:rsidR="0050099E" w:rsidRPr="00C35766" w:rsidRDefault="0050099E" w:rsidP="00933A6C">
            <w:pPr>
              <w:pStyle w:val="a3"/>
              <w:numPr>
                <w:ilvl w:val="0"/>
                <w:numId w:val="0"/>
              </w:numPr>
              <w:rPr>
                <w:highlight w:val="lightGray"/>
              </w:rPr>
            </w:pPr>
            <w:r w:rsidRPr="00C35766">
              <w:rPr>
                <w:rFonts w:eastAsia="Times New Roman"/>
                <w:highlight w:val="lightGray"/>
                <w:lang w:val="it-IT"/>
              </w:rPr>
              <w:t xml:space="preserve"> della pelle. </w:t>
            </w:r>
          </w:p>
          <w:p w14:paraId="7D01E780" w14:textId="77777777" w:rsidR="0050099E" w:rsidRPr="00C35766" w:rsidRDefault="0050099E" w:rsidP="00933A6C">
            <w:pPr>
              <w:pStyle w:val="a3"/>
              <w:numPr>
                <w:ilvl w:val="0"/>
                <w:numId w:val="17"/>
              </w:numPr>
              <w:rPr>
                <w:highlight w:val="lightGray"/>
                <w:lang w:val="fr-FR"/>
              </w:rPr>
            </w:pPr>
            <w:r w:rsidRPr="00C35766">
              <w:rPr>
                <w:rFonts w:eastAsia="Times New Roman"/>
                <w:b/>
                <w:bCs/>
                <w:highlight w:val="lightGray"/>
                <w:lang w:val="it-IT"/>
              </w:rPr>
              <w:t xml:space="preserve">Non </w:t>
            </w:r>
            <w:r w:rsidRPr="00C35766">
              <w:rPr>
                <w:rFonts w:eastAsia="Times New Roman"/>
                <w:highlight w:val="lightGray"/>
                <w:lang w:val="it-IT"/>
              </w:rPr>
              <w:t>esegua l’iniezione attraverso gli indumenti.</w:t>
            </w:r>
          </w:p>
          <w:p w14:paraId="4D1B1B93" w14:textId="77777777" w:rsidR="0050099E" w:rsidRPr="00C35766" w:rsidRDefault="0050099E" w:rsidP="00933A6C">
            <w:pPr>
              <w:pStyle w:val="a3"/>
              <w:numPr>
                <w:ilvl w:val="0"/>
                <w:numId w:val="0"/>
              </w:numPr>
              <w:ind w:left="911"/>
              <w:rPr>
                <w:highlight w:val="lightGray"/>
                <w:lang w:val="fr-FR"/>
              </w:rPr>
            </w:pPr>
          </w:p>
          <w:p w14:paraId="23FDBCD5" w14:textId="77777777" w:rsidR="0050099E" w:rsidRPr="00C35766" w:rsidRDefault="0050099E" w:rsidP="00933A6C">
            <w:pPr>
              <w:pStyle w:val="a3"/>
              <w:rPr>
                <w:highlight w:val="lightGray"/>
                <w:lang w:val="es-ES"/>
              </w:rPr>
            </w:pPr>
            <w:r w:rsidRPr="00C35766">
              <w:rPr>
                <w:rFonts w:eastAsia="Times New Roman"/>
                <w:b/>
                <w:bCs/>
                <w:highlight w:val="lightGray"/>
                <w:lang w:val="it-IT"/>
              </w:rPr>
              <w:t xml:space="preserve"> b.</w:t>
            </w:r>
            <w:r w:rsidRPr="00C35766">
              <w:rPr>
                <w:rFonts w:eastAsia="Times New Roman"/>
                <w:highlight w:val="lightGray"/>
                <w:lang w:val="it-IT"/>
              </w:rPr>
              <w:t xml:space="preserve"> Esegua una rotazione del sito d’iniezione ogni volta che somministra un iniezione. </w:t>
            </w:r>
          </w:p>
          <w:p w14:paraId="5841F678" w14:textId="77777777" w:rsidR="0050099E" w:rsidRPr="00C35766" w:rsidRDefault="0050099E" w:rsidP="00933A6C">
            <w:pPr>
              <w:pStyle w:val="a3"/>
              <w:rPr>
                <w:rFonts w:eastAsia="Times New Roman"/>
                <w:highlight w:val="lightGray"/>
                <w:lang w:val="it-IT"/>
              </w:rPr>
            </w:pPr>
            <w:r w:rsidRPr="00C35766">
              <w:rPr>
                <w:rFonts w:eastAsia="Times New Roman"/>
                <w:highlight w:val="lightGray"/>
                <w:lang w:val="it-IT"/>
              </w:rPr>
              <w:t xml:space="preserve">Ogni nuovo sito d’iniezione deve essere ad almeno 3 cm di </w:t>
            </w:r>
          </w:p>
          <w:p w14:paraId="7599312F" w14:textId="77777777" w:rsidR="0050099E" w:rsidRPr="00C35766" w:rsidRDefault="0050099E" w:rsidP="00933A6C">
            <w:pPr>
              <w:pStyle w:val="a3"/>
              <w:rPr>
                <w:sz w:val="26"/>
                <w:lang w:val="it-IT"/>
              </w:rPr>
            </w:pPr>
            <w:r w:rsidRPr="00C35766">
              <w:rPr>
                <w:rFonts w:eastAsia="Times New Roman"/>
                <w:highlight w:val="lightGray"/>
                <w:lang w:val="it-IT"/>
              </w:rPr>
              <w:t>distanza dal  sito d’iniezione utilizzato in precedenza.</w:t>
            </w:r>
          </w:p>
        </w:tc>
      </w:tr>
    </w:tbl>
    <w:p w14:paraId="64A7794E" w14:textId="77777777" w:rsidR="0050099E" w:rsidRPr="00C35766" w:rsidRDefault="0050099E" w:rsidP="0050099E">
      <w:pPr>
        <w:pStyle w:val="a3"/>
        <w:rPr>
          <w:sz w:val="26"/>
          <w:lang w:val="it-IT"/>
        </w:rPr>
      </w:pPr>
    </w:p>
    <w:tbl>
      <w:tblPr>
        <w:tblStyle w:val="ac"/>
        <w:tblW w:w="0" w:type="auto"/>
        <w:tblLook w:val="04A0" w:firstRow="1" w:lastRow="0" w:firstColumn="1" w:lastColumn="0" w:noHBand="0" w:noVBand="1"/>
      </w:tblPr>
      <w:tblGrid>
        <w:gridCol w:w="9090"/>
      </w:tblGrid>
      <w:tr w:rsidR="0050099E" w:rsidRPr="00C35766" w14:paraId="5CB963B0" w14:textId="77777777" w:rsidTr="00713ADC">
        <w:trPr>
          <w:trHeight w:val="5238"/>
        </w:trPr>
        <w:tc>
          <w:tcPr>
            <w:tcW w:w="9090" w:type="dxa"/>
          </w:tcPr>
          <w:p w14:paraId="07E58EB0" w14:textId="77777777" w:rsidR="0050099E" w:rsidRPr="00C35766" w:rsidRDefault="0050099E" w:rsidP="00933A6C">
            <w:pPr>
              <w:pStyle w:val="1"/>
              <w:spacing w:before="76"/>
              <w:ind w:left="0" w:right="2736"/>
              <w:rPr>
                <w:rFonts w:eastAsiaTheme="minorEastAsia" w:cs="Times New Roman"/>
                <w:lang w:val="it-IT" w:eastAsia="ko-KR"/>
              </w:rPr>
            </w:pPr>
            <w:r w:rsidRPr="00C35766">
              <w:rPr>
                <w:rFonts w:eastAsiaTheme="minorEastAsia" w:cs="Times New Roman"/>
                <w:noProof/>
                <w:lang w:eastAsia="ko-KR"/>
              </w:rPr>
              <w:lastRenderedPageBreak/>
              <mc:AlternateContent>
                <mc:Choice Requires="wpg">
                  <w:drawing>
                    <wp:anchor distT="0" distB="0" distL="114300" distR="114300" simplePos="0" relativeHeight="251658337" behindDoc="0" locked="0" layoutInCell="1" allowOverlap="1" wp14:anchorId="78E5B7ED" wp14:editId="08E97174">
                      <wp:simplePos x="0" y="0"/>
                      <wp:positionH relativeFrom="column">
                        <wp:posOffset>34290</wp:posOffset>
                      </wp:positionH>
                      <wp:positionV relativeFrom="paragraph">
                        <wp:posOffset>140335</wp:posOffset>
                      </wp:positionV>
                      <wp:extent cx="2407920" cy="3092450"/>
                      <wp:effectExtent l="0" t="0" r="0" b="0"/>
                      <wp:wrapSquare wrapText="bothSides"/>
                      <wp:docPr id="3851" name="그룹 3851"/>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3852" name="그림 385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853" name="Text Box 3853"/>
                              <wps:cNvSpPr txBox="1"/>
                              <wps:spPr>
                                <a:xfrm>
                                  <a:off x="1670050" y="2946400"/>
                                  <a:ext cx="719758" cy="146050"/>
                                </a:xfrm>
                                <a:prstGeom prst="rect">
                                  <a:avLst/>
                                </a:prstGeom>
                                <a:solidFill>
                                  <a:prstClr val="white"/>
                                </a:solidFill>
                                <a:ln>
                                  <a:noFill/>
                                </a:ln>
                              </wps:spPr>
                              <wps:txbx>
                                <w:txbxContent>
                                  <w:p w14:paraId="046CB7CA" w14:textId="77777777" w:rsidR="00D97785" w:rsidRDefault="00D97785" w:rsidP="0050099E">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8E5B7ED" id="그룹 3851" o:spid="_x0000_s1263" style="position:absolute;margin-left:2.7pt;margin-top:11.05pt;width:189.6pt;height:243.5pt;z-index:251658337"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">
                      <v:shape id="그림 3852" o:spid="_x0000_s126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">
                        <v:imagedata r:id="rId46" o:title=""/>
                      </v:shape>
                      <v:shape id="Text Box 3853" o:spid="_x0000_s1265"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" stroked="f">
                        <v:textbox style="mso-fit-shape-to-text:t" inset="0,0,0,0">
                          <w:txbxContent>
                            <w:p w14:paraId="046CB7CA" w14:textId="77777777" w:rsidR="00D97785" w:rsidRDefault="00D97785" w:rsidP="0050099E">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F</w:t>
                              </w:r>
                            </w:p>
                          </w:txbxContent>
                        </v:textbox>
                      </v:shape>
                      <w10:wrap type="square"/>
                    </v:group>
                  </w:pict>
                </mc:Fallback>
              </mc:AlternateContent>
            </w:r>
          </w:p>
          <w:p w14:paraId="0C9FB841"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Si lavi le mani.</w:t>
            </w:r>
          </w:p>
          <w:p w14:paraId="666C3F92" w14:textId="77777777" w:rsidR="0050099E" w:rsidRPr="00C35766" w:rsidRDefault="0050099E" w:rsidP="00933A6C">
            <w:pPr>
              <w:pStyle w:val="a3"/>
              <w:rPr>
                <w:highlight w:val="lightGray"/>
              </w:rPr>
            </w:pPr>
          </w:p>
          <w:p w14:paraId="61CFB973" w14:textId="77777777" w:rsidR="0050099E" w:rsidRPr="00C35766" w:rsidRDefault="0050099E" w:rsidP="00933A6C">
            <w:pPr>
              <w:pStyle w:val="a3"/>
              <w:rPr>
                <w:highlight w:val="lightGray"/>
                <w:lang w:val="it-IT"/>
              </w:rPr>
            </w:pPr>
            <w:r w:rsidRPr="00C35766">
              <w:rPr>
                <w:rFonts w:eastAsia="Times New Roman"/>
                <w:highlight w:val="lightGray"/>
                <w:lang w:val="it-IT"/>
              </w:rPr>
              <w:t xml:space="preserve"> </w:t>
            </w:r>
            <w:r w:rsidRPr="00C35766">
              <w:rPr>
                <w:rFonts w:eastAsia="Times New Roman"/>
                <w:b/>
                <w:bCs/>
                <w:highlight w:val="lightGray"/>
                <w:lang w:val="it-IT"/>
              </w:rPr>
              <w:t xml:space="preserve">a. </w:t>
            </w:r>
            <w:r w:rsidRPr="00C35766">
              <w:rPr>
                <w:rFonts w:eastAsia="Times New Roman"/>
                <w:highlight w:val="lightGray"/>
                <w:lang w:val="it-IT"/>
              </w:rPr>
              <w:t xml:space="preserve">Si lavi le mani con acqua e sapone e le asciughi </w:t>
            </w:r>
          </w:p>
          <w:p w14:paraId="790A62D1" w14:textId="77777777" w:rsidR="0050099E" w:rsidRPr="00C35766" w:rsidRDefault="0050099E" w:rsidP="00933A6C">
            <w:pPr>
              <w:pStyle w:val="a3"/>
            </w:pPr>
            <w:r w:rsidRPr="00C35766">
              <w:rPr>
                <w:rFonts w:eastAsia="Times New Roman"/>
                <w:highlight w:val="lightGray"/>
                <w:lang w:val="it-IT"/>
              </w:rPr>
              <w:t xml:space="preserve"> accuratamente.</w:t>
            </w:r>
            <w:r w:rsidRPr="00C35766">
              <w:rPr>
                <w:rFonts w:eastAsia="Times New Roman"/>
                <w:lang w:val="it-IT"/>
              </w:rPr>
              <w:t xml:space="preserve"> </w:t>
            </w:r>
          </w:p>
          <w:p w14:paraId="1E7DD74D" w14:textId="77777777" w:rsidR="0050099E" w:rsidRPr="00C35766" w:rsidRDefault="0050099E" w:rsidP="00933A6C">
            <w:pPr>
              <w:pStyle w:val="1"/>
              <w:spacing w:before="76"/>
              <w:ind w:left="0" w:right="2736"/>
              <w:rPr>
                <w:rFonts w:eastAsiaTheme="minorEastAsia" w:cs="Times New Roman"/>
                <w:lang w:eastAsia="ko-KR"/>
              </w:rPr>
            </w:pPr>
          </w:p>
        </w:tc>
      </w:tr>
      <w:tr w:rsidR="0050099E" w:rsidRPr="006501B3" w14:paraId="421D9C24" w14:textId="77777777" w:rsidTr="00933A6C">
        <w:trPr>
          <w:trHeight w:val="5201"/>
        </w:trPr>
        <w:tc>
          <w:tcPr>
            <w:tcW w:w="9090" w:type="dxa"/>
          </w:tcPr>
          <w:p w14:paraId="4F32320D" w14:textId="77777777" w:rsidR="0050099E" w:rsidRPr="00C35766" w:rsidRDefault="0050099E" w:rsidP="00933A6C">
            <w:pPr>
              <w:ind w:left="104"/>
              <w:rPr>
                <w:rFonts w:ascii="Times New Roman" w:eastAsia="Times New Roman" w:hAnsi="Times New Roman" w:cs="Times New Roman"/>
              </w:rPr>
            </w:pPr>
            <w:r w:rsidRPr="00C35766">
              <w:rPr>
                <w:rFonts w:ascii="Times New Roman" w:hAnsi="Times New Roman" w:cs="Times New Roman"/>
                <w:noProof/>
                <w:spacing w:val="-1"/>
                <w:lang w:eastAsia="ko-KR"/>
              </w:rPr>
              <mc:AlternateContent>
                <mc:Choice Requires="wpg">
                  <w:drawing>
                    <wp:anchor distT="0" distB="0" distL="114300" distR="114300" simplePos="0" relativeHeight="251658338" behindDoc="0" locked="0" layoutInCell="1" allowOverlap="1" wp14:anchorId="3B43F01B" wp14:editId="7EB22037">
                      <wp:simplePos x="0" y="0"/>
                      <wp:positionH relativeFrom="column">
                        <wp:posOffset>-6350</wp:posOffset>
                      </wp:positionH>
                      <wp:positionV relativeFrom="paragraph">
                        <wp:posOffset>81280</wp:posOffset>
                      </wp:positionV>
                      <wp:extent cx="2408858" cy="3092450"/>
                      <wp:effectExtent l="0" t="0" r="0" b="0"/>
                      <wp:wrapSquare wrapText="bothSides"/>
                      <wp:docPr id="3854" name="그룹 3854"/>
                      <wp:cNvGraphicFramePr/>
                      <a:graphic xmlns:a="http://schemas.openxmlformats.org/drawingml/2006/main">
                        <a:graphicData uri="http://schemas.microsoft.com/office/word/2010/wordprocessingGroup">
                          <wpg:wgp>
                            <wpg:cNvGrpSpPr/>
                            <wpg:grpSpPr>
                              <a:xfrm>
                                <a:off x="0" y="0"/>
                                <a:ext cx="2408858" cy="3092450"/>
                                <a:chOff x="0" y="0"/>
                                <a:chExt cx="2408858" cy="3092450"/>
                              </a:xfrm>
                            </wpg:grpSpPr>
                            <pic:pic xmlns:pic="http://schemas.openxmlformats.org/drawingml/2006/picture">
                              <pic:nvPicPr>
                                <pic:cNvPr id="3855" name="그림 3855"/>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856" name="Text Box 3856"/>
                              <wps:cNvSpPr txBox="1"/>
                              <wps:spPr>
                                <a:xfrm>
                                  <a:off x="1689100" y="2946400"/>
                                  <a:ext cx="719758" cy="146050"/>
                                </a:xfrm>
                                <a:prstGeom prst="rect">
                                  <a:avLst/>
                                </a:prstGeom>
                                <a:solidFill>
                                  <a:prstClr val="white"/>
                                </a:solidFill>
                                <a:ln>
                                  <a:noFill/>
                                </a:ln>
                              </wps:spPr>
                              <wps:txbx>
                                <w:txbxContent>
                                  <w:p w14:paraId="1D2DD1D5" w14:textId="77777777" w:rsidR="00D97785" w:rsidRDefault="00D97785" w:rsidP="0050099E">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43F01B" id="그룹 3854" o:spid="_x0000_s1266" style="position:absolute;left:0;text-align:left;margin-left:-.5pt;margin-top:6.4pt;width:189.65pt;height:243.5pt;z-index:251658338" coordsize="24088,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">
                      <v:shape id="그림 3855" o:spid="_x0000_s126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">
                        <v:imagedata r:id="rId48" o:title=""/>
                      </v:shape>
                      <v:shape id="Text Box 3856" o:spid="_x0000_s1268" type="#_x0000_t202" style="position:absolute;left:16891;top:2946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" stroked="f">
                        <v:textbox style="mso-fit-shape-to-text:t" inset="0,0,0,0">
                          <w:txbxContent>
                            <w:p w14:paraId="1D2DD1D5" w14:textId="77777777" w:rsidR="00D97785" w:rsidRDefault="00D97785" w:rsidP="0050099E">
                              <w:pPr>
                                <w:pStyle w:val="af0"/>
                                <w:jc w:val="right"/>
                                <w:rPr>
                                  <w:rFonts w:ascii="Times New Roman" w:hAnsi="Times New Roman" w:cs="Times New Roman"/>
                                  <w:noProof/>
                                  <w:spacing w:val="-1"/>
                                </w:rPr>
                              </w:pPr>
                              <w:r w:rsidRPr="00D022B9">
                                <w:rPr>
                                  <w:rFonts w:ascii="Times New Roman" w:eastAsia="Times New Roman" w:hAnsi="Times New Roman" w:cs="Times New Roman"/>
                                  <w:highlight w:val="lightGray"/>
                                  <w:lang w:val="it-IT"/>
                                </w:rPr>
                                <w:t>Figura G</w:t>
                              </w:r>
                            </w:p>
                          </w:txbxContent>
                        </v:textbox>
                      </v:shape>
                      <w10:wrap type="square"/>
                    </v:group>
                  </w:pict>
                </mc:Fallback>
              </mc:AlternateContent>
            </w:r>
          </w:p>
          <w:p w14:paraId="53B6F1C4"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Pulisca il sito d’iniezione</w:t>
            </w:r>
          </w:p>
          <w:p w14:paraId="2C65CC43" w14:textId="77777777" w:rsidR="0050099E" w:rsidRPr="00C35766" w:rsidRDefault="0050099E" w:rsidP="00933A6C">
            <w:pPr>
              <w:pStyle w:val="a3"/>
              <w:numPr>
                <w:ilvl w:val="0"/>
                <w:numId w:val="0"/>
              </w:numPr>
              <w:ind w:left="471"/>
              <w:rPr>
                <w:b/>
                <w:highlight w:val="lightGray"/>
              </w:rPr>
            </w:pPr>
          </w:p>
          <w:p w14:paraId="5859FAEF" w14:textId="77777777" w:rsidR="0050099E" w:rsidRPr="00C35766" w:rsidRDefault="0050099E" w:rsidP="00933A6C">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 xml:space="preserve">a. </w:t>
            </w:r>
            <w:r w:rsidRPr="00C35766">
              <w:rPr>
                <w:rFonts w:eastAsia="Times New Roman"/>
                <w:highlight w:val="lightGray"/>
                <w:lang w:val="it-IT"/>
              </w:rPr>
              <w:t>Pulisca il sito d’iniezione con un tampone imbevuto di alcol eseguendo unmovimento circolare.</w:t>
            </w:r>
          </w:p>
          <w:p w14:paraId="0EFC7F70" w14:textId="77777777" w:rsidR="0050099E" w:rsidRPr="00C35766" w:rsidRDefault="0050099E" w:rsidP="00933A6C">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b.</w:t>
            </w:r>
            <w:r w:rsidRPr="00C35766">
              <w:rPr>
                <w:rFonts w:eastAsia="Times New Roman"/>
                <w:highlight w:val="lightGray"/>
                <w:lang w:val="it-IT"/>
              </w:rPr>
              <w:t xml:space="preserve"> Lasci asciugare la pelle prima dell’iniezione.</w:t>
            </w:r>
          </w:p>
          <w:p w14:paraId="07B1B2A6" w14:textId="77777777" w:rsidR="0050099E" w:rsidRPr="00C35766" w:rsidRDefault="0050099E" w:rsidP="00933A6C">
            <w:pPr>
              <w:pStyle w:val="a3"/>
              <w:rPr>
                <w:highlight w:val="lightGray"/>
                <w:lang w:val="es-ES"/>
              </w:rPr>
            </w:pPr>
          </w:p>
          <w:p w14:paraId="471F3E4E" w14:textId="77777777" w:rsidR="0050099E" w:rsidRPr="00C35766" w:rsidRDefault="0050099E" w:rsidP="00933A6C">
            <w:pPr>
              <w:pStyle w:val="a3"/>
              <w:rPr>
                <w:highlight w:val="lightGray"/>
                <w:lang w:val="es-ES"/>
              </w:rPr>
            </w:pPr>
          </w:p>
          <w:p w14:paraId="14A6126D" w14:textId="77777777" w:rsidR="0050099E" w:rsidRPr="00C35766" w:rsidRDefault="0050099E" w:rsidP="00933A6C">
            <w:pPr>
              <w:pStyle w:val="a3"/>
              <w:rPr>
                <w:lang w:val="it-IT"/>
              </w:rPr>
            </w:pPr>
            <w:r w:rsidRPr="00C35766">
              <w:rPr>
                <w:rFonts w:eastAsia="맑은 고딕"/>
                <w:b/>
                <w:bCs/>
                <w:highlight w:val="lightGray"/>
                <w:lang w:val="it-IT"/>
              </w:rPr>
              <w:t>•</w:t>
            </w:r>
            <w:r w:rsidRPr="00C35766">
              <w:rPr>
                <w:rFonts w:eastAsia="Times New Roman"/>
                <w:b/>
                <w:bCs/>
                <w:highlight w:val="lightGray"/>
                <w:lang w:val="it-IT"/>
              </w:rPr>
              <w:t xml:space="preserve"> Non</w:t>
            </w:r>
            <w:r w:rsidRPr="00C35766">
              <w:rPr>
                <w:rFonts w:eastAsia="Times New Roman"/>
                <w:highlight w:val="lightGray"/>
                <w:lang w:val="it-IT"/>
              </w:rPr>
              <w:t xml:space="preserve"> soffi sul sito d’iniezione né lo tocchi nuovamente prima di eseguire l’iniezione.</w:t>
            </w:r>
          </w:p>
        </w:tc>
      </w:tr>
      <w:tr w:rsidR="0050099E" w:rsidRPr="00494E69" w14:paraId="7CECB85F" w14:textId="77777777" w:rsidTr="00933A6C">
        <w:trPr>
          <w:trHeight w:val="4941"/>
        </w:trPr>
        <w:tc>
          <w:tcPr>
            <w:tcW w:w="9090" w:type="dxa"/>
          </w:tcPr>
          <w:p w14:paraId="04FBE1EE" w14:textId="77777777" w:rsidR="0050099E" w:rsidRPr="00C35766" w:rsidRDefault="0050099E" w:rsidP="00933A6C">
            <w:pPr>
              <w:pStyle w:val="Default"/>
              <w:rPr>
                <w:rFonts w:ascii="Times New Roman" w:hAnsi="Times New Roman" w:cs="Times New Roman"/>
                <w:lang w:val="it-IT"/>
              </w:rPr>
            </w:pPr>
          </w:p>
          <w:p w14:paraId="4E171A90" w14:textId="77777777" w:rsidR="0050099E" w:rsidRPr="00C35766" w:rsidRDefault="0050099E" w:rsidP="00933A6C">
            <w:pPr>
              <w:pStyle w:val="a3"/>
              <w:numPr>
                <w:ilvl w:val="0"/>
                <w:numId w:val="64"/>
              </w:numPr>
              <w:rPr>
                <w:b/>
                <w:highlight w:val="lightGray"/>
              </w:rPr>
            </w:pPr>
            <w:r w:rsidRPr="00C35766">
              <w:rPr>
                <w:noProof/>
                <w:color w:val="000000"/>
                <w:sz w:val="24"/>
                <w:szCs w:val="24"/>
                <w:lang w:eastAsia="ko-KR"/>
              </w:rPr>
              <mc:AlternateContent>
                <mc:Choice Requires="wpg">
                  <w:drawing>
                    <wp:anchor distT="0" distB="0" distL="114300" distR="114300" simplePos="0" relativeHeight="251658339" behindDoc="0" locked="0" layoutInCell="1" allowOverlap="1" wp14:anchorId="2FE014BB" wp14:editId="128ADD36">
                      <wp:simplePos x="0" y="0"/>
                      <wp:positionH relativeFrom="column">
                        <wp:posOffset>27305</wp:posOffset>
                      </wp:positionH>
                      <wp:positionV relativeFrom="paragraph">
                        <wp:posOffset>17145</wp:posOffset>
                      </wp:positionV>
                      <wp:extent cx="2326005" cy="3104515"/>
                      <wp:effectExtent l="0" t="0" r="0" b="635"/>
                      <wp:wrapSquare wrapText="bothSides"/>
                      <wp:docPr id="3857" name="그룹 3857"/>
                      <wp:cNvGraphicFramePr/>
                      <a:graphic xmlns:a="http://schemas.openxmlformats.org/drawingml/2006/main">
                        <a:graphicData uri="http://schemas.microsoft.com/office/word/2010/wordprocessingGroup">
                          <wpg:wgp>
                            <wpg:cNvGrpSpPr/>
                            <wpg:grpSpPr>
                              <a:xfrm>
                                <a:off x="0" y="0"/>
                                <a:ext cx="2326005" cy="3104515"/>
                                <a:chOff x="32728" y="-23448"/>
                                <a:chExt cx="2128480" cy="2741248"/>
                              </a:xfrm>
                            </wpg:grpSpPr>
                            <pic:pic xmlns:pic="http://schemas.openxmlformats.org/drawingml/2006/picture">
                              <pic:nvPicPr>
                                <pic:cNvPr id="3858" name="그림 3858"/>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32728" y="-23448"/>
                                  <a:ext cx="2093544" cy="2582545"/>
                                </a:xfrm>
                                <a:prstGeom prst="rect">
                                  <a:avLst/>
                                </a:prstGeom>
                                <a:noFill/>
                                <a:ln>
                                  <a:noFill/>
                                </a:ln>
                              </pic:spPr>
                            </pic:pic>
                            <wps:wsp>
                              <wps:cNvPr id="3859" name="Text Box 3859"/>
                              <wps:cNvSpPr txBox="1"/>
                              <wps:spPr>
                                <a:xfrm>
                                  <a:off x="1441450" y="2571750"/>
                                  <a:ext cx="719758" cy="146050"/>
                                </a:xfrm>
                                <a:prstGeom prst="rect">
                                  <a:avLst/>
                                </a:prstGeom>
                                <a:solidFill>
                                  <a:prstClr val="white"/>
                                </a:solidFill>
                                <a:ln>
                                  <a:noFill/>
                                </a:ln>
                              </wps:spPr>
                              <wps:txbx>
                                <w:txbxContent>
                                  <w:p w14:paraId="4889DAC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E014BB" id="그룹 3857" o:spid="_x0000_s1269" style="position:absolute;left:0;text-align:left;margin-left:2.15pt;margin-top:1.35pt;width:183.15pt;height:244.45pt;z-index:251658339;mso-width-relative:margin;mso-height-relative:margin" coordorigin="327,-234" coordsize="21284,27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">
                      <v:shape id="그림 3858" o:spid="_x0000_s1270" type="#_x0000_t75" style="position:absolute;left:327;top:-234;width:20935;height:25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">
                        <v:imagedata r:id="rId125" o:title=""/>
                      </v:shape>
                      <v:shape id="Text Box 3859" o:spid="_x0000_s1271"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" stroked="f">
                        <v:textbox inset="0,0,0,0">
                          <w:txbxContent>
                            <w:p w14:paraId="4889DAC9"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H</w:t>
                              </w:r>
                            </w:p>
                          </w:txbxContent>
                        </v:textbox>
                      </v:shape>
                      <w10:wrap type="square"/>
                    </v:group>
                  </w:pict>
                </mc:Fallback>
              </mc:AlternateContent>
            </w:r>
            <w:r w:rsidRPr="00C35766">
              <w:rPr>
                <w:rFonts w:eastAsia="Times New Roman"/>
                <w:b/>
                <w:bCs/>
                <w:highlight w:val="lightGray"/>
                <w:lang w:val="it-IT"/>
              </w:rPr>
              <w:t>Rimuova il cappuccio</w:t>
            </w:r>
          </w:p>
          <w:p w14:paraId="6762DB81" w14:textId="77777777" w:rsidR="0050099E" w:rsidRPr="00C35766" w:rsidRDefault="0050099E" w:rsidP="00933A6C">
            <w:pPr>
              <w:pStyle w:val="a3"/>
              <w:rPr>
                <w:b/>
                <w:highlight w:val="lightGray"/>
              </w:rPr>
            </w:pPr>
          </w:p>
          <w:p w14:paraId="568BD1DB" w14:textId="77777777" w:rsidR="0050099E" w:rsidRPr="00C35766" w:rsidRDefault="0050099E" w:rsidP="00933A6C">
            <w:pPr>
              <w:pStyle w:val="a3"/>
              <w:numPr>
                <w:ilvl w:val="0"/>
                <w:numId w:val="0"/>
              </w:numPr>
              <w:ind w:left="1384"/>
              <w:rPr>
                <w:highlight w:val="lightGray"/>
                <w:lang w:val="es-ES"/>
              </w:rPr>
            </w:pPr>
            <w:r w:rsidRPr="00C35766">
              <w:rPr>
                <w:rFonts w:eastAsia="Times New Roman"/>
                <w:b/>
                <w:bCs/>
                <w:highlight w:val="lightGray"/>
                <w:lang w:val="it-IT"/>
              </w:rPr>
              <w:t xml:space="preserve"> a</w:t>
            </w:r>
            <w:r w:rsidRPr="00C35766">
              <w:rPr>
                <w:rFonts w:eastAsia="Times New Roman"/>
                <w:highlight w:val="lightGray"/>
                <w:lang w:val="it-IT"/>
              </w:rPr>
              <w:t>. Rimuova il cappuccio tenendo il corpo della siringa pre-riempita con una mano. Tiri delicatamente il cappuccio con l’altra mano.</w:t>
            </w:r>
          </w:p>
          <w:p w14:paraId="4CFEB146" w14:textId="77777777" w:rsidR="0050099E" w:rsidRPr="00C35766" w:rsidRDefault="0050099E" w:rsidP="00933A6C">
            <w:pPr>
              <w:pStyle w:val="a3"/>
              <w:numPr>
                <w:ilvl w:val="0"/>
                <w:numId w:val="16"/>
              </w:numPr>
              <w:rPr>
                <w:highlight w:val="lightGray"/>
                <w:lang w:val="fr-FR"/>
              </w:rPr>
            </w:pPr>
            <w:r w:rsidRPr="00C35766">
              <w:rPr>
                <w:rFonts w:eastAsia="Times New Roman"/>
                <w:b/>
                <w:bCs/>
                <w:highlight w:val="lightGray"/>
                <w:lang w:val="it-IT"/>
              </w:rPr>
              <w:t>Non</w:t>
            </w:r>
            <w:r w:rsidRPr="00C35766">
              <w:rPr>
                <w:rFonts w:eastAsia="Times New Roman"/>
                <w:highlight w:val="lightGray"/>
                <w:lang w:val="it-IT"/>
              </w:rPr>
              <w:t xml:space="preserve"> rimuova il cappuccio fino a quando non è </w:t>
            </w:r>
            <w:r w:rsidRPr="00C35766">
              <w:rPr>
                <w:rFonts w:eastAsia="Times New Roman"/>
                <w:highlight w:val="lightGray"/>
                <w:lang w:val="it-IT"/>
              </w:rPr>
              <w:br/>
              <w:t xml:space="preserve">              pronto per effettuare l'iniezione </w:t>
            </w:r>
          </w:p>
          <w:p w14:paraId="61E3A7CA" w14:textId="77777777" w:rsidR="0050099E" w:rsidRPr="00C35766" w:rsidRDefault="0050099E" w:rsidP="00933A6C">
            <w:pPr>
              <w:pStyle w:val="a3"/>
              <w:numPr>
                <w:ilvl w:val="0"/>
                <w:numId w:val="0"/>
              </w:numPr>
              <w:ind w:left="1384"/>
              <w:rPr>
                <w:highlight w:val="lightGray"/>
                <w:lang w:val="fr-FR"/>
              </w:rPr>
            </w:pPr>
          </w:p>
          <w:p w14:paraId="75A8D6A8" w14:textId="77777777" w:rsidR="0050099E" w:rsidRPr="00C35766" w:rsidRDefault="0050099E" w:rsidP="00933A6C">
            <w:pPr>
              <w:pStyle w:val="a3"/>
              <w:numPr>
                <w:ilvl w:val="0"/>
                <w:numId w:val="16"/>
              </w:numPr>
              <w:rPr>
                <w:highlight w:val="lightGray"/>
                <w:lang w:val="it-IT"/>
              </w:rPr>
            </w:pPr>
            <w:r w:rsidRPr="00C35766">
              <w:rPr>
                <w:rFonts w:eastAsia="Times New Roman"/>
                <w:b/>
                <w:bCs/>
                <w:highlight w:val="lightGray"/>
                <w:lang w:val="it-IT"/>
              </w:rPr>
              <w:t>Non</w:t>
            </w:r>
            <w:r w:rsidRPr="00C35766">
              <w:rPr>
                <w:rFonts w:eastAsia="Times New Roman"/>
                <w:highlight w:val="lightGray"/>
                <w:lang w:val="it-IT"/>
              </w:rPr>
              <w:t xml:space="preserve"> tocchi l’ago. Ciò potrebbe comportare una </w:t>
            </w:r>
            <w:r w:rsidRPr="00C35766">
              <w:rPr>
                <w:rFonts w:eastAsia="Times New Roman"/>
                <w:highlight w:val="lightGray"/>
                <w:lang w:val="it-IT"/>
              </w:rPr>
              <w:br/>
              <w:t xml:space="preserve">              lesione da puntura da ago.</w:t>
            </w:r>
            <w:r w:rsidRPr="00C35766">
              <w:rPr>
                <w:rFonts w:eastAsia="Times New Roman"/>
                <w:b/>
                <w:bCs/>
                <w:highlight w:val="lightGray"/>
                <w:lang w:val="it-IT"/>
              </w:rPr>
              <w:t xml:space="preserve"> </w:t>
            </w:r>
          </w:p>
          <w:p w14:paraId="693FE8E9" w14:textId="77777777" w:rsidR="0050099E" w:rsidRPr="00C35766" w:rsidRDefault="0050099E" w:rsidP="00933A6C">
            <w:pPr>
              <w:pStyle w:val="a4"/>
              <w:rPr>
                <w:rFonts w:ascii="Times New Roman" w:hAnsi="Times New Roman" w:cs="Times New Roman"/>
                <w:highlight w:val="lightGray"/>
                <w:lang w:val="it-IT"/>
              </w:rPr>
            </w:pPr>
          </w:p>
          <w:p w14:paraId="6E931AE8" w14:textId="77777777" w:rsidR="0050099E" w:rsidRPr="00AF25F1" w:rsidRDefault="0050099E" w:rsidP="00933A6C">
            <w:pPr>
              <w:pStyle w:val="a3"/>
              <w:numPr>
                <w:ilvl w:val="0"/>
                <w:numId w:val="16"/>
              </w:numPr>
              <w:rPr>
                <w:lang w:val="it-IT"/>
              </w:rPr>
            </w:pPr>
            <w:r w:rsidRPr="00C35766">
              <w:rPr>
                <w:rFonts w:eastAsia="Times New Roman"/>
                <w:b/>
                <w:bCs/>
                <w:highlight w:val="lightGray"/>
                <w:lang w:val="it-IT"/>
              </w:rPr>
              <w:t>Non</w:t>
            </w:r>
            <w:r w:rsidRPr="00C35766">
              <w:rPr>
                <w:rFonts w:eastAsia="Times New Roman"/>
                <w:highlight w:val="lightGray"/>
                <w:lang w:val="it-IT"/>
              </w:rPr>
              <w:t xml:space="preserve"> riposizioni il cappuccio sulla siringa </w:t>
            </w:r>
            <w:r w:rsidRPr="00C35766">
              <w:rPr>
                <w:rFonts w:eastAsia="Times New Roman"/>
                <w:highlight w:val="lightGray"/>
                <w:lang w:val="it-IT"/>
              </w:rPr>
              <w:br/>
              <w:t xml:space="preserve">              pre-riempita. Smaltisca immediatamente il </w:t>
            </w:r>
            <w:r w:rsidRPr="00C35766">
              <w:rPr>
                <w:rFonts w:eastAsia="Times New Roman"/>
                <w:highlight w:val="lightGray"/>
                <w:lang w:val="it-IT"/>
              </w:rPr>
              <w:br/>
              <w:t xml:space="preserve">              cappuccio nel contenitore per lo smaltimento di </w:t>
            </w:r>
            <w:r w:rsidRPr="00C35766">
              <w:rPr>
                <w:rFonts w:eastAsia="Times New Roman"/>
                <w:highlight w:val="lightGray"/>
                <w:lang w:val="it-IT"/>
              </w:rPr>
              <w:br/>
              <w:t xml:space="preserve">              oggetti taglienti.</w:t>
            </w:r>
          </w:p>
          <w:p w14:paraId="76FEE7D9" w14:textId="77777777" w:rsidR="00471BD2" w:rsidRDefault="00471BD2" w:rsidP="00AF25F1">
            <w:pPr>
              <w:pStyle w:val="a4"/>
              <w:rPr>
                <w:lang w:val="it-IT"/>
              </w:rPr>
            </w:pPr>
          </w:p>
          <w:p w14:paraId="53D7127A" w14:textId="349A1DE4" w:rsidR="00471BD2" w:rsidRPr="00C35766" w:rsidRDefault="00471BD2" w:rsidP="00933A6C">
            <w:pPr>
              <w:pStyle w:val="a3"/>
              <w:numPr>
                <w:ilvl w:val="0"/>
                <w:numId w:val="16"/>
              </w:numPr>
              <w:rPr>
                <w:lang w:val="it-IT"/>
              </w:rPr>
            </w:pPr>
            <w:r w:rsidRPr="00AF25F1">
              <w:rPr>
                <w:rFonts w:eastAsia="Times New Roman"/>
                <w:highlight w:val="lightGray"/>
                <w:lang w:val="it-IT"/>
              </w:rPr>
              <w:t>È normale vedere fuoriuscire alcune gocce di liquido dall'ago.</w:t>
            </w:r>
          </w:p>
        </w:tc>
      </w:tr>
      <w:tr w:rsidR="0050099E" w:rsidRPr="00C35766" w14:paraId="2527F621" w14:textId="77777777" w:rsidTr="00933A6C">
        <w:trPr>
          <w:trHeight w:val="7028"/>
        </w:trPr>
        <w:tc>
          <w:tcPr>
            <w:tcW w:w="9090" w:type="dxa"/>
          </w:tcPr>
          <w:p w14:paraId="2069FD7D" w14:textId="77777777" w:rsidR="0050099E" w:rsidRPr="00C35766" w:rsidRDefault="0050099E" w:rsidP="00933A6C">
            <w:pPr>
              <w:pStyle w:val="1"/>
              <w:spacing w:before="76"/>
              <w:ind w:left="0" w:right="2736"/>
              <w:rPr>
                <w:rFonts w:eastAsiaTheme="minorEastAsia" w:cs="Times New Roman"/>
                <w:lang w:val="it-IT"/>
              </w:rPr>
            </w:pPr>
            <w:r w:rsidRPr="00C35766">
              <w:rPr>
                <w:rFonts w:eastAsiaTheme="minorEastAsia" w:cs="Times New Roman"/>
                <w:noProof/>
                <w:lang w:eastAsia="ko-KR"/>
              </w:rPr>
              <mc:AlternateContent>
                <mc:Choice Requires="wpg">
                  <w:drawing>
                    <wp:anchor distT="0" distB="0" distL="114300" distR="114300" simplePos="0" relativeHeight="251658334" behindDoc="0" locked="0" layoutInCell="1" allowOverlap="1" wp14:anchorId="7BF692EB" wp14:editId="74552493">
                      <wp:simplePos x="0" y="0"/>
                      <wp:positionH relativeFrom="column">
                        <wp:posOffset>62865</wp:posOffset>
                      </wp:positionH>
                      <wp:positionV relativeFrom="paragraph">
                        <wp:posOffset>151130</wp:posOffset>
                      </wp:positionV>
                      <wp:extent cx="2302510" cy="3956050"/>
                      <wp:effectExtent l="0" t="0" r="2540" b="6350"/>
                      <wp:wrapSquare wrapText="bothSides"/>
                      <wp:docPr id="3860" name="그룹 3860"/>
                      <wp:cNvGraphicFramePr/>
                      <a:graphic xmlns:a="http://schemas.openxmlformats.org/drawingml/2006/main">
                        <a:graphicData uri="http://schemas.microsoft.com/office/word/2010/wordprocessingGroup">
                          <wpg:wgp>
                            <wpg:cNvGrpSpPr/>
                            <wpg:grpSpPr>
                              <a:xfrm>
                                <a:off x="0" y="0"/>
                                <a:ext cx="2294189" cy="3956050"/>
                                <a:chOff x="6719" y="0"/>
                                <a:chExt cx="2294189" cy="3956050"/>
                              </a:xfrm>
                            </wpg:grpSpPr>
                            <wpg:grpSp>
                              <wpg:cNvPr id="3861" name="그룹 3861"/>
                              <wpg:cNvGrpSpPr/>
                              <wpg:grpSpPr>
                                <a:xfrm>
                                  <a:off x="6719" y="0"/>
                                  <a:ext cx="2294189" cy="3956050"/>
                                  <a:chOff x="6719" y="0"/>
                                  <a:chExt cx="2294189" cy="3956050"/>
                                </a:xfrm>
                              </wpg:grpSpPr>
                              <pic:pic xmlns:pic="http://schemas.openxmlformats.org/drawingml/2006/picture">
                                <pic:nvPicPr>
                                  <pic:cNvPr id="3862" name="그림 3862"/>
                                  <pic:cNvPicPr>
                                    <a:picLocks noChangeAspect="1"/>
                                  </pic:cNvPicPr>
                                </pic:nvPicPr>
                                <pic:blipFill>
                                  <a:blip r:embed="rId126" cstate="print">
                                    <a:extLst>
                                      <a:ext uri="{28A0092B-C50C-407E-A947-70E740481C1C}">
                                        <a14:useLocalDpi xmlns:a14="http://schemas.microsoft.com/office/drawing/2010/main" val="0"/>
                                      </a:ext>
                                    </a:extLst>
                                  </a:blip>
                                  <a:srcRect/>
                                  <a:stretch/>
                                </pic:blipFill>
                                <pic:spPr bwMode="auto">
                                  <a:xfrm>
                                    <a:off x="6719" y="0"/>
                                    <a:ext cx="2289071" cy="3806825"/>
                                  </a:xfrm>
                                  <a:prstGeom prst="rect">
                                    <a:avLst/>
                                  </a:prstGeom>
                                  <a:noFill/>
                                  <a:ln>
                                    <a:noFill/>
                                  </a:ln>
                                </pic:spPr>
                              </pic:pic>
                              <wps:wsp>
                                <wps:cNvPr id="3863" name="Text Box 3863"/>
                                <wps:cNvSpPr txBox="1"/>
                                <wps:spPr>
                                  <a:xfrm>
                                    <a:off x="1581150" y="3810000"/>
                                    <a:ext cx="719758" cy="146050"/>
                                  </a:xfrm>
                                  <a:prstGeom prst="rect">
                                    <a:avLst/>
                                  </a:prstGeom>
                                  <a:solidFill>
                                    <a:prstClr val="white"/>
                                  </a:solidFill>
                                  <a:ln>
                                    <a:noFill/>
                                  </a:ln>
                                </wps:spPr>
                                <wps:txbx>
                                  <w:txbxContent>
                                    <w:p w14:paraId="3C12B3BA"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4" name="Text Box 3864"/>
                              <wps:cNvSpPr txBox="1"/>
                              <wps:spPr>
                                <a:xfrm>
                                  <a:off x="38100" y="1752600"/>
                                  <a:ext cx="2230502" cy="3048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DF5A7"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BF692EB" id="그룹 3860" o:spid="_x0000_s1272" style="position:absolute;margin-left:4.95pt;margin-top:11.9pt;width:181.3pt;height:311.5pt;z-index:251658334" coordorigin="67" coordsize="22941,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">
                      <v:group id="그룹 3861" o:spid="_x0000_s1273" style="position:absolute;left:67;width:22942;height:39560" coordorigin="67" coordsize="22941,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">
                        <v:shape id="그림 3862" o:spid="_x0000_s1274" type="#_x0000_t75" style="position:absolute;left:67;width:22890;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">
                          <v:imagedata r:id="rId127" o:title=""/>
                        </v:shape>
                        <v:shape id="Text Box 3863" o:spid="_x0000_s1275"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" stroked="f">
                          <v:textbox style="mso-fit-shape-to-text:t" inset="0,0,0,0">
                            <w:txbxContent>
                              <w:p w14:paraId="3C12B3BA"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I</w:t>
                                </w:r>
                              </w:p>
                            </w:txbxContent>
                          </v:textbox>
                        </v:shape>
                      </v:group>
                      <v:shape id="Text Box 3864" o:spid="_x0000_s1276" type="#_x0000_t202" style="position:absolute;left:381;top:17526;width:2230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" fillcolor="black [3213]" stroked="f" strokeweight=".5pt">
                        <v:textbox inset="0,0,0,0">
                          <w:txbxContent>
                            <w:p w14:paraId="06BDF5A7"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1D2E6A52" w14:textId="77777777" w:rsidR="0050099E" w:rsidRPr="00C35766" w:rsidRDefault="0050099E" w:rsidP="00933A6C">
            <w:pPr>
              <w:pStyle w:val="a3"/>
              <w:numPr>
                <w:ilvl w:val="0"/>
                <w:numId w:val="64"/>
              </w:numPr>
              <w:rPr>
                <w:b/>
                <w:highlight w:val="lightGray"/>
                <w:lang w:val="es-ES"/>
              </w:rPr>
            </w:pPr>
            <w:r w:rsidRPr="00C35766">
              <w:rPr>
                <w:rFonts w:eastAsia="Times New Roman"/>
                <w:b/>
                <w:bCs/>
                <w:highlight w:val="lightGray"/>
                <w:lang w:val="it-IT"/>
              </w:rPr>
              <w:t xml:space="preserve">Inserisca la siringa pre-riempita nel sito d’iniezione </w:t>
            </w:r>
          </w:p>
          <w:p w14:paraId="18B19153" w14:textId="77777777" w:rsidR="0050099E" w:rsidRPr="00C35766" w:rsidRDefault="0050099E" w:rsidP="00933A6C">
            <w:pPr>
              <w:pStyle w:val="a3"/>
              <w:numPr>
                <w:ilvl w:val="0"/>
                <w:numId w:val="0"/>
              </w:numPr>
              <w:ind w:left="471"/>
              <w:rPr>
                <w:b/>
                <w:highlight w:val="lightGray"/>
                <w:lang w:val="es-ES"/>
              </w:rPr>
            </w:pPr>
            <w:r w:rsidRPr="00C35766">
              <w:rPr>
                <w:rFonts w:eastAsia="Times New Roman"/>
                <w:b/>
                <w:bCs/>
                <w:highlight w:val="lightGray"/>
                <w:lang w:val="it-IT"/>
              </w:rPr>
              <w:t> </w:t>
            </w:r>
          </w:p>
          <w:p w14:paraId="6F20E634" w14:textId="77777777" w:rsidR="0050099E" w:rsidRPr="00C35766" w:rsidRDefault="0050099E" w:rsidP="00933A6C">
            <w:pPr>
              <w:pStyle w:val="a3"/>
              <w:numPr>
                <w:ilvl w:val="0"/>
                <w:numId w:val="0"/>
              </w:numPr>
              <w:ind w:left="471"/>
              <w:rPr>
                <w:b/>
                <w:highlight w:val="lightGray"/>
                <w:lang w:val="es-ES"/>
              </w:rPr>
            </w:pPr>
          </w:p>
          <w:p w14:paraId="5C2C5CEA" w14:textId="77777777" w:rsidR="0050099E" w:rsidRPr="00C35766" w:rsidRDefault="0050099E" w:rsidP="00933A6C">
            <w:pPr>
              <w:pStyle w:val="a3"/>
              <w:rPr>
                <w:highlight w:val="lightGray"/>
                <w:lang w:val="es-ES"/>
              </w:rPr>
            </w:pPr>
            <w:r w:rsidRPr="00C35766">
              <w:rPr>
                <w:rFonts w:eastAsia="Times New Roman"/>
                <w:b/>
                <w:bCs/>
                <w:highlight w:val="lightGray"/>
                <w:lang w:val="it-IT"/>
              </w:rPr>
              <w:t xml:space="preserve"> a.</w:t>
            </w:r>
            <w:r w:rsidRPr="00C35766">
              <w:rPr>
                <w:rFonts w:eastAsia="Times New Roman"/>
                <w:highlight w:val="lightGray"/>
                <w:lang w:val="it-IT"/>
              </w:rPr>
              <w:t xml:space="preserve"> Con una mano stringa delicatamente la pelle per creare una piega nel sito d’iniezione.</w:t>
            </w:r>
          </w:p>
          <w:p w14:paraId="2CF558F2" w14:textId="77777777" w:rsidR="0050099E" w:rsidRPr="00C35766" w:rsidRDefault="0050099E" w:rsidP="00933A6C">
            <w:pPr>
              <w:pStyle w:val="a3"/>
              <w:rPr>
                <w:highlight w:val="lightGray"/>
                <w:lang w:val="es-ES"/>
              </w:rPr>
            </w:pPr>
          </w:p>
          <w:p w14:paraId="5B6210E2" w14:textId="77777777" w:rsidR="0050099E" w:rsidRPr="00C35766" w:rsidRDefault="0050099E" w:rsidP="00933A6C">
            <w:pPr>
              <w:pStyle w:val="a3"/>
              <w:rPr>
                <w:highlight w:val="lightGray"/>
                <w:lang w:val="es-ES"/>
              </w:rPr>
            </w:pPr>
            <w:r w:rsidRPr="00C35766">
              <w:rPr>
                <w:rFonts w:eastAsia="Times New Roman"/>
                <w:b/>
                <w:bCs/>
                <w:highlight w:val="lightGray"/>
                <w:lang w:val="it-IT"/>
              </w:rPr>
              <w:t xml:space="preserve"> b. </w:t>
            </w:r>
            <w:r w:rsidRPr="00C35766">
              <w:rPr>
                <w:rFonts w:eastAsia="Times New Roman"/>
                <w:highlight w:val="lightGray"/>
                <w:lang w:val="it-IT"/>
              </w:rPr>
              <w:t xml:space="preserve">Tenendo la siringa pre-riempita dal corpo, inserisca </w:t>
            </w:r>
          </w:p>
          <w:p w14:paraId="5C2E8731" w14:textId="77777777" w:rsidR="0050099E" w:rsidRPr="00C35766" w:rsidRDefault="0050099E" w:rsidP="00933A6C">
            <w:pPr>
              <w:pStyle w:val="a3"/>
              <w:ind w:firstLineChars="100" w:firstLine="220"/>
              <w:rPr>
                <w:highlight w:val="lightGray"/>
                <w:lang w:val="es-ES"/>
              </w:rPr>
            </w:pPr>
            <w:r w:rsidRPr="00C35766">
              <w:rPr>
                <w:rFonts w:eastAsia="Times New Roman"/>
                <w:highlight w:val="lightGray"/>
                <w:lang w:val="it-IT"/>
              </w:rPr>
              <w:t>competamente l'ago nella piega della pelle</w:t>
            </w:r>
          </w:p>
          <w:p w14:paraId="00053B85" w14:textId="77777777" w:rsidR="0050099E" w:rsidRPr="00C35766" w:rsidRDefault="0050099E" w:rsidP="00933A6C">
            <w:pPr>
              <w:pStyle w:val="a3"/>
              <w:ind w:firstLineChars="100" w:firstLine="220"/>
              <w:rPr>
                <w:rFonts w:eastAsia="Times New Roman"/>
                <w:highlight w:val="lightGray"/>
                <w:lang w:val="it-IT"/>
              </w:rPr>
            </w:pPr>
            <w:r w:rsidRPr="00C35766">
              <w:rPr>
                <w:rFonts w:eastAsia="Times New Roman"/>
                <w:highlight w:val="lightGray"/>
                <w:lang w:val="it-IT"/>
              </w:rPr>
              <w:t xml:space="preserve">con un’angolatura di 45 gradi, utilizzando un </w:t>
            </w:r>
          </w:p>
          <w:p w14:paraId="63C91330" w14:textId="77777777" w:rsidR="0050099E" w:rsidRPr="00C35766" w:rsidRDefault="0050099E" w:rsidP="00933A6C">
            <w:pPr>
              <w:pStyle w:val="a3"/>
              <w:ind w:firstLineChars="100" w:firstLine="220"/>
              <w:rPr>
                <w:rFonts w:eastAsia="Times New Roman"/>
                <w:highlight w:val="lightGray"/>
                <w:lang w:val="it-IT"/>
              </w:rPr>
            </w:pPr>
            <w:r w:rsidRPr="00C35766">
              <w:rPr>
                <w:rFonts w:eastAsia="Times New Roman"/>
                <w:highlight w:val="lightGray"/>
                <w:lang w:val="it-IT"/>
              </w:rPr>
              <w:t xml:space="preserve">movimento rapido, come quando si lancia una </w:t>
            </w:r>
          </w:p>
          <w:p w14:paraId="33F20948" w14:textId="77777777" w:rsidR="0050099E" w:rsidRPr="00C35766" w:rsidRDefault="0050099E" w:rsidP="00933A6C">
            <w:pPr>
              <w:pStyle w:val="a3"/>
              <w:ind w:firstLineChars="100" w:firstLine="220"/>
              <w:rPr>
                <w:lang w:val="es-ES"/>
              </w:rPr>
            </w:pPr>
            <w:r w:rsidRPr="00C35766">
              <w:rPr>
                <w:rFonts w:eastAsia="Times New Roman"/>
                <w:highlight w:val="lightGray"/>
                <w:lang w:val="it-IT"/>
              </w:rPr>
              <w:t>freccetta.</w:t>
            </w:r>
          </w:p>
          <w:p w14:paraId="675AE59F" w14:textId="77777777" w:rsidR="0050099E" w:rsidRPr="00C35766" w:rsidRDefault="0050099E" w:rsidP="00933A6C">
            <w:pPr>
              <w:pStyle w:val="a3"/>
              <w:ind w:firstLineChars="300" w:firstLine="660"/>
              <w:rPr>
                <w:lang w:val="es-ES" w:eastAsia="ko-KR"/>
              </w:rPr>
            </w:pPr>
            <w:r w:rsidRPr="00C35766">
              <w:rPr>
                <w:rFonts w:eastAsia="Times New Roman"/>
                <w:lang w:val="it-IT"/>
              </w:rPr>
              <w:t xml:space="preserve"> </w:t>
            </w:r>
          </w:p>
        </w:tc>
      </w:tr>
      <w:tr w:rsidR="0050099E" w:rsidRPr="006501B3" w14:paraId="5BC6CB62" w14:textId="77777777" w:rsidTr="00713ADC">
        <w:trPr>
          <w:trHeight w:val="4819"/>
        </w:trPr>
        <w:tc>
          <w:tcPr>
            <w:tcW w:w="9090" w:type="dxa"/>
          </w:tcPr>
          <w:p w14:paraId="091A2303" w14:textId="77777777" w:rsidR="0050099E" w:rsidRPr="00C35766" w:rsidRDefault="0050099E" w:rsidP="00933A6C">
            <w:pPr>
              <w:pStyle w:val="Default"/>
              <w:rPr>
                <w:rFonts w:ascii="Times New Roman" w:hAnsi="Times New Roman" w:cs="Times New Roman"/>
                <w:lang w:val="es-ES"/>
              </w:rPr>
            </w:pPr>
            <w:r w:rsidRPr="00C35766">
              <w:rPr>
                <w:rFonts w:ascii="Times New Roman" w:hAnsi="Times New Roman" w:cs="Times New Roman"/>
                <w:noProof/>
                <w:lang w:eastAsia="ko-KR"/>
              </w:rPr>
              <w:lastRenderedPageBreak/>
              <mc:AlternateContent>
                <mc:Choice Requires="wpg">
                  <w:drawing>
                    <wp:anchor distT="0" distB="0" distL="114300" distR="114300" simplePos="0" relativeHeight="251658316" behindDoc="0" locked="0" layoutInCell="1" allowOverlap="1" wp14:anchorId="6DDAB140" wp14:editId="185A0B64">
                      <wp:simplePos x="0" y="0"/>
                      <wp:positionH relativeFrom="column">
                        <wp:posOffset>36195</wp:posOffset>
                      </wp:positionH>
                      <wp:positionV relativeFrom="paragraph">
                        <wp:posOffset>53975</wp:posOffset>
                      </wp:positionV>
                      <wp:extent cx="2200910" cy="2974340"/>
                      <wp:effectExtent l="0" t="0" r="8890" b="0"/>
                      <wp:wrapSquare wrapText="bothSides"/>
                      <wp:docPr id="3865" name="그룹 3865"/>
                      <wp:cNvGraphicFramePr/>
                      <a:graphic xmlns:a="http://schemas.openxmlformats.org/drawingml/2006/main">
                        <a:graphicData uri="http://schemas.microsoft.com/office/word/2010/wordprocessingGroup">
                          <wpg:wgp>
                            <wpg:cNvGrpSpPr/>
                            <wpg:grpSpPr>
                              <a:xfrm>
                                <a:off x="0" y="0"/>
                                <a:ext cx="2200910" cy="2974340"/>
                                <a:chOff x="2659" y="0"/>
                                <a:chExt cx="2799264" cy="3604851"/>
                              </a:xfrm>
                            </wpg:grpSpPr>
                            <pic:pic xmlns:pic="http://schemas.openxmlformats.org/drawingml/2006/picture">
                              <pic:nvPicPr>
                                <pic:cNvPr id="3866" name="그림 3866"/>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bwMode="auto">
                                <a:xfrm>
                                  <a:off x="2659" y="0"/>
                                  <a:ext cx="2796300" cy="3411855"/>
                                </a:xfrm>
                                <a:prstGeom prst="rect">
                                  <a:avLst/>
                                </a:prstGeom>
                                <a:noFill/>
                                <a:ln>
                                  <a:noFill/>
                                </a:ln>
                              </pic:spPr>
                            </pic:pic>
                            <wps:wsp>
                              <wps:cNvPr id="3867" name="Text Box 3867"/>
                              <wps:cNvSpPr txBox="1"/>
                              <wps:spPr>
                                <a:xfrm>
                                  <a:off x="2082165" y="3458801"/>
                                  <a:ext cx="719758" cy="146050"/>
                                </a:xfrm>
                                <a:prstGeom prst="rect">
                                  <a:avLst/>
                                </a:prstGeom>
                                <a:solidFill>
                                  <a:prstClr val="white"/>
                                </a:solidFill>
                                <a:ln>
                                  <a:noFill/>
                                </a:ln>
                              </wps:spPr>
                              <wps:txbx>
                                <w:txbxContent>
                                  <w:p w14:paraId="65D68732"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DAB140" id="그룹 3865" o:spid="_x0000_s1277" style="position:absolute;margin-left:2.85pt;margin-top:4.25pt;width:173.3pt;height:234.2pt;z-index:251658316;mso-width-relative:margin;mso-height-relative:margin" coordorigin="26" coordsize="27992,36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">
                      <v:shape id="그림 3866" o:spid="_x0000_s1278" type="#_x0000_t75" style="position:absolute;left:26;width:27963;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">
                        <v:imagedata r:id="rId129" o:title=""/>
                      </v:shape>
                      <v:shape id="Text Box 3867" o:spid="_x0000_s1279" type="#_x0000_t202" style="position:absolute;left:20821;top:3458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" stroked="f">
                        <v:textbox inset="0,0,0,0">
                          <w:txbxContent>
                            <w:p w14:paraId="65D68732"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J</w:t>
                              </w:r>
                            </w:p>
                          </w:txbxContent>
                        </v:textbox>
                      </v:shape>
                      <w10:wrap type="square"/>
                    </v:group>
                  </w:pict>
                </mc:Fallback>
              </mc:AlternateContent>
            </w:r>
          </w:p>
          <w:p w14:paraId="4ABDE775"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Esegua l’iniezione</w:t>
            </w:r>
          </w:p>
          <w:p w14:paraId="72654446" w14:textId="77777777" w:rsidR="0050099E" w:rsidRPr="00C35766" w:rsidRDefault="0050099E" w:rsidP="00933A6C">
            <w:pPr>
              <w:pStyle w:val="a3"/>
              <w:rPr>
                <w:highlight w:val="lightGray"/>
              </w:rPr>
            </w:pPr>
          </w:p>
          <w:p w14:paraId="31F92A4A" w14:textId="5A09155A" w:rsidR="0050099E" w:rsidRPr="00C35766" w:rsidRDefault="0050099E" w:rsidP="00933A6C">
            <w:pPr>
              <w:pStyle w:val="a3"/>
              <w:rPr>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a.</w:t>
            </w:r>
            <w:r w:rsidRPr="00C35766">
              <w:rPr>
                <w:rFonts w:eastAsia="Times New Roman"/>
                <w:highlight w:val="lightGray"/>
                <w:lang w:val="it-IT"/>
              </w:rPr>
              <w:t xml:space="preserve"> Una volta inserito l'ago, lasci andare la</w:t>
            </w:r>
          </w:p>
          <w:p w14:paraId="3ED83246" w14:textId="77777777" w:rsidR="0050099E" w:rsidRPr="00C35766" w:rsidRDefault="0050099E" w:rsidP="00933A6C">
            <w:pPr>
              <w:pStyle w:val="a3"/>
              <w:rPr>
                <w:highlight w:val="lightGray"/>
                <w:lang w:val="it-IT"/>
              </w:rPr>
            </w:pPr>
            <w:r w:rsidRPr="00C35766">
              <w:rPr>
                <w:rFonts w:eastAsia="Times New Roman"/>
                <w:highlight w:val="lightGray"/>
                <w:lang w:val="it-IT"/>
              </w:rPr>
              <w:t xml:space="preserve"> la pelle pizzicata.</w:t>
            </w:r>
          </w:p>
          <w:p w14:paraId="070D75A9" w14:textId="09000F47" w:rsidR="0050099E" w:rsidRPr="00C35766" w:rsidRDefault="0050099E" w:rsidP="00933A6C">
            <w:pPr>
              <w:pStyle w:val="a3"/>
              <w:rPr>
                <w:highlight w:val="lightGray"/>
                <w:lang w:val="it-IT"/>
              </w:rPr>
            </w:pPr>
            <w:r w:rsidRPr="00C35766">
              <w:rPr>
                <w:rFonts w:eastAsia="Times New Roman"/>
                <w:b/>
                <w:bCs/>
                <w:highlight w:val="lightGray"/>
                <w:lang w:val="it-IT"/>
              </w:rPr>
              <w:t xml:space="preserve"> b. </w:t>
            </w:r>
            <w:r w:rsidRPr="00C35766">
              <w:rPr>
                <w:rFonts w:eastAsia="Times New Roman"/>
                <w:highlight w:val="lightGray"/>
                <w:lang w:val="it-IT"/>
              </w:rPr>
              <w:t>Sping</w:t>
            </w:r>
            <w:r w:rsidR="00A67D26">
              <w:rPr>
                <w:rFonts w:eastAsia="Times New Roman"/>
                <w:highlight w:val="lightGray"/>
                <w:lang w:val="it-IT"/>
              </w:rPr>
              <w:t>a</w:t>
            </w:r>
            <w:r w:rsidRPr="00C35766">
              <w:rPr>
                <w:rFonts w:eastAsia="Times New Roman"/>
                <w:highlight w:val="lightGray"/>
                <w:lang w:val="it-IT"/>
              </w:rPr>
              <w:t xml:space="preserve"> lentamente e completamente lo stantuffo verso il basso fino a</w:t>
            </w:r>
            <w:r w:rsidR="001E26DC">
              <w:rPr>
                <w:rFonts w:eastAsia="Times New Roman"/>
                <w:highlight w:val="lightGray"/>
                <w:lang w:val="it-IT"/>
              </w:rPr>
              <w:t>d</w:t>
            </w:r>
            <w:r w:rsidRPr="00C35766">
              <w:rPr>
                <w:rFonts w:eastAsia="Times New Roman"/>
                <w:highlight w:val="lightGray"/>
                <w:lang w:val="it-IT"/>
              </w:rPr>
              <w:t xml:space="preserve"> iniettare tutto il liquido</w:t>
            </w:r>
            <w:r w:rsidR="0053674B">
              <w:rPr>
                <w:rFonts w:eastAsia="Times New Roman"/>
                <w:highlight w:val="lightGray"/>
                <w:lang w:val="it-IT"/>
              </w:rPr>
              <w:t xml:space="preserve"> </w:t>
            </w:r>
            <w:r w:rsidRPr="00C35766">
              <w:rPr>
                <w:rFonts w:eastAsia="Times New Roman"/>
                <w:highlight w:val="lightGray"/>
                <w:lang w:val="it-IT"/>
              </w:rPr>
              <w:t>e</w:t>
            </w:r>
            <w:r w:rsidR="00F70908">
              <w:rPr>
                <w:rFonts w:eastAsia="Times New Roman"/>
                <w:highlight w:val="lightGray"/>
                <w:lang w:val="it-IT"/>
              </w:rPr>
              <w:t xml:space="preserve"> a</w:t>
            </w:r>
            <w:r w:rsidRPr="00C35766">
              <w:rPr>
                <w:rFonts w:eastAsia="Times New Roman"/>
                <w:highlight w:val="lightGray"/>
                <w:lang w:val="it-IT"/>
              </w:rPr>
              <w:t xml:space="preserve"> svuot</w:t>
            </w:r>
            <w:r w:rsidR="0053674B">
              <w:rPr>
                <w:rFonts w:eastAsia="Times New Roman"/>
                <w:highlight w:val="lightGray"/>
                <w:lang w:val="it-IT"/>
              </w:rPr>
              <w:t>i</w:t>
            </w:r>
            <w:r w:rsidRPr="00C35766">
              <w:rPr>
                <w:rFonts w:eastAsia="Times New Roman"/>
                <w:highlight w:val="lightGray"/>
                <w:lang w:val="it-IT"/>
              </w:rPr>
              <w:t xml:space="preserve"> la siringa.</w:t>
            </w:r>
          </w:p>
          <w:p w14:paraId="2A6779C9" w14:textId="77777777" w:rsidR="0050099E" w:rsidRPr="00C35766" w:rsidRDefault="0050099E" w:rsidP="00933A6C">
            <w:pPr>
              <w:pStyle w:val="a3"/>
              <w:rPr>
                <w:highlight w:val="lightGray"/>
                <w:lang w:val="it-IT"/>
              </w:rPr>
            </w:pPr>
          </w:p>
          <w:p w14:paraId="5EB7DFFF" w14:textId="77777777" w:rsidR="0050099E" w:rsidRPr="00C35766" w:rsidRDefault="0050099E" w:rsidP="00933A6C">
            <w:pPr>
              <w:pStyle w:val="a3"/>
              <w:rPr>
                <w:highlight w:val="lightGray"/>
                <w:lang w:val="it-IT"/>
              </w:rPr>
            </w:pPr>
          </w:p>
          <w:p w14:paraId="4F191A85" w14:textId="77777777" w:rsidR="0050099E" w:rsidRPr="00C35766" w:rsidRDefault="0050099E" w:rsidP="00933A6C">
            <w:pPr>
              <w:pStyle w:val="a3"/>
              <w:rPr>
                <w:lang w:val="es-ES"/>
              </w:rPr>
            </w:pPr>
            <w:r w:rsidRPr="00C35766">
              <w:rPr>
                <w:rFonts w:eastAsia="맑은 고딕"/>
                <w:highlight w:val="lightGray"/>
                <w:lang w:val="it-IT"/>
              </w:rPr>
              <w:t>•</w:t>
            </w:r>
            <w:r w:rsidRPr="00C35766">
              <w:rPr>
                <w:rFonts w:eastAsia="Times New Roman"/>
                <w:highlight w:val="lightGray"/>
                <w:lang w:val="it-IT"/>
              </w:rPr>
              <w:t xml:space="preserve"> </w:t>
            </w:r>
            <w:r w:rsidRPr="00C35766">
              <w:rPr>
                <w:rFonts w:eastAsia="Times New Roman"/>
                <w:b/>
                <w:bCs/>
                <w:highlight w:val="lightGray"/>
                <w:lang w:val="it-IT"/>
              </w:rPr>
              <w:t>Non</w:t>
            </w:r>
            <w:r w:rsidRPr="00C35766">
              <w:rPr>
                <w:rFonts w:eastAsia="Times New Roman"/>
                <w:highlight w:val="lightGray"/>
                <w:lang w:val="it-IT"/>
              </w:rPr>
              <w:t xml:space="preserve"> cambi la posizione della siringa pre-riempita una volta iniziata l’iniezione.</w:t>
            </w:r>
          </w:p>
          <w:p w14:paraId="111B34D7" w14:textId="77777777" w:rsidR="0050099E" w:rsidRPr="00C35766" w:rsidRDefault="0050099E" w:rsidP="00933A6C">
            <w:pPr>
              <w:pStyle w:val="a3"/>
              <w:rPr>
                <w:lang w:val="es-ES"/>
              </w:rPr>
            </w:pPr>
            <w:r w:rsidRPr="00C35766">
              <w:rPr>
                <w:lang w:val="es-ES"/>
              </w:rPr>
              <w:t xml:space="preserve"> </w:t>
            </w:r>
          </w:p>
        </w:tc>
      </w:tr>
      <w:tr w:rsidR="0050099E" w:rsidRPr="006501B3" w14:paraId="728D443C" w14:textId="77777777" w:rsidTr="00713ADC">
        <w:trPr>
          <w:trHeight w:val="4989"/>
        </w:trPr>
        <w:tc>
          <w:tcPr>
            <w:tcW w:w="9090" w:type="dxa"/>
          </w:tcPr>
          <w:p w14:paraId="7475600A" w14:textId="77777777" w:rsidR="0050099E" w:rsidRPr="00C35766" w:rsidRDefault="0050099E" w:rsidP="00933A6C">
            <w:pPr>
              <w:rPr>
                <w:rFonts w:ascii="Times New Roman" w:eastAsia="Times New Roman" w:hAnsi="Times New Roman" w:cs="Times New Roman"/>
                <w:lang w:val="es-ES"/>
              </w:rPr>
            </w:pPr>
          </w:p>
          <w:p w14:paraId="55F25FFC" w14:textId="77777777" w:rsidR="0050099E" w:rsidRPr="00C35766" w:rsidRDefault="0050099E" w:rsidP="00933A6C">
            <w:pPr>
              <w:pStyle w:val="a3"/>
              <w:rPr>
                <w:lang w:val="es-ES"/>
              </w:rPr>
            </w:pPr>
            <w:r w:rsidRPr="00C35766">
              <w:rPr>
                <w:noProof/>
                <w:lang w:eastAsia="ko-KR"/>
              </w:rPr>
              <mc:AlternateContent>
                <mc:Choice Requires="wpg">
                  <w:drawing>
                    <wp:anchor distT="0" distB="0" distL="114300" distR="114300" simplePos="0" relativeHeight="251658347" behindDoc="0" locked="0" layoutInCell="1" allowOverlap="1" wp14:anchorId="0FFCB507" wp14:editId="36E20BD0">
                      <wp:simplePos x="0" y="0"/>
                      <wp:positionH relativeFrom="column">
                        <wp:posOffset>48895</wp:posOffset>
                      </wp:positionH>
                      <wp:positionV relativeFrom="paragraph">
                        <wp:posOffset>16510</wp:posOffset>
                      </wp:positionV>
                      <wp:extent cx="2187575" cy="2923540"/>
                      <wp:effectExtent l="0" t="0" r="3175" b="0"/>
                      <wp:wrapSquare wrapText="bothSides"/>
                      <wp:docPr id="3868" name="그룹 3868"/>
                      <wp:cNvGraphicFramePr/>
                      <a:graphic xmlns:a="http://schemas.openxmlformats.org/drawingml/2006/main">
                        <a:graphicData uri="http://schemas.microsoft.com/office/word/2010/wordprocessingGroup">
                          <wpg:wgp>
                            <wpg:cNvGrpSpPr/>
                            <wpg:grpSpPr>
                              <a:xfrm>
                                <a:off x="0" y="0"/>
                                <a:ext cx="2187575" cy="2923540"/>
                                <a:chOff x="0" y="99989"/>
                                <a:chExt cx="2796208" cy="3436961"/>
                              </a:xfrm>
                            </wpg:grpSpPr>
                            <pic:pic xmlns:pic="http://schemas.openxmlformats.org/drawingml/2006/picture">
                              <pic:nvPicPr>
                                <pic:cNvPr id="3869" name="그림 3869"/>
                                <pic:cNvPicPr>
                                  <a:picLocks noChangeAspect="1"/>
                                </pic:cNvPicPr>
                              </pic:nvPicPr>
                              <pic:blipFill>
                                <a:blip r:embed="rId130" cstate="print">
                                  <a:extLst>
                                    <a:ext uri="{28A0092B-C50C-407E-A947-70E740481C1C}">
                                      <a14:useLocalDpi xmlns:a14="http://schemas.microsoft.com/office/drawing/2010/main" val="0"/>
                                    </a:ext>
                                  </a:extLst>
                                </a:blip>
                                <a:srcRect/>
                                <a:stretch/>
                              </pic:blipFill>
                              <pic:spPr bwMode="auto">
                                <a:xfrm>
                                  <a:off x="0" y="99989"/>
                                  <a:ext cx="2794000" cy="3229021"/>
                                </a:xfrm>
                                <a:prstGeom prst="rect">
                                  <a:avLst/>
                                </a:prstGeom>
                                <a:noFill/>
                                <a:ln>
                                  <a:noFill/>
                                </a:ln>
                              </pic:spPr>
                            </pic:pic>
                            <wps:wsp>
                              <wps:cNvPr id="3870" name="Text Box 3870"/>
                              <wps:cNvSpPr txBox="1"/>
                              <wps:spPr>
                                <a:xfrm>
                                  <a:off x="2076450" y="3390900"/>
                                  <a:ext cx="719758" cy="146050"/>
                                </a:xfrm>
                                <a:prstGeom prst="rect">
                                  <a:avLst/>
                                </a:prstGeom>
                                <a:solidFill>
                                  <a:prstClr val="white"/>
                                </a:solidFill>
                                <a:ln>
                                  <a:noFill/>
                                </a:ln>
                              </wps:spPr>
                              <wps:txbx>
                                <w:txbxContent>
                                  <w:p w14:paraId="0BD1B308"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FCB507" id="그룹 3868" o:spid="_x0000_s1280" style="position:absolute;margin-left:3.85pt;margin-top:1.3pt;width:172.25pt;height:230.2pt;z-index:251658347;mso-width-relative:margin;mso-height-relative:margin" coordorigin=",999" coordsize="27962,34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">
                      <v:shape id="그림 3869" o:spid="_x0000_s1281" type="#_x0000_t75" style="position:absolute;top:999;width:27940;height:3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">
                        <v:imagedata r:id="rId131" o:title=""/>
                      </v:shape>
                      <v:shape id="Text Box 3870" o:spid="_x0000_s1282"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" stroked="f">
                        <v:textbox inset="0,0,0,0">
                          <w:txbxContent>
                            <w:p w14:paraId="0BD1B308"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K</w:t>
                              </w:r>
                            </w:p>
                          </w:txbxContent>
                        </v:textbox>
                      </v:shape>
                      <w10:wrap type="square"/>
                    </v:group>
                  </w:pict>
                </mc:Fallback>
              </mc:AlternateContent>
            </w:r>
          </w:p>
          <w:p w14:paraId="4E59263B" w14:textId="12C56533" w:rsidR="0050099E" w:rsidRPr="00C35766" w:rsidRDefault="0050099E" w:rsidP="00933A6C">
            <w:pPr>
              <w:pStyle w:val="a3"/>
              <w:numPr>
                <w:ilvl w:val="0"/>
                <w:numId w:val="64"/>
              </w:numPr>
              <w:rPr>
                <w:highlight w:val="lightGray"/>
                <w:lang w:val="es-ES"/>
              </w:rPr>
            </w:pPr>
            <w:r w:rsidRPr="00C35766">
              <w:rPr>
                <w:rFonts w:eastAsia="Times New Roman"/>
                <w:b/>
                <w:bCs/>
                <w:highlight w:val="lightGray"/>
                <w:lang w:val="it-IT"/>
              </w:rPr>
              <w:t>Rimuova la siringa pre-riempita dal sito d’iniezione e</w:t>
            </w:r>
            <w:r w:rsidRPr="00C35766">
              <w:rPr>
                <w:rFonts w:eastAsia="Times New Roman"/>
                <w:highlight w:val="lightGray"/>
                <w:lang w:val="it-IT"/>
              </w:rPr>
              <w:t xml:space="preserve"> </w:t>
            </w:r>
            <w:r w:rsidRPr="00C35766">
              <w:rPr>
                <w:rFonts w:eastAsia="Times New Roman"/>
                <w:b/>
                <w:bCs/>
                <w:highlight w:val="lightGray"/>
                <w:lang w:val="it-IT"/>
              </w:rPr>
              <w:t xml:space="preserve">si </w:t>
            </w:r>
            <w:r w:rsidR="00B319EE">
              <w:rPr>
                <w:rFonts w:eastAsia="Times New Roman"/>
                <w:b/>
                <w:bCs/>
                <w:highlight w:val="lightGray"/>
                <w:lang w:val="it-IT"/>
              </w:rPr>
              <w:t xml:space="preserve">occupi </w:t>
            </w:r>
            <w:r w:rsidRPr="00C35766">
              <w:rPr>
                <w:rFonts w:eastAsia="Times New Roman"/>
                <w:b/>
                <w:bCs/>
                <w:highlight w:val="lightGray"/>
                <w:lang w:val="it-IT"/>
              </w:rPr>
              <w:t xml:space="preserve">del sito d’iniezione </w:t>
            </w:r>
          </w:p>
          <w:p w14:paraId="4D1C7D8C" w14:textId="77777777" w:rsidR="0050099E" w:rsidRPr="00C35766" w:rsidRDefault="0050099E" w:rsidP="00933A6C">
            <w:pPr>
              <w:pStyle w:val="a3"/>
              <w:numPr>
                <w:ilvl w:val="0"/>
                <w:numId w:val="0"/>
              </w:numPr>
              <w:ind w:left="471"/>
              <w:rPr>
                <w:highlight w:val="lightGray"/>
                <w:lang w:val="es-ES"/>
              </w:rPr>
            </w:pPr>
          </w:p>
          <w:p w14:paraId="59095513" w14:textId="77777777" w:rsidR="0050099E" w:rsidRPr="00C35766" w:rsidRDefault="0050099E" w:rsidP="00933A6C">
            <w:pPr>
              <w:pStyle w:val="a3"/>
              <w:rPr>
                <w:highlight w:val="lightGray"/>
                <w:lang w:val="it-IT"/>
              </w:rPr>
            </w:pPr>
            <w:r w:rsidRPr="00C35766">
              <w:rPr>
                <w:rFonts w:eastAsia="Times New Roman"/>
                <w:b/>
                <w:bCs/>
                <w:highlight w:val="lightGray"/>
                <w:lang w:val="it-IT"/>
              </w:rPr>
              <w:t xml:space="preserve"> a.</w:t>
            </w:r>
            <w:r w:rsidRPr="00C35766">
              <w:rPr>
                <w:rFonts w:eastAsia="Times New Roman"/>
                <w:highlight w:val="lightGray"/>
                <w:lang w:val="it-IT"/>
              </w:rPr>
              <w:t xml:space="preserve"> Quando la siringa pre-riempita è vuota, </w:t>
            </w:r>
          </w:p>
          <w:p w14:paraId="5611A559" w14:textId="77777777" w:rsidR="0050099E" w:rsidRPr="00C35766" w:rsidRDefault="0050099E" w:rsidP="00933A6C">
            <w:pPr>
              <w:pStyle w:val="a3"/>
              <w:rPr>
                <w:highlight w:val="lightGray"/>
                <w:lang w:val="it-IT"/>
              </w:rPr>
            </w:pPr>
            <w:r w:rsidRPr="00C35766">
              <w:rPr>
                <w:rFonts w:eastAsia="Times New Roman"/>
                <w:highlight w:val="lightGray"/>
                <w:lang w:val="it-IT"/>
              </w:rPr>
              <w:t xml:space="preserve"> sollevi lentamente il pollice dallo </w:t>
            </w:r>
          </w:p>
          <w:p w14:paraId="7E01334D" w14:textId="77777777" w:rsidR="0050099E" w:rsidRPr="00C35766" w:rsidRDefault="0050099E" w:rsidP="00933A6C">
            <w:pPr>
              <w:pStyle w:val="a3"/>
              <w:rPr>
                <w:highlight w:val="lightGray"/>
                <w:lang w:val="it-IT"/>
              </w:rPr>
            </w:pPr>
            <w:r w:rsidRPr="00C35766">
              <w:rPr>
                <w:rFonts w:eastAsia="Times New Roman"/>
                <w:highlight w:val="lightGray"/>
                <w:lang w:val="it-IT"/>
              </w:rPr>
              <w:t xml:space="preserve"> stantuffo fino a quando l’ago non è completamente coperto dal dispositivo di sicurezza per l'ago.</w:t>
            </w:r>
          </w:p>
          <w:p w14:paraId="0F1A075D" w14:textId="77777777" w:rsidR="0050099E" w:rsidRPr="00C35766" w:rsidRDefault="0050099E" w:rsidP="00933A6C">
            <w:pPr>
              <w:pStyle w:val="a3"/>
              <w:rPr>
                <w:rFonts w:eastAsia="Times New Roman"/>
                <w:highlight w:val="lightGray"/>
                <w:lang w:val="es-ES"/>
              </w:rPr>
            </w:pPr>
            <w:r w:rsidRPr="00C35766">
              <w:rPr>
                <w:rFonts w:eastAsia="Times New Roman"/>
                <w:highlight w:val="lightGray"/>
                <w:lang w:val="it-IT"/>
              </w:rPr>
              <w:t xml:space="preserve"> </w:t>
            </w:r>
            <w:r w:rsidRPr="00C35766">
              <w:rPr>
                <w:rFonts w:eastAsia="Times New Roman"/>
                <w:b/>
                <w:bCs/>
                <w:highlight w:val="lightGray"/>
                <w:lang w:val="it-IT"/>
              </w:rPr>
              <w:t>b.</w:t>
            </w:r>
            <w:r w:rsidRPr="00C35766">
              <w:rPr>
                <w:rFonts w:eastAsia="Times New Roman"/>
                <w:highlight w:val="lightGray"/>
                <w:lang w:val="it-IT"/>
              </w:rPr>
              <w:t xml:space="preserve"> Medichi il sito d’iniezione premendo delicatamente, senza strofinare, un batuffolo di cotone o </w:t>
            </w:r>
          </w:p>
          <w:p w14:paraId="74992DF5" w14:textId="77777777" w:rsidR="0050099E" w:rsidRPr="00C35766" w:rsidRDefault="0050099E" w:rsidP="00933A6C">
            <w:pPr>
              <w:pStyle w:val="a3"/>
              <w:rPr>
                <w:rFonts w:eastAsia="Times New Roman"/>
                <w:highlight w:val="lightGray"/>
                <w:lang w:val="pt-BR"/>
              </w:rPr>
            </w:pPr>
            <w:r w:rsidRPr="00C35766">
              <w:rPr>
                <w:rFonts w:eastAsia="Times New Roman"/>
                <w:highlight w:val="lightGray"/>
                <w:lang w:val="it-IT"/>
              </w:rPr>
              <w:t xml:space="preserve"> una garza sul sito e, se necessario </w:t>
            </w:r>
          </w:p>
          <w:p w14:paraId="33851288" w14:textId="77777777" w:rsidR="0050099E" w:rsidRPr="00C35766" w:rsidRDefault="0050099E" w:rsidP="00933A6C">
            <w:pPr>
              <w:pStyle w:val="a3"/>
              <w:rPr>
                <w:highlight w:val="lightGray"/>
                <w:lang w:val="es-ES"/>
              </w:rPr>
            </w:pPr>
            <w:r w:rsidRPr="00C35766">
              <w:rPr>
                <w:rFonts w:eastAsia="Times New Roman"/>
                <w:highlight w:val="lightGray"/>
                <w:lang w:val="it-IT"/>
              </w:rPr>
              <w:t xml:space="preserve"> applicando una benda adesiva. Può verificarsi </w:t>
            </w:r>
          </w:p>
          <w:p w14:paraId="1324AF12" w14:textId="77777777" w:rsidR="0050099E" w:rsidRPr="00C35766" w:rsidRDefault="0050099E" w:rsidP="00933A6C">
            <w:pPr>
              <w:pStyle w:val="a3"/>
              <w:rPr>
                <w:highlight w:val="lightGray"/>
                <w:lang w:val="es-ES"/>
              </w:rPr>
            </w:pPr>
            <w:r w:rsidRPr="00C35766">
              <w:rPr>
                <w:rFonts w:eastAsia="Times New Roman"/>
                <w:highlight w:val="lightGray"/>
                <w:lang w:val="it-IT"/>
              </w:rPr>
              <w:t xml:space="preserve"> un sanguinamento.</w:t>
            </w:r>
          </w:p>
          <w:p w14:paraId="015CF9D8" w14:textId="77777777" w:rsidR="0050099E" w:rsidRPr="00C35766" w:rsidRDefault="0050099E" w:rsidP="00933A6C">
            <w:pPr>
              <w:pStyle w:val="a3"/>
              <w:rPr>
                <w:highlight w:val="lightGray"/>
                <w:lang w:val="es-ES"/>
              </w:rPr>
            </w:pPr>
          </w:p>
          <w:p w14:paraId="66E97EB3" w14:textId="77777777" w:rsidR="0050099E" w:rsidRPr="00C35766" w:rsidRDefault="0050099E" w:rsidP="00933A6C">
            <w:pPr>
              <w:pStyle w:val="a3"/>
              <w:rPr>
                <w:highlight w:val="lightGray"/>
                <w:lang w:val="es-ES"/>
              </w:rPr>
            </w:pPr>
          </w:p>
          <w:p w14:paraId="26AE91D1" w14:textId="77777777" w:rsidR="0050099E" w:rsidRPr="00C35766" w:rsidRDefault="0050099E" w:rsidP="00933A6C">
            <w:pPr>
              <w:pStyle w:val="a3"/>
              <w:rPr>
                <w:highlight w:val="lightGray"/>
                <w:lang w:val="es-ES"/>
              </w:rPr>
            </w:pPr>
            <w:r w:rsidRPr="00C35766">
              <w:rPr>
                <w:rFonts w:eastAsia="맑은 고딕"/>
                <w:highlight w:val="lightGray"/>
                <w:lang w:val="it-IT"/>
              </w:rPr>
              <w:t>•</w:t>
            </w:r>
            <w:r w:rsidRPr="00C35766">
              <w:rPr>
                <w:rFonts w:eastAsia="Times New Roman"/>
                <w:b/>
                <w:bCs/>
                <w:highlight w:val="lightGray"/>
                <w:lang w:val="it-IT"/>
              </w:rPr>
              <w:t>Non</w:t>
            </w:r>
            <w:r w:rsidRPr="00C35766">
              <w:rPr>
                <w:rFonts w:eastAsia="Times New Roman"/>
                <w:highlight w:val="lightGray"/>
                <w:lang w:val="it-IT"/>
              </w:rPr>
              <w:t xml:space="preserve"> riutilizzi la siringa pre-riempita.</w:t>
            </w:r>
          </w:p>
          <w:p w14:paraId="121CB660" w14:textId="77777777" w:rsidR="0050099E" w:rsidRPr="00C35766" w:rsidRDefault="0050099E" w:rsidP="00933A6C">
            <w:pPr>
              <w:pStyle w:val="a3"/>
              <w:rPr>
                <w:b/>
                <w:bCs/>
                <w:spacing w:val="-1"/>
                <w:lang w:val="fr-FR"/>
              </w:rPr>
            </w:pPr>
            <w:r w:rsidRPr="00C35766">
              <w:rPr>
                <w:rFonts w:eastAsia="맑은 고딕"/>
                <w:b/>
                <w:bCs/>
                <w:highlight w:val="lightGray"/>
                <w:lang w:val="it-IT"/>
              </w:rPr>
              <w:t>•</w:t>
            </w:r>
            <w:r w:rsidRPr="00C35766">
              <w:rPr>
                <w:rFonts w:eastAsia="Times New Roman"/>
                <w:b/>
                <w:bCs/>
                <w:highlight w:val="lightGray"/>
                <w:lang w:val="it-IT"/>
              </w:rPr>
              <w:t>Non</w:t>
            </w:r>
            <w:r w:rsidRPr="00C35766">
              <w:rPr>
                <w:rFonts w:eastAsia="Times New Roman"/>
                <w:highlight w:val="lightGray"/>
                <w:lang w:val="it-IT"/>
              </w:rPr>
              <w:t xml:space="preserve"> strofini il sito d’iniezione</w:t>
            </w:r>
          </w:p>
        </w:tc>
      </w:tr>
      <w:tr w:rsidR="0050099E" w:rsidRPr="00494E69" w14:paraId="21B66EA4" w14:textId="77777777" w:rsidTr="00713ADC">
        <w:trPr>
          <w:trHeight w:val="5386"/>
        </w:trPr>
        <w:tc>
          <w:tcPr>
            <w:tcW w:w="9090" w:type="dxa"/>
          </w:tcPr>
          <w:p w14:paraId="307F96F4" w14:textId="77777777" w:rsidR="0050099E" w:rsidRPr="00C35766" w:rsidRDefault="0050099E" w:rsidP="00933A6C">
            <w:pPr>
              <w:pStyle w:val="a3"/>
              <w:rPr>
                <w:lang w:val="fr-FR"/>
              </w:rPr>
            </w:pPr>
            <w:r w:rsidRPr="00C35766">
              <w:rPr>
                <w:noProof/>
                <w:lang w:eastAsia="ko-KR"/>
              </w:rPr>
              <w:lastRenderedPageBreak/>
              <mc:AlternateContent>
                <mc:Choice Requires="wpg">
                  <w:drawing>
                    <wp:anchor distT="0" distB="0" distL="114300" distR="114300" simplePos="0" relativeHeight="251658317" behindDoc="0" locked="0" layoutInCell="1" allowOverlap="1" wp14:anchorId="24C2610A" wp14:editId="1E65EE9C">
                      <wp:simplePos x="0" y="0"/>
                      <wp:positionH relativeFrom="column">
                        <wp:posOffset>36195</wp:posOffset>
                      </wp:positionH>
                      <wp:positionV relativeFrom="paragraph">
                        <wp:posOffset>111125</wp:posOffset>
                      </wp:positionV>
                      <wp:extent cx="2296160" cy="2907665"/>
                      <wp:effectExtent l="0" t="0" r="8890" b="6985"/>
                      <wp:wrapSquare wrapText="bothSides"/>
                      <wp:docPr id="3871" name="그룹 3871"/>
                      <wp:cNvGraphicFramePr/>
                      <a:graphic xmlns:a="http://schemas.openxmlformats.org/drawingml/2006/main">
                        <a:graphicData uri="http://schemas.microsoft.com/office/word/2010/wordprocessingGroup">
                          <wpg:wgp>
                            <wpg:cNvGrpSpPr/>
                            <wpg:grpSpPr>
                              <a:xfrm>
                                <a:off x="0" y="0"/>
                                <a:ext cx="2296160" cy="2907665"/>
                                <a:chOff x="31457" y="0"/>
                                <a:chExt cx="2796423" cy="3608758"/>
                              </a:xfrm>
                            </wpg:grpSpPr>
                            <pic:pic xmlns:pic="http://schemas.openxmlformats.org/drawingml/2006/picture">
                              <pic:nvPicPr>
                                <pic:cNvPr id="3872" name="그림 3872"/>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bwMode="auto">
                                <a:xfrm>
                                  <a:off x="31457" y="0"/>
                                  <a:ext cx="2764740" cy="3403600"/>
                                </a:xfrm>
                                <a:prstGeom prst="rect">
                                  <a:avLst/>
                                </a:prstGeom>
                                <a:noFill/>
                                <a:ln>
                                  <a:noFill/>
                                </a:ln>
                              </pic:spPr>
                            </pic:pic>
                            <wps:wsp>
                              <wps:cNvPr id="3873" name="Text Box 3873"/>
                              <wps:cNvSpPr txBox="1"/>
                              <wps:spPr>
                                <a:xfrm>
                                  <a:off x="2108200" y="3462708"/>
                                  <a:ext cx="719680" cy="146050"/>
                                </a:xfrm>
                                <a:prstGeom prst="rect">
                                  <a:avLst/>
                                </a:prstGeom>
                                <a:solidFill>
                                  <a:prstClr val="white"/>
                                </a:solidFill>
                                <a:ln>
                                  <a:noFill/>
                                </a:ln>
                              </wps:spPr>
                              <wps:txbx>
                                <w:txbxContent>
                                  <w:p w14:paraId="25F31072"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C2610A" id="그룹 3871" o:spid="_x0000_s1283" style="position:absolute;margin-left:2.85pt;margin-top:8.75pt;width:180.8pt;height:228.95pt;z-index:251658317;mso-width-relative:margin;mso-height-relative:margin" coordorigin="314" coordsize="27964,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">
                      <v:shape id="그림 3872" o:spid="_x0000_s1284" type="#_x0000_t75" style="position:absolute;left:314;width:27647;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">
                        <v:imagedata r:id="rId133" o:title=""/>
                      </v:shape>
                      <v:shape id="Text Box 3873" o:spid="_x0000_s1285" type="#_x0000_t202" style="position:absolute;left:21082;top:34627;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" stroked="f">
                        <v:textbox inset="0,0,0,0">
                          <w:txbxContent>
                            <w:p w14:paraId="25F31072" w14:textId="7777777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it-IT"/>
                                </w:rPr>
                                <w:t>Figura L</w:t>
                              </w:r>
                            </w:p>
                          </w:txbxContent>
                        </v:textbox>
                      </v:shape>
                      <w10:wrap type="square"/>
                    </v:group>
                  </w:pict>
                </mc:Fallback>
              </mc:AlternateContent>
            </w:r>
          </w:p>
          <w:p w14:paraId="29CECA83" w14:textId="77777777" w:rsidR="0050099E" w:rsidRPr="00C35766" w:rsidRDefault="0050099E" w:rsidP="00933A6C">
            <w:pPr>
              <w:pStyle w:val="a3"/>
              <w:rPr>
                <w:lang w:val="fr-FR"/>
              </w:rPr>
            </w:pPr>
          </w:p>
          <w:p w14:paraId="7D3BBC15" w14:textId="77777777" w:rsidR="0050099E" w:rsidRPr="00C35766" w:rsidRDefault="0050099E" w:rsidP="00933A6C">
            <w:pPr>
              <w:pStyle w:val="a3"/>
              <w:numPr>
                <w:ilvl w:val="0"/>
                <w:numId w:val="64"/>
              </w:numPr>
              <w:rPr>
                <w:b/>
                <w:highlight w:val="lightGray"/>
              </w:rPr>
            </w:pPr>
            <w:r w:rsidRPr="00C35766">
              <w:rPr>
                <w:rFonts w:eastAsia="Times New Roman"/>
                <w:b/>
                <w:bCs/>
                <w:highlight w:val="lightGray"/>
                <w:lang w:val="it-IT"/>
              </w:rPr>
              <w:t>Smaltisca la siringa pre-riempita</w:t>
            </w:r>
          </w:p>
          <w:p w14:paraId="77AB702E" w14:textId="77777777" w:rsidR="0050099E" w:rsidRPr="00C35766" w:rsidRDefault="0050099E" w:rsidP="00933A6C">
            <w:pPr>
              <w:pStyle w:val="a3"/>
              <w:rPr>
                <w:highlight w:val="lightGray"/>
              </w:rPr>
            </w:pPr>
          </w:p>
          <w:p w14:paraId="06FB8CFA" w14:textId="77777777" w:rsidR="0050099E" w:rsidRPr="00C35766" w:rsidRDefault="0050099E" w:rsidP="00933A6C">
            <w:pPr>
              <w:pStyle w:val="a3"/>
              <w:rPr>
                <w:rFonts w:eastAsia="Times New Roman"/>
                <w:highlight w:val="lightGray"/>
                <w:lang w:val="pt-BR"/>
              </w:rPr>
            </w:pPr>
            <w:r w:rsidRPr="00C35766">
              <w:rPr>
                <w:rFonts w:eastAsia="Times New Roman"/>
                <w:b/>
                <w:bCs/>
                <w:highlight w:val="lightGray"/>
                <w:lang w:val="it-IT"/>
              </w:rPr>
              <w:t xml:space="preserve"> a.</w:t>
            </w:r>
            <w:r w:rsidRPr="00C35766">
              <w:rPr>
                <w:rFonts w:eastAsia="Times New Roman"/>
                <w:highlight w:val="lightGray"/>
                <w:lang w:val="it-IT"/>
              </w:rPr>
              <w:t xml:space="preserve"> Getti via immediatamente la siringa pre-riempita usatain un apposito contenitore per lo smaltimento di oggetti taglienti  come indicato dal Suo medico, infermiere o </w:t>
            </w:r>
          </w:p>
          <w:p w14:paraId="7B5BF476" w14:textId="77777777" w:rsidR="0050099E" w:rsidRPr="00C35766" w:rsidRDefault="0050099E" w:rsidP="00933A6C">
            <w:pPr>
              <w:pStyle w:val="a3"/>
              <w:rPr>
                <w:highlight w:val="lightGray"/>
                <w:lang w:val="it-IT"/>
              </w:rPr>
            </w:pPr>
            <w:r w:rsidRPr="00C35766">
              <w:rPr>
                <w:rFonts w:eastAsia="Times New Roman"/>
                <w:highlight w:val="lightGray"/>
                <w:lang w:val="it-IT"/>
              </w:rPr>
              <w:t xml:space="preserve"> farmacista.</w:t>
            </w:r>
          </w:p>
          <w:p w14:paraId="11BE4210" w14:textId="77777777" w:rsidR="0050099E" w:rsidRPr="00C35766" w:rsidRDefault="0050099E" w:rsidP="00933A6C">
            <w:pPr>
              <w:pStyle w:val="a3"/>
              <w:rPr>
                <w:highlight w:val="lightGray"/>
                <w:lang w:val="pt-BR"/>
              </w:rPr>
            </w:pPr>
          </w:p>
          <w:p w14:paraId="4AF92891" w14:textId="77777777" w:rsidR="0050099E" w:rsidRPr="00C35766" w:rsidRDefault="0050099E" w:rsidP="00933A6C">
            <w:pPr>
              <w:pStyle w:val="a3"/>
              <w:rPr>
                <w:highlight w:val="lightGray"/>
                <w:lang w:val="pt-BR"/>
              </w:rPr>
            </w:pPr>
          </w:p>
          <w:p w14:paraId="53962AD3" w14:textId="77777777" w:rsidR="0050099E" w:rsidRPr="00824699" w:rsidRDefault="0050099E" w:rsidP="00933A6C">
            <w:pPr>
              <w:pStyle w:val="a3"/>
              <w:rPr>
                <w:b/>
                <w:highlight w:val="lightGray"/>
                <w:lang w:val="it-IT"/>
              </w:rPr>
            </w:pPr>
            <w:r w:rsidRPr="00C35766">
              <w:rPr>
                <w:rFonts w:eastAsia="Times New Roman"/>
                <w:b/>
                <w:bCs/>
                <w:highlight w:val="lightGray"/>
                <w:lang w:val="it-IT"/>
              </w:rPr>
              <w:t xml:space="preserve"> b. </w:t>
            </w:r>
            <w:r w:rsidRPr="00C35766">
              <w:rPr>
                <w:rFonts w:eastAsia="Times New Roman"/>
                <w:highlight w:val="lightGray"/>
                <w:lang w:val="it-IT"/>
              </w:rPr>
              <w:t>Il tampone imbevuto di alcol e l’imballaggio possono essere messi nei rifiuti domestici.</w:t>
            </w:r>
          </w:p>
          <w:p w14:paraId="42F5CCED" w14:textId="77777777" w:rsidR="0050099E" w:rsidRPr="00824699" w:rsidRDefault="0050099E" w:rsidP="00933A6C">
            <w:pPr>
              <w:pStyle w:val="a3"/>
              <w:rPr>
                <w:b/>
                <w:highlight w:val="lightGray"/>
                <w:lang w:val="it-IT"/>
              </w:rPr>
            </w:pPr>
          </w:p>
          <w:p w14:paraId="6AC365A1" w14:textId="77777777" w:rsidR="0050099E" w:rsidRPr="00C35766" w:rsidRDefault="0050099E" w:rsidP="00933A6C">
            <w:pPr>
              <w:pStyle w:val="a3"/>
              <w:numPr>
                <w:ilvl w:val="0"/>
                <w:numId w:val="17"/>
              </w:numPr>
              <w:rPr>
                <w:highlight w:val="lightGray"/>
                <w:lang w:val="es-ES"/>
              </w:rPr>
            </w:pPr>
            <w:r w:rsidRPr="00C35766">
              <w:rPr>
                <w:rFonts w:eastAsia="Times New Roman"/>
                <w:highlight w:val="lightGray"/>
                <w:lang w:val="it-IT"/>
              </w:rPr>
              <w:t xml:space="preserve">Tenga sempre la siringa pre-riempita e </w:t>
            </w:r>
          </w:p>
          <w:p w14:paraId="651EC0E8" w14:textId="77777777" w:rsidR="0050099E" w:rsidRPr="00C35766" w:rsidRDefault="0050099E" w:rsidP="00933A6C">
            <w:pPr>
              <w:pStyle w:val="a3"/>
              <w:rPr>
                <w:lang w:val="it-IT"/>
              </w:rPr>
            </w:pPr>
            <w:r w:rsidRPr="00C35766">
              <w:rPr>
                <w:rFonts w:eastAsia="Times New Roman"/>
                <w:highlight w:val="lightGray"/>
                <w:lang w:val="it-IT"/>
              </w:rPr>
              <w:t xml:space="preserve"> il contenitore speciale per lo smaltimento degli oggetti taglienti fuori dalla vista e dalla portata dei bambini.</w:t>
            </w:r>
          </w:p>
          <w:p w14:paraId="67DB61F1" w14:textId="77777777" w:rsidR="0050099E" w:rsidRPr="00C35766" w:rsidRDefault="0050099E" w:rsidP="00933A6C">
            <w:pPr>
              <w:pStyle w:val="a3"/>
              <w:rPr>
                <w:lang w:val="it-IT"/>
              </w:rPr>
            </w:pPr>
          </w:p>
          <w:p w14:paraId="66493656" w14:textId="77777777" w:rsidR="0050099E" w:rsidRPr="00C35766" w:rsidRDefault="0050099E" w:rsidP="00933A6C">
            <w:pPr>
              <w:pStyle w:val="a3"/>
              <w:rPr>
                <w:b/>
                <w:spacing w:val="-1"/>
                <w:lang w:val="it-IT"/>
              </w:rPr>
            </w:pPr>
          </w:p>
        </w:tc>
      </w:tr>
    </w:tbl>
    <w:p w14:paraId="6EBF448B" w14:textId="77777777" w:rsidR="0050099E" w:rsidRPr="00C35766" w:rsidRDefault="0050099E" w:rsidP="0050099E">
      <w:pPr>
        <w:spacing w:line="241" w:lineRule="auto"/>
        <w:rPr>
          <w:rFonts w:ascii="Times New Roman" w:hAnsi="Times New Roman" w:cs="Times New Roman"/>
          <w:lang w:val="it-IT"/>
        </w:rPr>
      </w:pPr>
    </w:p>
    <w:p w14:paraId="3AB586D3" w14:textId="77777777" w:rsidR="0050099E" w:rsidRPr="00C35766" w:rsidRDefault="0050099E" w:rsidP="0050099E">
      <w:pPr>
        <w:rPr>
          <w:rFonts w:ascii="Times New Roman" w:hAnsi="Times New Roman" w:cs="Times New Roman"/>
          <w:lang w:val="it-IT"/>
        </w:rPr>
      </w:pPr>
      <w:r w:rsidRPr="00C35766">
        <w:rPr>
          <w:rFonts w:ascii="Times New Roman" w:hAnsi="Times New Roman" w:cs="Times New Roman"/>
          <w:lang w:val="it-IT"/>
        </w:rPr>
        <w:br w:type="page"/>
      </w:r>
    </w:p>
    <w:p w14:paraId="61023015" w14:textId="77777777" w:rsidR="0050099E" w:rsidRPr="00C35766" w:rsidRDefault="0050099E" w:rsidP="0050099E">
      <w:pPr>
        <w:ind w:left="2350" w:right="2268"/>
        <w:jc w:val="center"/>
        <w:rPr>
          <w:rFonts w:ascii="Times New Roman" w:hAnsi="Times New Roman" w:cs="Times New Roman"/>
          <w:b/>
          <w:lang w:val="it-IT"/>
        </w:rPr>
      </w:pPr>
      <w:r w:rsidRPr="00C35766">
        <w:rPr>
          <w:rFonts w:ascii="Times New Roman" w:eastAsia="Times New Roman" w:hAnsi="Times New Roman" w:cs="Times New Roman"/>
          <w:b/>
          <w:bCs/>
          <w:lang w:val="it-IT"/>
        </w:rPr>
        <w:lastRenderedPageBreak/>
        <w:t>Foglio illustrativo: informazioni per il paziente</w:t>
      </w:r>
    </w:p>
    <w:p w14:paraId="2BFB70E5" w14:textId="77777777" w:rsidR="0050099E" w:rsidRPr="00C35766" w:rsidRDefault="0050099E" w:rsidP="0050099E">
      <w:pPr>
        <w:spacing w:before="13" w:line="240" w:lineRule="exact"/>
        <w:rPr>
          <w:rFonts w:ascii="Times New Roman" w:hAnsi="Times New Roman" w:cs="Times New Roman"/>
          <w:sz w:val="24"/>
          <w:lang w:val="it-IT"/>
        </w:rPr>
      </w:pPr>
    </w:p>
    <w:p w14:paraId="6826BDCE" w14:textId="5789DA37" w:rsidR="0050099E" w:rsidRPr="00C35766" w:rsidRDefault="0050099E" w:rsidP="0050099E">
      <w:pPr>
        <w:ind w:left="2350" w:right="2268"/>
        <w:jc w:val="center"/>
        <w:rPr>
          <w:rFonts w:ascii="Times New Roman" w:hAnsi="Times New Roman" w:cs="Times New Roman"/>
          <w:lang w:val="it-IT"/>
        </w:rPr>
      </w:pPr>
      <w:r w:rsidRPr="00C35766">
        <w:rPr>
          <w:rFonts w:ascii="Times New Roman" w:eastAsia="Times New Roman" w:hAnsi="Times New Roman" w:cs="Times New Roman"/>
          <w:b/>
          <w:bCs/>
          <w:lang w:val="it-IT"/>
        </w:rPr>
        <w:t xml:space="preserve">Yuflyma </w:t>
      </w:r>
      <w:r w:rsidR="007C4FE1" w:rsidRPr="00C35766">
        <w:rPr>
          <w:rFonts w:ascii="Times New Roman" w:eastAsia="Times New Roman" w:hAnsi="Times New Roman" w:cs="Times New Roman"/>
          <w:b/>
          <w:bCs/>
          <w:lang w:val="it-IT"/>
        </w:rPr>
        <w:t>8</w:t>
      </w:r>
      <w:r w:rsidRPr="00C35766">
        <w:rPr>
          <w:rFonts w:ascii="Times New Roman" w:eastAsia="Times New Roman" w:hAnsi="Times New Roman" w:cs="Times New Roman"/>
          <w:b/>
          <w:bCs/>
          <w:lang w:val="it-IT"/>
        </w:rPr>
        <w:t>0 mg soluzione iniettabile in penna pre-riempita</w:t>
      </w:r>
    </w:p>
    <w:p w14:paraId="314C8604" w14:textId="23EFD5D3" w:rsidR="0050099E" w:rsidRPr="00C35766" w:rsidRDefault="00DD6E3A" w:rsidP="0050099E">
      <w:pPr>
        <w:pStyle w:val="a3"/>
        <w:jc w:val="center"/>
        <w:rPr>
          <w:lang w:val="it-IT"/>
        </w:rPr>
      </w:pPr>
      <w:r w:rsidRPr="00C35766">
        <w:rPr>
          <w:rFonts w:eastAsia="Times New Roman"/>
          <w:lang w:val="it-IT"/>
        </w:rPr>
        <w:t>a</w:t>
      </w:r>
      <w:r w:rsidR="0050099E" w:rsidRPr="00C35766">
        <w:rPr>
          <w:rFonts w:eastAsia="Times New Roman"/>
          <w:lang w:val="it-IT"/>
        </w:rPr>
        <w:t>dalimumab</w:t>
      </w:r>
    </w:p>
    <w:p w14:paraId="5FBE1CCB" w14:textId="77777777" w:rsidR="0050099E" w:rsidRPr="00C35766" w:rsidRDefault="0050099E" w:rsidP="0050099E">
      <w:pPr>
        <w:spacing w:before="18" w:line="240" w:lineRule="exact"/>
        <w:rPr>
          <w:rFonts w:ascii="Times New Roman" w:hAnsi="Times New Roman" w:cs="Times New Roman"/>
          <w:sz w:val="24"/>
          <w:lang w:val="it-IT"/>
        </w:rPr>
      </w:pPr>
    </w:p>
    <w:p w14:paraId="1B6393AE" w14:textId="77777777" w:rsidR="0050099E" w:rsidRPr="00C35766" w:rsidRDefault="0050099E" w:rsidP="0050099E">
      <w:pPr>
        <w:spacing w:before="18" w:line="240" w:lineRule="exact"/>
        <w:ind w:left="108"/>
        <w:rPr>
          <w:rFonts w:ascii="Times New Roman" w:hAnsi="Times New Roman" w:cs="Times New Roman"/>
          <w:sz w:val="24"/>
          <w:szCs w:val="24"/>
          <w:lang w:val="es-ES"/>
        </w:rPr>
      </w:pPr>
      <w:r w:rsidRPr="00C35766">
        <w:rPr>
          <w:rFonts w:ascii="Times New Roman" w:hAnsi="Times New Roman" w:cs="Times New Roman"/>
          <w:noProof/>
          <w:lang w:eastAsia="ko-KR"/>
        </w:rPr>
        <w:drawing>
          <wp:inline distT="0" distB="0" distL="0" distR="0" wp14:anchorId="4CBDFD87" wp14:editId="32A552B8">
            <wp:extent cx="203200" cy="169545"/>
            <wp:effectExtent l="0" t="0" r="6350" b="1905"/>
            <wp:docPr id="3958" name="그림 395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C35766">
        <w:rPr>
          <w:rFonts w:ascii="Times New Roman" w:eastAsia="Times New Roman" w:hAnsi="Times New Roman" w:cs="Times New Roman"/>
          <w:lang w:val="it-IT"/>
        </w:rPr>
        <w:t>Medicinale sottoposto a monitoraggio addizionale. Ciò permetterà la rapida identificazione di nuove informazioni sulla sicurezza. Lei può contribuire segnalando qualsiasi effetto indesiderato riscontrato durante l’assunzione di questo medicinale. Vedere la fine del paragrafo 4 per le informazioni su come segnalare gli effetti indesiderati.</w:t>
      </w:r>
    </w:p>
    <w:p w14:paraId="56253E52" w14:textId="77777777" w:rsidR="0050099E" w:rsidRPr="00C35766" w:rsidRDefault="0050099E" w:rsidP="0050099E">
      <w:pPr>
        <w:spacing w:before="18" w:line="240" w:lineRule="exact"/>
        <w:rPr>
          <w:rFonts w:ascii="Times New Roman" w:hAnsi="Times New Roman" w:cs="Times New Roman"/>
          <w:sz w:val="24"/>
          <w:szCs w:val="24"/>
          <w:lang w:val="es-ES"/>
        </w:rPr>
      </w:pPr>
    </w:p>
    <w:p w14:paraId="6DD4ADE6" w14:textId="77777777" w:rsidR="0050099E" w:rsidRPr="00C35766" w:rsidRDefault="0050099E" w:rsidP="0050099E">
      <w:pPr>
        <w:spacing w:before="18" w:line="240" w:lineRule="exact"/>
        <w:ind w:left="108"/>
        <w:rPr>
          <w:rFonts w:ascii="Times New Roman" w:hAnsi="Times New Roman" w:cs="Times New Roman"/>
          <w:b/>
          <w:lang w:val="it-IT"/>
        </w:rPr>
      </w:pPr>
      <w:r w:rsidRPr="00C35766">
        <w:rPr>
          <w:rFonts w:ascii="Times New Roman" w:eastAsia="Times New Roman" w:hAnsi="Times New Roman" w:cs="Times New Roman"/>
          <w:b/>
          <w:bCs/>
          <w:lang w:val="it-IT"/>
        </w:rPr>
        <w:t>Legga attentamente questo foglio prima di usare questo medicinale perché contiene importanti informazioni per lei.</w:t>
      </w:r>
    </w:p>
    <w:p w14:paraId="13202FCB" w14:textId="77777777" w:rsidR="0050099E" w:rsidRPr="00C35766" w:rsidRDefault="0050099E" w:rsidP="0050099E">
      <w:pPr>
        <w:pStyle w:val="a3"/>
        <w:numPr>
          <w:ilvl w:val="0"/>
          <w:numId w:val="5"/>
        </w:numPr>
        <w:ind w:left="660" w:hanging="660"/>
        <w:rPr>
          <w:lang w:val="pt-BR"/>
        </w:rPr>
      </w:pPr>
      <w:r w:rsidRPr="00C35766">
        <w:rPr>
          <w:rFonts w:eastAsia="Times New Roman"/>
          <w:lang w:val="it-IT"/>
        </w:rPr>
        <w:t>Conservi questo foglio. Potrebbe aver bisogno di leggerlo di nuovo.</w:t>
      </w:r>
    </w:p>
    <w:p w14:paraId="54D62D20" w14:textId="77777777" w:rsidR="0050099E" w:rsidRPr="00C35766" w:rsidRDefault="0050099E" w:rsidP="0050099E">
      <w:pPr>
        <w:pStyle w:val="a3"/>
        <w:numPr>
          <w:ilvl w:val="0"/>
          <w:numId w:val="5"/>
        </w:numPr>
        <w:ind w:left="660" w:hanging="660"/>
        <w:rPr>
          <w:lang w:val="es-ES"/>
        </w:rPr>
      </w:pPr>
      <w:r w:rsidRPr="00C35766">
        <w:rPr>
          <w:rFonts w:eastAsia="Times New Roman"/>
          <w:lang w:val="it-IT"/>
        </w:rPr>
        <w:t xml:space="preserve">Il medico Le fornirà anche una </w:t>
      </w:r>
      <w:r w:rsidRPr="00C35766">
        <w:rPr>
          <w:rFonts w:eastAsia="Times New Roman"/>
          <w:b/>
          <w:bCs/>
          <w:lang w:val="it-IT"/>
        </w:rPr>
        <w:t>Scheda promemoria per il paziente</w:t>
      </w:r>
      <w:r w:rsidRPr="00C35766">
        <w:rPr>
          <w:rFonts w:eastAsia="Times New Roman"/>
          <w:lang w:val="it-IT"/>
        </w:rPr>
        <w:t xml:space="preserve">, che contiene importanti informazioni sulla sicurezza che Lei deve conoscere prima e durante il trattamento con Yuflyma. Tenga con sé la </w:t>
      </w:r>
      <w:r w:rsidRPr="00C35766">
        <w:rPr>
          <w:rFonts w:eastAsia="Times New Roman"/>
          <w:b/>
          <w:bCs/>
          <w:lang w:val="it-IT"/>
        </w:rPr>
        <w:t xml:space="preserve">Scheda Promemoria per il Paziente </w:t>
      </w:r>
      <w:r w:rsidRPr="00C35766">
        <w:rPr>
          <w:rFonts w:eastAsia="Times New Roman"/>
          <w:lang w:val="it-IT"/>
        </w:rPr>
        <w:t>durante il Suo trattamento e per 4 mesi dopo l'ultima iniezione di Yuflyma.</w:t>
      </w:r>
    </w:p>
    <w:p w14:paraId="378E0F2D" w14:textId="77777777" w:rsidR="0050099E" w:rsidRPr="00C35766" w:rsidRDefault="0050099E" w:rsidP="0050099E">
      <w:pPr>
        <w:pStyle w:val="a3"/>
        <w:numPr>
          <w:ilvl w:val="0"/>
          <w:numId w:val="5"/>
        </w:numPr>
        <w:ind w:left="660" w:hanging="660"/>
        <w:rPr>
          <w:lang w:val="es-ES"/>
        </w:rPr>
      </w:pPr>
      <w:r w:rsidRPr="00C35766">
        <w:rPr>
          <w:rFonts w:eastAsia="Times New Roman"/>
          <w:lang w:val="it-IT"/>
        </w:rPr>
        <w:t>Se ha qualsiasi dubbio, si rivolga al medico o al farmacista.</w:t>
      </w:r>
    </w:p>
    <w:p w14:paraId="5FE8F010" w14:textId="77777777" w:rsidR="0050099E" w:rsidRPr="00C35766" w:rsidRDefault="0050099E" w:rsidP="0050099E">
      <w:pPr>
        <w:pStyle w:val="a3"/>
        <w:numPr>
          <w:ilvl w:val="0"/>
          <w:numId w:val="5"/>
        </w:numPr>
        <w:ind w:left="660" w:hanging="660"/>
        <w:rPr>
          <w:lang w:val="it-IT"/>
        </w:rPr>
      </w:pPr>
      <w:r w:rsidRPr="00C35766">
        <w:rPr>
          <w:rFonts w:eastAsia="Times New Roman"/>
          <w:lang w:val="it-IT"/>
        </w:rPr>
        <w:t>Questo medicinale è stato prescritto soltanto per lei. Non lo dia ad altre persone, anche se i sintomi della malattia sono uguali ai suoi, perché potrebbe essere pericoloso.</w:t>
      </w:r>
    </w:p>
    <w:p w14:paraId="064E70EE" w14:textId="568FCBF5" w:rsidR="0050099E" w:rsidRPr="00C35766" w:rsidRDefault="0050099E" w:rsidP="0050099E">
      <w:pPr>
        <w:pStyle w:val="a3"/>
        <w:numPr>
          <w:ilvl w:val="0"/>
          <w:numId w:val="5"/>
        </w:numPr>
        <w:ind w:left="660" w:hanging="660"/>
        <w:rPr>
          <w:lang w:val="es-ES"/>
        </w:rPr>
      </w:pPr>
      <w:r w:rsidRPr="00C35766">
        <w:rPr>
          <w:rFonts w:eastAsia="Times New Roman"/>
          <w:lang w:val="it-IT"/>
        </w:rPr>
        <w:t xml:space="preserve">Se </w:t>
      </w:r>
      <w:r w:rsidR="007D4102">
        <w:rPr>
          <w:rFonts w:eastAsia="Times New Roman"/>
          <w:lang w:val="it-IT"/>
        </w:rPr>
        <w:t xml:space="preserve">si </w:t>
      </w:r>
      <w:r w:rsidRPr="00C35766">
        <w:rPr>
          <w:rFonts w:eastAsia="Times New Roman"/>
          <w:lang w:val="it-IT"/>
        </w:rPr>
        <w:t>manifesta un qualsiasi effetto indesiderato, compresi quelli non elencati in questo foglio, si rivolga al medico, o al farmacista o all’infermiere. Vedere paragrafo 4.</w:t>
      </w:r>
    </w:p>
    <w:p w14:paraId="0A4F0925" w14:textId="77777777" w:rsidR="0050099E" w:rsidRPr="00C35766" w:rsidRDefault="0050099E" w:rsidP="0050099E">
      <w:pPr>
        <w:pStyle w:val="a3"/>
        <w:rPr>
          <w:lang w:val="es-ES"/>
        </w:rPr>
      </w:pPr>
    </w:p>
    <w:p w14:paraId="151E8A24" w14:textId="77777777" w:rsidR="0050099E" w:rsidRPr="00C35766" w:rsidRDefault="0050099E" w:rsidP="0050099E">
      <w:pPr>
        <w:pStyle w:val="a3"/>
        <w:rPr>
          <w:b/>
        </w:rPr>
      </w:pPr>
      <w:r w:rsidRPr="00C35766">
        <w:rPr>
          <w:rFonts w:eastAsia="Times New Roman"/>
          <w:b/>
          <w:bCs/>
          <w:lang w:val="it-IT"/>
        </w:rPr>
        <w:t>Contenuto di questo foglio</w:t>
      </w:r>
    </w:p>
    <w:p w14:paraId="4FA6354F" w14:textId="77777777" w:rsidR="0050099E" w:rsidRPr="00C35766" w:rsidRDefault="0050099E" w:rsidP="00933A6C">
      <w:pPr>
        <w:pStyle w:val="a3"/>
        <w:numPr>
          <w:ilvl w:val="0"/>
          <w:numId w:val="65"/>
        </w:numPr>
        <w:ind w:hanging="760"/>
        <w:rPr>
          <w:lang w:val="it-IT"/>
        </w:rPr>
      </w:pPr>
      <w:r w:rsidRPr="00C35766">
        <w:rPr>
          <w:rFonts w:eastAsia="Times New Roman"/>
          <w:lang w:val="it-IT"/>
        </w:rPr>
        <w:t>Cos’è Yuflyma e a cosa serve</w:t>
      </w:r>
    </w:p>
    <w:p w14:paraId="3657F450" w14:textId="77777777" w:rsidR="0050099E" w:rsidRPr="00C35766" w:rsidRDefault="0050099E" w:rsidP="00933A6C">
      <w:pPr>
        <w:pStyle w:val="a3"/>
        <w:numPr>
          <w:ilvl w:val="0"/>
          <w:numId w:val="65"/>
        </w:numPr>
        <w:ind w:hanging="760"/>
        <w:rPr>
          <w:lang w:val="it-IT"/>
        </w:rPr>
      </w:pPr>
      <w:r w:rsidRPr="00C35766">
        <w:rPr>
          <w:rFonts w:eastAsia="Times New Roman"/>
          <w:lang w:val="it-IT"/>
        </w:rPr>
        <w:t>Cosa deve sapere prima di usare Yuflyma</w:t>
      </w:r>
    </w:p>
    <w:p w14:paraId="67446804" w14:textId="77777777" w:rsidR="0050099E" w:rsidRPr="00C35766" w:rsidRDefault="0050099E" w:rsidP="00933A6C">
      <w:pPr>
        <w:pStyle w:val="a3"/>
        <w:numPr>
          <w:ilvl w:val="0"/>
          <w:numId w:val="65"/>
        </w:numPr>
        <w:ind w:hanging="760"/>
      </w:pPr>
      <w:r w:rsidRPr="00C35766">
        <w:rPr>
          <w:rFonts w:eastAsia="Times New Roman"/>
          <w:lang w:val="it-IT"/>
        </w:rPr>
        <w:t>Come usare Yuflyma</w:t>
      </w:r>
    </w:p>
    <w:p w14:paraId="4657622E" w14:textId="77777777" w:rsidR="0050099E" w:rsidRPr="00C35766" w:rsidRDefault="0050099E" w:rsidP="00933A6C">
      <w:pPr>
        <w:pStyle w:val="a3"/>
        <w:numPr>
          <w:ilvl w:val="0"/>
          <w:numId w:val="65"/>
        </w:numPr>
        <w:ind w:hanging="760"/>
      </w:pPr>
      <w:r w:rsidRPr="00C35766">
        <w:rPr>
          <w:rFonts w:eastAsia="Times New Roman"/>
          <w:lang w:val="it-IT"/>
        </w:rPr>
        <w:t>Possibili effetti indesiderati</w:t>
      </w:r>
    </w:p>
    <w:p w14:paraId="215E5ACD" w14:textId="77777777" w:rsidR="0050099E" w:rsidRPr="00C35766" w:rsidRDefault="0050099E" w:rsidP="00933A6C">
      <w:pPr>
        <w:pStyle w:val="a3"/>
        <w:numPr>
          <w:ilvl w:val="0"/>
          <w:numId w:val="65"/>
        </w:numPr>
        <w:ind w:hanging="760"/>
      </w:pPr>
      <w:r w:rsidRPr="00C35766">
        <w:rPr>
          <w:rFonts w:eastAsia="Times New Roman"/>
          <w:lang w:val="it-IT"/>
        </w:rPr>
        <w:t>Come conservare Yuflyma</w:t>
      </w:r>
    </w:p>
    <w:p w14:paraId="3BCE2704" w14:textId="77777777" w:rsidR="0050099E" w:rsidRPr="00C35766" w:rsidRDefault="0050099E" w:rsidP="00933A6C">
      <w:pPr>
        <w:pStyle w:val="a3"/>
        <w:numPr>
          <w:ilvl w:val="0"/>
          <w:numId w:val="65"/>
        </w:numPr>
        <w:ind w:hanging="760"/>
        <w:rPr>
          <w:lang w:val="it-IT"/>
        </w:rPr>
      </w:pPr>
      <w:r w:rsidRPr="00C35766">
        <w:rPr>
          <w:rFonts w:eastAsia="Times New Roman"/>
          <w:lang w:val="it-IT"/>
        </w:rPr>
        <w:t>Contenuto della confezione e altre informazioni</w:t>
      </w:r>
    </w:p>
    <w:p w14:paraId="6EBB954C" w14:textId="77777777" w:rsidR="0050099E" w:rsidRPr="00C35766" w:rsidRDefault="0050099E" w:rsidP="00933A6C">
      <w:pPr>
        <w:pStyle w:val="a3"/>
        <w:numPr>
          <w:ilvl w:val="0"/>
          <w:numId w:val="65"/>
        </w:numPr>
        <w:ind w:hanging="760"/>
      </w:pPr>
      <w:r w:rsidRPr="00C35766">
        <w:rPr>
          <w:rFonts w:eastAsia="Times New Roman"/>
          <w:lang w:val="it-IT"/>
        </w:rPr>
        <w:t>Istruzioni per l’uso</w:t>
      </w:r>
    </w:p>
    <w:p w14:paraId="2D5B8470" w14:textId="77777777" w:rsidR="0050099E" w:rsidRPr="00C35766" w:rsidRDefault="0050099E" w:rsidP="0050099E">
      <w:pPr>
        <w:spacing w:line="200" w:lineRule="exact"/>
        <w:rPr>
          <w:rFonts w:ascii="Times New Roman" w:hAnsi="Times New Roman" w:cs="Times New Roman"/>
          <w:sz w:val="20"/>
          <w:szCs w:val="20"/>
        </w:rPr>
      </w:pPr>
    </w:p>
    <w:p w14:paraId="2AF49208" w14:textId="77777777" w:rsidR="0050099E" w:rsidRPr="00C35766" w:rsidRDefault="0050099E" w:rsidP="0050099E">
      <w:pPr>
        <w:spacing w:line="200" w:lineRule="exact"/>
        <w:rPr>
          <w:rFonts w:ascii="Times New Roman" w:hAnsi="Times New Roman" w:cs="Times New Roman"/>
          <w:sz w:val="20"/>
          <w:szCs w:val="20"/>
        </w:rPr>
      </w:pPr>
    </w:p>
    <w:p w14:paraId="0393127A" w14:textId="77777777" w:rsidR="0050099E" w:rsidRPr="00C35766" w:rsidRDefault="0050099E" w:rsidP="00933A6C">
      <w:pPr>
        <w:pStyle w:val="a4"/>
        <w:numPr>
          <w:ilvl w:val="0"/>
          <w:numId w:val="66"/>
        </w:numPr>
        <w:spacing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Cos’è Yuflyma e a cosa serve</w:t>
      </w:r>
    </w:p>
    <w:p w14:paraId="3C38966E" w14:textId="77777777" w:rsidR="0050099E" w:rsidRPr="00C35766" w:rsidRDefault="0050099E" w:rsidP="0050099E">
      <w:pPr>
        <w:spacing w:line="240" w:lineRule="exact"/>
        <w:rPr>
          <w:rFonts w:ascii="Times New Roman" w:hAnsi="Times New Roman" w:cs="Times New Roman"/>
          <w:b/>
          <w:lang w:val="it-IT"/>
        </w:rPr>
      </w:pPr>
    </w:p>
    <w:p w14:paraId="61EFD812" w14:textId="77777777" w:rsidR="0050099E" w:rsidRPr="00C35766" w:rsidRDefault="0050099E" w:rsidP="0050099E">
      <w:pPr>
        <w:pStyle w:val="a3"/>
        <w:rPr>
          <w:lang w:val="es-ES"/>
        </w:rPr>
      </w:pPr>
      <w:r w:rsidRPr="00C35766">
        <w:rPr>
          <w:rFonts w:eastAsia="Times New Roman"/>
          <w:lang w:val="it-IT"/>
        </w:rPr>
        <w:t>Yuflyma contiene il principio attivo adalimumab, un medicinale che agisce sul sistema immunitario (la difesa) del Suo organismo.</w:t>
      </w:r>
    </w:p>
    <w:p w14:paraId="494109C6" w14:textId="77777777" w:rsidR="0050099E" w:rsidRPr="00C35766" w:rsidRDefault="0050099E" w:rsidP="0050099E">
      <w:pPr>
        <w:pStyle w:val="a3"/>
        <w:rPr>
          <w:lang w:val="es-ES"/>
        </w:rPr>
      </w:pPr>
    </w:p>
    <w:p w14:paraId="5F20C599" w14:textId="77777777" w:rsidR="0050099E" w:rsidRPr="00C35766" w:rsidRDefault="0050099E" w:rsidP="0050099E">
      <w:pPr>
        <w:pStyle w:val="a3"/>
        <w:rPr>
          <w:lang w:val="it-IT"/>
        </w:rPr>
      </w:pPr>
      <w:r w:rsidRPr="00C35766">
        <w:rPr>
          <w:rFonts w:eastAsia="Times New Roman"/>
          <w:lang w:val="it-IT"/>
        </w:rPr>
        <w:t>Yuflyma è indicato per il trattamento delle seguenti malattie infiammatorie:</w:t>
      </w:r>
    </w:p>
    <w:p w14:paraId="42881AD4" w14:textId="167116AD" w:rsidR="0050099E" w:rsidRPr="00C35766" w:rsidRDefault="0050099E" w:rsidP="007C4FE1">
      <w:pPr>
        <w:pStyle w:val="a3"/>
        <w:numPr>
          <w:ilvl w:val="0"/>
          <w:numId w:val="5"/>
        </w:numPr>
        <w:ind w:left="660" w:hanging="660"/>
      </w:pPr>
      <w:r w:rsidRPr="00C35766">
        <w:rPr>
          <w:rFonts w:eastAsia="Times New Roman"/>
          <w:lang w:val="it-IT"/>
        </w:rPr>
        <w:t>Artrite reumatoide</w:t>
      </w:r>
    </w:p>
    <w:p w14:paraId="7A79FEDE" w14:textId="77777777" w:rsidR="0050099E" w:rsidRPr="00C35766" w:rsidRDefault="0050099E" w:rsidP="0050099E">
      <w:pPr>
        <w:pStyle w:val="a3"/>
        <w:numPr>
          <w:ilvl w:val="0"/>
          <w:numId w:val="5"/>
        </w:numPr>
        <w:ind w:left="660" w:hanging="660"/>
      </w:pPr>
      <w:r w:rsidRPr="00C35766">
        <w:rPr>
          <w:rFonts w:eastAsia="Times New Roman"/>
          <w:lang w:val="it-IT"/>
        </w:rPr>
        <w:t>Psoriasi a placche</w:t>
      </w:r>
    </w:p>
    <w:p w14:paraId="35339245" w14:textId="77777777" w:rsidR="0050099E" w:rsidRPr="00C35766" w:rsidRDefault="0050099E" w:rsidP="0050099E">
      <w:pPr>
        <w:pStyle w:val="a3"/>
        <w:numPr>
          <w:ilvl w:val="0"/>
          <w:numId w:val="5"/>
        </w:numPr>
        <w:ind w:left="660" w:hanging="660"/>
      </w:pPr>
      <w:r w:rsidRPr="00C35766">
        <w:rPr>
          <w:rFonts w:eastAsia="Times New Roman"/>
          <w:lang w:val="it-IT"/>
        </w:rPr>
        <w:t>Idrosadenite Suppurativa</w:t>
      </w:r>
    </w:p>
    <w:p w14:paraId="167F3237" w14:textId="77777777" w:rsidR="0050099E" w:rsidRPr="00C35766" w:rsidRDefault="0050099E" w:rsidP="0050099E">
      <w:pPr>
        <w:pStyle w:val="a3"/>
        <w:numPr>
          <w:ilvl w:val="0"/>
          <w:numId w:val="5"/>
        </w:numPr>
        <w:ind w:left="660" w:hanging="660"/>
      </w:pPr>
      <w:r w:rsidRPr="00C35766">
        <w:rPr>
          <w:rFonts w:eastAsia="Times New Roman"/>
          <w:lang w:val="it-IT"/>
        </w:rPr>
        <w:t>Malattia di Crohn</w:t>
      </w:r>
    </w:p>
    <w:p w14:paraId="28B636F5" w14:textId="77777777" w:rsidR="0050099E" w:rsidRPr="00C35766" w:rsidRDefault="0050099E" w:rsidP="0050099E">
      <w:pPr>
        <w:pStyle w:val="a3"/>
        <w:numPr>
          <w:ilvl w:val="0"/>
          <w:numId w:val="5"/>
        </w:numPr>
        <w:ind w:left="660" w:hanging="660"/>
      </w:pPr>
      <w:r w:rsidRPr="00C35766">
        <w:rPr>
          <w:rFonts w:eastAsia="Times New Roman"/>
          <w:lang w:val="it-IT"/>
        </w:rPr>
        <w:t>Colite ulcerosa</w:t>
      </w:r>
    </w:p>
    <w:p w14:paraId="716719B6" w14:textId="77777777" w:rsidR="0050099E" w:rsidRPr="00C35766" w:rsidRDefault="0050099E" w:rsidP="0050099E">
      <w:pPr>
        <w:pStyle w:val="a3"/>
        <w:numPr>
          <w:ilvl w:val="0"/>
          <w:numId w:val="5"/>
        </w:numPr>
        <w:ind w:left="660" w:hanging="660"/>
      </w:pPr>
      <w:r w:rsidRPr="00C35766">
        <w:rPr>
          <w:rFonts w:eastAsia="Times New Roman"/>
          <w:lang w:val="it-IT"/>
        </w:rPr>
        <w:t>Uveite non infettiva</w:t>
      </w:r>
    </w:p>
    <w:p w14:paraId="1B524A9D" w14:textId="77777777" w:rsidR="0050099E" w:rsidRPr="00C35766" w:rsidRDefault="0050099E" w:rsidP="0050099E">
      <w:pPr>
        <w:spacing w:before="10" w:line="240" w:lineRule="exact"/>
        <w:rPr>
          <w:rFonts w:ascii="Times New Roman" w:hAnsi="Times New Roman" w:cs="Times New Roman"/>
          <w:sz w:val="24"/>
          <w:szCs w:val="24"/>
        </w:rPr>
      </w:pPr>
    </w:p>
    <w:p w14:paraId="3F05274D" w14:textId="77777777" w:rsidR="0050099E" w:rsidRPr="00C35766" w:rsidRDefault="0050099E" w:rsidP="0050099E">
      <w:pPr>
        <w:pStyle w:val="a3"/>
        <w:rPr>
          <w:lang w:val="it-IT"/>
        </w:rPr>
      </w:pPr>
      <w:r w:rsidRPr="00C35766">
        <w:rPr>
          <w:rFonts w:eastAsia="Times New Roman"/>
          <w:lang w:val="it-IT"/>
        </w:rPr>
        <w:t>Il principio attivo di Yuflyma, adalimumab, è un anticorpo monoclonale umano. Gli anticorpi monoclonali sono proteine che si legano a un bersaglio specifico nel corpo.</w:t>
      </w:r>
    </w:p>
    <w:p w14:paraId="43C18CA4" w14:textId="77777777" w:rsidR="0050099E" w:rsidRPr="00C35766" w:rsidRDefault="0050099E" w:rsidP="0050099E">
      <w:pPr>
        <w:spacing w:before="16" w:line="240" w:lineRule="exact"/>
        <w:rPr>
          <w:rFonts w:ascii="Times New Roman" w:hAnsi="Times New Roman" w:cs="Times New Roman"/>
          <w:sz w:val="24"/>
          <w:szCs w:val="24"/>
          <w:lang w:val="it-IT"/>
        </w:rPr>
      </w:pPr>
    </w:p>
    <w:p w14:paraId="733D36FB" w14:textId="77777777" w:rsidR="0050099E" w:rsidRPr="00C35766" w:rsidRDefault="0050099E" w:rsidP="0050099E">
      <w:pPr>
        <w:pStyle w:val="a3"/>
        <w:rPr>
          <w:lang w:val="it-IT"/>
        </w:rPr>
      </w:pPr>
      <w:r w:rsidRPr="00C35766">
        <w:rPr>
          <w:rFonts w:eastAsia="Times New Roman"/>
          <w:lang w:val="it-IT"/>
        </w:rPr>
        <w:t>Il bersaglio di adalimumab è una proteina denominata fattore di necrosi tumorale (TNFα), che è coinvolto nel sistema immunitario (di difesa) ed è presente a concentrazioni maggiori nelle malattie infiammatorie elencate sopra.  Attraverso il legame al TNFα, Yuflyma diminuisce il processo infiammatorio di queste malattie.</w:t>
      </w:r>
    </w:p>
    <w:p w14:paraId="0E733F5C" w14:textId="77777777" w:rsidR="0050099E" w:rsidRPr="00C35766" w:rsidRDefault="0050099E" w:rsidP="0050099E">
      <w:pPr>
        <w:pStyle w:val="a3"/>
        <w:rPr>
          <w:lang w:val="it-IT"/>
        </w:rPr>
      </w:pPr>
    </w:p>
    <w:p w14:paraId="76526FC8" w14:textId="77777777" w:rsidR="0050099E" w:rsidRPr="00C35766" w:rsidRDefault="0050099E" w:rsidP="0050099E">
      <w:pPr>
        <w:pStyle w:val="a3"/>
        <w:rPr>
          <w:b/>
          <w:lang w:val="it-IT"/>
        </w:rPr>
      </w:pPr>
      <w:r w:rsidRPr="00C35766">
        <w:rPr>
          <w:rFonts w:eastAsia="Times New Roman"/>
          <w:b/>
          <w:bCs/>
          <w:lang w:val="it-IT"/>
        </w:rPr>
        <w:t>Artrite reumatoide</w:t>
      </w:r>
    </w:p>
    <w:p w14:paraId="539730CF" w14:textId="77777777" w:rsidR="0050099E" w:rsidRPr="00C35766" w:rsidRDefault="0050099E" w:rsidP="0050099E">
      <w:pPr>
        <w:pStyle w:val="a3"/>
        <w:rPr>
          <w:u w:val="single"/>
          <w:lang w:val="it-IT"/>
        </w:rPr>
      </w:pPr>
    </w:p>
    <w:p w14:paraId="6A38576E" w14:textId="77777777" w:rsidR="0050099E" w:rsidRPr="00C35766" w:rsidRDefault="0050099E" w:rsidP="0050099E">
      <w:pPr>
        <w:pStyle w:val="a3"/>
        <w:rPr>
          <w:lang w:val="it-IT"/>
        </w:rPr>
      </w:pPr>
      <w:r w:rsidRPr="00C35766">
        <w:rPr>
          <w:rFonts w:eastAsia="Times New Roman"/>
          <w:lang w:val="it-IT"/>
        </w:rPr>
        <w:t>L’artrite reumatoide è una malattia infiammatoria delle articolazioni.</w:t>
      </w:r>
    </w:p>
    <w:p w14:paraId="0E7EF5D3" w14:textId="77777777" w:rsidR="0050099E" w:rsidRPr="00C35766" w:rsidRDefault="0050099E" w:rsidP="0050099E">
      <w:pPr>
        <w:spacing w:before="11" w:line="240" w:lineRule="exact"/>
        <w:rPr>
          <w:rFonts w:ascii="Times New Roman" w:hAnsi="Times New Roman" w:cs="Times New Roman"/>
          <w:sz w:val="24"/>
          <w:szCs w:val="24"/>
          <w:lang w:val="it-IT"/>
        </w:rPr>
      </w:pPr>
    </w:p>
    <w:p w14:paraId="37A9517B" w14:textId="77777777" w:rsidR="0050099E" w:rsidRPr="00C35766" w:rsidRDefault="0050099E" w:rsidP="0050099E">
      <w:pPr>
        <w:pStyle w:val="a3"/>
        <w:rPr>
          <w:lang w:val="it-IT"/>
        </w:rPr>
      </w:pPr>
      <w:r w:rsidRPr="00C35766">
        <w:rPr>
          <w:rFonts w:eastAsia="Times New Roman"/>
          <w:lang w:val="it-IT"/>
        </w:rPr>
        <w:t>Yuflyma è utilizzato per il trattamento dell’artrite reumatoide da moderata a grave negli adulti. Lei potrebbe ricevere prima altri farmaci modificanti la malattia, come il metotressato. In caso non risponda adeguatamente a questi farmaci, Le sarà somministrato Yuflyma.</w:t>
      </w:r>
    </w:p>
    <w:p w14:paraId="75A7AD81" w14:textId="77777777" w:rsidR="0050099E" w:rsidRPr="00C35766" w:rsidRDefault="0050099E" w:rsidP="0050099E">
      <w:pPr>
        <w:spacing w:before="17" w:line="240" w:lineRule="exact"/>
        <w:rPr>
          <w:rFonts w:ascii="Times New Roman" w:hAnsi="Times New Roman" w:cs="Times New Roman"/>
          <w:sz w:val="24"/>
          <w:szCs w:val="24"/>
          <w:lang w:val="it-IT"/>
        </w:rPr>
      </w:pPr>
    </w:p>
    <w:p w14:paraId="3CB81531" w14:textId="1F33AF5E" w:rsidR="0050099E" w:rsidRPr="00C35766" w:rsidRDefault="0050099E" w:rsidP="0050099E">
      <w:pPr>
        <w:pStyle w:val="a3"/>
        <w:rPr>
          <w:lang w:val="pt-BR"/>
        </w:rPr>
      </w:pPr>
      <w:r w:rsidRPr="00C35766">
        <w:rPr>
          <w:rFonts w:eastAsia="Times New Roman"/>
          <w:lang w:val="it-IT"/>
        </w:rPr>
        <w:t>Yufl</w:t>
      </w:r>
      <w:r w:rsidR="008676F0">
        <w:rPr>
          <w:rFonts w:eastAsia="Times New Roman"/>
          <w:lang w:val="it-IT"/>
        </w:rPr>
        <w:t>y</w:t>
      </w:r>
      <w:r w:rsidRPr="00C35766">
        <w:rPr>
          <w:rFonts w:eastAsia="Times New Roman"/>
          <w:lang w:val="it-IT"/>
        </w:rPr>
        <w:t>ma può essere anche usato per il trattamento dell’artrite reumatoide grave, attiva e progressiva, senza precedente trattamento con metotressato.</w:t>
      </w:r>
    </w:p>
    <w:p w14:paraId="7D11BEDB" w14:textId="77777777" w:rsidR="0050099E" w:rsidRPr="00C35766" w:rsidRDefault="0050099E" w:rsidP="0050099E">
      <w:pPr>
        <w:spacing w:before="11" w:line="240" w:lineRule="exact"/>
        <w:rPr>
          <w:rFonts w:ascii="Times New Roman" w:hAnsi="Times New Roman" w:cs="Times New Roman"/>
          <w:sz w:val="24"/>
          <w:szCs w:val="24"/>
          <w:lang w:val="pt-BR"/>
        </w:rPr>
      </w:pPr>
    </w:p>
    <w:p w14:paraId="2CD3D165" w14:textId="77777777" w:rsidR="0050099E" w:rsidRPr="00C35766" w:rsidRDefault="0050099E" w:rsidP="0050099E">
      <w:pPr>
        <w:pStyle w:val="a3"/>
        <w:rPr>
          <w:lang w:val="pt-BR"/>
        </w:rPr>
      </w:pPr>
      <w:r w:rsidRPr="00C35766">
        <w:rPr>
          <w:rFonts w:eastAsia="Times New Roman"/>
          <w:lang w:val="it-IT"/>
        </w:rPr>
        <w:t>Yuflyma può rallentare la progressione del danno alle articolazioni causato dalla malattia infiammatoria e può aiutarle a muoversi più liberamente.</w:t>
      </w:r>
    </w:p>
    <w:p w14:paraId="5514D0A7" w14:textId="77777777" w:rsidR="0050099E" w:rsidRPr="00C35766" w:rsidRDefault="0050099E" w:rsidP="0050099E">
      <w:pPr>
        <w:spacing w:before="10" w:line="240" w:lineRule="exact"/>
        <w:rPr>
          <w:rFonts w:ascii="Times New Roman" w:hAnsi="Times New Roman" w:cs="Times New Roman"/>
          <w:sz w:val="24"/>
          <w:szCs w:val="24"/>
          <w:lang w:val="pt-BR"/>
        </w:rPr>
      </w:pPr>
    </w:p>
    <w:p w14:paraId="1A958304" w14:textId="77777777" w:rsidR="0050099E" w:rsidRPr="00C35766" w:rsidRDefault="0050099E" w:rsidP="0050099E">
      <w:pPr>
        <w:pStyle w:val="a3"/>
        <w:rPr>
          <w:lang w:val="pt-BR"/>
        </w:rPr>
      </w:pPr>
      <w:r w:rsidRPr="00C35766">
        <w:rPr>
          <w:rFonts w:eastAsia="Times New Roman"/>
          <w:lang w:val="it-IT"/>
        </w:rPr>
        <w:t>Il medico deciderà se Yuflyma deve essere usato con il metotressato o da solo.</w:t>
      </w:r>
    </w:p>
    <w:p w14:paraId="74CFFCF4" w14:textId="77777777" w:rsidR="0050099E" w:rsidRPr="00C35766" w:rsidRDefault="0050099E" w:rsidP="0050099E">
      <w:pPr>
        <w:spacing w:before="18" w:line="240" w:lineRule="exact"/>
        <w:rPr>
          <w:rFonts w:ascii="Times New Roman" w:hAnsi="Times New Roman" w:cs="Times New Roman"/>
          <w:sz w:val="24"/>
          <w:szCs w:val="24"/>
          <w:lang w:val="pt-BR"/>
        </w:rPr>
      </w:pPr>
    </w:p>
    <w:p w14:paraId="3848A4DD" w14:textId="77777777" w:rsidR="0050099E" w:rsidRPr="00C35766" w:rsidRDefault="0050099E" w:rsidP="0050099E">
      <w:pPr>
        <w:pStyle w:val="a3"/>
        <w:rPr>
          <w:b/>
          <w:lang w:val="pt-BR"/>
        </w:rPr>
      </w:pPr>
      <w:r w:rsidRPr="00C35766">
        <w:rPr>
          <w:rFonts w:eastAsia="Times New Roman"/>
          <w:b/>
          <w:bCs/>
          <w:lang w:val="it-IT"/>
        </w:rPr>
        <w:t>Psoriasi a placche</w:t>
      </w:r>
    </w:p>
    <w:p w14:paraId="55E9865B" w14:textId="77777777" w:rsidR="0050099E" w:rsidRPr="00C35766" w:rsidRDefault="0050099E" w:rsidP="0050099E">
      <w:pPr>
        <w:spacing w:before="9" w:line="240" w:lineRule="exact"/>
        <w:rPr>
          <w:rFonts w:ascii="Times New Roman" w:hAnsi="Times New Roman" w:cs="Times New Roman"/>
          <w:sz w:val="24"/>
          <w:szCs w:val="24"/>
          <w:lang w:val="pt-BR"/>
        </w:rPr>
      </w:pPr>
    </w:p>
    <w:p w14:paraId="7AD42340" w14:textId="77777777" w:rsidR="0050099E" w:rsidRPr="00C35766" w:rsidRDefault="0050099E" w:rsidP="0050099E">
      <w:pPr>
        <w:pStyle w:val="a3"/>
        <w:rPr>
          <w:lang w:val="it-IT"/>
        </w:rPr>
      </w:pPr>
      <w:r w:rsidRPr="00C35766">
        <w:rPr>
          <w:rFonts w:eastAsia="Times New Roman"/>
          <w:lang w:val="it-IT"/>
        </w:rPr>
        <w:t>La psoriasi a placche è una condizione della pelle che causa chiazze rossastre, squamose e indurite di pelle ricoperta da squame argentee. La psoriasi a placche può anche colpire le unghie, provocandone la rottura, l’ispessimento e il sollevamento dal letto dell’unghia, che può essere doloroso.</w:t>
      </w:r>
    </w:p>
    <w:p w14:paraId="3759586B" w14:textId="77777777" w:rsidR="0050099E" w:rsidRPr="00C35766" w:rsidRDefault="0050099E" w:rsidP="0050099E">
      <w:pPr>
        <w:spacing w:before="13" w:line="240" w:lineRule="exact"/>
        <w:rPr>
          <w:rFonts w:ascii="Times New Roman" w:hAnsi="Times New Roman" w:cs="Times New Roman"/>
          <w:sz w:val="24"/>
          <w:szCs w:val="24"/>
          <w:lang w:val="it-IT"/>
        </w:rPr>
      </w:pPr>
    </w:p>
    <w:p w14:paraId="00780EFD" w14:textId="0C0ADACA" w:rsidR="0050099E" w:rsidRPr="00C35766" w:rsidRDefault="0050099E" w:rsidP="00933A6C">
      <w:pPr>
        <w:pStyle w:val="a3"/>
        <w:rPr>
          <w:lang w:val="it-IT"/>
        </w:rPr>
      </w:pPr>
      <w:r w:rsidRPr="00C35766">
        <w:rPr>
          <w:rFonts w:eastAsia="Times New Roman"/>
          <w:lang w:val="it-IT"/>
        </w:rPr>
        <w:t>Yuflyma è usato per trattare</w:t>
      </w:r>
      <w:r w:rsidR="007C4FE1" w:rsidRPr="00C35766">
        <w:rPr>
          <w:rFonts w:eastAsia="Times New Roman"/>
          <w:lang w:val="it-IT"/>
        </w:rPr>
        <w:t xml:space="preserve"> </w:t>
      </w:r>
      <w:r w:rsidRPr="00C35766">
        <w:rPr>
          <w:rFonts w:eastAsia="Times New Roman"/>
          <w:lang w:val="it-IT"/>
        </w:rPr>
        <w:t>la psoriasi a placche cronica di grado da moderato a severo negli adulti</w:t>
      </w:r>
      <w:r w:rsidR="007C4FE1" w:rsidRPr="00C35766">
        <w:rPr>
          <w:rFonts w:eastAsia="Times New Roman"/>
          <w:lang w:val="it-IT"/>
        </w:rPr>
        <w:t>.</w:t>
      </w:r>
    </w:p>
    <w:p w14:paraId="18E3AB39" w14:textId="77777777" w:rsidR="0050099E" w:rsidRPr="00C35766" w:rsidRDefault="0050099E" w:rsidP="0050099E">
      <w:pPr>
        <w:spacing w:before="15" w:line="240" w:lineRule="exact"/>
        <w:rPr>
          <w:rFonts w:ascii="Times New Roman" w:hAnsi="Times New Roman" w:cs="Times New Roman"/>
          <w:sz w:val="24"/>
          <w:lang w:val="it-IT"/>
        </w:rPr>
      </w:pPr>
    </w:p>
    <w:p w14:paraId="712C5CBB" w14:textId="77777777" w:rsidR="0050099E" w:rsidRPr="00C35766" w:rsidRDefault="0050099E" w:rsidP="0050099E">
      <w:pPr>
        <w:pStyle w:val="a3"/>
        <w:rPr>
          <w:b/>
          <w:lang w:val="it-IT"/>
        </w:rPr>
      </w:pPr>
      <w:r w:rsidRPr="00C35766">
        <w:rPr>
          <w:rFonts w:eastAsia="Times New Roman"/>
          <w:b/>
          <w:bCs/>
          <w:lang w:val="it-IT"/>
        </w:rPr>
        <w:t>Idrosadenite suppurativa</w:t>
      </w:r>
    </w:p>
    <w:p w14:paraId="4DEE7206" w14:textId="77777777" w:rsidR="0050099E" w:rsidRPr="00C35766" w:rsidRDefault="0050099E" w:rsidP="0050099E">
      <w:pPr>
        <w:spacing w:before="9" w:line="240" w:lineRule="exact"/>
        <w:rPr>
          <w:rFonts w:ascii="Times New Roman" w:hAnsi="Times New Roman" w:cs="Times New Roman"/>
          <w:sz w:val="24"/>
          <w:lang w:val="it-IT"/>
        </w:rPr>
      </w:pPr>
    </w:p>
    <w:p w14:paraId="4F992A9E" w14:textId="4235B90E" w:rsidR="0050099E" w:rsidRPr="00C35766" w:rsidRDefault="0050099E" w:rsidP="0050099E">
      <w:pPr>
        <w:pStyle w:val="a3"/>
        <w:rPr>
          <w:lang w:val="it-IT"/>
        </w:rPr>
      </w:pPr>
      <w:r w:rsidRPr="00C35766">
        <w:rPr>
          <w:rFonts w:eastAsia="Times New Roman"/>
          <w:lang w:val="it-IT"/>
        </w:rPr>
        <w:t xml:space="preserve">L’idrosadenite suppurativa (chiamata a volte acne inversa) è una malattia infiammatoria cronica della pelle e spesso è dolorosa. I sintomi possono includere noduli dolorosi e ascessi (cisti) che possono drenare pus. Più frequentemente colpisce aree specifiche della pelle, </w:t>
      </w:r>
      <w:r w:rsidR="00FF7F81" w:rsidRPr="00C35766">
        <w:rPr>
          <w:rFonts w:eastAsia="Times New Roman"/>
          <w:lang w:val="it-IT"/>
        </w:rPr>
        <w:t xml:space="preserve">come </w:t>
      </w:r>
      <w:r w:rsidR="00FF7F81">
        <w:rPr>
          <w:rFonts w:eastAsia="Times New Roman"/>
          <w:lang w:val="it-IT"/>
        </w:rPr>
        <w:t>la regione sottomammaria</w:t>
      </w:r>
      <w:r w:rsidRPr="00C35766">
        <w:rPr>
          <w:rFonts w:eastAsia="Times New Roman"/>
          <w:lang w:val="it-IT"/>
        </w:rPr>
        <w:t>, le ascelle, l’interno cosce, l’inguine e le natiche. Nelle aree colpite si possono anche formare delle cicatrici.</w:t>
      </w:r>
    </w:p>
    <w:p w14:paraId="4204D274" w14:textId="77777777" w:rsidR="0050099E" w:rsidRPr="00C35766" w:rsidRDefault="0050099E" w:rsidP="0050099E">
      <w:pPr>
        <w:spacing w:before="13" w:line="240" w:lineRule="exact"/>
        <w:rPr>
          <w:rFonts w:ascii="Times New Roman" w:hAnsi="Times New Roman" w:cs="Times New Roman"/>
          <w:sz w:val="24"/>
          <w:lang w:val="it-IT"/>
        </w:rPr>
      </w:pPr>
    </w:p>
    <w:p w14:paraId="4E0A8AED" w14:textId="77777777" w:rsidR="0050099E" w:rsidRPr="00C35766" w:rsidRDefault="0050099E" w:rsidP="0050099E">
      <w:pPr>
        <w:pStyle w:val="a3"/>
        <w:rPr>
          <w:lang w:val="it-IT"/>
        </w:rPr>
      </w:pPr>
      <w:r w:rsidRPr="00C35766">
        <w:rPr>
          <w:rFonts w:eastAsia="Times New Roman"/>
          <w:lang w:val="it-IT"/>
        </w:rPr>
        <w:t>Yuflyma è usato per trattare</w:t>
      </w:r>
    </w:p>
    <w:p w14:paraId="05807753"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l’idrosadenite suppurativa di grado da moderato a severo negli adulti e</w:t>
      </w:r>
    </w:p>
    <w:p w14:paraId="2C6E5ABC"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l’idrosadenite suppurativa di grado da moderato a severo negli adolescenti di età compresa tra 12 e 17 anni.</w:t>
      </w:r>
    </w:p>
    <w:p w14:paraId="209B9EE3" w14:textId="77777777" w:rsidR="0050099E" w:rsidRPr="00C35766" w:rsidRDefault="0050099E" w:rsidP="0050099E">
      <w:pPr>
        <w:spacing w:before="10" w:line="240" w:lineRule="exact"/>
        <w:rPr>
          <w:rFonts w:ascii="Times New Roman" w:hAnsi="Times New Roman" w:cs="Times New Roman"/>
          <w:sz w:val="24"/>
          <w:lang w:val="it-IT"/>
        </w:rPr>
      </w:pPr>
    </w:p>
    <w:p w14:paraId="0D2B33F9" w14:textId="77777777" w:rsidR="0050099E" w:rsidRPr="00C35766" w:rsidRDefault="0050099E" w:rsidP="0050099E">
      <w:pPr>
        <w:pStyle w:val="a3"/>
        <w:rPr>
          <w:lang w:val="it-IT"/>
        </w:rPr>
      </w:pPr>
      <w:r w:rsidRPr="00C35766">
        <w:rPr>
          <w:rFonts w:eastAsia="Times New Roman"/>
          <w:lang w:val="it-IT"/>
        </w:rPr>
        <w:t>Yuflyma può ridurre il numero di noduli e di ascessi provocati dalla malattia e il dolore che spesso è associato con la malattia. Inizialmente possono essere assunti altri farmaci. In caso non risponda adeguatamente a questi farmaci, Le sarà somministrato Yuflyma.</w:t>
      </w:r>
    </w:p>
    <w:p w14:paraId="4D759233" w14:textId="77777777" w:rsidR="0050099E" w:rsidRPr="00C35766" w:rsidRDefault="0050099E" w:rsidP="0050099E">
      <w:pPr>
        <w:spacing w:before="18" w:line="240" w:lineRule="exact"/>
        <w:rPr>
          <w:rFonts w:ascii="Times New Roman" w:hAnsi="Times New Roman" w:cs="Times New Roman"/>
          <w:sz w:val="24"/>
          <w:szCs w:val="24"/>
          <w:lang w:val="it-IT"/>
        </w:rPr>
      </w:pPr>
    </w:p>
    <w:p w14:paraId="327697F4" w14:textId="77777777" w:rsidR="0050099E" w:rsidRPr="00C35766" w:rsidRDefault="0050099E" w:rsidP="0050099E">
      <w:pPr>
        <w:pStyle w:val="a3"/>
        <w:rPr>
          <w:b/>
          <w:lang w:val="it-IT"/>
        </w:rPr>
      </w:pPr>
      <w:r w:rsidRPr="00C35766">
        <w:rPr>
          <w:rFonts w:eastAsia="Times New Roman"/>
          <w:b/>
          <w:bCs/>
          <w:lang w:val="it-IT"/>
        </w:rPr>
        <w:t>Malattia di Crohn</w:t>
      </w:r>
    </w:p>
    <w:p w14:paraId="0AB034ED" w14:textId="77777777" w:rsidR="0050099E" w:rsidRPr="00C35766" w:rsidRDefault="0050099E" w:rsidP="0050099E">
      <w:pPr>
        <w:pStyle w:val="a3"/>
        <w:rPr>
          <w:u w:val="single"/>
          <w:lang w:val="it-IT"/>
        </w:rPr>
      </w:pPr>
    </w:p>
    <w:p w14:paraId="24EB0DF0" w14:textId="1CDB5941" w:rsidR="0050099E" w:rsidRPr="00C35766" w:rsidRDefault="0050099E" w:rsidP="0050099E">
      <w:pPr>
        <w:pStyle w:val="a3"/>
      </w:pPr>
      <w:r w:rsidRPr="00C35766">
        <w:rPr>
          <w:rFonts w:eastAsia="Times New Roman"/>
          <w:lang w:val="it-IT"/>
        </w:rPr>
        <w:t>La malattia di Cro</w:t>
      </w:r>
      <w:r w:rsidR="008676F0">
        <w:rPr>
          <w:rFonts w:eastAsia="Times New Roman"/>
          <w:lang w:val="it-IT"/>
        </w:rPr>
        <w:t>h</w:t>
      </w:r>
      <w:r w:rsidRPr="00C35766">
        <w:rPr>
          <w:rFonts w:eastAsia="Times New Roman"/>
          <w:lang w:val="it-IT"/>
        </w:rPr>
        <w:t>n è una malattia infiammatoria del tratto digerente. Yuflyma è usato per trattare</w:t>
      </w:r>
    </w:p>
    <w:p w14:paraId="68827F9C"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malattia di Crohn di grado da moderato a severo negli adulti e</w:t>
      </w:r>
    </w:p>
    <w:p w14:paraId="71667230"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malattia di Crohn di grado da moderato a severo nei bambini e negli adolescenti di età compresa tra 6 e 17 anni.</w:t>
      </w:r>
    </w:p>
    <w:p w14:paraId="02379892" w14:textId="77777777" w:rsidR="0050099E" w:rsidRPr="00C35766" w:rsidRDefault="0050099E" w:rsidP="0050099E">
      <w:pPr>
        <w:spacing w:before="16" w:line="240" w:lineRule="exact"/>
        <w:rPr>
          <w:rFonts w:ascii="Times New Roman" w:hAnsi="Times New Roman" w:cs="Times New Roman"/>
          <w:sz w:val="24"/>
          <w:szCs w:val="24"/>
          <w:lang w:val="pt-BR"/>
        </w:rPr>
      </w:pPr>
    </w:p>
    <w:p w14:paraId="29E4D9B4" w14:textId="77777777" w:rsidR="0050099E" w:rsidRPr="00C35766" w:rsidRDefault="0050099E" w:rsidP="0050099E">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4B809EDE" w14:textId="77777777" w:rsidR="0050099E" w:rsidRPr="00C35766" w:rsidRDefault="0050099E" w:rsidP="0050099E">
      <w:pPr>
        <w:spacing w:before="15" w:line="240" w:lineRule="exact"/>
        <w:rPr>
          <w:rFonts w:ascii="Times New Roman" w:hAnsi="Times New Roman" w:cs="Times New Roman"/>
          <w:sz w:val="24"/>
          <w:szCs w:val="24"/>
          <w:lang w:val="it-IT"/>
        </w:rPr>
      </w:pPr>
    </w:p>
    <w:p w14:paraId="205B7847" w14:textId="77777777" w:rsidR="0050099E" w:rsidRPr="00C35766" w:rsidRDefault="0050099E" w:rsidP="0050099E">
      <w:pPr>
        <w:pStyle w:val="a3"/>
        <w:rPr>
          <w:b/>
          <w:lang w:val="it-IT"/>
        </w:rPr>
      </w:pPr>
      <w:r w:rsidRPr="00C35766">
        <w:rPr>
          <w:rFonts w:eastAsia="Times New Roman"/>
          <w:b/>
          <w:bCs/>
          <w:lang w:val="it-IT"/>
        </w:rPr>
        <w:t>Colite ulcerosa</w:t>
      </w:r>
    </w:p>
    <w:p w14:paraId="7021F629" w14:textId="77777777" w:rsidR="0050099E" w:rsidRPr="00C35766" w:rsidRDefault="0050099E" w:rsidP="0050099E">
      <w:pPr>
        <w:pStyle w:val="a3"/>
        <w:rPr>
          <w:b/>
          <w:lang w:val="it-IT"/>
        </w:rPr>
      </w:pPr>
    </w:p>
    <w:p w14:paraId="61ED6FD7" w14:textId="77777777" w:rsidR="0050099E" w:rsidRPr="00C35766" w:rsidRDefault="0050099E" w:rsidP="0050099E">
      <w:pPr>
        <w:pStyle w:val="a3"/>
        <w:rPr>
          <w:lang w:val="it-IT"/>
        </w:rPr>
      </w:pPr>
      <w:r w:rsidRPr="00C35766">
        <w:rPr>
          <w:rFonts w:eastAsia="Times New Roman"/>
          <w:lang w:val="it-IT"/>
        </w:rPr>
        <w:t>La colite ulcerosa è una malattia infiammatoria dell'intestino crasso.</w:t>
      </w:r>
    </w:p>
    <w:p w14:paraId="6CE86923" w14:textId="77777777" w:rsidR="0050099E" w:rsidRPr="00C35766" w:rsidRDefault="0050099E" w:rsidP="0050099E">
      <w:pPr>
        <w:spacing w:before="17" w:line="240" w:lineRule="exact"/>
        <w:rPr>
          <w:rFonts w:ascii="Times New Roman" w:hAnsi="Times New Roman" w:cs="Times New Roman"/>
          <w:sz w:val="24"/>
          <w:szCs w:val="24"/>
          <w:lang w:val="it-IT"/>
        </w:rPr>
      </w:pPr>
    </w:p>
    <w:p w14:paraId="2B166258" w14:textId="77777777" w:rsidR="0050099E" w:rsidRPr="00C35766" w:rsidRDefault="0050099E" w:rsidP="0050099E">
      <w:pPr>
        <w:pStyle w:val="a3"/>
        <w:rPr>
          <w:rFonts w:eastAsia="Times New Roman"/>
          <w:lang w:val="it-IT"/>
        </w:rPr>
      </w:pPr>
      <w:r w:rsidRPr="00C35766">
        <w:rPr>
          <w:rFonts w:eastAsia="Times New Roman"/>
          <w:lang w:val="it-IT"/>
        </w:rPr>
        <w:t xml:space="preserve">Yuflyma è usato per trattare </w:t>
      </w:r>
    </w:p>
    <w:p w14:paraId="14C7A2E9" w14:textId="77777777" w:rsidR="0050099E" w:rsidRPr="00824699" w:rsidRDefault="0050099E" w:rsidP="0050099E">
      <w:pPr>
        <w:pStyle w:val="a4"/>
        <w:widowControl/>
        <w:numPr>
          <w:ilvl w:val="0"/>
          <w:numId w:val="45"/>
        </w:numPr>
        <w:tabs>
          <w:tab w:val="left" w:pos="567"/>
        </w:tabs>
        <w:ind w:right="-2"/>
        <w:jc w:val="both"/>
        <w:rPr>
          <w:rFonts w:ascii="Times New Roman" w:hAnsi="Times New Roman" w:cs="Times New Roman"/>
          <w:lang w:val="it-IT"/>
        </w:rPr>
      </w:pPr>
      <w:r w:rsidRPr="003075D7">
        <w:rPr>
          <w:rFonts w:ascii="Times New Roman" w:eastAsia="Times New Roman" w:hAnsi="Times New Roman" w:cs="Times New Roman"/>
          <w:lang w:val="it-IT"/>
        </w:rPr>
        <w:t xml:space="preserve">la colite ulcerosa di grado da moderato a severo negli adulti </w:t>
      </w:r>
      <w:r w:rsidRPr="00824699">
        <w:rPr>
          <w:rFonts w:ascii="Times New Roman" w:hAnsi="Times New Roman" w:cs="Times New Roman"/>
          <w:lang w:val="it-IT"/>
        </w:rPr>
        <w:t>e</w:t>
      </w:r>
    </w:p>
    <w:p w14:paraId="49C18F6C" w14:textId="77777777" w:rsidR="0050099E" w:rsidRPr="00C35766" w:rsidRDefault="0050099E" w:rsidP="0050099E">
      <w:pPr>
        <w:pStyle w:val="a4"/>
        <w:widowControl/>
        <w:numPr>
          <w:ilvl w:val="0"/>
          <w:numId w:val="45"/>
        </w:numPr>
        <w:tabs>
          <w:tab w:val="left" w:pos="567"/>
        </w:tabs>
        <w:ind w:right="-2"/>
        <w:jc w:val="both"/>
        <w:rPr>
          <w:rFonts w:ascii="Times New Roman" w:eastAsia="Times New Roman" w:hAnsi="Times New Roman" w:cs="Times New Roman"/>
          <w:lang w:val="it-IT"/>
        </w:rPr>
      </w:pPr>
      <w:r w:rsidRPr="00824699">
        <w:rPr>
          <w:rFonts w:ascii="Times New Roman" w:hAnsi="Times New Roman" w:cs="Times New Roman"/>
          <w:lang w:val="it-IT"/>
        </w:rPr>
        <w:t xml:space="preserve">la colite ulcerosa di grado da moderato a severo nei bambini e negli adolescenti di età compresa tra 6 e 17 anni. </w:t>
      </w:r>
      <w:r w:rsidRPr="00C35766">
        <w:rPr>
          <w:rFonts w:ascii="Times New Roman" w:eastAsia="Times New Roman" w:hAnsi="Times New Roman" w:cs="Times New Roman"/>
          <w:lang w:val="it-IT"/>
        </w:rPr>
        <w:t xml:space="preserve"> </w:t>
      </w:r>
    </w:p>
    <w:p w14:paraId="21A806B7" w14:textId="77777777" w:rsidR="0050099E" w:rsidRPr="00C35766" w:rsidRDefault="0050099E" w:rsidP="0050099E">
      <w:pPr>
        <w:pStyle w:val="a3"/>
        <w:rPr>
          <w:rFonts w:eastAsia="Times New Roman"/>
          <w:lang w:val="it-IT"/>
        </w:rPr>
      </w:pPr>
    </w:p>
    <w:p w14:paraId="46166436" w14:textId="77777777" w:rsidR="0050099E" w:rsidRPr="00C35766" w:rsidRDefault="0050099E" w:rsidP="0050099E">
      <w:pPr>
        <w:pStyle w:val="a3"/>
        <w:rPr>
          <w:lang w:val="pt-BR"/>
        </w:rPr>
      </w:pPr>
      <w:r w:rsidRPr="00C35766">
        <w:rPr>
          <w:rFonts w:eastAsia="Times New Roman"/>
          <w:lang w:val="it-IT"/>
        </w:rPr>
        <w:t>Inizialmente possono essere assunti altri farmaci. In caso non risponda adeguatamente a questi farmaci, Le sarà somministrato Yuflyma.</w:t>
      </w:r>
    </w:p>
    <w:p w14:paraId="640F3B44" w14:textId="77777777" w:rsidR="0050099E" w:rsidRPr="00C35766" w:rsidRDefault="0050099E" w:rsidP="0050099E">
      <w:pPr>
        <w:spacing w:before="15" w:line="240" w:lineRule="exact"/>
        <w:rPr>
          <w:rFonts w:ascii="Times New Roman" w:hAnsi="Times New Roman" w:cs="Times New Roman"/>
          <w:sz w:val="24"/>
          <w:szCs w:val="24"/>
          <w:lang w:val="pt-BR"/>
        </w:rPr>
      </w:pPr>
    </w:p>
    <w:p w14:paraId="37617CC4" w14:textId="77777777" w:rsidR="0050099E" w:rsidRPr="00C35766" w:rsidRDefault="0050099E" w:rsidP="0050099E">
      <w:pPr>
        <w:pStyle w:val="a3"/>
        <w:rPr>
          <w:b/>
          <w:lang w:val="pt-BR"/>
        </w:rPr>
      </w:pPr>
      <w:r w:rsidRPr="00C35766">
        <w:rPr>
          <w:rFonts w:eastAsia="Times New Roman"/>
          <w:b/>
          <w:bCs/>
          <w:lang w:val="it-IT"/>
        </w:rPr>
        <w:t>Uveite non infettiva</w:t>
      </w:r>
    </w:p>
    <w:p w14:paraId="31FC359C" w14:textId="77777777" w:rsidR="0050099E" w:rsidRPr="00C35766" w:rsidRDefault="0050099E" w:rsidP="0050099E">
      <w:pPr>
        <w:pStyle w:val="a3"/>
        <w:rPr>
          <w:lang w:val="pt-BR"/>
        </w:rPr>
      </w:pPr>
    </w:p>
    <w:p w14:paraId="33A1634F" w14:textId="77777777" w:rsidR="0050099E" w:rsidRPr="00C35766" w:rsidRDefault="0050099E" w:rsidP="0050099E">
      <w:pPr>
        <w:pStyle w:val="a3"/>
      </w:pPr>
      <w:r w:rsidRPr="00C35766">
        <w:rPr>
          <w:rFonts w:eastAsia="Times New Roman"/>
          <w:lang w:val="it-IT"/>
        </w:rPr>
        <w:t>L’uveite non infettiva è una malattia infiammatoria che colpisce alcune parti dell'occhio. Yuflyma è usato per trattare</w:t>
      </w:r>
    </w:p>
    <w:p w14:paraId="516BAC08"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adulti con uveite non infettiva con infiammazione che interessa il fondo dell’occhio</w:t>
      </w:r>
    </w:p>
    <w:p w14:paraId="2AB3A30C"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bambini dai 2 anni di età con uveite cronica non infettiva con infiammazione che interessa la parte anteriore dell’occhio.</w:t>
      </w:r>
    </w:p>
    <w:p w14:paraId="4882CBAA" w14:textId="77777777" w:rsidR="0050099E" w:rsidRPr="00C35766" w:rsidRDefault="0050099E" w:rsidP="0050099E">
      <w:pPr>
        <w:pStyle w:val="a3"/>
        <w:rPr>
          <w:lang w:val="it-IT"/>
        </w:rPr>
      </w:pPr>
    </w:p>
    <w:p w14:paraId="5CCC1D76" w14:textId="77777777" w:rsidR="0050099E" w:rsidRPr="00C35766" w:rsidRDefault="0050099E" w:rsidP="0050099E">
      <w:pPr>
        <w:pStyle w:val="a3"/>
        <w:rPr>
          <w:lang w:val="pt-BR"/>
        </w:rPr>
      </w:pPr>
      <w:r w:rsidRPr="00C35766">
        <w:rPr>
          <w:rFonts w:eastAsia="Times New Roman"/>
          <w:lang w:val="it-IT"/>
        </w:rPr>
        <w:t>Questa infiammazione può portare a una diminuzione della visione e/o alla presenza di corpi mobili nell’occhio (punti neri o linee sottili che si muovono attraverso il campo visivo). Yuflyma agisce riducendo questa infiammazione.</w:t>
      </w:r>
    </w:p>
    <w:p w14:paraId="1D931681" w14:textId="77777777" w:rsidR="0050099E" w:rsidRPr="00C35766" w:rsidRDefault="0050099E" w:rsidP="0050099E">
      <w:pPr>
        <w:spacing w:before="10" w:line="240" w:lineRule="exact"/>
        <w:rPr>
          <w:rFonts w:ascii="Times New Roman" w:hAnsi="Times New Roman" w:cs="Times New Roman"/>
          <w:sz w:val="24"/>
          <w:szCs w:val="24"/>
          <w:lang w:val="pt-BR"/>
        </w:rPr>
      </w:pPr>
    </w:p>
    <w:p w14:paraId="2ED31626" w14:textId="77777777" w:rsidR="0050099E" w:rsidRPr="00C35766" w:rsidRDefault="0050099E" w:rsidP="0050099E">
      <w:pPr>
        <w:pStyle w:val="a3"/>
        <w:rPr>
          <w:lang w:val="it-IT"/>
        </w:rPr>
      </w:pPr>
      <w:r w:rsidRPr="00C35766">
        <w:rPr>
          <w:rFonts w:eastAsia="Times New Roman"/>
          <w:lang w:val="it-IT"/>
        </w:rPr>
        <w:t>Inizialmente possono essere assunti altri farmaci. In caso non risponda adeguatamente a questi farmaci, Le sarà somministrato Yuflyma.</w:t>
      </w:r>
    </w:p>
    <w:p w14:paraId="73058DFD" w14:textId="77777777" w:rsidR="0050099E" w:rsidRPr="00C35766" w:rsidRDefault="0050099E" w:rsidP="0050099E">
      <w:pPr>
        <w:spacing w:before="18" w:line="240" w:lineRule="exact"/>
        <w:rPr>
          <w:rFonts w:ascii="Times New Roman" w:hAnsi="Times New Roman" w:cs="Times New Roman"/>
          <w:b/>
          <w:lang w:val="it-IT"/>
        </w:rPr>
      </w:pPr>
    </w:p>
    <w:p w14:paraId="3725091D" w14:textId="77777777" w:rsidR="0050099E" w:rsidRPr="00C35766" w:rsidRDefault="0050099E" w:rsidP="0050099E">
      <w:pPr>
        <w:spacing w:before="18" w:line="240" w:lineRule="exact"/>
        <w:ind w:left="108"/>
        <w:rPr>
          <w:rFonts w:ascii="Times New Roman" w:hAnsi="Times New Roman" w:cs="Times New Roman"/>
          <w:b/>
          <w:lang w:val="it-IT"/>
        </w:rPr>
      </w:pPr>
    </w:p>
    <w:p w14:paraId="22DB6E16" w14:textId="77777777" w:rsidR="0050099E" w:rsidRPr="00C35766" w:rsidRDefault="0050099E" w:rsidP="00933A6C">
      <w:pPr>
        <w:pStyle w:val="a4"/>
        <w:numPr>
          <w:ilvl w:val="0"/>
          <w:numId w:val="66"/>
        </w:numPr>
        <w:spacing w:line="240" w:lineRule="exact"/>
        <w:ind w:hanging="468"/>
        <w:rPr>
          <w:rFonts w:ascii="Times New Roman" w:hAnsi="Times New Roman" w:cs="Times New Roman"/>
          <w:lang w:val="it-IT"/>
        </w:rPr>
      </w:pPr>
      <w:r w:rsidRPr="00C35766">
        <w:rPr>
          <w:rFonts w:ascii="Times New Roman" w:eastAsia="Times New Roman" w:hAnsi="Times New Roman" w:cs="Times New Roman"/>
          <w:b/>
          <w:bCs/>
          <w:lang w:val="it-IT"/>
        </w:rPr>
        <w:t>Cosa deve sapere prima di usare Yuflyma</w:t>
      </w:r>
      <w:r w:rsidRPr="00C35766">
        <w:rPr>
          <w:rFonts w:ascii="Times New Roman" w:eastAsia="Calibri" w:hAnsi="Times New Roman" w:cs="Times New Roman"/>
          <w:lang w:val="it-IT"/>
        </w:rPr>
        <w:t xml:space="preserve"> </w:t>
      </w:r>
    </w:p>
    <w:p w14:paraId="571AFF95" w14:textId="77777777" w:rsidR="0050099E" w:rsidRPr="00C35766" w:rsidRDefault="0050099E" w:rsidP="0050099E">
      <w:pPr>
        <w:spacing w:before="18" w:line="240" w:lineRule="exact"/>
        <w:ind w:left="108"/>
        <w:rPr>
          <w:rFonts w:ascii="Times New Roman" w:hAnsi="Times New Roman" w:cs="Times New Roman"/>
          <w:b/>
          <w:lang w:val="it-IT"/>
        </w:rPr>
      </w:pPr>
    </w:p>
    <w:p w14:paraId="41CBDCCF" w14:textId="77777777" w:rsidR="0050099E" w:rsidRPr="00C35766" w:rsidRDefault="0050099E" w:rsidP="0050099E">
      <w:pPr>
        <w:pStyle w:val="a3"/>
        <w:rPr>
          <w:b/>
        </w:rPr>
      </w:pPr>
      <w:r w:rsidRPr="00C35766">
        <w:rPr>
          <w:rFonts w:eastAsia="Times New Roman"/>
          <w:b/>
          <w:bCs/>
          <w:lang w:val="it-IT"/>
        </w:rPr>
        <w:t>Non usi Yuflyma:</w:t>
      </w:r>
    </w:p>
    <w:p w14:paraId="44E2B755" w14:textId="77777777" w:rsidR="0050099E" w:rsidRPr="00C35766" w:rsidRDefault="0050099E" w:rsidP="0050099E">
      <w:pPr>
        <w:pStyle w:val="a3"/>
        <w:rPr>
          <w:b/>
        </w:rPr>
      </w:pPr>
    </w:p>
    <w:p w14:paraId="48A01251"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se è allergico ad adalimumab o ad uno qualsiasi degli altri componenti di questo medicinale (elencati al paragrafo 6).</w:t>
      </w:r>
    </w:p>
    <w:p w14:paraId="3FEB907B" w14:textId="77777777" w:rsidR="0050099E" w:rsidRPr="00C35766" w:rsidRDefault="0050099E" w:rsidP="0050099E">
      <w:pPr>
        <w:pStyle w:val="a3"/>
        <w:numPr>
          <w:ilvl w:val="0"/>
          <w:numId w:val="0"/>
        </w:numPr>
        <w:ind w:left="660"/>
        <w:rPr>
          <w:lang w:val="es-ES"/>
        </w:rPr>
      </w:pPr>
    </w:p>
    <w:p w14:paraId="4B129D78"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presenza di tubercolosi attiva o altre infezioni gravi (vedere “Avvertenze e precauzioni”).  È importante comunicare al medico se ha segni o sintomi di infezione, per esempio, febbre, ferite, sensazione di stanchezza, problemi dentali.</w:t>
      </w:r>
    </w:p>
    <w:p w14:paraId="242FD5D1" w14:textId="77777777" w:rsidR="0050099E" w:rsidRPr="00C35766" w:rsidRDefault="0050099E" w:rsidP="0050099E">
      <w:pPr>
        <w:pStyle w:val="a3"/>
        <w:numPr>
          <w:ilvl w:val="0"/>
          <w:numId w:val="0"/>
        </w:numPr>
        <w:ind w:left="660"/>
        <w:rPr>
          <w:lang w:val="it-IT"/>
        </w:rPr>
      </w:pPr>
    </w:p>
    <w:p w14:paraId="5A2A88DE"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presenza di insufficienza cardiaca moderata o grave. È importante riferire al medico se c’è stata o è presente una condizione cardiaca grave (vedere “Avvertenze e precauzioni”).</w:t>
      </w:r>
    </w:p>
    <w:p w14:paraId="2CD1939A" w14:textId="77777777" w:rsidR="0050099E" w:rsidRPr="00C35766" w:rsidRDefault="0050099E" w:rsidP="0050099E">
      <w:pPr>
        <w:spacing w:before="13" w:line="240" w:lineRule="exact"/>
        <w:rPr>
          <w:rFonts w:ascii="Times New Roman" w:hAnsi="Times New Roman" w:cs="Times New Roman"/>
          <w:sz w:val="24"/>
          <w:szCs w:val="24"/>
          <w:lang w:val="it-IT"/>
        </w:rPr>
      </w:pPr>
    </w:p>
    <w:p w14:paraId="7F184472" w14:textId="77777777" w:rsidR="0050099E" w:rsidRPr="00C35766" w:rsidRDefault="0050099E" w:rsidP="0050099E">
      <w:pPr>
        <w:pStyle w:val="a3"/>
        <w:rPr>
          <w:b/>
          <w:lang w:val="es-ES"/>
        </w:rPr>
      </w:pPr>
      <w:r w:rsidRPr="00C35766">
        <w:rPr>
          <w:rFonts w:eastAsia="Times New Roman"/>
          <w:b/>
          <w:bCs/>
          <w:lang w:val="it-IT"/>
        </w:rPr>
        <w:t>Avvertenze e precauzioni</w:t>
      </w:r>
    </w:p>
    <w:p w14:paraId="6106D0E2" w14:textId="77777777" w:rsidR="0050099E" w:rsidRPr="00C35766" w:rsidRDefault="0050099E" w:rsidP="0050099E">
      <w:pPr>
        <w:spacing w:before="9" w:line="240" w:lineRule="exact"/>
        <w:rPr>
          <w:rFonts w:ascii="Times New Roman" w:hAnsi="Times New Roman" w:cs="Times New Roman"/>
          <w:sz w:val="24"/>
          <w:szCs w:val="24"/>
          <w:lang w:val="es-ES"/>
        </w:rPr>
      </w:pPr>
    </w:p>
    <w:p w14:paraId="5D885786" w14:textId="77777777" w:rsidR="0050099E" w:rsidRPr="00C35766" w:rsidRDefault="0050099E" w:rsidP="0050099E">
      <w:pPr>
        <w:pStyle w:val="a3"/>
        <w:rPr>
          <w:lang w:val="es-ES"/>
        </w:rPr>
      </w:pPr>
      <w:r w:rsidRPr="00C35766">
        <w:rPr>
          <w:rFonts w:eastAsia="Times New Roman"/>
          <w:lang w:val="it-IT"/>
        </w:rPr>
        <w:t>Si rivolga al medico o al farmacista prima di usare Yuflyma.</w:t>
      </w:r>
    </w:p>
    <w:p w14:paraId="52929F52" w14:textId="77777777" w:rsidR="0050099E" w:rsidRPr="00C35766" w:rsidRDefault="0050099E" w:rsidP="0050099E">
      <w:pPr>
        <w:pStyle w:val="a3"/>
        <w:rPr>
          <w:lang w:val="es-ES"/>
        </w:rPr>
      </w:pPr>
    </w:p>
    <w:p w14:paraId="5DF6FF5A" w14:textId="77777777" w:rsidR="0050099E" w:rsidRPr="00C35766" w:rsidRDefault="0050099E" w:rsidP="0050099E">
      <w:pPr>
        <w:pStyle w:val="a3"/>
        <w:rPr>
          <w:u w:val="single" w:color="000000"/>
        </w:rPr>
      </w:pPr>
      <w:r w:rsidRPr="00C35766">
        <w:rPr>
          <w:rFonts w:eastAsia="Times New Roman"/>
          <w:u w:val="single" w:color="000000"/>
          <w:lang w:val="it-IT"/>
        </w:rPr>
        <w:t>Reazioni allergiche</w:t>
      </w:r>
    </w:p>
    <w:p w14:paraId="67AF157B" w14:textId="77777777" w:rsidR="0050099E" w:rsidRPr="00C35766" w:rsidRDefault="0050099E" w:rsidP="0050099E">
      <w:pPr>
        <w:pStyle w:val="a3"/>
        <w:rPr>
          <w:u w:val="single"/>
        </w:rPr>
      </w:pPr>
    </w:p>
    <w:p w14:paraId="42D7FE34"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 caso di reazioni allergiche con sintomi quali senso d’oppressione toracica, respiro sibilante, capogiro, gonfiore o eruzione cutanea, non assuma più Yuflyma e contatti il medico immediatamente considerato che, in rari casi, queste reazioni possono essere pericolose per la vita.</w:t>
      </w:r>
    </w:p>
    <w:p w14:paraId="733FE7A8" w14:textId="77777777" w:rsidR="0050099E" w:rsidRPr="00C35766" w:rsidRDefault="0050099E" w:rsidP="0050099E">
      <w:pPr>
        <w:pStyle w:val="a3"/>
        <w:rPr>
          <w:b/>
          <w:lang w:val="it-IT"/>
        </w:rPr>
      </w:pPr>
    </w:p>
    <w:p w14:paraId="75A6FEE8" w14:textId="77777777" w:rsidR="0050099E" w:rsidRPr="00C35766" w:rsidRDefault="0050099E" w:rsidP="0050099E">
      <w:pPr>
        <w:pStyle w:val="a3"/>
        <w:rPr>
          <w:u w:val="single"/>
        </w:rPr>
      </w:pPr>
      <w:r w:rsidRPr="00C35766">
        <w:rPr>
          <w:rFonts w:eastAsia="Times New Roman"/>
          <w:u w:val="single"/>
          <w:lang w:val="it-IT"/>
        </w:rPr>
        <w:t>Infezioni</w:t>
      </w:r>
    </w:p>
    <w:p w14:paraId="228DF342" w14:textId="77777777" w:rsidR="0050099E" w:rsidRPr="00C35766" w:rsidRDefault="0050099E" w:rsidP="0050099E">
      <w:pPr>
        <w:pStyle w:val="a3"/>
        <w:rPr>
          <w:b/>
        </w:rPr>
      </w:pPr>
    </w:p>
    <w:p w14:paraId="3AB9F0E3" w14:textId="77777777" w:rsidR="0050099E" w:rsidRPr="00C35766" w:rsidRDefault="0050099E" w:rsidP="0050099E">
      <w:pPr>
        <w:pStyle w:val="a3"/>
        <w:numPr>
          <w:ilvl w:val="1"/>
          <w:numId w:val="4"/>
        </w:numPr>
        <w:ind w:left="660" w:hanging="660"/>
      </w:pPr>
      <w:r w:rsidRPr="00C35766">
        <w:rPr>
          <w:rFonts w:eastAsia="Times New Roman"/>
          <w:lang w:val="it-IT"/>
        </w:rPr>
        <w:t>In caso d’infezione, comprese infezioni a lungo termine o infezioni localizzate in una parte del corpo (per esempio, ulcere alle gambe) consulti il medico prima di iniziare il trattamento con Yuflyma. Se ha dubbi, contatti il medico.</w:t>
      </w:r>
    </w:p>
    <w:p w14:paraId="0A5AFA00" w14:textId="77777777" w:rsidR="0050099E" w:rsidRPr="00C35766" w:rsidRDefault="0050099E" w:rsidP="0050099E">
      <w:pPr>
        <w:pStyle w:val="a3"/>
      </w:pPr>
    </w:p>
    <w:p w14:paraId="5F359B0E"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È possibile contrarre più facilmente infezioni durante il trattamento con Yuflyma. Questo rischio può aumentare se ha problemi ai polmoni. Queste infezioni possono essere gravi ed includere:</w:t>
      </w:r>
    </w:p>
    <w:p w14:paraId="268A45C0" w14:textId="77777777" w:rsidR="0050099E" w:rsidRPr="00C35766" w:rsidRDefault="0050099E" w:rsidP="0050099E">
      <w:pPr>
        <w:pStyle w:val="a3"/>
        <w:numPr>
          <w:ilvl w:val="1"/>
          <w:numId w:val="4"/>
        </w:numPr>
        <w:ind w:left="660" w:firstLine="49"/>
      </w:pPr>
      <w:r w:rsidRPr="00C35766">
        <w:rPr>
          <w:rFonts w:eastAsia="Times New Roman"/>
          <w:lang w:val="it-IT"/>
        </w:rPr>
        <w:t>tubercolosi</w:t>
      </w:r>
    </w:p>
    <w:p w14:paraId="21A28C2D" w14:textId="77777777" w:rsidR="0050099E" w:rsidRPr="00C35766" w:rsidRDefault="0050099E" w:rsidP="0050099E">
      <w:pPr>
        <w:pStyle w:val="a3"/>
        <w:numPr>
          <w:ilvl w:val="1"/>
          <w:numId w:val="4"/>
        </w:numPr>
        <w:ind w:left="660" w:firstLine="49"/>
        <w:rPr>
          <w:lang w:val="pt-BR"/>
        </w:rPr>
      </w:pPr>
      <w:r w:rsidRPr="00C35766">
        <w:rPr>
          <w:rFonts w:eastAsia="Times New Roman"/>
          <w:lang w:val="it-IT"/>
        </w:rPr>
        <w:t>infezioni causate da virus, funghi, parassiti o batteri</w:t>
      </w:r>
    </w:p>
    <w:p w14:paraId="73E86160" w14:textId="77777777" w:rsidR="0050099E" w:rsidRPr="00C35766" w:rsidRDefault="0050099E" w:rsidP="0050099E">
      <w:pPr>
        <w:pStyle w:val="a3"/>
        <w:numPr>
          <w:ilvl w:val="1"/>
          <w:numId w:val="4"/>
        </w:numPr>
        <w:ind w:left="660" w:firstLine="49"/>
        <w:rPr>
          <w:lang w:val="es-ES"/>
        </w:rPr>
      </w:pPr>
      <w:r w:rsidRPr="00C35766">
        <w:rPr>
          <w:rFonts w:eastAsia="Times New Roman"/>
          <w:lang w:val="it-IT"/>
        </w:rPr>
        <w:t>grave infezione del sangue (sepsi)</w:t>
      </w:r>
    </w:p>
    <w:p w14:paraId="34ECA792" w14:textId="77777777" w:rsidR="0050099E" w:rsidRPr="00C35766" w:rsidRDefault="0050099E" w:rsidP="0050099E">
      <w:pPr>
        <w:pStyle w:val="a3"/>
        <w:rPr>
          <w:lang w:val="es-ES"/>
        </w:rPr>
      </w:pPr>
    </w:p>
    <w:p w14:paraId="75E56414" w14:textId="77777777" w:rsidR="0050099E" w:rsidRPr="00C35766" w:rsidRDefault="0050099E" w:rsidP="0050099E">
      <w:pPr>
        <w:pStyle w:val="a3"/>
        <w:numPr>
          <w:ilvl w:val="0"/>
          <w:numId w:val="0"/>
        </w:numPr>
        <w:ind w:left="660"/>
        <w:rPr>
          <w:lang w:val="it-IT"/>
        </w:rPr>
      </w:pPr>
      <w:r w:rsidRPr="00C35766">
        <w:rPr>
          <w:rFonts w:eastAsia="Times New Roman"/>
          <w:lang w:val="it-IT"/>
        </w:rPr>
        <w:t>In rari casi, queste infezioni possono essere rischiose per la vita del paziente. È importante comunicare al medico la presenza di sintomi quali febbre, ferite, sensazione di stanchezza o problemi dentali. Il medico potrebbe dirle di interrompere Yuflyma per un periodo di tempo.</w:t>
      </w:r>
    </w:p>
    <w:p w14:paraId="7C3D3D83" w14:textId="77777777" w:rsidR="0050099E" w:rsidRPr="00C35766" w:rsidRDefault="0050099E" w:rsidP="0050099E">
      <w:pPr>
        <w:pStyle w:val="a3"/>
        <w:rPr>
          <w:lang w:val="it-IT"/>
        </w:rPr>
      </w:pPr>
    </w:p>
    <w:p w14:paraId="546DBA4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Informi il medico se vive o viaggia in regioni dove le infezioni fungine sono molto comuni (ad esempio istoplasmosi, coccidioidomicosi o blastomicosi).</w:t>
      </w:r>
    </w:p>
    <w:p w14:paraId="10913BF3" w14:textId="77777777" w:rsidR="0050099E" w:rsidRPr="00C35766" w:rsidRDefault="0050099E" w:rsidP="0050099E">
      <w:pPr>
        <w:pStyle w:val="a3"/>
        <w:rPr>
          <w:lang w:val="it-IT"/>
        </w:rPr>
      </w:pPr>
    </w:p>
    <w:p w14:paraId="2EB5853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Informi il medico se ha avuto infezioni che continuano a ripresentarsi o se ha altre patologie che aumentano il rischio di infezione.</w:t>
      </w:r>
    </w:p>
    <w:p w14:paraId="04C346DA" w14:textId="77777777" w:rsidR="0050099E" w:rsidRPr="00C35766" w:rsidRDefault="0050099E" w:rsidP="0050099E">
      <w:pPr>
        <w:pStyle w:val="a3"/>
        <w:numPr>
          <w:ilvl w:val="0"/>
          <w:numId w:val="0"/>
        </w:numPr>
        <w:rPr>
          <w:lang w:val="it-IT"/>
        </w:rPr>
      </w:pPr>
    </w:p>
    <w:p w14:paraId="5281C674"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 ha più di 65 anni, potrebbe contrarre infezioni più facilmente mentre assume Yuflyma. Lei e il medico dovete prestare particolare attenzione ai segni di infezione durante il trattamento con Yuflyma.  È importante comunicare al medico se manifesta sintomi di infezioni quali febbre, ferite, sensazione di stanchezza o problemi dentali.</w:t>
      </w:r>
    </w:p>
    <w:p w14:paraId="57A71EE4" w14:textId="77777777" w:rsidR="0050099E" w:rsidRPr="00C35766" w:rsidRDefault="0050099E" w:rsidP="0050099E">
      <w:pPr>
        <w:spacing w:before="11" w:line="240" w:lineRule="exact"/>
        <w:rPr>
          <w:rFonts w:ascii="Times New Roman" w:hAnsi="Times New Roman" w:cs="Times New Roman"/>
          <w:sz w:val="24"/>
          <w:lang w:val="it-IT"/>
        </w:rPr>
      </w:pPr>
    </w:p>
    <w:p w14:paraId="4158E6FF" w14:textId="77777777" w:rsidR="0050099E" w:rsidRPr="00C35766" w:rsidRDefault="0050099E" w:rsidP="0050099E">
      <w:pPr>
        <w:pStyle w:val="a3"/>
        <w:rPr>
          <w:u w:val="single"/>
        </w:rPr>
      </w:pPr>
      <w:r w:rsidRPr="00C35766">
        <w:rPr>
          <w:rFonts w:eastAsia="Times New Roman"/>
          <w:u w:val="single" w:color="000000"/>
          <w:lang w:val="it-IT"/>
        </w:rPr>
        <w:t>Tubercolosi</w:t>
      </w:r>
    </w:p>
    <w:p w14:paraId="0AA29A22" w14:textId="77777777" w:rsidR="0050099E" w:rsidRPr="00C35766" w:rsidRDefault="0050099E" w:rsidP="0050099E">
      <w:pPr>
        <w:spacing w:before="4" w:line="190" w:lineRule="exact"/>
        <w:rPr>
          <w:rFonts w:ascii="Times New Roman" w:hAnsi="Times New Roman" w:cs="Times New Roman"/>
          <w:sz w:val="19"/>
          <w:szCs w:val="19"/>
        </w:rPr>
      </w:pPr>
    </w:p>
    <w:p w14:paraId="1AFFC77F"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È molto importante comunicare al medico se ha mai avuto la tubercolosi, o se è stato a contatto con qualcuno che ha avuto la tubercolosi. Non deve assumere Yuflyma se è affetto da tubercolosi attiva.</w:t>
      </w:r>
    </w:p>
    <w:p w14:paraId="61950F01" w14:textId="77777777" w:rsidR="0050099E" w:rsidRPr="00C35766" w:rsidRDefault="0050099E" w:rsidP="0050099E">
      <w:pPr>
        <w:pStyle w:val="a3"/>
        <w:numPr>
          <w:ilvl w:val="1"/>
          <w:numId w:val="4"/>
        </w:numPr>
        <w:ind w:left="998" w:hanging="340"/>
        <w:rPr>
          <w:lang w:val="pt-BR"/>
        </w:rPr>
      </w:pPr>
      <w:r w:rsidRPr="00C35766">
        <w:rPr>
          <w:rFonts w:eastAsia="Times New Roman"/>
          <w:lang w:val="it-IT"/>
        </w:rPr>
        <w:t xml:space="preserve">Poiché si sono verificati dei casi di tubercolosi in pazienti sottoposti a trattamento con Yuflyma, il medico dovrà controllare se presenta segni o sintomi tipici della tubercolosi prima di iniziare la terapia con Yuflyma. Questo comporterà la raccolta di una valutazione medica dettagliata che includa la sua anamnesi e appropriati esami clinici (per es. una radiografia del torace e il test alla tubercolina). L’esecuzione e i risultati di tali esami devono essere registrati nella </w:t>
      </w:r>
      <w:r w:rsidRPr="00C35766">
        <w:rPr>
          <w:rFonts w:eastAsia="Times New Roman"/>
          <w:b/>
          <w:bCs/>
          <w:lang w:val="it-IT"/>
        </w:rPr>
        <w:t>Scheda Promemoria per il Paziente</w:t>
      </w:r>
      <w:r w:rsidRPr="00C35766">
        <w:rPr>
          <w:rFonts w:eastAsia="Times New Roman"/>
          <w:lang w:val="it-IT"/>
        </w:rPr>
        <w:t>.</w:t>
      </w:r>
    </w:p>
    <w:p w14:paraId="2E6D7839" w14:textId="77777777" w:rsidR="0050099E" w:rsidRPr="00C35766" w:rsidRDefault="0050099E" w:rsidP="0050099E">
      <w:pPr>
        <w:pStyle w:val="a3"/>
        <w:numPr>
          <w:ilvl w:val="1"/>
          <w:numId w:val="4"/>
        </w:numPr>
        <w:ind w:left="998" w:hanging="340"/>
        <w:rPr>
          <w:lang w:val="es-ES"/>
        </w:rPr>
      </w:pPr>
      <w:r w:rsidRPr="00C35766">
        <w:rPr>
          <w:rFonts w:eastAsia="Times New Roman"/>
          <w:lang w:val="it-IT"/>
        </w:rPr>
        <w:t>La tubercolosi si può manifestare durante la terapia nonostante lei abbia ricevuto un trattamento per la prevenzione della tubercolosi.</w:t>
      </w:r>
    </w:p>
    <w:p w14:paraId="38A9FAE6" w14:textId="77777777" w:rsidR="0050099E" w:rsidRPr="00C35766" w:rsidRDefault="0050099E" w:rsidP="0050099E">
      <w:pPr>
        <w:pStyle w:val="a3"/>
        <w:numPr>
          <w:ilvl w:val="1"/>
          <w:numId w:val="4"/>
        </w:numPr>
        <w:ind w:left="998" w:hanging="340"/>
        <w:rPr>
          <w:lang w:val="es-ES"/>
        </w:rPr>
      </w:pPr>
      <w:r w:rsidRPr="00C35766">
        <w:rPr>
          <w:rFonts w:eastAsia="Times New Roman"/>
          <w:lang w:val="it-IT"/>
        </w:rPr>
        <w:t>Contatti immediatamente il medico se durante o dopo la terapia compaiono sintomi di tubercolosi (ad esempio tosse che non scompare, perdita di peso, mancanza di energia, febbre leggera) o di altre infezioni.</w:t>
      </w:r>
    </w:p>
    <w:p w14:paraId="6C0B1B60" w14:textId="77777777" w:rsidR="0050099E" w:rsidRPr="00C35766" w:rsidRDefault="0050099E" w:rsidP="0050099E">
      <w:pPr>
        <w:spacing w:before="11" w:line="240" w:lineRule="exact"/>
        <w:rPr>
          <w:rFonts w:ascii="Times New Roman" w:hAnsi="Times New Roman" w:cs="Times New Roman"/>
          <w:sz w:val="24"/>
          <w:szCs w:val="24"/>
          <w:lang w:val="es-ES"/>
        </w:rPr>
      </w:pPr>
    </w:p>
    <w:p w14:paraId="01261935" w14:textId="77777777" w:rsidR="0050099E" w:rsidRPr="00C35766" w:rsidRDefault="0050099E" w:rsidP="0050099E">
      <w:pPr>
        <w:pStyle w:val="a3"/>
        <w:rPr>
          <w:u w:val="single"/>
        </w:rPr>
      </w:pPr>
      <w:r w:rsidRPr="00C35766">
        <w:rPr>
          <w:rFonts w:eastAsia="Times New Roman"/>
          <w:u w:val="single" w:color="000000"/>
          <w:lang w:val="it-IT"/>
        </w:rPr>
        <w:t>Epatite B</w:t>
      </w:r>
    </w:p>
    <w:p w14:paraId="2DA1A5F3" w14:textId="77777777" w:rsidR="0050099E" w:rsidRPr="00C35766" w:rsidRDefault="0050099E" w:rsidP="0050099E">
      <w:pPr>
        <w:spacing w:before="4" w:line="190" w:lineRule="exact"/>
        <w:rPr>
          <w:rFonts w:ascii="Times New Roman" w:hAnsi="Times New Roman" w:cs="Times New Roman"/>
          <w:sz w:val="19"/>
          <w:szCs w:val="19"/>
        </w:rPr>
      </w:pPr>
    </w:p>
    <w:p w14:paraId="2D682EC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Comunichi al medico se lei è portatore del virus dell’epatite B (HBV), se ha un’infezione in fase attiva da virus dell’epatite B o se pensa di poter essere a rischio di contrarre il virus dell’epatite B.</w:t>
      </w:r>
    </w:p>
    <w:p w14:paraId="10D64811"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Il medico La deve testare per l’infezione da virus dell’epatite B. Nei portatori di HBV, l’assunzione di Yuflyma può indurre il virus ad attivarsi nuovamente.</w:t>
      </w:r>
    </w:p>
    <w:p w14:paraId="07977AE0"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In alcuni rari casi, soprattutto se il paziente è sottoposto a terapia con altri farmaci che sopprimono il sistema immunitario, la riattivazione del virus dell’epatite B può mettere a repentaglio la vita del paziente.</w:t>
      </w:r>
    </w:p>
    <w:p w14:paraId="5951922B" w14:textId="77777777" w:rsidR="0050099E" w:rsidRPr="00C35766" w:rsidRDefault="0050099E" w:rsidP="0050099E">
      <w:pPr>
        <w:spacing w:before="11" w:line="240" w:lineRule="exact"/>
        <w:rPr>
          <w:rFonts w:ascii="Times New Roman" w:hAnsi="Times New Roman" w:cs="Times New Roman"/>
          <w:sz w:val="24"/>
          <w:lang w:val="it-IT"/>
        </w:rPr>
      </w:pPr>
    </w:p>
    <w:p w14:paraId="296152F4" w14:textId="77777777" w:rsidR="0050099E" w:rsidRPr="00C35766" w:rsidRDefault="0050099E" w:rsidP="0050099E">
      <w:pPr>
        <w:pStyle w:val="a3"/>
        <w:rPr>
          <w:u w:val="single"/>
        </w:rPr>
      </w:pPr>
      <w:r w:rsidRPr="00C35766">
        <w:rPr>
          <w:rFonts w:eastAsia="Times New Roman"/>
          <w:u w:val="single" w:color="000000"/>
          <w:lang w:val="it-IT"/>
        </w:rPr>
        <w:t>Interventi chirurgici o procedure dentistiche</w:t>
      </w:r>
    </w:p>
    <w:p w14:paraId="15B815D6" w14:textId="77777777" w:rsidR="0050099E" w:rsidRPr="00C35766" w:rsidRDefault="0050099E" w:rsidP="0050099E">
      <w:pPr>
        <w:spacing w:before="4" w:line="190" w:lineRule="exact"/>
        <w:rPr>
          <w:rFonts w:ascii="Times New Roman" w:hAnsi="Times New Roman" w:cs="Times New Roman"/>
          <w:sz w:val="19"/>
          <w:szCs w:val="19"/>
        </w:rPr>
      </w:pPr>
    </w:p>
    <w:p w14:paraId="522A7940" w14:textId="77777777" w:rsidR="0050099E" w:rsidRPr="00C35766" w:rsidRDefault="0050099E" w:rsidP="0050099E">
      <w:pPr>
        <w:pStyle w:val="a3"/>
        <w:numPr>
          <w:ilvl w:val="1"/>
          <w:numId w:val="4"/>
        </w:numPr>
        <w:ind w:left="660" w:hanging="660"/>
      </w:pPr>
      <w:r w:rsidRPr="00C35766">
        <w:rPr>
          <w:rFonts w:eastAsia="Times New Roman"/>
          <w:lang w:val="it-IT"/>
        </w:rPr>
        <w:t>Prima di un intervento chirurgico o procedure dentistiche, informi il medico che sta prendendo Yuflyma. Il medico potrebbe consigliare la sospensione temporanea di Yuflyma.</w:t>
      </w:r>
    </w:p>
    <w:p w14:paraId="427A632B" w14:textId="77777777" w:rsidR="0050099E" w:rsidRPr="00C35766" w:rsidRDefault="0050099E" w:rsidP="0050099E">
      <w:pPr>
        <w:spacing w:before="8" w:line="240" w:lineRule="exact"/>
        <w:rPr>
          <w:rFonts w:ascii="Times New Roman" w:hAnsi="Times New Roman" w:cs="Times New Roman"/>
          <w:sz w:val="24"/>
          <w:szCs w:val="24"/>
        </w:rPr>
      </w:pPr>
    </w:p>
    <w:p w14:paraId="6C3B3712" w14:textId="77777777" w:rsidR="0050099E" w:rsidRPr="00C35766" w:rsidRDefault="0050099E" w:rsidP="0050099E">
      <w:pPr>
        <w:pStyle w:val="a3"/>
        <w:rPr>
          <w:u w:val="single"/>
        </w:rPr>
      </w:pPr>
      <w:r w:rsidRPr="00C35766">
        <w:rPr>
          <w:rFonts w:eastAsia="Times New Roman"/>
          <w:u w:val="single" w:color="000000"/>
          <w:lang w:val="it-IT"/>
        </w:rPr>
        <w:t>Malattie demielinizzanti</w:t>
      </w:r>
    </w:p>
    <w:p w14:paraId="36BC8E33" w14:textId="77777777" w:rsidR="0050099E" w:rsidRPr="00C35766" w:rsidRDefault="0050099E" w:rsidP="0050099E">
      <w:pPr>
        <w:spacing w:before="4" w:line="190" w:lineRule="exact"/>
        <w:rPr>
          <w:rFonts w:ascii="Times New Roman" w:hAnsi="Times New Roman" w:cs="Times New Roman"/>
          <w:sz w:val="19"/>
          <w:szCs w:val="19"/>
        </w:rPr>
      </w:pPr>
    </w:p>
    <w:p w14:paraId="7AA7FA4A"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Se è affetto da o sviluppa una malattia demielinizzante (malattia che colpisce lo strato isolante attorno ai nervi, come la sclerosi multipla), il medico deciderà se è il caso di iniziare o continuare a ricevere il trattamento con Yuflyma.  Informi il medico immediatamente nel caso in cui lei manifesti sintomi quali variazioni nella visione, debolezza di braccia o gambe o intorpidimento o formicolio che interessi qualsiasi parte del corpo.</w:t>
      </w:r>
    </w:p>
    <w:p w14:paraId="1939D8D4" w14:textId="77777777" w:rsidR="0050099E" w:rsidRPr="00C35766" w:rsidRDefault="0050099E" w:rsidP="0050099E">
      <w:pPr>
        <w:spacing w:before="14" w:line="240" w:lineRule="exact"/>
        <w:rPr>
          <w:rFonts w:ascii="Times New Roman" w:hAnsi="Times New Roman" w:cs="Times New Roman"/>
          <w:sz w:val="24"/>
          <w:szCs w:val="24"/>
          <w:lang w:val="pt-BR"/>
        </w:rPr>
      </w:pPr>
    </w:p>
    <w:p w14:paraId="5B3FFEE0" w14:textId="77777777" w:rsidR="0050099E" w:rsidRPr="00C35766" w:rsidRDefault="0050099E" w:rsidP="0050099E">
      <w:pPr>
        <w:pStyle w:val="a3"/>
        <w:rPr>
          <w:u w:val="single"/>
        </w:rPr>
      </w:pPr>
      <w:r w:rsidRPr="00C35766">
        <w:rPr>
          <w:rFonts w:eastAsia="Times New Roman"/>
          <w:u w:val="single" w:color="000000"/>
          <w:lang w:val="it-IT"/>
        </w:rPr>
        <w:t>Vaccinazioni</w:t>
      </w:r>
    </w:p>
    <w:p w14:paraId="4121CA9D" w14:textId="77777777" w:rsidR="0050099E" w:rsidRPr="00C35766" w:rsidRDefault="0050099E" w:rsidP="0050099E">
      <w:pPr>
        <w:spacing w:before="4" w:line="190" w:lineRule="exact"/>
        <w:rPr>
          <w:rFonts w:ascii="Times New Roman" w:hAnsi="Times New Roman" w:cs="Times New Roman"/>
          <w:sz w:val="19"/>
          <w:szCs w:val="19"/>
        </w:rPr>
      </w:pPr>
    </w:p>
    <w:p w14:paraId="4866D0D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Certi vaccini possono causare infezioni e non devono essere somministrati durante il trattamento con Yuflyma.</w:t>
      </w:r>
    </w:p>
    <w:p w14:paraId="2B6584FE" w14:textId="77777777" w:rsidR="0050099E" w:rsidRPr="00C35766" w:rsidRDefault="0050099E" w:rsidP="0050099E">
      <w:pPr>
        <w:spacing w:before="11" w:line="240" w:lineRule="exact"/>
        <w:rPr>
          <w:rFonts w:ascii="Times New Roman" w:hAnsi="Times New Roman" w:cs="Times New Roman"/>
          <w:sz w:val="24"/>
          <w:lang w:val="it-IT"/>
        </w:rPr>
      </w:pPr>
    </w:p>
    <w:p w14:paraId="70ABDE69"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Consulti il medico prima di sottoporsi a vaccinazioni.</w:t>
      </w:r>
    </w:p>
    <w:p w14:paraId="0C804FB1"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Si raccomanda, se possibile, di sottoporre i bambini a tutte le vaccinazioni previste per la loro età prima di iniziare il trattamento con Yuflyma.</w:t>
      </w:r>
    </w:p>
    <w:p w14:paraId="317E025B" w14:textId="77777777" w:rsidR="0050099E" w:rsidRPr="00C35766" w:rsidRDefault="0050099E" w:rsidP="0050099E">
      <w:pPr>
        <w:pStyle w:val="a3"/>
        <w:numPr>
          <w:ilvl w:val="1"/>
          <w:numId w:val="4"/>
        </w:numPr>
        <w:ind w:left="998" w:hanging="340"/>
        <w:rPr>
          <w:lang w:val="it-IT"/>
        </w:rPr>
      </w:pPr>
      <w:r w:rsidRPr="00C35766">
        <w:rPr>
          <w:rFonts w:eastAsia="Times New Roman"/>
          <w:lang w:val="it-IT"/>
        </w:rPr>
        <w:t>Se ha assunto Yuflyma durante la gravidanza, il bambino potrebbe avere un maggior rischio di contrarre un’infezione fino a circa 5 mesi dopo l’ultima somministrazione di Yuflyma ricevuta in gravidanza. È importante che lei riferisca al pediatra o ad altro operatore sanitario del suo utilizzo di Yuflyma durante la gravidanza, cosicché possano decidere quando il bambino deve ricevere qualsiasi tipo di vaccinazione.</w:t>
      </w:r>
    </w:p>
    <w:p w14:paraId="4A2D3AB8" w14:textId="77777777" w:rsidR="0050099E" w:rsidRPr="00C35766" w:rsidRDefault="0050099E" w:rsidP="0050099E">
      <w:pPr>
        <w:spacing w:before="14" w:line="240" w:lineRule="exact"/>
        <w:rPr>
          <w:rFonts w:ascii="Times New Roman" w:hAnsi="Times New Roman" w:cs="Times New Roman"/>
          <w:sz w:val="24"/>
          <w:szCs w:val="24"/>
          <w:lang w:val="it-IT"/>
        </w:rPr>
      </w:pPr>
    </w:p>
    <w:p w14:paraId="443280A2" w14:textId="77777777" w:rsidR="0050099E" w:rsidRPr="00C35766" w:rsidRDefault="0050099E" w:rsidP="0050099E">
      <w:pPr>
        <w:pStyle w:val="a3"/>
        <w:rPr>
          <w:u w:val="single"/>
        </w:rPr>
      </w:pPr>
      <w:r w:rsidRPr="00C35766">
        <w:rPr>
          <w:rFonts w:eastAsia="Times New Roman"/>
          <w:u w:val="single" w:color="000000"/>
          <w:lang w:val="it-IT"/>
        </w:rPr>
        <w:t>Insufficienza cardiaca</w:t>
      </w:r>
    </w:p>
    <w:p w14:paraId="607D8DE2" w14:textId="77777777" w:rsidR="0050099E" w:rsidRPr="00C35766" w:rsidRDefault="0050099E" w:rsidP="0050099E">
      <w:pPr>
        <w:spacing w:before="4" w:line="190" w:lineRule="exact"/>
        <w:rPr>
          <w:rFonts w:ascii="Times New Roman" w:hAnsi="Times New Roman" w:cs="Times New Roman"/>
          <w:sz w:val="19"/>
          <w:szCs w:val="19"/>
        </w:rPr>
      </w:pPr>
    </w:p>
    <w:p w14:paraId="4BB8F86F" w14:textId="77777777" w:rsidR="0050099E" w:rsidRPr="00C35766" w:rsidRDefault="0050099E" w:rsidP="0050099E">
      <w:pPr>
        <w:pStyle w:val="a3"/>
        <w:numPr>
          <w:ilvl w:val="1"/>
          <w:numId w:val="4"/>
        </w:numPr>
        <w:ind w:left="660" w:hanging="660"/>
      </w:pPr>
      <w:r w:rsidRPr="00C35766">
        <w:rPr>
          <w:rFonts w:eastAsia="Times New Roman"/>
          <w:lang w:val="it-IT"/>
        </w:rPr>
        <w:t>In caso di lieve insufficienza cardiaca e di concomitante trattamento con Yuflyma, il medico dovrà attentamente valutare e seguire lo stato del suo cuore. È importante informare il medico</w:t>
      </w:r>
      <w:r w:rsidRPr="00C35766" w:rsidDel="00FB3571">
        <w:rPr>
          <w:rFonts w:eastAsia="Times New Roman"/>
          <w:lang w:val="it-IT"/>
        </w:rPr>
        <w:t xml:space="preserve"> </w:t>
      </w:r>
      <w:r w:rsidRPr="00C35766">
        <w:rPr>
          <w:rFonts w:eastAsia="Times New Roman"/>
          <w:lang w:val="it-IT"/>
        </w:rPr>
        <w:t>se ha o ha avuto in passato gravi problemi al cuore. Se appaiono nuovi sintomi di insufficienza cardiaca o se i sintomi già esistenti dovessero peggiorare (per esempio, respiro corto o gonfiore dei piedi), contatti immediatamente il medico.  Il medico deciderà se è possibile usare Yuflyma.</w:t>
      </w:r>
    </w:p>
    <w:p w14:paraId="121F924B" w14:textId="77777777" w:rsidR="0050099E" w:rsidRPr="00C35766" w:rsidRDefault="0050099E" w:rsidP="0050099E">
      <w:pPr>
        <w:spacing w:before="14" w:line="240" w:lineRule="exact"/>
        <w:rPr>
          <w:rFonts w:ascii="Times New Roman" w:hAnsi="Times New Roman" w:cs="Times New Roman"/>
          <w:sz w:val="24"/>
          <w:szCs w:val="24"/>
        </w:rPr>
      </w:pPr>
    </w:p>
    <w:p w14:paraId="603C0429" w14:textId="77777777" w:rsidR="0050099E" w:rsidRPr="00C35766" w:rsidRDefault="0050099E" w:rsidP="0050099E">
      <w:pPr>
        <w:pStyle w:val="a3"/>
        <w:rPr>
          <w:u w:val="single"/>
        </w:rPr>
      </w:pPr>
      <w:r w:rsidRPr="00C35766">
        <w:rPr>
          <w:rFonts w:eastAsia="Times New Roman"/>
          <w:u w:val="single" w:color="000000"/>
          <w:lang w:val="it-IT"/>
        </w:rPr>
        <w:t>Febbre, lividi, sanguinamento o pallore</w:t>
      </w:r>
    </w:p>
    <w:p w14:paraId="79788C95" w14:textId="77777777" w:rsidR="0050099E" w:rsidRPr="00C35766" w:rsidRDefault="0050099E" w:rsidP="0050099E">
      <w:pPr>
        <w:pStyle w:val="a3"/>
        <w:rPr>
          <w:rFonts w:eastAsia="Times New Roman"/>
          <w:lang w:val="it-IT"/>
        </w:rPr>
      </w:pPr>
      <w:r w:rsidRPr="00C35766">
        <w:rPr>
          <w:rFonts w:eastAsia="Times New Roman"/>
          <w:lang w:val="it-IT"/>
        </w:rPr>
        <w:t>In alcuni pazienti l’organismo può non essere in grado di produrre un quantitativo di cellule ematiche sufficiente e tale da combattere le infezioni o arrestare un sanguinamento. Il medico potrebbe decidere di interrompere la terapia. Nel caso in cui lei abbia febbre persistente, lividi o facilità di sanguinamento o pallore, si rivolga immediatamente al medico.</w:t>
      </w:r>
    </w:p>
    <w:p w14:paraId="20B61B5B" w14:textId="77777777" w:rsidR="0050099E" w:rsidRPr="00C35766" w:rsidRDefault="0050099E" w:rsidP="0050099E">
      <w:pPr>
        <w:pStyle w:val="a3"/>
        <w:rPr>
          <w:rFonts w:eastAsia="Times New Roman"/>
          <w:lang w:val="it-IT"/>
        </w:rPr>
      </w:pPr>
    </w:p>
    <w:p w14:paraId="054422D7" w14:textId="77777777" w:rsidR="0050099E" w:rsidRPr="00C35766" w:rsidRDefault="0050099E" w:rsidP="0050099E">
      <w:pPr>
        <w:pStyle w:val="a3"/>
        <w:rPr>
          <w:u w:val="single"/>
        </w:rPr>
      </w:pPr>
      <w:r w:rsidRPr="00C35766">
        <w:rPr>
          <w:rFonts w:eastAsia="Times New Roman"/>
          <w:u w:val="single"/>
          <w:lang w:val="it-IT"/>
        </w:rPr>
        <w:t>Tumore</w:t>
      </w:r>
    </w:p>
    <w:p w14:paraId="21F94F19" w14:textId="77777777" w:rsidR="0050099E" w:rsidRPr="00C35766" w:rsidRDefault="0050099E" w:rsidP="0050099E">
      <w:pPr>
        <w:pStyle w:val="a3"/>
        <w:rPr>
          <w:u w:val="single"/>
        </w:rPr>
      </w:pPr>
    </w:p>
    <w:p w14:paraId="745C4660" w14:textId="77777777" w:rsidR="0050099E" w:rsidRPr="00824699" w:rsidRDefault="0050099E" w:rsidP="0050099E">
      <w:pPr>
        <w:pStyle w:val="a3"/>
        <w:numPr>
          <w:ilvl w:val="1"/>
          <w:numId w:val="4"/>
        </w:numPr>
        <w:ind w:left="660" w:hanging="660"/>
        <w:rPr>
          <w:lang w:val="it-IT"/>
        </w:rPr>
      </w:pPr>
      <w:r w:rsidRPr="00C35766">
        <w:rPr>
          <w:rFonts w:eastAsia="Times New Roman"/>
          <w:lang w:val="it-IT"/>
        </w:rPr>
        <w:t>Nei pazienti, sia bambini sia adulti, sottoposti a trattamento con Yuflyma o con altri farmaci anti-TNF, si sono manifestati molto raramente alcuni tipi di tumori.</w:t>
      </w:r>
    </w:p>
    <w:p w14:paraId="1304B7FB" w14:textId="77777777" w:rsidR="0050099E" w:rsidRPr="00824699" w:rsidRDefault="0050099E" w:rsidP="0050099E">
      <w:pPr>
        <w:pStyle w:val="a3"/>
        <w:rPr>
          <w:lang w:val="it-IT"/>
        </w:rPr>
      </w:pPr>
    </w:p>
    <w:p w14:paraId="3712C943" w14:textId="77777777" w:rsidR="0050099E" w:rsidRPr="00824699" w:rsidRDefault="0050099E" w:rsidP="0050099E">
      <w:pPr>
        <w:pStyle w:val="a3"/>
        <w:numPr>
          <w:ilvl w:val="1"/>
          <w:numId w:val="4"/>
        </w:numPr>
        <w:ind w:left="998" w:hanging="340"/>
        <w:rPr>
          <w:lang w:val="it-IT"/>
        </w:rPr>
      </w:pPr>
      <w:r w:rsidRPr="00C35766">
        <w:rPr>
          <w:rFonts w:eastAsia="Times New Roman"/>
          <w:lang w:val="it-IT"/>
        </w:rPr>
        <w:t>I pazienti con artrite reumatoide di grave entità da molto tempo possono presentare un rischio superiore alla media di sviluppare un linfoma (un tumore che colpisce il sistema linfatico) e leucemia (un tumore che colpisce il sangue e il midollo osseo).</w:t>
      </w:r>
    </w:p>
    <w:p w14:paraId="66BFE834" w14:textId="77777777" w:rsidR="0050099E" w:rsidRPr="00824699" w:rsidRDefault="0050099E" w:rsidP="0050099E">
      <w:pPr>
        <w:pStyle w:val="a3"/>
        <w:numPr>
          <w:ilvl w:val="1"/>
          <w:numId w:val="4"/>
        </w:numPr>
        <w:ind w:left="998" w:hanging="340"/>
        <w:rPr>
          <w:lang w:val="it-IT"/>
        </w:rPr>
      </w:pPr>
      <w:r w:rsidRPr="00C35766">
        <w:rPr>
          <w:rFonts w:eastAsia="Times New Roman"/>
          <w:lang w:val="it-IT"/>
        </w:rPr>
        <w:t>Se lei assume Yuflyma, il rischio di contrarre linfomi, leucemia o altri tumori può aumentare. In rare circostanze, nei pazienti sottoposti a terapia con Yuflyma, è stato osservato un tipo non comune e grave di linfoma. Alcuni di questi pazienti erano anche in terapia con azatioprina o 6-mercaptopurina.</w:t>
      </w:r>
    </w:p>
    <w:p w14:paraId="6B3BFD10" w14:textId="77777777" w:rsidR="0050099E" w:rsidRPr="00824699" w:rsidRDefault="0050099E" w:rsidP="0050099E">
      <w:pPr>
        <w:pStyle w:val="a3"/>
        <w:numPr>
          <w:ilvl w:val="1"/>
          <w:numId w:val="4"/>
        </w:numPr>
        <w:ind w:left="998" w:hanging="340"/>
        <w:rPr>
          <w:lang w:val="it-IT"/>
        </w:rPr>
      </w:pPr>
      <w:r w:rsidRPr="00C35766">
        <w:rPr>
          <w:rFonts w:eastAsia="Times New Roman"/>
          <w:lang w:val="it-IT"/>
        </w:rPr>
        <w:t>Avvisi il medico se sta assumendo azatioprina o 6-mercaptopurina con Yuflyma.</w:t>
      </w:r>
    </w:p>
    <w:p w14:paraId="77683769" w14:textId="77777777" w:rsidR="0050099E" w:rsidRPr="00C35766" w:rsidRDefault="0050099E" w:rsidP="0050099E">
      <w:pPr>
        <w:pStyle w:val="a3"/>
        <w:numPr>
          <w:ilvl w:val="1"/>
          <w:numId w:val="4"/>
        </w:numPr>
        <w:ind w:left="998" w:hanging="340"/>
        <w:rPr>
          <w:lang w:val="pt-BR"/>
        </w:rPr>
      </w:pPr>
      <w:r w:rsidRPr="00C35766">
        <w:rPr>
          <w:rFonts w:eastAsia="Times New Roman"/>
          <w:lang w:val="it-IT"/>
        </w:rPr>
        <w:t>Nei pazienti che assumono Yuflyma, sono stati osservati casi di carcinoma cutaneo non melanotico.</w:t>
      </w:r>
    </w:p>
    <w:p w14:paraId="7422A6DC" w14:textId="77777777" w:rsidR="0050099E" w:rsidRPr="00C35766" w:rsidRDefault="0050099E" w:rsidP="0050099E">
      <w:pPr>
        <w:pStyle w:val="a3"/>
        <w:numPr>
          <w:ilvl w:val="1"/>
          <w:numId w:val="4"/>
        </w:numPr>
        <w:ind w:left="998" w:hanging="340"/>
        <w:rPr>
          <w:lang w:val="pt-BR"/>
        </w:rPr>
      </w:pPr>
      <w:r w:rsidRPr="00C35766">
        <w:rPr>
          <w:rFonts w:eastAsia="Times New Roman"/>
          <w:lang w:val="it-IT"/>
        </w:rPr>
        <w:t>Se dovessero comparire nuove lesioni cutanee nel corso della terapia o successivamente ad essa o se l’aspetto delle lesioni già esistenti si dovesse modificare, lo riferisca al medico.</w:t>
      </w:r>
    </w:p>
    <w:p w14:paraId="70683F87" w14:textId="77777777" w:rsidR="0050099E" w:rsidRPr="00C35766" w:rsidRDefault="0050099E" w:rsidP="0050099E">
      <w:pPr>
        <w:pStyle w:val="a3"/>
        <w:rPr>
          <w:lang w:val="pt-BR"/>
        </w:rPr>
      </w:pPr>
    </w:p>
    <w:p w14:paraId="6A5A16C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 xml:space="preserve">Ci sono stati casi di tumori, oltre al linfoma, in pazienti con uno specifico tipo di malattia del </w:t>
      </w:r>
      <w:r w:rsidRPr="00C35766">
        <w:rPr>
          <w:rFonts w:eastAsia="Times New Roman"/>
          <w:lang w:val="it-IT"/>
        </w:rPr>
        <w:lastRenderedPageBreak/>
        <w:t>polmone chiamata Malattia Polmonare Cronica Ostruttiva (COPD) trattati con un altro anti-TNF. Se soffre di COPD, o fuma molto, deve discutere con il medico se è appropriato il trattamento con un anti-TNF.</w:t>
      </w:r>
    </w:p>
    <w:p w14:paraId="1D27B592" w14:textId="77777777" w:rsidR="0050099E" w:rsidRPr="00C35766" w:rsidRDefault="0050099E" w:rsidP="0050099E">
      <w:pPr>
        <w:spacing w:before="11" w:line="240" w:lineRule="exact"/>
        <w:rPr>
          <w:rFonts w:ascii="Times New Roman" w:hAnsi="Times New Roman" w:cs="Times New Roman"/>
          <w:sz w:val="24"/>
          <w:szCs w:val="24"/>
          <w:lang w:val="it-IT"/>
        </w:rPr>
      </w:pPr>
    </w:p>
    <w:p w14:paraId="176D5225" w14:textId="77777777" w:rsidR="0050099E" w:rsidRPr="00C35766" w:rsidRDefault="0050099E" w:rsidP="0050099E">
      <w:pPr>
        <w:pStyle w:val="a3"/>
        <w:rPr>
          <w:u w:val="single"/>
        </w:rPr>
      </w:pPr>
      <w:r w:rsidRPr="00C35766">
        <w:rPr>
          <w:rFonts w:eastAsia="Times New Roman"/>
          <w:u w:val="single" w:color="000000"/>
          <w:lang w:val="it-IT"/>
        </w:rPr>
        <w:t>Malattia autoimmune</w:t>
      </w:r>
    </w:p>
    <w:p w14:paraId="57F52072" w14:textId="77777777" w:rsidR="0050099E" w:rsidRPr="00C35766" w:rsidRDefault="0050099E" w:rsidP="0050099E">
      <w:pPr>
        <w:spacing w:before="4" w:line="190" w:lineRule="exact"/>
        <w:rPr>
          <w:rFonts w:ascii="Times New Roman" w:hAnsi="Times New Roman" w:cs="Times New Roman"/>
          <w:sz w:val="19"/>
          <w:szCs w:val="19"/>
        </w:rPr>
      </w:pPr>
    </w:p>
    <w:p w14:paraId="71EA886F"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Raramente, il trattamento con Yuflyma può portare alla manifestazione di una sindrome simile al lupus. Informi il medico qualora si manifestino sintomi come eruzione cutanea persistente di natura inspiegabile, febbre, dolore alle articolazioni o stanchezza.</w:t>
      </w:r>
    </w:p>
    <w:p w14:paraId="4D80EE0E" w14:textId="77777777" w:rsidR="0050099E" w:rsidRPr="00C35766" w:rsidRDefault="0050099E" w:rsidP="0050099E">
      <w:pPr>
        <w:spacing w:before="15" w:line="240" w:lineRule="exact"/>
        <w:rPr>
          <w:rFonts w:ascii="Times New Roman" w:hAnsi="Times New Roman" w:cs="Times New Roman"/>
          <w:sz w:val="24"/>
          <w:szCs w:val="24"/>
          <w:lang w:val="it-IT"/>
        </w:rPr>
      </w:pPr>
    </w:p>
    <w:p w14:paraId="66395FEE" w14:textId="77777777" w:rsidR="0050099E" w:rsidRPr="003075D7" w:rsidRDefault="0050099E" w:rsidP="0050099E">
      <w:pPr>
        <w:pStyle w:val="a3"/>
        <w:rPr>
          <w:rFonts w:eastAsia="Times New Roman"/>
          <w:b/>
          <w:bCs/>
          <w:lang w:val="it-IT"/>
        </w:rPr>
      </w:pPr>
      <w:r w:rsidRPr="003075D7">
        <w:rPr>
          <w:rFonts w:eastAsia="Times New Roman"/>
          <w:b/>
          <w:bCs/>
          <w:lang w:val="it-IT"/>
        </w:rPr>
        <w:t>Bambini e adolescenti</w:t>
      </w:r>
    </w:p>
    <w:p w14:paraId="42222D4A" w14:textId="77777777" w:rsidR="0050099E" w:rsidRPr="00C35766" w:rsidRDefault="0050099E" w:rsidP="0050099E">
      <w:pPr>
        <w:spacing w:before="10" w:line="240" w:lineRule="exact"/>
        <w:rPr>
          <w:rFonts w:ascii="Times New Roman" w:hAnsi="Times New Roman" w:cs="Times New Roman"/>
          <w:sz w:val="24"/>
          <w:szCs w:val="24"/>
        </w:rPr>
      </w:pPr>
    </w:p>
    <w:p w14:paraId="34304514" w14:textId="77777777" w:rsidR="0050099E" w:rsidRPr="00824699" w:rsidRDefault="0050099E" w:rsidP="0050099E">
      <w:pPr>
        <w:pStyle w:val="a3"/>
        <w:numPr>
          <w:ilvl w:val="1"/>
          <w:numId w:val="4"/>
        </w:numPr>
        <w:ind w:left="660" w:hanging="660"/>
        <w:rPr>
          <w:lang w:val="it-IT"/>
        </w:rPr>
      </w:pPr>
      <w:r w:rsidRPr="00C35766">
        <w:rPr>
          <w:rFonts w:eastAsia="Times New Roman"/>
          <w:lang w:val="it-IT"/>
        </w:rPr>
        <w:t>Vaccinazioni: se possibile i bambini dovrebbero avere già fatto tutte le vaccinazioni prima di usare Yuflyma.</w:t>
      </w:r>
    </w:p>
    <w:p w14:paraId="3AD6D7E6" w14:textId="77777777" w:rsidR="0050099E" w:rsidRPr="00824699" w:rsidRDefault="0050099E" w:rsidP="0050099E">
      <w:pPr>
        <w:pStyle w:val="a3"/>
        <w:rPr>
          <w:b/>
          <w:lang w:val="it-IT"/>
        </w:rPr>
      </w:pPr>
    </w:p>
    <w:p w14:paraId="5F255EE8" w14:textId="77777777" w:rsidR="0050099E" w:rsidRPr="00C35766" w:rsidRDefault="0050099E" w:rsidP="0050099E">
      <w:pPr>
        <w:pStyle w:val="a3"/>
        <w:rPr>
          <w:b/>
          <w:lang w:val="pt-BR"/>
        </w:rPr>
      </w:pPr>
      <w:r w:rsidRPr="00C35766">
        <w:rPr>
          <w:rFonts w:eastAsia="Times New Roman"/>
          <w:b/>
          <w:bCs/>
          <w:lang w:val="it-IT"/>
        </w:rPr>
        <w:t>Altri medicinali e Yuflyma</w:t>
      </w:r>
    </w:p>
    <w:p w14:paraId="37B6C7A5" w14:textId="77777777" w:rsidR="0050099E" w:rsidRPr="00C35766" w:rsidRDefault="0050099E" w:rsidP="0050099E">
      <w:pPr>
        <w:pStyle w:val="a3"/>
        <w:rPr>
          <w:b/>
          <w:lang w:val="pt-BR"/>
        </w:rPr>
      </w:pPr>
    </w:p>
    <w:p w14:paraId="7A15C4DA" w14:textId="77777777" w:rsidR="0050099E" w:rsidRPr="00C35766" w:rsidRDefault="0050099E" w:rsidP="0050099E">
      <w:pPr>
        <w:pStyle w:val="a3"/>
        <w:rPr>
          <w:lang w:val="it-IT"/>
        </w:rPr>
      </w:pPr>
      <w:r w:rsidRPr="00C35766">
        <w:rPr>
          <w:rFonts w:eastAsia="Times New Roman"/>
          <w:lang w:val="it-IT"/>
        </w:rPr>
        <w:t>Informi il medico o il farmacista se sta assumendo, ha recentemente assunto o potrebbe assumere qualsiasi altro medicinale. Non usi Yuflyma con medicinali che contengono i seguenti principi attivi a causa del rischio aumentato di avere infezioni gravi:</w:t>
      </w:r>
    </w:p>
    <w:p w14:paraId="302DDD13" w14:textId="77777777" w:rsidR="0050099E" w:rsidRPr="00C35766" w:rsidRDefault="0050099E" w:rsidP="0050099E">
      <w:pPr>
        <w:pStyle w:val="a3"/>
        <w:rPr>
          <w:lang w:val="it-IT"/>
        </w:rPr>
      </w:pPr>
    </w:p>
    <w:p w14:paraId="6A8701BC" w14:textId="77777777" w:rsidR="0050099E" w:rsidRPr="00C35766" w:rsidRDefault="0050099E" w:rsidP="0050099E">
      <w:pPr>
        <w:pStyle w:val="a3"/>
        <w:numPr>
          <w:ilvl w:val="1"/>
          <w:numId w:val="4"/>
        </w:numPr>
        <w:ind w:left="660" w:hanging="660"/>
      </w:pPr>
      <w:r w:rsidRPr="00C35766">
        <w:rPr>
          <w:rFonts w:eastAsia="Times New Roman"/>
          <w:lang w:val="it-IT"/>
        </w:rPr>
        <w:t>anakinra</w:t>
      </w:r>
    </w:p>
    <w:p w14:paraId="585A6F59" w14:textId="77777777" w:rsidR="0050099E" w:rsidRPr="00C35766" w:rsidRDefault="0050099E" w:rsidP="0050099E">
      <w:pPr>
        <w:pStyle w:val="a3"/>
        <w:numPr>
          <w:ilvl w:val="1"/>
          <w:numId w:val="4"/>
        </w:numPr>
        <w:ind w:left="660" w:hanging="660"/>
      </w:pPr>
      <w:r w:rsidRPr="00C35766">
        <w:rPr>
          <w:rFonts w:eastAsia="Times New Roman"/>
          <w:lang w:val="it-IT"/>
        </w:rPr>
        <w:t>abatacept.</w:t>
      </w:r>
    </w:p>
    <w:p w14:paraId="206E924F" w14:textId="77777777" w:rsidR="0050099E" w:rsidRPr="00C35766" w:rsidRDefault="0050099E" w:rsidP="0050099E">
      <w:pPr>
        <w:pStyle w:val="a3"/>
      </w:pPr>
    </w:p>
    <w:p w14:paraId="4CEFA688" w14:textId="77777777" w:rsidR="0050099E" w:rsidRPr="00C35766" w:rsidRDefault="0050099E" w:rsidP="0050099E">
      <w:pPr>
        <w:pStyle w:val="a3"/>
        <w:rPr>
          <w:lang w:val="pt-BR"/>
        </w:rPr>
      </w:pPr>
      <w:r w:rsidRPr="00C35766">
        <w:rPr>
          <w:rFonts w:eastAsia="Times New Roman"/>
          <w:lang w:val="it-IT"/>
        </w:rPr>
        <w:t>Yuflyma può essere assunto con:</w:t>
      </w:r>
    </w:p>
    <w:p w14:paraId="20D49456" w14:textId="77777777" w:rsidR="0050099E" w:rsidRPr="00C35766" w:rsidRDefault="0050099E" w:rsidP="0050099E">
      <w:pPr>
        <w:pStyle w:val="a3"/>
        <w:numPr>
          <w:ilvl w:val="1"/>
          <w:numId w:val="4"/>
        </w:numPr>
        <w:ind w:left="660" w:hanging="660"/>
      </w:pPr>
      <w:r w:rsidRPr="00C35766">
        <w:rPr>
          <w:rFonts w:eastAsia="Times New Roman"/>
          <w:lang w:val="it-IT"/>
        </w:rPr>
        <w:t>metotressato</w:t>
      </w:r>
    </w:p>
    <w:p w14:paraId="164B746C" w14:textId="77777777" w:rsidR="0050099E" w:rsidRPr="00C35766" w:rsidRDefault="0050099E" w:rsidP="0050099E">
      <w:pPr>
        <w:pStyle w:val="a3"/>
        <w:numPr>
          <w:ilvl w:val="1"/>
          <w:numId w:val="4"/>
        </w:numPr>
        <w:ind w:left="660" w:hanging="660"/>
        <w:rPr>
          <w:lang w:val="pt-BR"/>
        </w:rPr>
      </w:pPr>
      <w:r w:rsidRPr="00C35766">
        <w:rPr>
          <w:rFonts w:eastAsia="Times New Roman"/>
          <w:lang w:val="it-IT"/>
        </w:rPr>
        <w:t>altri farmaci antireumatici modificanti la malattia (ad esempio sulfasalazina, idrossiclorochina, leflunomide e sali d’oro per via parenterale)</w:t>
      </w:r>
    </w:p>
    <w:p w14:paraId="67BE0A28" w14:textId="77777777" w:rsidR="0050099E" w:rsidRPr="00824699" w:rsidRDefault="0050099E" w:rsidP="0050099E">
      <w:pPr>
        <w:pStyle w:val="a3"/>
        <w:numPr>
          <w:ilvl w:val="1"/>
          <w:numId w:val="4"/>
        </w:numPr>
        <w:ind w:left="660" w:hanging="660"/>
        <w:rPr>
          <w:lang w:val="it-IT"/>
        </w:rPr>
      </w:pPr>
      <w:r w:rsidRPr="00C35766">
        <w:rPr>
          <w:rFonts w:eastAsia="Times New Roman"/>
          <w:lang w:val="it-IT"/>
        </w:rPr>
        <w:t>steroidi o analgesici, compresi i farmaci anti-infiammatori non steroidei (FANS).</w:t>
      </w:r>
    </w:p>
    <w:p w14:paraId="00987FD8" w14:textId="77777777" w:rsidR="0050099E" w:rsidRPr="00824699" w:rsidRDefault="0050099E" w:rsidP="0050099E">
      <w:pPr>
        <w:pStyle w:val="a3"/>
        <w:rPr>
          <w:lang w:val="it-IT"/>
        </w:rPr>
      </w:pPr>
    </w:p>
    <w:p w14:paraId="756D36BD" w14:textId="77777777" w:rsidR="0050099E" w:rsidRPr="00C35766" w:rsidRDefault="0050099E" w:rsidP="0050099E">
      <w:pPr>
        <w:pStyle w:val="a3"/>
        <w:rPr>
          <w:lang w:val="es-ES"/>
        </w:rPr>
      </w:pPr>
      <w:r w:rsidRPr="00C35766">
        <w:rPr>
          <w:rFonts w:eastAsia="Times New Roman"/>
          <w:lang w:val="it-IT"/>
        </w:rPr>
        <w:t>Se ha dubbi, si rivolga al medico.</w:t>
      </w:r>
    </w:p>
    <w:p w14:paraId="79D9F67B" w14:textId="77777777" w:rsidR="0050099E" w:rsidRPr="00C35766" w:rsidRDefault="0050099E" w:rsidP="0050099E">
      <w:pPr>
        <w:spacing w:before="18" w:line="240" w:lineRule="exact"/>
        <w:rPr>
          <w:rFonts w:ascii="Times New Roman" w:hAnsi="Times New Roman" w:cs="Times New Roman"/>
          <w:sz w:val="24"/>
          <w:szCs w:val="24"/>
          <w:lang w:val="es-ES"/>
        </w:rPr>
      </w:pPr>
    </w:p>
    <w:p w14:paraId="39D1C1CC" w14:textId="77777777" w:rsidR="0050099E" w:rsidRPr="00C35766" w:rsidRDefault="0050099E" w:rsidP="0050099E">
      <w:pPr>
        <w:pStyle w:val="a3"/>
        <w:rPr>
          <w:b/>
        </w:rPr>
      </w:pPr>
      <w:r w:rsidRPr="00C35766">
        <w:rPr>
          <w:rFonts w:eastAsia="Times New Roman"/>
          <w:b/>
          <w:bCs/>
          <w:lang w:val="it-IT"/>
        </w:rPr>
        <w:t>Gravidanza e allattamento</w:t>
      </w:r>
    </w:p>
    <w:p w14:paraId="3F04855A" w14:textId="77777777" w:rsidR="0050099E" w:rsidRPr="00C35766" w:rsidRDefault="0050099E" w:rsidP="0050099E">
      <w:pPr>
        <w:spacing w:before="9" w:line="260" w:lineRule="exact"/>
        <w:rPr>
          <w:rFonts w:ascii="Times New Roman" w:hAnsi="Times New Roman" w:cs="Times New Roman"/>
          <w:sz w:val="26"/>
          <w:szCs w:val="26"/>
        </w:rPr>
      </w:pPr>
    </w:p>
    <w:p w14:paraId="2B7CAA29"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Deve considerare l’utilizzo di un’adeguata misura contraccettiva per prevenire una gravidanza e continuarne l’utilizzo per almeno 5 mesi dopo l’ultima terapia con Yuflyma.</w:t>
      </w:r>
    </w:p>
    <w:p w14:paraId="68989FEA" w14:textId="77777777" w:rsidR="0050099E" w:rsidRPr="00C35766" w:rsidRDefault="0050099E" w:rsidP="0050099E">
      <w:pPr>
        <w:pStyle w:val="a3"/>
        <w:numPr>
          <w:ilvl w:val="1"/>
          <w:numId w:val="4"/>
        </w:numPr>
        <w:ind w:left="660" w:hanging="660"/>
        <w:rPr>
          <w:lang w:val="es-ES"/>
        </w:rPr>
      </w:pPr>
      <w:r w:rsidRPr="00C35766">
        <w:rPr>
          <w:rFonts w:eastAsia="Times New Roman"/>
          <w:lang w:val="it-IT"/>
        </w:rPr>
        <w:t>Se è in corso una gravidanza, se sospetta o sta pianificando una gravidanza chieda consiglio al suo medico circa l’assunzione di questo medicinale.</w:t>
      </w:r>
    </w:p>
    <w:p w14:paraId="423BB69D"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Yuflyma deve essere usato durante la gravidanza solo se necessario.</w:t>
      </w:r>
    </w:p>
    <w:p w14:paraId="07D9806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Secondo uno studio sulla gravidanza, non è stato riscontrato un rischio maggiore di difetti alla nascita quando la madre aveva ricevuto Yuflyma durante la gravidanza, rispetto a madri che avevano la stessa patologia ma che non avevano ricevuto Yuflyma.</w:t>
      </w:r>
    </w:p>
    <w:p w14:paraId="3E1EA676"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Yuflyma può essere usato durante l’allattamento con latte materno.</w:t>
      </w:r>
    </w:p>
    <w:p w14:paraId="38E4D090" w14:textId="77777777" w:rsidR="0050099E" w:rsidRPr="00C35766" w:rsidRDefault="0050099E" w:rsidP="0050099E">
      <w:pPr>
        <w:pStyle w:val="a3"/>
        <w:numPr>
          <w:ilvl w:val="1"/>
          <w:numId w:val="4"/>
        </w:numPr>
        <w:ind w:left="660" w:hanging="660"/>
        <w:rPr>
          <w:lang w:val="it-IT"/>
        </w:rPr>
      </w:pPr>
      <w:r w:rsidRPr="00C35766">
        <w:rPr>
          <w:rFonts w:eastAsia="Times New Roman"/>
          <w:lang w:val="it-IT"/>
        </w:rPr>
        <w:t>Se assume Yuflyma durante la gravidanza, il bambino potrebbe avere un maggior rischio di contrarre un’infezione.</w:t>
      </w:r>
    </w:p>
    <w:p w14:paraId="3D21FA08" w14:textId="590FDAD6" w:rsidR="0050099E" w:rsidRPr="00C35766" w:rsidRDefault="0050099E" w:rsidP="0050099E">
      <w:pPr>
        <w:pStyle w:val="a3"/>
        <w:numPr>
          <w:ilvl w:val="1"/>
          <w:numId w:val="4"/>
        </w:numPr>
        <w:ind w:left="660" w:hanging="660"/>
        <w:rPr>
          <w:lang w:val="it-IT"/>
        </w:rPr>
      </w:pPr>
      <w:r w:rsidRPr="00C35766">
        <w:rPr>
          <w:rFonts w:eastAsia="Times New Roman"/>
          <w:lang w:val="it-IT"/>
        </w:rPr>
        <w:t xml:space="preserve">È importante che lei riferisca al pediatra o ad altro operatore sanitario del suo utilizzo di Yuflyma durante la gravidanza, prima che il bambino riceva qualsiasi tipo di vaccinazione.  Per ulteriori informazioni sulle vaccinazioni consulti </w:t>
      </w:r>
      <w:r w:rsidR="00C95526">
        <w:rPr>
          <w:rFonts w:eastAsia="Times New Roman"/>
          <w:lang w:val="it-IT"/>
        </w:rPr>
        <w:t>il paragrafo</w:t>
      </w:r>
      <w:r w:rsidRPr="00C35766">
        <w:rPr>
          <w:rFonts w:eastAsia="Times New Roman"/>
          <w:lang w:val="it-IT"/>
        </w:rPr>
        <w:t xml:space="preserve"> “Avvertenze e precauzioni”.</w:t>
      </w:r>
    </w:p>
    <w:p w14:paraId="5B81D6F4" w14:textId="77777777" w:rsidR="0050099E" w:rsidRPr="00C35766" w:rsidRDefault="0050099E" w:rsidP="0050099E">
      <w:pPr>
        <w:spacing w:before="15" w:line="240" w:lineRule="exact"/>
        <w:rPr>
          <w:rFonts w:ascii="Times New Roman" w:hAnsi="Times New Roman" w:cs="Times New Roman"/>
          <w:b/>
          <w:sz w:val="24"/>
          <w:lang w:val="it-IT"/>
        </w:rPr>
      </w:pPr>
    </w:p>
    <w:p w14:paraId="1F202483" w14:textId="77777777" w:rsidR="0050099E" w:rsidRPr="00C35766" w:rsidRDefault="0050099E" w:rsidP="0050099E">
      <w:pPr>
        <w:pStyle w:val="a3"/>
        <w:rPr>
          <w:b/>
          <w:lang w:val="pt-BR"/>
        </w:rPr>
      </w:pPr>
      <w:r w:rsidRPr="00C35766">
        <w:rPr>
          <w:rFonts w:eastAsia="Times New Roman"/>
          <w:b/>
          <w:bCs/>
          <w:lang w:val="it-IT"/>
        </w:rPr>
        <w:t>Guida di veicoli e utilizzo di macchinari</w:t>
      </w:r>
    </w:p>
    <w:p w14:paraId="2F256F36" w14:textId="77777777" w:rsidR="0050099E" w:rsidRPr="00C35766" w:rsidRDefault="0050099E" w:rsidP="0050099E">
      <w:pPr>
        <w:spacing w:before="12" w:line="240" w:lineRule="exact"/>
        <w:rPr>
          <w:rFonts w:ascii="Times New Roman" w:hAnsi="Times New Roman" w:cs="Times New Roman"/>
          <w:sz w:val="24"/>
          <w:szCs w:val="24"/>
          <w:lang w:val="pt-BR"/>
        </w:rPr>
      </w:pPr>
    </w:p>
    <w:p w14:paraId="4A28383E" w14:textId="504B2898" w:rsidR="0050099E" w:rsidRPr="00C35766" w:rsidRDefault="0050099E" w:rsidP="0050099E">
      <w:pPr>
        <w:pStyle w:val="a3"/>
        <w:rPr>
          <w:lang w:val="pt-BR"/>
        </w:rPr>
      </w:pPr>
      <w:r w:rsidRPr="00C35766">
        <w:rPr>
          <w:rFonts w:eastAsia="Times New Roman"/>
          <w:lang w:val="it-IT"/>
        </w:rPr>
        <w:t xml:space="preserve">Yuflyma può avere un </w:t>
      </w:r>
      <w:r w:rsidR="00006AFE">
        <w:rPr>
          <w:rFonts w:eastAsia="Times New Roman"/>
          <w:lang w:val="it-IT"/>
        </w:rPr>
        <w:t xml:space="preserve">lieve </w:t>
      </w:r>
      <w:r w:rsidRPr="00C35766">
        <w:rPr>
          <w:rFonts w:eastAsia="Times New Roman"/>
          <w:lang w:val="it-IT"/>
        </w:rPr>
        <w:t>effetto sulla sua capacità di guidare, andare in bicicletta o utilizzare macchinari. In seguito all’assunzione di Yuflyma, si possono avere disturbi della vista e la sensazione che l’ambiente in cui ci si trova ruoti.</w:t>
      </w:r>
    </w:p>
    <w:p w14:paraId="04028343" w14:textId="77777777" w:rsidR="0050099E" w:rsidRPr="00C35766" w:rsidRDefault="0050099E" w:rsidP="0050099E">
      <w:pPr>
        <w:spacing w:line="200" w:lineRule="exact"/>
        <w:rPr>
          <w:rFonts w:ascii="Times New Roman" w:hAnsi="Times New Roman" w:cs="Times New Roman"/>
          <w:sz w:val="20"/>
          <w:szCs w:val="20"/>
          <w:lang w:val="pt-BR"/>
        </w:rPr>
      </w:pPr>
    </w:p>
    <w:p w14:paraId="6F72418E" w14:textId="5C4CE66B" w:rsidR="0050099E" w:rsidRPr="00C35766" w:rsidRDefault="0039216C" w:rsidP="0050099E">
      <w:pPr>
        <w:pStyle w:val="a3"/>
        <w:rPr>
          <w:b/>
          <w:lang w:val="pt-BR"/>
        </w:rPr>
      </w:pPr>
      <w:r>
        <w:rPr>
          <w:rFonts w:hint="eastAsia"/>
          <w:b/>
          <w:bCs/>
          <w:lang w:val="it-IT" w:eastAsia="ko-KR"/>
        </w:rPr>
        <w:t>Yuflyma</w:t>
      </w:r>
      <w:r w:rsidRPr="00C35766">
        <w:rPr>
          <w:rFonts w:eastAsia="Times New Roman"/>
          <w:b/>
          <w:bCs/>
          <w:lang w:val="it-IT"/>
        </w:rPr>
        <w:t xml:space="preserve"> </w:t>
      </w:r>
      <w:r w:rsidR="0050099E" w:rsidRPr="00C35766">
        <w:rPr>
          <w:rFonts w:eastAsia="Times New Roman"/>
          <w:b/>
          <w:bCs/>
          <w:lang w:val="it-IT"/>
        </w:rPr>
        <w:t>contiene sodio</w:t>
      </w:r>
    </w:p>
    <w:p w14:paraId="0D49E8D6" w14:textId="77777777" w:rsidR="0050099E" w:rsidRPr="00C35766" w:rsidRDefault="0050099E" w:rsidP="0050099E">
      <w:pPr>
        <w:spacing w:before="12" w:line="240" w:lineRule="exact"/>
        <w:rPr>
          <w:rFonts w:ascii="Times New Roman" w:hAnsi="Times New Roman" w:cs="Times New Roman"/>
          <w:sz w:val="24"/>
          <w:szCs w:val="24"/>
          <w:lang w:val="pt-BR"/>
        </w:rPr>
      </w:pPr>
    </w:p>
    <w:p w14:paraId="67762425" w14:textId="19FAE806" w:rsidR="0050099E" w:rsidRPr="00C35766" w:rsidRDefault="0050099E" w:rsidP="0050099E">
      <w:pPr>
        <w:spacing w:line="200" w:lineRule="exact"/>
        <w:rPr>
          <w:rFonts w:ascii="Times New Roman" w:hAnsi="Times New Roman" w:cs="Times New Roman"/>
          <w:sz w:val="20"/>
          <w:szCs w:val="20"/>
          <w:lang w:val="pt-BR"/>
        </w:rPr>
      </w:pPr>
      <w:r w:rsidRPr="00C35766">
        <w:rPr>
          <w:rFonts w:ascii="Times New Roman" w:eastAsia="Times New Roman" w:hAnsi="Times New Roman" w:cs="Times New Roman"/>
          <w:lang w:val="it-IT"/>
        </w:rPr>
        <w:t xml:space="preserve">Questo </w:t>
      </w:r>
      <w:r w:rsidR="00AF1CE2">
        <w:rPr>
          <w:rFonts w:ascii="Times New Roman" w:eastAsia="Times New Roman" w:hAnsi="Times New Roman" w:cs="Times New Roman"/>
          <w:lang w:val="it-IT"/>
        </w:rPr>
        <w:t>medicinale</w:t>
      </w:r>
      <w:r w:rsidRPr="00C35766">
        <w:rPr>
          <w:rFonts w:ascii="Times New Roman" w:eastAsia="Times New Roman" w:hAnsi="Times New Roman" w:cs="Times New Roman"/>
          <w:lang w:val="it-IT"/>
        </w:rPr>
        <w:t xml:space="preserve"> contiene meno di 1 mmol di sodio (23</w:t>
      </w:r>
      <w:r w:rsidRPr="00C35766">
        <w:rPr>
          <w:rFonts w:ascii="Times New Roman" w:eastAsia="Calibri" w:hAnsi="Times New Roman" w:cs="Times New Roman"/>
          <w:lang w:val="it-IT"/>
        </w:rPr>
        <w:t> </w:t>
      </w:r>
      <w:r w:rsidRPr="00C35766">
        <w:rPr>
          <w:rFonts w:ascii="Times New Roman" w:eastAsia="Times New Roman" w:hAnsi="Times New Roman" w:cs="Times New Roman"/>
          <w:lang w:val="it-IT"/>
        </w:rPr>
        <w:t>mg) per dose da 0,</w:t>
      </w:r>
      <w:r w:rsidR="007C4FE1" w:rsidRPr="00C35766">
        <w:rPr>
          <w:rFonts w:ascii="Times New Roman" w:eastAsia="Times New Roman" w:hAnsi="Times New Roman" w:cs="Times New Roman"/>
          <w:lang w:val="it-IT"/>
        </w:rPr>
        <w:t>8</w:t>
      </w:r>
      <w:r w:rsidRPr="00C35766">
        <w:rPr>
          <w:rFonts w:ascii="Times New Roman" w:eastAsia="Times New Roman" w:hAnsi="Times New Roman" w:cs="Times New Roman"/>
          <w:lang w:val="it-IT"/>
        </w:rPr>
        <w:t xml:space="preserve"> mL, </w:t>
      </w:r>
      <w:r w:rsidR="00913A26">
        <w:rPr>
          <w:rFonts w:ascii="Times New Roman" w:eastAsia="Times New Roman" w:hAnsi="Times New Roman" w:cs="Times New Roman"/>
          <w:lang w:val="it-IT"/>
        </w:rPr>
        <w:t>cioè</w:t>
      </w:r>
      <w:r w:rsidRPr="00C35766">
        <w:rPr>
          <w:rFonts w:ascii="Times New Roman" w:eastAsia="Times New Roman" w:hAnsi="Times New Roman" w:cs="Times New Roman"/>
          <w:lang w:val="it-IT"/>
        </w:rPr>
        <w:t xml:space="preserve"> essenzialmente “senza sodio”.</w:t>
      </w:r>
    </w:p>
    <w:p w14:paraId="3A558771" w14:textId="77777777" w:rsidR="0050099E" w:rsidRPr="00C35766" w:rsidRDefault="0050099E" w:rsidP="0050099E">
      <w:pPr>
        <w:spacing w:line="200" w:lineRule="exact"/>
        <w:rPr>
          <w:rFonts w:ascii="Times New Roman" w:hAnsi="Times New Roman" w:cs="Times New Roman"/>
          <w:sz w:val="20"/>
          <w:szCs w:val="20"/>
          <w:lang w:val="pt-BR"/>
        </w:rPr>
      </w:pPr>
    </w:p>
    <w:p w14:paraId="7E39D862" w14:textId="77777777" w:rsidR="0050099E" w:rsidRPr="00C35766" w:rsidRDefault="0050099E" w:rsidP="0050099E">
      <w:pPr>
        <w:spacing w:line="200" w:lineRule="exact"/>
        <w:rPr>
          <w:rFonts w:ascii="Times New Roman" w:hAnsi="Times New Roman" w:cs="Times New Roman"/>
          <w:sz w:val="20"/>
          <w:szCs w:val="20"/>
          <w:lang w:val="pt-BR"/>
        </w:rPr>
      </w:pPr>
    </w:p>
    <w:p w14:paraId="0C2F1BBE" w14:textId="77777777" w:rsidR="0050099E" w:rsidRPr="00C35766" w:rsidRDefault="0050099E" w:rsidP="00280E92">
      <w:pPr>
        <w:pStyle w:val="a4"/>
        <w:numPr>
          <w:ilvl w:val="0"/>
          <w:numId w:val="66"/>
        </w:numPr>
        <w:spacing w:line="240" w:lineRule="exact"/>
        <w:rPr>
          <w:rFonts w:ascii="Times New Roman" w:hAnsi="Times New Roman" w:cs="Times New Roman"/>
          <w:b/>
        </w:rPr>
      </w:pPr>
      <w:r w:rsidRPr="00C35766">
        <w:rPr>
          <w:rFonts w:ascii="Times New Roman" w:eastAsia="Times New Roman" w:hAnsi="Times New Roman" w:cs="Times New Roman"/>
          <w:b/>
          <w:bCs/>
          <w:lang w:val="it-IT"/>
        </w:rPr>
        <w:t>Come usare Yuflyma</w:t>
      </w:r>
    </w:p>
    <w:p w14:paraId="0648107C" w14:textId="77777777" w:rsidR="0050099E" w:rsidRPr="00C35766" w:rsidRDefault="0050099E" w:rsidP="0050099E">
      <w:pPr>
        <w:spacing w:before="9" w:line="240" w:lineRule="exact"/>
        <w:rPr>
          <w:rFonts w:ascii="Times New Roman" w:hAnsi="Times New Roman" w:cs="Times New Roman"/>
          <w:sz w:val="24"/>
          <w:szCs w:val="24"/>
        </w:rPr>
      </w:pPr>
    </w:p>
    <w:p w14:paraId="15AD0AF7" w14:textId="77777777" w:rsidR="0050099E" w:rsidRPr="00C35766" w:rsidRDefault="0050099E" w:rsidP="0050099E">
      <w:pPr>
        <w:pStyle w:val="a3"/>
        <w:rPr>
          <w:lang w:val="es-ES"/>
        </w:rPr>
      </w:pPr>
      <w:r w:rsidRPr="00C35766">
        <w:rPr>
          <w:rFonts w:eastAsia="Times New Roman"/>
          <w:lang w:val="it-IT"/>
        </w:rPr>
        <w:t>Usi questo medicinale seguendo sempre esattamente le istruzioni del medico o del farmacista. Se ha dubbi consulti il medico o il farmacista.</w:t>
      </w:r>
    </w:p>
    <w:p w14:paraId="4C3292ED" w14:textId="77777777" w:rsidR="00212ADE" w:rsidRPr="00C35766" w:rsidRDefault="00212ADE" w:rsidP="00212ADE">
      <w:pPr>
        <w:spacing w:before="10" w:line="240" w:lineRule="exact"/>
        <w:rPr>
          <w:rFonts w:ascii="Times New Roman" w:hAnsi="Times New Roman" w:cs="Times New Roman"/>
          <w:sz w:val="24"/>
          <w:szCs w:val="24"/>
          <w:lang w:val="es-ES"/>
        </w:rPr>
      </w:pPr>
    </w:p>
    <w:p w14:paraId="4B3B5E92" w14:textId="47FDD4D5" w:rsidR="00212ADE" w:rsidRPr="00C35766" w:rsidRDefault="00212ADE" w:rsidP="00212ADE">
      <w:pPr>
        <w:pStyle w:val="a3"/>
        <w:rPr>
          <w:rFonts w:eastAsia="Times New Roman"/>
          <w:lang w:val="it-IT"/>
        </w:rPr>
      </w:pPr>
      <w:r w:rsidRPr="00824699">
        <w:rPr>
          <w:lang w:val="it-IT"/>
        </w:rPr>
        <w:t xml:space="preserve">Le dosi raccomandate di </w:t>
      </w:r>
      <w:r w:rsidR="00963203" w:rsidRPr="00824699">
        <w:rPr>
          <w:lang w:val="it-IT"/>
        </w:rPr>
        <w:t>Yuflyma</w:t>
      </w:r>
      <w:r w:rsidRPr="00824699">
        <w:rPr>
          <w:lang w:val="it-IT"/>
        </w:rPr>
        <w:t xml:space="preserve"> in ciascuna indicazione approvata sono elencate nella seguente tabella. Il medico potrebbe prescrivere un’altra concentrazione di </w:t>
      </w:r>
      <w:r w:rsidR="00963203" w:rsidRPr="00824699">
        <w:rPr>
          <w:lang w:val="it-IT"/>
        </w:rPr>
        <w:t>Yuflyma</w:t>
      </w:r>
      <w:r w:rsidRPr="00824699">
        <w:rPr>
          <w:lang w:val="it-IT"/>
        </w:rPr>
        <w:t xml:space="preserve"> se necessita di una dose differente.</w:t>
      </w:r>
    </w:p>
    <w:p w14:paraId="2734B185" w14:textId="58467329" w:rsidR="0050099E" w:rsidRPr="00C35766" w:rsidRDefault="0050099E" w:rsidP="0050099E">
      <w:pPr>
        <w:rPr>
          <w:rFonts w:ascii="Times New Roman" w:hAnsi="Times New Roman" w:cs="Times New Roman"/>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329F4751"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6D99715F" w14:textId="247FF077" w:rsidR="0050099E" w:rsidRPr="00C35766" w:rsidRDefault="0050099E" w:rsidP="00933A6C">
            <w:pPr>
              <w:pStyle w:val="TableParagraph"/>
              <w:spacing w:line="251"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Artrite reumatoide</w:t>
            </w:r>
          </w:p>
        </w:tc>
      </w:tr>
      <w:tr w:rsidR="0050099E" w:rsidRPr="00C35766" w14:paraId="74998291"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237FC75E"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78102BEC"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1F720794"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250B85E0"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4032F1A8"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7D6D92F8"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FAC253C"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Nell’artrite reumatoide</w:t>
            </w:r>
          </w:p>
          <w:p w14:paraId="3A1D536D" w14:textId="77777777" w:rsidR="0050099E" w:rsidRPr="00824699" w:rsidRDefault="0050099E" w:rsidP="00933A6C">
            <w:pPr>
              <w:pStyle w:val="TableParagraph"/>
              <w:spacing w:before="1" w:line="239" w:lineRule="auto"/>
              <w:ind w:left="102" w:right="73"/>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si continua ad assumere il metotressato durante il trattamento con Yuflyma. Se il medico decide che il metotressato non è appropriato, Yuflyma può essere somministrato da solo.</w:t>
            </w:r>
          </w:p>
          <w:p w14:paraId="12165458" w14:textId="77777777" w:rsidR="0050099E" w:rsidRPr="00824699" w:rsidRDefault="0050099E" w:rsidP="00933A6C">
            <w:pPr>
              <w:pStyle w:val="TableParagraph"/>
              <w:spacing w:before="13" w:line="240" w:lineRule="exact"/>
              <w:rPr>
                <w:rFonts w:ascii="Times New Roman" w:hAnsi="Times New Roman" w:cs="Times New Roman"/>
                <w:sz w:val="24"/>
                <w:szCs w:val="24"/>
                <w:lang w:val="it-IT"/>
              </w:rPr>
            </w:pPr>
          </w:p>
          <w:p w14:paraId="7DAE5BFA" w14:textId="77777777" w:rsidR="0050099E" w:rsidRPr="00824699" w:rsidRDefault="0050099E" w:rsidP="00933A6C">
            <w:pPr>
              <w:pStyle w:val="TableParagraph"/>
              <w:ind w:left="102" w:right="12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Se è affetto da artrite reumatoide e non assume metotressato in associazione a Yuflyma, il medico può decidere di prescriverle 40 mg di Yuflyma ogni settimana o 80 mg a settimane alterne.</w:t>
            </w:r>
          </w:p>
        </w:tc>
      </w:tr>
    </w:tbl>
    <w:p w14:paraId="0E080776"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232DAEE0"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6512F429"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Psoriasi a placche</w:t>
            </w:r>
          </w:p>
        </w:tc>
      </w:tr>
      <w:tr w:rsidR="0050099E" w:rsidRPr="00C35766" w14:paraId="3C5817F6"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2A9A8305"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04A120C6"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34730A1F"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0C378F3C"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1A9C03E6"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4BD1F85F" w14:textId="152FE71E" w:rsidR="0050099E" w:rsidRPr="00824699" w:rsidRDefault="0050099E" w:rsidP="003075D7">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9720BE" w:rsidRPr="00C35766">
              <w:rPr>
                <w:rFonts w:ascii="Times New Roman" w:eastAsia="Times New Roman" w:hAnsi="Times New Roman" w:cs="Times New Roman"/>
                <w:spacing w:val="-1"/>
                <w:lang w:val="it-IT"/>
              </w:rPr>
              <w:t>una iniezione da 80 mg</w:t>
            </w:r>
            <w:r w:rsidR="00C35766" w:rsidRPr="00C35766">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 xml:space="preserve"> in un giorno), seguita da 40 mg a settimane alterne, a partire da una settimana dopo la prima dose.</w:t>
            </w:r>
          </w:p>
        </w:tc>
        <w:tc>
          <w:tcPr>
            <w:tcW w:w="3096" w:type="dxa"/>
            <w:tcBorders>
              <w:top w:val="single" w:sz="5" w:space="0" w:color="000000"/>
              <w:left w:val="single" w:sz="5" w:space="0" w:color="000000"/>
              <w:bottom w:val="single" w:sz="5" w:space="0" w:color="000000"/>
              <w:right w:val="single" w:sz="5" w:space="0" w:color="000000"/>
            </w:tcBorders>
          </w:tcPr>
          <w:p w14:paraId="5132280E" w14:textId="77777777" w:rsidR="0050099E" w:rsidRPr="00C35766" w:rsidRDefault="0050099E" w:rsidP="00933A6C">
            <w:pPr>
              <w:pStyle w:val="TableParagraph"/>
              <w:spacing w:before="1" w:line="239" w:lineRule="auto"/>
              <w:ind w:left="102" w:right="193"/>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In caso di risposta inadeguata il medico può aumentare il dosaggio a 40 mg ogni settimana o 80 mg a settimane alterne.</w:t>
            </w:r>
          </w:p>
        </w:tc>
      </w:tr>
    </w:tbl>
    <w:p w14:paraId="0990F9D7" w14:textId="77777777" w:rsidR="0050099E" w:rsidRPr="00824699" w:rsidRDefault="0050099E" w:rsidP="0050099E">
      <w:pPr>
        <w:spacing w:before="7" w:line="90" w:lineRule="exact"/>
        <w:rPr>
          <w:rFonts w:ascii="Times New Roman" w:hAnsi="Times New Roman" w:cs="Times New Roman"/>
          <w:sz w:val="9"/>
          <w:szCs w:val="9"/>
          <w:lang w:val="it-IT"/>
        </w:rPr>
      </w:pPr>
    </w:p>
    <w:p w14:paraId="19CD6A8D"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7B236651"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787D5499" w14:textId="77777777" w:rsidR="0050099E" w:rsidRPr="00C35766" w:rsidRDefault="0050099E" w:rsidP="00933A6C">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Idrosadenite suppurativa</w:t>
            </w:r>
          </w:p>
        </w:tc>
      </w:tr>
      <w:tr w:rsidR="0050099E" w:rsidRPr="00C35766" w14:paraId="5F6A65A2"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181931A1"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1991BF3D" w14:textId="77777777" w:rsidR="0050099E" w:rsidRPr="00824699" w:rsidRDefault="0050099E" w:rsidP="00933A6C">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07624129"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33EB0E17"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FC9EA58" w14:textId="77777777" w:rsidR="0050099E" w:rsidRPr="00C35766" w:rsidRDefault="0050099E" w:rsidP="00933A6C">
            <w:pPr>
              <w:pStyle w:val="TableParagraph"/>
              <w:spacing w:line="248"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5BA6F3E0" w14:textId="6F659857" w:rsidR="0050099E" w:rsidRPr="00824699" w:rsidRDefault="0050099E" w:rsidP="00146E60">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160 mg (</w:t>
            </w:r>
            <w:r w:rsidR="009720BE" w:rsidRPr="00C35766">
              <w:rPr>
                <w:rFonts w:ascii="Times New Roman" w:eastAsia="Times New Roman" w:hAnsi="Times New Roman" w:cs="Times New Roman"/>
                <w:spacing w:val="-1"/>
                <w:lang w:val="it-IT"/>
              </w:rPr>
              <w:t xml:space="preserve">due iniezioni da 80 mg </w:t>
            </w:r>
            <w:r w:rsidRPr="00C35766">
              <w:rPr>
                <w:rFonts w:ascii="Times New Roman" w:eastAsia="Times New Roman" w:hAnsi="Times New Roman" w:cs="Times New Roman"/>
                <w:spacing w:val="-1"/>
                <w:lang w:val="it-IT"/>
              </w:rPr>
              <w:t xml:space="preserve">in un giorno o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al giorno, per due</w:t>
            </w:r>
            <w:r w:rsidR="003C2212">
              <w:rPr>
                <w:rFonts w:ascii="Times New Roman" w:eastAsia="Times New Roman" w:hAnsi="Times New Roman" w:cs="Times New Roman"/>
                <w:spacing w:val="-1"/>
                <w:lang w:val="it-IT"/>
              </w:rPr>
              <w:t xml:space="preserve"> </w:t>
            </w:r>
            <w:r w:rsidRPr="00C35766">
              <w:rPr>
                <w:rFonts w:ascii="Times New Roman" w:eastAsia="Times New Roman" w:hAnsi="Times New Roman" w:cs="Times New Roman"/>
                <w:spacing w:val="-1"/>
                <w:lang w:val="it-IT"/>
              </w:rPr>
              <w:t>giorni consecutivi), seguita da una dose di 80 mg (</w:t>
            </w:r>
            <w:r w:rsidR="009720BE"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due settimane più tardi. </w:t>
            </w:r>
            <w:r w:rsidRPr="00C35766">
              <w:rPr>
                <w:rFonts w:ascii="Times New Roman" w:eastAsia="Times New Roman" w:hAnsi="Times New Roman" w:cs="Times New Roman"/>
                <w:spacing w:val="-1"/>
                <w:lang w:val="it-IT"/>
              </w:rPr>
              <w:lastRenderedPageBreak/>
              <w:t>Dopo altre due settimane, continuare con una dose di 40 mg ogni settimana o 80 mg ogni due settimane, come prescritto dal medico.</w:t>
            </w:r>
          </w:p>
        </w:tc>
        <w:tc>
          <w:tcPr>
            <w:tcW w:w="3096" w:type="dxa"/>
            <w:tcBorders>
              <w:top w:val="single" w:sz="5" w:space="0" w:color="000000"/>
              <w:left w:val="single" w:sz="5" w:space="0" w:color="000000"/>
              <w:bottom w:val="single" w:sz="5" w:space="0" w:color="000000"/>
              <w:right w:val="single" w:sz="5" w:space="0" w:color="000000"/>
            </w:tcBorders>
          </w:tcPr>
          <w:p w14:paraId="2EE6AEC5" w14:textId="77777777" w:rsidR="0050099E" w:rsidRPr="00824699" w:rsidRDefault="0050099E" w:rsidP="00933A6C">
            <w:pPr>
              <w:pStyle w:val="TableParagraph"/>
              <w:spacing w:line="248"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lastRenderedPageBreak/>
              <w:t>Si raccomanda di utilizzare</w:t>
            </w:r>
          </w:p>
          <w:p w14:paraId="62CB7F99" w14:textId="77777777" w:rsidR="0050099E" w:rsidRPr="00824699" w:rsidRDefault="0050099E" w:rsidP="00933A6C">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tutti i giorni una soluzione di lavaggio antisettica sulle aree interessate.</w:t>
            </w:r>
          </w:p>
        </w:tc>
      </w:tr>
      <w:tr w:rsidR="0050099E" w:rsidRPr="00494E69" w14:paraId="50ECF677"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5B884559"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Adolescenti da 12 a 17 anni</w:t>
            </w:r>
          </w:p>
          <w:p w14:paraId="15D93BA1" w14:textId="77777777" w:rsidR="0050099E" w:rsidRPr="00824699" w:rsidRDefault="0050099E" w:rsidP="00933A6C">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49D1503A" w14:textId="24E89471"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in un giorno), seguita da 40 mg a settimane alterne, a partire dalla settimana successiva.</w:t>
            </w:r>
          </w:p>
        </w:tc>
        <w:tc>
          <w:tcPr>
            <w:tcW w:w="3096" w:type="dxa"/>
            <w:tcBorders>
              <w:top w:val="single" w:sz="5" w:space="0" w:color="000000"/>
              <w:left w:val="single" w:sz="5" w:space="0" w:color="000000"/>
              <w:bottom w:val="single" w:sz="5" w:space="0" w:color="000000"/>
              <w:right w:val="single" w:sz="5" w:space="0" w:color="000000"/>
            </w:tcBorders>
          </w:tcPr>
          <w:p w14:paraId="7DFF9882"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In caso di</w:t>
            </w:r>
            <w:r w:rsidRPr="00C35766">
              <w:rPr>
                <w:rFonts w:ascii="Times New Roman" w:eastAsia="Times New Roman" w:hAnsi="Times New Roman" w:cs="Times New Roman"/>
                <w:lang w:val="it-IT"/>
              </w:rPr>
              <w:t xml:space="preserve"> risposta inadeguata a Yuflyma 40 mg a settimane alterne, il medico può aumentare il dosaggio a 40 mg ogni settimana o 80 mg</w:t>
            </w:r>
            <w:r w:rsidRPr="00C35766">
              <w:rPr>
                <w:rFonts w:ascii="Times New Roman" w:eastAsia="Times New Roman" w:hAnsi="Times New Roman" w:cs="Times New Roman"/>
                <w:spacing w:val="-1"/>
                <w:lang w:val="it-IT"/>
              </w:rPr>
              <w:t xml:space="preserve"> a settimane alterne.</w:t>
            </w:r>
          </w:p>
          <w:p w14:paraId="518AB274" w14:textId="77777777" w:rsidR="0050099E" w:rsidRPr="00824699" w:rsidRDefault="0050099E" w:rsidP="00933A6C">
            <w:pPr>
              <w:pStyle w:val="TableParagraph"/>
              <w:spacing w:before="1"/>
              <w:ind w:left="102" w:right="223"/>
              <w:jc w:val="both"/>
              <w:rPr>
                <w:rFonts w:ascii="Times New Roman" w:eastAsia="Times New Roman" w:hAnsi="Times New Roman" w:cs="Times New Roman"/>
                <w:lang w:val="it-IT"/>
              </w:rPr>
            </w:pPr>
            <w:r w:rsidRPr="00C35766">
              <w:rPr>
                <w:rFonts w:ascii="Times New Roman" w:eastAsia="Times New Roman" w:hAnsi="Times New Roman" w:cs="Times New Roman"/>
                <w:spacing w:val="-4"/>
                <w:lang w:val="it-IT"/>
              </w:rPr>
              <w:t>Si raccomanda di utilizzare tutti i giorni una soluzione di lavaggio antisettica sulle aree interessate.</w:t>
            </w:r>
          </w:p>
        </w:tc>
      </w:tr>
    </w:tbl>
    <w:p w14:paraId="2DB80368"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25EFBE1D"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07676DE6" w14:textId="77777777" w:rsidR="0050099E" w:rsidRPr="00C35766" w:rsidRDefault="0050099E" w:rsidP="00933A6C">
            <w:pPr>
              <w:pStyle w:val="TableParagraph"/>
              <w:spacing w:line="251"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Malattia di Crohn</w:t>
            </w:r>
          </w:p>
        </w:tc>
      </w:tr>
      <w:tr w:rsidR="0050099E" w:rsidRPr="00C35766" w14:paraId="4A55DAD2"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795D22CB"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050CB1CC" w14:textId="77777777" w:rsidR="0050099E" w:rsidRPr="00824699" w:rsidRDefault="0050099E" w:rsidP="00933A6C">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530D8FE3"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456115C3"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5AB87E95"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lang w:val="it-IT"/>
              </w:rPr>
              <w:t>Bambini, adolescenti e adulti</w:t>
            </w:r>
          </w:p>
          <w:p w14:paraId="72DD013A" w14:textId="77777777" w:rsidR="0050099E" w:rsidRPr="00824699" w:rsidRDefault="0050099E" w:rsidP="00933A6C">
            <w:pPr>
              <w:pStyle w:val="TableParagraph"/>
              <w:spacing w:before="3"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40 kg</w:t>
            </w:r>
          </w:p>
        </w:tc>
        <w:tc>
          <w:tcPr>
            <w:tcW w:w="3096" w:type="dxa"/>
            <w:tcBorders>
              <w:top w:val="single" w:sz="5" w:space="0" w:color="000000"/>
              <w:left w:val="single" w:sz="5" w:space="0" w:color="000000"/>
              <w:bottom w:val="single" w:sz="5" w:space="0" w:color="000000"/>
              <w:right w:val="single" w:sz="5" w:space="0" w:color="000000"/>
            </w:tcBorders>
          </w:tcPr>
          <w:p w14:paraId="23850BE1" w14:textId="289E251C" w:rsidR="0050099E" w:rsidRPr="00C35766" w:rsidRDefault="0050099E" w:rsidP="00933A6C">
            <w:pPr>
              <w:pStyle w:val="TableParagraph"/>
              <w:spacing w:line="246" w:lineRule="exact"/>
              <w:ind w:left="102" w:right="57"/>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Prima dose di 80 mg (</w:t>
            </w:r>
            <w:r w:rsidR="009720BE" w:rsidRPr="00C35766">
              <w:rPr>
                <w:rFonts w:ascii="Times New Roman" w:eastAsia="Times New Roman" w:hAnsi="Times New Roman" w:cs="Times New Roman"/>
                <w:spacing w:val="-1"/>
                <w:lang w:val="it-IT"/>
              </w:rPr>
              <w:t>una iniezione da 80 mg</w:t>
            </w:r>
            <w:r w:rsidRPr="00C35766">
              <w:rPr>
                <w:rFonts w:ascii="Times New Roman" w:eastAsia="Times New Roman" w:hAnsi="Times New Roman" w:cs="Times New Roman"/>
                <w:spacing w:val="-1"/>
                <w:lang w:val="it-IT"/>
              </w:rPr>
              <w:t xml:space="preserve"> in un giorno), seguita da 40 mg due settimane più tardi.</w:t>
            </w:r>
          </w:p>
          <w:p w14:paraId="42256951" w14:textId="77777777" w:rsidR="0050099E" w:rsidRPr="00C35766" w:rsidRDefault="0050099E" w:rsidP="00933A6C">
            <w:pPr>
              <w:pStyle w:val="TableParagraph"/>
              <w:spacing w:before="11" w:line="240" w:lineRule="exact"/>
              <w:rPr>
                <w:rFonts w:ascii="Times New Roman" w:hAnsi="Times New Roman" w:cs="Times New Roman"/>
                <w:sz w:val="24"/>
                <w:szCs w:val="24"/>
                <w:lang w:val="es-ES"/>
              </w:rPr>
            </w:pPr>
          </w:p>
          <w:p w14:paraId="30461335" w14:textId="642DEEC8" w:rsidR="0050099E" w:rsidRPr="00C35766" w:rsidRDefault="0050099E" w:rsidP="00933A6C">
            <w:pPr>
              <w:pStyle w:val="TableParagraph"/>
              <w:ind w:left="102" w:right="76"/>
              <w:rPr>
                <w:rFonts w:ascii="Times New Roman" w:eastAsia="Times New Roman" w:hAnsi="Times New Roman" w:cs="Times New Roman"/>
                <w:lang w:val="es-ES"/>
              </w:rPr>
            </w:pPr>
            <w:r w:rsidRPr="00C35766">
              <w:rPr>
                <w:rFonts w:ascii="Times New Roman" w:eastAsia="Times New Roman" w:hAnsi="Times New Roman" w:cs="Times New Roman"/>
                <w:spacing w:val="-1"/>
                <w:lang w:val="it-IT"/>
              </w:rPr>
              <w:t>Se è necessario indurre una risposta più rapida, il medico potrebbe prescrivere una dose iniziale di 160 mg (</w:t>
            </w:r>
            <w:r w:rsidR="009720BE" w:rsidRPr="00C35766">
              <w:rPr>
                <w:rFonts w:ascii="Times New Roman" w:eastAsia="Times New Roman" w:hAnsi="Times New Roman" w:cs="Times New Roman"/>
                <w:spacing w:val="-1"/>
                <w:lang w:val="it-IT"/>
              </w:rPr>
              <w:t xml:space="preserve">due iniezioni da 80 mg </w:t>
            </w:r>
            <w:r w:rsidRPr="00C35766">
              <w:rPr>
                <w:rFonts w:ascii="Times New Roman" w:eastAsia="Times New Roman" w:hAnsi="Times New Roman" w:cs="Times New Roman"/>
                <w:spacing w:val="-1"/>
                <w:lang w:val="it-IT"/>
              </w:rPr>
              <w:t xml:space="preserve">in un giorno o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al giorno per due giorni consecutivi), seguita da 80 mg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in un giorno) dopo due settimane.</w:t>
            </w:r>
          </w:p>
          <w:p w14:paraId="0B5B965F" w14:textId="77777777" w:rsidR="0050099E" w:rsidRPr="00C35766" w:rsidRDefault="0050099E" w:rsidP="00933A6C">
            <w:pPr>
              <w:pStyle w:val="TableParagraph"/>
              <w:spacing w:before="17" w:line="240" w:lineRule="exact"/>
              <w:rPr>
                <w:rFonts w:ascii="Times New Roman" w:hAnsi="Times New Roman" w:cs="Times New Roman"/>
                <w:sz w:val="24"/>
                <w:szCs w:val="24"/>
                <w:lang w:val="es-ES"/>
              </w:rPr>
            </w:pPr>
          </w:p>
          <w:p w14:paraId="53A4843E" w14:textId="77777777" w:rsidR="0050099E" w:rsidRPr="00824699" w:rsidRDefault="0050099E" w:rsidP="00933A6C">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9720E2C"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Il medico può aumentare la</w:t>
            </w:r>
          </w:p>
          <w:p w14:paraId="57968B0B" w14:textId="77777777" w:rsidR="0050099E" w:rsidRPr="00824699" w:rsidRDefault="0050099E" w:rsidP="00933A6C">
            <w:pPr>
              <w:pStyle w:val="TableParagraph"/>
              <w:spacing w:before="3" w:line="252" w:lineRule="exact"/>
              <w:ind w:left="102" w:right="55"/>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dose a 40 mg ogni settimana o 80 mg a settimane alterne.</w:t>
            </w:r>
          </w:p>
        </w:tc>
      </w:tr>
      <w:tr w:rsidR="003C2212" w:rsidRPr="006501B3" w14:paraId="5947141A"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AB9F665" w14:textId="4E3E503C" w:rsidR="003C2212" w:rsidRPr="00C35766" w:rsidRDefault="003C2212" w:rsidP="003C2212">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Bambini e adolescenti di età compresa tra 6 e 17 anni con un peso minore di 40 kg</w:t>
            </w:r>
          </w:p>
        </w:tc>
        <w:tc>
          <w:tcPr>
            <w:tcW w:w="3096" w:type="dxa"/>
            <w:tcBorders>
              <w:top w:val="single" w:sz="5" w:space="0" w:color="000000"/>
              <w:left w:val="single" w:sz="5" w:space="0" w:color="000000"/>
              <w:bottom w:val="single" w:sz="5" w:space="0" w:color="000000"/>
              <w:right w:val="single" w:sz="5" w:space="0" w:color="000000"/>
            </w:tcBorders>
          </w:tcPr>
          <w:p w14:paraId="4798F02D" w14:textId="77777777" w:rsidR="003C2212" w:rsidRDefault="003C2212" w:rsidP="003C2212">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La prima dose da 40 mg, seguita da 20 mg due settimane dopo.</w:t>
            </w:r>
          </w:p>
          <w:p w14:paraId="5142DB25" w14:textId="77777777" w:rsidR="003C2212" w:rsidRDefault="003C2212" w:rsidP="003C2212">
            <w:pPr>
              <w:pStyle w:val="TableParagraph"/>
              <w:spacing w:line="246" w:lineRule="exact"/>
              <w:ind w:left="102" w:right="57"/>
              <w:rPr>
                <w:rFonts w:ascii="Times New Roman" w:eastAsia="Times New Roman" w:hAnsi="Times New Roman" w:cs="Times New Roman"/>
                <w:lang w:val="it-IT"/>
              </w:rPr>
            </w:pPr>
          </w:p>
          <w:p w14:paraId="0CDDEA65" w14:textId="77777777" w:rsidR="003C2212" w:rsidRDefault="003C2212" w:rsidP="003C2212">
            <w:pPr>
              <w:pStyle w:val="TableParagraph"/>
              <w:spacing w:line="246" w:lineRule="exact"/>
              <w:ind w:left="102" w:right="57"/>
              <w:rPr>
                <w:rFonts w:ascii="Times New Roman" w:eastAsia="Times New Roman" w:hAnsi="Times New Roman" w:cs="Times New Roman"/>
                <w:lang w:val="it-IT"/>
              </w:rPr>
            </w:pPr>
            <w:r w:rsidRPr="001E41EB">
              <w:rPr>
                <w:rFonts w:ascii="Times New Roman" w:eastAsia="Times New Roman" w:hAnsi="Times New Roman" w:cs="Times New Roman"/>
                <w:lang w:val="it-IT"/>
              </w:rPr>
              <w:t>Se è necessaria una risposta più rapida, il medico può prescrivere una prima dose da 80 mg (un’iniezione da 80 mg), seguita da 40 mg due settimane dopo.</w:t>
            </w:r>
          </w:p>
          <w:p w14:paraId="3875D0E6" w14:textId="77777777" w:rsidR="003C2212" w:rsidRDefault="003C2212" w:rsidP="003C2212">
            <w:pPr>
              <w:pStyle w:val="TableParagraph"/>
              <w:spacing w:line="246" w:lineRule="exact"/>
              <w:ind w:left="102" w:right="57"/>
              <w:rPr>
                <w:rFonts w:ascii="Times New Roman" w:eastAsia="Times New Roman" w:hAnsi="Times New Roman" w:cs="Times New Roman"/>
                <w:lang w:val="it-IT"/>
              </w:rPr>
            </w:pPr>
          </w:p>
          <w:p w14:paraId="7B2E786C" w14:textId="1ADBE7D7" w:rsidR="003C2212" w:rsidRPr="00C35766" w:rsidRDefault="003C2212" w:rsidP="003C2212">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lang w:val="it-IT"/>
              </w:rPr>
              <w:t>Successivamente, la dose abituale è di 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0CED17A" w14:textId="0159E63F" w:rsidR="003C2212" w:rsidRPr="00C35766" w:rsidRDefault="003C2212" w:rsidP="003C2212">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lang w:val="it-IT"/>
              </w:rPr>
              <w:t>Il medico può aumentare la frequenza della dose fino a 20 mg ogni settimana.</w:t>
            </w:r>
          </w:p>
        </w:tc>
      </w:tr>
    </w:tbl>
    <w:p w14:paraId="388CC1D7" w14:textId="77777777" w:rsidR="0050099E" w:rsidRPr="00824699" w:rsidRDefault="0050099E" w:rsidP="0050099E">
      <w:pPr>
        <w:spacing w:before="7" w:line="90" w:lineRule="exact"/>
        <w:rPr>
          <w:rFonts w:ascii="Times New Roman" w:hAnsi="Times New Roman" w:cs="Times New Roman"/>
          <w:sz w:val="9"/>
          <w:szCs w:val="9"/>
          <w:lang w:val="it-IT"/>
        </w:rPr>
      </w:pPr>
    </w:p>
    <w:p w14:paraId="0AF53372" w14:textId="77777777" w:rsidR="0050099E" w:rsidRPr="00824699" w:rsidRDefault="0050099E" w:rsidP="0050099E">
      <w:pPr>
        <w:spacing w:before="10"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0D0DE453"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7BC343D3"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Colite ulcerosa</w:t>
            </w:r>
          </w:p>
        </w:tc>
      </w:tr>
      <w:tr w:rsidR="0050099E" w:rsidRPr="00C35766" w14:paraId="0BCC975A"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8FD0291"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D585A47"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518C3B52"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494E69" w14:paraId="4DB073C6"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42D71403"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50279965" w14:textId="60E79119" w:rsidR="0050099E" w:rsidRPr="00C35766" w:rsidRDefault="0050099E" w:rsidP="00933A6C">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160 mg (</w:t>
            </w:r>
            <w:r w:rsidR="009720BE" w:rsidRPr="00C35766">
              <w:rPr>
                <w:rFonts w:ascii="Times New Roman" w:eastAsia="Times New Roman" w:hAnsi="Times New Roman" w:cs="Times New Roman"/>
                <w:spacing w:val="-1"/>
                <w:lang w:val="it-IT"/>
              </w:rPr>
              <w:t xml:space="preserve">due iniezioni da 80 mg </w:t>
            </w:r>
            <w:r w:rsidRPr="00C35766">
              <w:rPr>
                <w:rFonts w:ascii="Times New Roman" w:eastAsia="Times New Roman" w:hAnsi="Times New Roman" w:cs="Times New Roman"/>
                <w:spacing w:val="-1"/>
                <w:lang w:val="it-IT"/>
              </w:rPr>
              <w:t xml:space="preserve">in un giorno o </w:t>
            </w:r>
            <w:r w:rsidR="009720BE" w:rsidRPr="00C35766">
              <w:rPr>
                <w:rFonts w:ascii="Times New Roman" w:eastAsia="Times New Roman" w:hAnsi="Times New Roman" w:cs="Times New Roman"/>
                <w:spacing w:val="-1"/>
                <w:lang w:val="it-IT"/>
              </w:rPr>
              <w:lastRenderedPageBreak/>
              <w:t xml:space="preserve">una iniezione da 80 mg </w:t>
            </w:r>
            <w:r w:rsidRPr="00C35766">
              <w:rPr>
                <w:rFonts w:ascii="Times New Roman" w:eastAsia="Times New Roman" w:hAnsi="Times New Roman" w:cs="Times New Roman"/>
                <w:spacing w:val="-1"/>
                <w:lang w:val="it-IT"/>
              </w:rPr>
              <w:t>al giorno per due giorni consecutivi), seguita da 80 mg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in un giorno) dopo due settimane.</w:t>
            </w:r>
          </w:p>
          <w:p w14:paraId="1A349D86" w14:textId="77777777" w:rsidR="0050099E" w:rsidRPr="00C35766" w:rsidRDefault="0050099E" w:rsidP="00933A6C">
            <w:pPr>
              <w:pStyle w:val="TableParagraph"/>
              <w:spacing w:before="17" w:line="240" w:lineRule="exact"/>
              <w:rPr>
                <w:rFonts w:ascii="Times New Roman" w:hAnsi="Times New Roman" w:cs="Times New Roman"/>
                <w:sz w:val="24"/>
                <w:szCs w:val="24"/>
                <w:lang w:val="pt-BR"/>
              </w:rPr>
            </w:pPr>
          </w:p>
          <w:p w14:paraId="6F8BCB62" w14:textId="77777777" w:rsidR="0050099E" w:rsidRPr="00824699" w:rsidRDefault="0050099E" w:rsidP="00933A6C">
            <w:pPr>
              <w:pStyle w:val="TableParagraph"/>
              <w:spacing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1066729" w14:textId="77777777" w:rsidR="0050099E" w:rsidRPr="00C35766" w:rsidRDefault="0050099E" w:rsidP="00933A6C">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lastRenderedPageBreak/>
              <w:t xml:space="preserve">Il medico può aumentare il dosaggio a 40 mg ogni settimana </w:t>
            </w:r>
            <w:r w:rsidRPr="00C35766">
              <w:rPr>
                <w:rFonts w:ascii="Times New Roman" w:eastAsia="Times New Roman" w:hAnsi="Times New Roman" w:cs="Times New Roman"/>
                <w:spacing w:val="-1"/>
                <w:lang w:val="it-IT"/>
              </w:rPr>
              <w:lastRenderedPageBreak/>
              <w:t>o 80 mg a settimane alterne.</w:t>
            </w:r>
          </w:p>
        </w:tc>
      </w:tr>
      <w:tr w:rsidR="0050099E" w:rsidRPr="00494E69" w14:paraId="437EB04D"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55651A5"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lastRenderedPageBreak/>
              <w:t>Bambini e adolescenti a partire da 6 anni di età e con peso inferiore a 40 kg</w:t>
            </w:r>
          </w:p>
        </w:tc>
        <w:tc>
          <w:tcPr>
            <w:tcW w:w="3096" w:type="dxa"/>
            <w:tcBorders>
              <w:top w:val="single" w:sz="5" w:space="0" w:color="000000"/>
              <w:left w:val="single" w:sz="5" w:space="0" w:color="000000"/>
              <w:bottom w:val="single" w:sz="5" w:space="0" w:color="000000"/>
              <w:right w:val="single" w:sz="5" w:space="0" w:color="000000"/>
            </w:tcBorders>
          </w:tcPr>
          <w:p w14:paraId="5B86CAD5" w14:textId="689DD0B4" w:rsidR="0050099E" w:rsidRPr="00C35766" w:rsidRDefault="0050099E" w:rsidP="00933A6C">
            <w:pPr>
              <w:numPr>
                <w:ilvl w:val="12"/>
                <w:numId w:val="0"/>
              </w:numPr>
              <w:ind w:left="57"/>
              <w:rPr>
                <w:rFonts w:ascii="Times New Roman" w:hAnsi="Times New Roman" w:cs="Times New Roman"/>
                <w:lang w:val="de-CH"/>
              </w:rPr>
            </w:pPr>
            <w:r w:rsidRPr="00C35766">
              <w:rPr>
                <w:rFonts w:ascii="Times New Roman" w:hAnsi="Times New Roman" w:cs="Times New Roman"/>
                <w:lang w:val="de-CH"/>
              </w:rPr>
              <w:t>Una dose iniziale di 80 mg (</w:t>
            </w:r>
            <w:r w:rsidR="009370D1" w:rsidRPr="00C35766">
              <w:rPr>
                <w:rFonts w:ascii="Times New Roman" w:eastAsia="Times New Roman" w:hAnsi="Times New Roman" w:cs="Times New Roman"/>
                <w:spacing w:val="-1"/>
                <w:lang w:val="it-IT"/>
              </w:rPr>
              <w:t xml:space="preserve">una iniezione da 80 mg </w:t>
            </w:r>
            <w:r w:rsidRPr="00C35766">
              <w:rPr>
                <w:rFonts w:ascii="Times New Roman" w:hAnsi="Times New Roman" w:cs="Times New Roman"/>
                <w:lang w:val="de-CH"/>
              </w:rPr>
              <w:t>in un giorno), seguita da 40 mg (una iniezione da 40 mg) dopo due settimane.</w:t>
            </w:r>
          </w:p>
          <w:p w14:paraId="5D202771" w14:textId="77777777" w:rsidR="0050099E" w:rsidRPr="00C35766" w:rsidRDefault="0050099E" w:rsidP="00933A6C">
            <w:pPr>
              <w:numPr>
                <w:ilvl w:val="12"/>
                <w:numId w:val="0"/>
              </w:numPr>
              <w:ind w:left="57"/>
              <w:rPr>
                <w:rFonts w:ascii="Times New Roman" w:hAnsi="Times New Roman" w:cs="Times New Roman"/>
                <w:lang w:val="de-CH"/>
              </w:rPr>
            </w:pPr>
          </w:p>
          <w:p w14:paraId="359600A1" w14:textId="77777777" w:rsidR="0050099E" w:rsidRPr="00C35766" w:rsidRDefault="0050099E" w:rsidP="00933A6C">
            <w:pPr>
              <w:pStyle w:val="TableParagraph"/>
              <w:spacing w:line="246" w:lineRule="exact"/>
              <w:ind w:left="57" w:righ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56A2ED83"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r w:rsidR="0050099E" w:rsidRPr="00494E69" w14:paraId="3E6270A6"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E3E6185"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Bambini e adolescenti a partire da 6 anni di età e con peso pari o superiore a 40 kg</w:t>
            </w:r>
          </w:p>
        </w:tc>
        <w:tc>
          <w:tcPr>
            <w:tcW w:w="3096" w:type="dxa"/>
            <w:tcBorders>
              <w:top w:val="single" w:sz="5" w:space="0" w:color="000000"/>
              <w:left w:val="single" w:sz="5" w:space="0" w:color="000000"/>
              <w:bottom w:val="single" w:sz="5" w:space="0" w:color="000000"/>
              <w:right w:val="single" w:sz="5" w:space="0" w:color="000000"/>
            </w:tcBorders>
          </w:tcPr>
          <w:p w14:paraId="6A302C91" w14:textId="1E228F30" w:rsidR="0050099E" w:rsidRPr="002062B2" w:rsidRDefault="0050099E" w:rsidP="00933A6C">
            <w:pPr>
              <w:numPr>
                <w:ilvl w:val="12"/>
                <w:numId w:val="0"/>
              </w:numPr>
              <w:ind w:left="57"/>
              <w:rPr>
                <w:rFonts w:ascii="Times New Roman" w:hAnsi="Times New Roman" w:cs="Times New Roman"/>
                <w:lang w:val="it-IT"/>
              </w:rPr>
            </w:pPr>
            <w:r w:rsidRPr="002062B2">
              <w:rPr>
                <w:rFonts w:ascii="Times New Roman" w:hAnsi="Times New Roman" w:cs="Times New Roman"/>
                <w:lang w:val="it-IT"/>
              </w:rPr>
              <w:t>Una dose iniziale di 160 mg (</w:t>
            </w:r>
            <w:r w:rsidR="009370D1" w:rsidRPr="002062B2">
              <w:rPr>
                <w:rFonts w:ascii="Times New Roman" w:hAnsi="Times New Roman" w:cs="Times New Roman"/>
                <w:lang w:val="it-IT"/>
              </w:rPr>
              <w:t xml:space="preserve">due iniezioni da 80 mg </w:t>
            </w:r>
            <w:r w:rsidRPr="002062B2">
              <w:rPr>
                <w:rFonts w:ascii="Times New Roman" w:hAnsi="Times New Roman" w:cs="Times New Roman"/>
                <w:lang w:val="it-IT"/>
              </w:rPr>
              <w:t xml:space="preserve">in un giorno o </w:t>
            </w:r>
            <w:r w:rsidR="009370D1" w:rsidRPr="002062B2">
              <w:rPr>
                <w:rFonts w:ascii="Times New Roman" w:hAnsi="Times New Roman" w:cs="Times New Roman"/>
                <w:lang w:val="it-IT"/>
              </w:rPr>
              <w:t xml:space="preserve">una iniezione da 80 mg </w:t>
            </w:r>
            <w:r w:rsidRPr="002062B2">
              <w:rPr>
                <w:rFonts w:ascii="Times New Roman" w:hAnsi="Times New Roman" w:cs="Times New Roman"/>
                <w:lang w:val="it-IT"/>
              </w:rPr>
              <w:t>al giorno per due giorni consecutivi), seguita da 80 mg (</w:t>
            </w:r>
            <w:r w:rsidR="009370D1" w:rsidRPr="002062B2">
              <w:rPr>
                <w:rFonts w:ascii="Times New Roman" w:hAnsi="Times New Roman" w:cs="Times New Roman"/>
                <w:lang w:val="it-IT"/>
              </w:rPr>
              <w:t xml:space="preserve">una iniezione da 80 mg </w:t>
            </w:r>
            <w:r w:rsidRPr="002062B2">
              <w:rPr>
                <w:rFonts w:ascii="Times New Roman" w:hAnsi="Times New Roman" w:cs="Times New Roman"/>
                <w:lang w:val="it-IT"/>
              </w:rPr>
              <w:t>in un giorno) dopo due settimane.</w:t>
            </w:r>
          </w:p>
          <w:p w14:paraId="552A9D40" w14:textId="77777777" w:rsidR="0050099E" w:rsidRPr="002062B2" w:rsidRDefault="0050099E" w:rsidP="00933A6C">
            <w:pPr>
              <w:numPr>
                <w:ilvl w:val="12"/>
                <w:numId w:val="0"/>
              </w:numPr>
              <w:ind w:left="57"/>
              <w:rPr>
                <w:rFonts w:ascii="Times New Roman" w:hAnsi="Times New Roman" w:cs="Times New Roman"/>
                <w:lang w:val="it-IT"/>
              </w:rPr>
            </w:pPr>
          </w:p>
          <w:p w14:paraId="5EDF93A3" w14:textId="77777777" w:rsidR="0050099E" w:rsidRPr="00C35766" w:rsidRDefault="0050099E" w:rsidP="00933A6C">
            <w:pPr>
              <w:pStyle w:val="TableParagraph"/>
              <w:spacing w:line="246" w:lineRule="exact"/>
              <w:ind w:left="57" w:right="57"/>
              <w:rPr>
                <w:rFonts w:ascii="Times New Roman" w:eastAsia="Times New Roman" w:hAnsi="Times New Roman" w:cs="Times New Roman"/>
                <w:spacing w:val="-1"/>
                <w:lang w:val="it-IT"/>
              </w:rPr>
            </w:pPr>
            <w:r w:rsidRPr="00824699">
              <w:rPr>
                <w:rFonts w:ascii="Times New Roman" w:hAnsi="Times New Roman" w:cs="Times New Roman"/>
                <w:lang w:val="it-IT"/>
              </w:rPr>
              <w:t>Successivamente, la dose abituale è di 80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22FC9ED" w14:textId="77777777" w:rsidR="0050099E" w:rsidRPr="00C35766" w:rsidRDefault="0050099E" w:rsidP="00933A6C">
            <w:pPr>
              <w:pStyle w:val="TableParagraph"/>
              <w:spacing w:line="246" w:lineRule="exact"/>
              <w:ind w:left="102" w:right="57"/>
              <w:rPr>
                <w:rFonts w:ascii="Times New Roman" w:eastAsia="Times New Roman" w:hAnsi="Times New Roman" w:cs="Times New Roman"/>
                <w:spacing w:val="-1"/>
                <w:lang w:val="it-IT"/>
              </w:rPr>
            </w:pPr>
            <w:r w:rsidRPr="00824699">
              <w:rPr>
                <w:rFonts w:ascii="Times New Roman" w:hAnsi="Times New Roman" w:cs="Times New Roman"/>
                <w:lang w:val="it-IT"/>
              </w:rPr>
              <w:t>Si deve continuare ad assumere Yuflyma alla dose abituale, anche dopo aver compiuto 18 anni di età.</w:t>
            </w:r>
          </w:p>
        </w:tc>
      </w:tr>
    </w:tbl>
    <w:p w14:paraId="61886B31" w14:textId="77777777" w:rsidR="0050099E" w:rsidRPr="00C35766" w:rsidRDefault="0050099E" w:rsidP="0050099E">
      <w:pPr>
        <w:spacing w:before="10" w:line="240" w:lineRule="exact"/>
        <w:rPr>
          <w:rFonts w:ascii="Times New Roman" w:hAnsi="Times New Roman" w:cs="Times New Roman"/>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50099E" w:rsidRPr="00C35766" w14:paraId="12C1FF66" w14:textId="77777777" w:rsidTr="00933A6C">
        <w:tc>
          <w:tcPr>
            <w:tcW w:w="9288" w:type="dxa"/>
            <w:gridSpan w:val="3"/>
            <w:tcBorders>
              <w:top w:val="single" w:sz="5" w:space="0" w:color="000000"/>
              <w:left w:val="single" w:sz="5" w:space="0" w:color="000000"/>
              <w:bottom w:val="single" w:sz="5" w:space="0" w:color="000000"/>
              <w:right w:val="single" w:sz="5" w:space="0" w:color="000000"/>
            </w:tcBorders>
          </w:tcPr>
          <w:p w14:paraId="49851D4D" w14:textId="77777777" w:rsidR="0050099E" w:rsidRPr="00C35766" w:rsidRDefault="0050099E" w:rsidP="00933A6C">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Uveite non infettiva</w:t>
            </w:r>
          </w:p>
        </w:tc>
      </w:tr>
      <w:tr w:rsidR="0050099E" w:rsidRPr="00C35766" w14:paraId="64BEF805"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376F992A"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4F53A112" w14:textId="77777777" w:rsidR="0050099E" w:rsidRPr="00824699" w:rsidRDefault="0050099E" w:rsidP="00933A6C">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56570DF3" w14:textId="77777777" w:rsidR="0050099E" w:rsidRPr="00C35766" w:rsidRDefault="0050099E" w:rsidP="00933A6C">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0099E" w:rsidRPr="006501B3" w14:paraId="51488C24"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D3DC25E"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Adulti</w:t>
            </w:r>
          </w:p>
        </w:tc>
        <w:tc>
          <w:tcPr>
            <w:tcW w:w="3096" w:type="dxa"/>
            <w:tcBorders>
              <w:top w:val="single" w:sz="5" w:space="0" w:color="000000"/>
              <w:left w:val="single" w:sz="5" w:space="0" w:color="000000"/>
              <w:bottom w:val="single" w:sz="5" w:space="0" w:color="000000"/>
              <w:right w:val="single" w:sz="5" w:space="0" w:color="000000"/>
            </w:tcBorders>
          </w:tcPr>
          <w:p w14:paraId="15564EDE" w14:textId="339E9571"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Prima dose di 80 mg (</w:t>
            </w:r>
            <w:r w:rsidR="009720BE" w:rsidRPr="00C35766">
              <w:rPr>
                <w:rFonts w:ascii="Times New Roman" w:eastAsia="Times New Roman" w:hAnsi="Times New Roman" w:cs="Times New Roman"/>
                <w:spacing w:val="-1"/>
                <w:lang w:val="it-IT"/>
              </w:rPr>
              <w:t xml:space="preserve">una iniezione da 80 mg </w:t>
            </w:r>
            <w:r w:rsidRPr="00C35766">
              <w:rPr>
                <w:rFonts w:ascii="Times New Roman" w:eastAsia="Times New Roman" w:hAnsi="Times New Roman" w:cs="Times New Roman"/>
                <w:spacing w:val="-1"/>
                <w:lang w:val="it-IT"/>
              </w:rPr>
              <w:t>in un giorno), seguita da 40 mg a settimane alterne a partire da una settimana dopo la prima</w:t>
            </w:r>
            <w:r w:rsidRPr="00C35766">
              <w:rPr>
                <w:rFonts w:ascii="Times New Roman" w:eastAsia="Times New Roman" w:hAnsi="Times New Roman" w:cs="Times New Roman"/>
                <w:lang w:val="it-IT"/>
              </w:rPr>
              <w:t xml:space="preserve"> dose.</w:t>
            </w:r>
          </w:p>
        </w:tc>
        <w:tc>
          <w:tcPr>
            <w:tcW w:w="3096" w:type="dxa"/>
            <w:tcBorders>
              <w:top w:val="single" w:sz="5" w:space="0" w:color="000000"/>
              <w:left w:val="single" w:sz="5" w:space="0" w:color="000000"/>
              <w:bottom w:val="single" w:sz="5" w:space="0" w:color="000000"/>
              <w:right w:val="single" w:sz="5" w:space="0" w:color="000000"/>
            </w:tcBorders>
          </w:tcPr>
          <w:p w14:paraId="2B1C4F66"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I corticosteroidi o gli altri farmaci che influiscono sul sistema immunitario potranno essere continuati durante il trattamento con Yuflyma.</w:t>
            </w:r>
          </w:p>
          <w:p w14:paraId="781ED118" w14:textId="77777777" w:rsidR="0050099E" w:rsidRPr="00824699" w:rsidRDefault="0050099E" w:rsidP="00933A6C">
            <w:pPr>
              <w:pStyle w:val="TableParagraph"/>
              <w:spacing w:before="1"/>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Yuflyma può essere anche somministrato in monoterapia.</w:t>
            </w:r>
          </w:p>
        </w:tc>
      </w:tr>
      <w:tr w:rsidR="003C2212" w:rsidRPr="00C35766" w14:paraId="4CD9EF35"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0739F053" w14:textId="58F30073" w:rsidR="003C2212" w:rsidRPr="00C35766" w:rsidRDefault="003C2212" w:rsidP="003C2212">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Bambini e adolescenti a partire dai 2 anni di età e con peso inferiore a 30 kg</w:t>
            </w:r>
          </w:p>
        </w:tc>
        <w:tc>
          <w:tcPr>
            <w:tcW w:w="3096" w:type="dxa"/>
            <w:tcBorders>
              <w:top w:val="single" w:sz="5" w:space="0" w:color="000000"/>
              <w:left w:val="single" w:sz="5" w:space="0" w:color="000000"/>
              <w:bottom w:val="single" w:sz="5" w:space="0" w:color="000000"/>
              <w:right w:val="single" w:sz="5" w:space="0" w:color="000000"/>
            </w:tcBorders>
          </w:tcPr>
          <w:p w14:paraId="54C5550D" w14:textId="7D65140A" w:rsidR="003C2212" w:rsidRPr="00C35766" w:rsidRDefault="003C2212" w:rsidP="003C2212">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15CB6B4" w14:textId="5A60B5DC" w:rsidR="003C2212" w:rsidRPr="00C35766" w:rsidRDefault="003C2212" w:rsidP="003C2212">
            <w:pPr>
              <w:pStyle w:val="TableParagraph"/>
              <w:spacing w:line="246" w:lineRule="exact"/>
              <w:ind w:left="102" w:right="57"/>
              <w:rPr>
                <w:rFonts w:ascii="Times New Roman" w:eastAsia="Times New Roman" w:hAnsi="Times New Roman" w:cs="Times New Roman"/>
                <w:spacing w:val="-1"/>
                <w:lang w:val="it-IT"/>
              </w:rPr>
            </w:pPr>
            <w:r w:rsidRPr="001E41EB">
              <w:rPr>
                <w:rFonts w:ascii="Times New Roman" w:eastAsia="Times New Roman" w:hAnsi="Times New Roman" w:cs="Times New Roman"/>
                <w:spacing w:val="-1"/>
                <w:lang w:val="it-IT"/>
              </w:rPr>
              <w:t xml:space="preserve">Il medico potrebbe prescrivere una dose iniziale da 40 mg da somministrare una settimana prima dell’inizio della dose abituale da 20 mg a settimane alterne. L’uso di </w:t>
            </w:r>
            <w:r w:rsidR="00963203">
              <w:rPr>
                <w:rFonts w:ascii="Times New Roman" w:eastAsia="Times New Roman" w:hAnsi="Times New Roman" w:cs="Times New Roman"/>
                <w:spacing w:val="-1"/>
                <w:lang w:val="it-IT"/>
              </w:rPr>
              <w:t>Yuflyma</w:t>
            </w:r>
            <w:r w:rsidRPr="001E41EB">
              <w:rPr>
                <w:rFonts w:ascii="Times New Roman" w:eastAsia="Times New Roman" w:hAnsi="Times New Roman" w:cs="Times New Roman"/>
                <w:spacing w:val="-1"/>
                <w:lang w:val="it-IT"/>
              </w:rPr>
              <w:t xml:space="preserve"> è raccomandato in associazione al metotressato.</w:t>
            </w:r>
          </w:p>
        </w:tc>
      </w:tr>
      <w:tr w:rsidR="0050099E" w:rsidRPr="00C35766" w14:paraId="2AAA0C7A" w14:textId="77777777" w:rsidTr="00933A6C">
        <w:tc>
          <w:tcPr>
            <w:tcW w:w="3096" w:type="dxa"/>
            <w:tcBorders>
              <w:top w:val="single" w:sz="5" w:space="0" w:color="000000"/>
              <w:left w:val="single" w:sz="5" w:space="0" w:color="000000"/>
              <w:bottom w:val="single" w:sz="5" w:space="0" w:color="000000"/>
              <w:right w:val="single" w:sz="5" w:space="0" w:color="000000"/>
            </w:tcBorders>
          </w:tcPr>
          <w:p w14:paraId="673515D2" w14:textId="77777777" w:rsidR="0050099E" w:rsidRPr="00824699" w:rsidRDefault="0050099E" w:rsidP="00933A6C">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e adolescenti a partire da</w:t>
            </w:r>
            <w:r w:rsidRPr="00C35766">
              <w:rPr>
                <w:rFonts w:ascii="Times New Roman" w:eastAsia="Times New Roman" w:hAnsi="Times New Roman" w:cs="Times New Roman"/>
                <w:lang w:val="it-IT"/>
              </w:rPr>
              <w:t xml:space="preserve"> 2 anni di età con peso di almeno 30 kg</w:t>
            </w:r>
          </w:p>
        </w:tc>
        <w:tc>
          <w:tcPr>
            <w:tcW w:w="3096" w:type="dxa"/>
            <w:tcBorders>
              <w:top w:val="single" w:sz="5" w:space="0" w:color="000000"/>
              <w:left w:val="single" w:sz="5" w:space="0" w:color="000000"/>
              <w:bottom w:val="single" w:sz="5" w:space="0" w:color="000000"/>
              <w:right w:val="single" w:sz="5" w:space="0" w:color="000000"/>
            </w:tcBorders>
          </w:tcPr>
          <w:p w14:paraId="7A9303D5"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75070DD1" w14:textId="77777777" w:rsidR="0050099E" w:rsidRPr="00C35766" w:rsidRDefault="0050099E" w:rsidP="00933A6C">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Il medico potrebbe prescrivere una dose iniziale da 80 mg da somministrare una settimana prima dell’inizio della dose abituale da</w:t>
            </w:r>
            <w:r w:rsidRPr="00C35766">
              <w:rPr>
                <w:rFonts w:ascii="Times New Roman" w:eastAsia="Times New Roman" w:hAnsi="Times New Roman" w:cs="Times New Roman"/>
                <w:lang w:val="it-IT"/>
              </w:rPr>
              <w:t xml:space="preserve"> 40 mg a settimane alterne. L’uso di Yuflyma è raccomandato in associazione al metotressato.</w:t>
            </w:r>
          </w:p>
        </w:tc>
      </w:tr>
    </w:tbl>
    <w:p w14:paraId="58AD8068" w14:textId="77777777" w:rsidR="0050099E" w:rsidRPr="00C35766" w:rsidRDefault="0050099E" w:rsidP="0050099E">
      <w:pPr>
        <w:pStyle w:val="a3"/>
      </w:pPr>
    </w:p>
    <w:p w14:paraId="1323F8B1" w14:textId="77777777" w:rsidR="0050099E" w:rsidRPr="00C35766" w:rsidRDefault="0050099E" w:rsidP="0050099E">
      <w:pPr>
        <w:pStyle w:val="a3"/>
        <w:rPr>
          <w:b/>
          <w:lang w:val="it-IT"/>
        </w:rPr>
      </w:pPr>
      <w:r w:rsidRPr="00C35766">
        <w:rPr>
          <w:rFonts w:eastAsia="Times New Roman"/>
          <w:b/>
          <w:bCs/>
          <w:lang w:val="it-IT"/>
        </w:rPr>
        <w:lastRenderedPageBreak/>
        <w:t>Modo e via di somministrazione</w:t>
      </w:r>
    </w:p>
    <w:p w14:paraId="660848C8" w14:textId="77777777" w:rsidR="0050099E" w:rsidRPr="00C35766" w:rsidRDefault="0050099E" w:rsidP="0050099E">
      <w:pPr>
        <w:spacing w:before="9" w:line="240" w:lineRule="exact"/>
        <w:rPr>
          <w:rFonts w:ascii="Times New Roman" w:hAnsi="Times New Roman" w:cs="Times New Roman"/>
          <w:sz w:val="24"/>
          <w:lang w:val="it-IT"/>
        </w:rPr>
      </w:pPr>
    </w:p>
    <w:p w14:paraId="66DD207B" w14:textId="7789FED1" w:rsidR="0050099E" w:rsidRPr="00C35766" w:rsidRDefault="0050099E" w:rsidP="0050099E">
      <w:pPr>
        <w:pStyle w:val="a3"/>
        <w:rPr>
          <w:lang w:val="it-IT"/>
        </w:rPr>
      </w:pPr>
      <w:r w:rsidRPr="00C35766">
        <w:rPr>
          <w:rFonts w:eastAsia="Times New Roman"/>
          <w:lang w:val="it-IT"/>
        </w:rPr>
        <w:t xml:space="preserve">Yuflyma è somministrato </w:t>
      </w:r>
      <w:r w:rsidR="0008503C" w:rsidRPr="00C35766">
        <w:rPr>
          <w:rFonts w:eastAsia="Times New Roman"/>
          <w:lang w:val="it-IT"/>
        </w:rPr>
        <w:t>per</w:t>
      </w:r>
      <w:r w:rsidRPr="00C35766">
        <w:rPr>
          <w:rFonts w:eastAsia="Times New Roman"/>
          <w:lang w:val="it-IT"/>
        </w:rPr>
        <w:t xml:space="preserve"> iniezione sotto la</w:t>
      </w:r>
      <w:r w:rsidRPr="00C35766" w:rsidDel="00841E18">
        <w:rPr>
          <w:rFonts w:eastAsia="Times New Roman"/>
          <w:lang w:val="it-IT"/>
        </w:rPr>
        <w:t xml:space="preserve"> </w:t>
      </w:r>
      <w:r w:rsidRPr="00C35766">
        <w:rPr>
          <w:rFonts w:eastAsia="Times New Roman"/>
          <w:lang w:val="it-IT"/>
        </w:rPr>
        <w:t>pelle (per iniezione sottocutanea).</w:t>
      </w:r>
    </w:p>
    <w:p w14:paraId="4C340A3D" w14:textId="77777777" w:rsidR="0050099E" w:rsidRPr="00C35766" w:rsidRDefault="0050099E" w:rsidP="0050099E">
      <w:pPr>
        <w:spacing w:before="18" w:line="240" w:lineRule="exact"/>
        <w:rPr>
          <w:rFonts w:ascii="Times New Roman" w:hAnsi="Times New Roman" w:cs="Times New Roman"/>
          <w:sz w:val="24"/>
          <w:lang w:val="it-IT"/>
        </w:rPr>
      </w:pPr>
    </w:p>
    <w:p w14:paraId="0379B429" w14:textId="2BCADF8C" w:rsidR="0050099E" w:rsidRPr="00C35766" w:rsidRDefault="0050099E" w:rsidP="0050099E">
      <w:pPr>
        <w:pStyle w:val="a3"/>
        <w:rPr>
          <w:b/>
          <w:lang w:val="it-IT"/>
        </w:rPr>
      </w:pPr>
      <w:r w:rsidRPr="00C35766">
        <w:rPr>
          <w:rFonts w:eastAsia="Times New Roman"/>
          <w:b/>
          <w:bCs/>
          <w:lang w:val="it-IT"/>
        </w:rPr>
        <w:t xml:space="preserve">Istruzioni dettagliate su come somministrare Yuflyma sono descritte nel paragrafo 7 </w:t>
      </w:r>
      <w:r w:rsidR="00471BD2">
        <w:rPr>
          <w:rFonts w:eastAsia="Times New Roman"/>
          <w:b/>
          <w:bCs/>
          <w:lang w:val="it-IT"/>
        </w:rPr>
        <w:t>“</w:t>
      </w:r>
      <w:r w:rsidRPr="00C35766">
        <w:rPr>
          <w:rFonts w:eastAsia="Times New Roman"/>
          <w:b/>
          <w:bCs/>
          <w:lang w:val="it-IT"/>
        </w:rPr>
        <w:t>Istruzioni per l’uso</w:t>
      </w:r>
      <w:r w:rsidR="00471BD2">
        <w:rPr>
          <w:rFonts w:eastAsia="Times New Roman"/>
          <w:b/>
          <w:bCs/>
          <w:lang w:val="it-IT"/>
        </w:rPr>
        <w:t>”</w:t>
      </w:r>
      <w:r w:rsidRPr="00C35766">
        <w:rPr>
          <w:rFonts w:eastAsia="Times New Roman"/>
          <w:b/>
          <w:bCs/>
          <w:lang w:val="it-IT"/>
        </w:rPr>
        <w:t>.</w:t>
      </w:r>
    </w:p>
    <w:p w14:paraId="6F012EE1" w14:textId="77777777" w:rsidR="0050099E" w:rsidRPr="00471BD2" w:rsidRDefault="0050099E" w:rsidP="0050099E">
      <w:pPr>
        <w:pStyle w:val="a3"/>
        <w:rPr>
          <w:b/>
          <w:lang w:val="it-IT"/>
        </w:rPr>
      </w:pPr>
    </w:p>
    <w:p w14:paraId="1B707177" w14:textId="77777777" w:rsidR="0050099E" w:rsidRPr="00C35766" w:rsidRDefault="0050099E" w:rsidP="0050099E">
      <w:pPr>
        <w:pStyle w:val="a3"/>
        <w:rPr>
          <w:b/>
          <w:lang w:val="pt-BR"/>
        </w:rPr>
      </w:pPr>
      <w:r w:rsidRPr="00C35766">
        <w:rPr>
          <w:rFonts w:eastAsia="Times New Roman"/>
          <w:b/>
          <w:bCs/>
          <w:lang w:val="it-IT"/>
        </w:rPr>
        <w:t>Se usa più Yuflyma di quanto deve</w:t>
      </w:r>
    </w:p>
    <w:p w14:paraId="43BDA24B" w14:textId="77777777" w:rsidR="0050099E" w:rsidRPr="00C35766" w:rsidRDefault="0050099E" w:rsidP="0050099E">
      <w:pPr>
        <w:pStyle w:val="a3"/>
        <w:rPr>
          <w:lang w:val="pt-BR"/>
        </w:rPr>
      </w:pPr>
    </w:p>
    <w:p w14:paraId="5D07FCB3" w14:textId="77777777" w:rsidR="0050099E" w:rsidRPr="00C35766" w:rsidRDefault="0050099E" w:rsidP="0050099E">
      <w:pPr>
        <w:pStyle w:val="a3"/>
        <w:rPr>
          <w:lang w:val="it-IT"/>
        </w:rPr>
      </w:pPr>
      <w:r w:rsidRPr="00C35766">
        <w:rPr>
          <w:rFonts w:eastAsia="Times New Roman"/>
          <w:lang w:val="it-IT"/>
        </w:rPr>
        <w:t>Se accidentalmente inietta Yuflyma più frequentemente di quanto disposto dal medico o dal farmacista, contatti il medico o il farmacista informandoli di aver assunto più farmaco. Conservi sempre la scatola del farmaco, anche se vuota.</w:t>
      </w:r>
    </w:p>
    <w:p w14:paraId="1676369F" w14:textId="77777777" w:rsidR="0050099E" w:rsidRPr="00C35766" w:rsidRDefault="0050099E" w:rsidP="0050099E">
      <w:pPr>
        <w:spacing w:before="18" w:line="240" w:lineRule="exact"/>
        <w:rPr>
          <w:rFonts w:ascii="Times New Roman" w:hAnsi="Times New Roman" w:cs="Times New Roman"/>
          <w:b/>
          <w:sz w:val="24"/>
          <w:szCs w:val="24"/>
          <w:lang w:val="it-IT"/>
        </w:rPr>
      </w:pPr>
    </w:p>
    <w:p w14:paraId="501A3233" w14:textId="77777777" w:rsidR="0050099E" w:rsidRPr="00C35766" w:rsidRDefault="0050099E" w:rsidP="0050099E">
      <w:pPr>
        <w:pStyle w:val="a3"/>
        <w:rPr>
          <w:b/>
          <w:lang w:val="it-IT"/>
        </w:rPr>
      </w:pPr>
      <w:r w:rsidRPr="00C35766">
        <w:rPr>
          <w:rFonts w:eastAsia="Times New Roman"/>
          <w:b/>
          <w:bCs/>
          <w:lang w:val="it-IT"/>
        </w:rPr>
        <w:t>Se dimentica di usare Yuflyma</w:t>
      </w:r>
    </w:p>
    <w:p w14:paraId="1804B076" w14:textId="77777777" w:rsidR="0050099E" w:rsidRPr="00C35766" w:rsidRDefault="0050099E" w:rsidP="0050099E">
      <w:pPr>
        <w:spacing w:before="9" w:line="240" w:lineRule="exact"/>
        <w:rPr>
          <w:rFonts w:ascii="Times New Roman" w:hAnsi="Times New Roman" w:cs="Times New Roman"/>
          <w:sz w:val="24"/>
          <w:szCs w:val="24"/>
          <w:lang w:val="it-IT"/>
        </w:rPr>
      </w:pPr>
    </w:p>
    <w:p w14:paraId="06F261DB" w14:textId="77777777" w:rsidR="0050099E" w:rsidRPr="00C35766" w:rsidRDefault="0050099E" w:rsidP="0050099E">
      <w:pPr>
        <w:pStyle w:val="a3"/>
        <w:rPr>
          <w:lang w:val="it-IT"/>
        </w:rPr>
      </w:pPr>
      <w:r w:rsidRPr="00C35766">
        <w:rPr>
          <w:rFonts w:eastAsia="Times New Roman"/>
          <w:lang w:val="it-IT"/>
        </w:rPr>
        <w:t>Se dimentica di fare un’iniezione, deve iniettarsi la dose successiva di Yuflyma non appena se ne ricorda.  Dopodiché riprenda la dose regolarmente secondo lo schema posologico stabilito.</w:t>
      </w:r>
    </w:p>
    <w:p w14:paraId="1BA0D0DF" w14:textId="77777777" w:rsidR="0050099E" w:rsidRPr="00C35766" w:rsidRDefault="0050099E" w:rsidP="0050099E">
      <w:pPr>
        <w:spacing w:before="18" w:line="240" w:lineRule="exact"/>
        <w:rPr>
          <w:rFonts w:ascii="Times New Roman" w:hAnsi="Times New Roman" w:cs="Times New Roman"/>
          <w:sz w:val="24"/>
          <w:szCs w:val="24"/>
          <w:lang w:val="it-IT"/>
        </w:rPr>
      </w:pPr>
    </w:p>
    <w:p w14:paraId="0379CB57" w14:textId="77777777" w:rsidR="0050099E" w:rsidRPr="00C35766" w:rsidRDefault="0050099E" w:rsidP="0050099E">
      <w:pPr>
        <w:pStyle w:val="a3"/>
        <w:rPr>
          <w:b/>
          <w:lang w:val="it-IT"/>
        </w:rPr>
      </w:pPr>
      <w:r w:rsidRPr="00C35766">
        <w:rPr>
          <w:rFonts w:eastAsia="Times New Roman"/>
          <w:b/>
          <w:bCs/>
          <w:lang w:val="it-IT"/>
        </w:rPr>
        <w:t>Se interrompe il trattamento con Yuflyma</w:t>
      </w:r>
    </w:p>
    <w:p w14:paraId="727A714A" w14:textId="77777777" w:rsidR="0050099E" w:rsidRPr="00C35766" w:rsidRDefault="0050099E" w:rsidP="0050099E">
      <w:pPr>
        <w:spacing w:before="6" w:line="240" w:lineRule="exact"/>
        <w:rPr>
          <w:rFonts w:ascii="Times New Roman" w:hAnsi="Times New Roman" w:cs="Times New Roman"/>
          <w:sz w:val="24"/>
          <w:szCs w:val="24"/>
          <w:lang w:val="it-IT"/>
        </w:rPr>
      </w:pPr>
    </w:p>
    <w:p w14:paraId="5E5915EC" w14:textId="77777777" w:rsidR="0050099E" w:rsidRPr="00C35766" w:rsidRDefault="0050099E" w:rsidP="0050099E">
      <w:pPr>
        <w:pStyle w:val="a3"/>
        <w:rPr>
          <w:lang w:val="it-IT"/>
        </w:rPr>
      </w:pPr>
      <w:r w:rsidRPr="00C35766">
        <w:rPr>
          <w:rFonts w:eastAsia="Times New Roman"/>
          <w:lang w:val="it-IT"/>
        </w:rPr>
        <w:t>La decisione di interrompere l’uso di Yuflyma deve essere discussa con il medico. I sintomi possono ritornare se smette di usare Yuflyma.</w:t>
      </w:r>
    </w:p>
    <w:p w14:paraId="1AAAEA42" w14:textId="77777777" w:rsidR="0050099E" w:rsidRPr="00C35766" w:rsidRDefault="0050099E" w:rsidP="0050099E">
      <w:pPr>
        <w:spacing w:before="12" w:line="240" w:lineRule="exact"/>
        <w:rPr>
          <w:rFonts w:ascii="Times New Roman" w:hAnsi="Times New Roman" w:cs="Times New Roman"/>
          <w:sz w:val="24"/>
          <w:szCs w:val="24"/>
          <w:lang w:val="it-IT"/>
        </w:rPr>
      </w:pPr>
    </w:p>
    <w:p w14:paraId="29E9B28E" w14:textId="77777777" w:rsidR="0050099E" w:rsidRPr="00C35766" w:rsidRDefault="0050099E" w:rsidP="0050099E">
      <w:pPr>
        <w:pStyle w:val="a3"/>
        <w:rPr>
          <w:lang w:val="it-IT"/>
        </w:rPr>
      </w:pPr>
      <w:r w:rsidRPr="00C35766">
        <w:rPr>
          <w:rFonts w:eastAsia="Times New Roman"/>
          <w:lang w:val="it-IT"/>
        </w:rPr>
        <w:t>Se ha qualsiasi dubbio sull’uso di questo medicinale, si rivolga al medico o al farmacista.</w:t>
      </w:r>
    </w:p>
    <w:p w14:paraId="44393E53" w14:textId="77777777" w:rsidR="0050099E" w:rsidRPr="00C35766" w:rsidRDefault="0050099E" w:rsidP="0050099E">
      <w:pPr>
        <w:spacing w:line="200" w:lineRule="exact"/>
        <w:rPr>
          <w:rFonts w:ascii="Times New Roman" w:hAnsi="Times New Roman" w:cs="Times New Roman"/>
          <w:sz w:val="20"/>
          <w:szCs w:val="20"/>
          <w:lang w:val="it-IT"/>
        </w:rPr>
      </w:pPr>
    </w:p>
    <w:p w14:paraId="6318CECA" w14:textId="77777777" w:rsidR="0050099E" w:rsidRPr="00C35766" w:rsidRDefault="0050099E" w:rsidP="0050099E">
      <w:pPr>
        <w:spacing w:line="200" w:lineRule="exact"/>
        <w:rPr>
          <w:rFonts w:ascii="Times New Roman" w:hAnsi="Times New Roman" w:cs="Times New Roman"/>
          <w:sz w:val="20"/>
          <w:szCs w:val="20"/>
          <w:lang w:val="it-IT"/>
        </w:rPr>
      </w:pPr>
    </w:p>
    <w:p w14:paraId="49C21704" w14:textId="77777777" w:rsidR="0050099E" w:rsidRPr="00C35766" w:rsidRDefault="0050099E" w:rsidP="00280E92">
      <w:pPr>
        <w:pStyle w:val="a4"/>
        <w:numPr>
          <w:ilvl w:val="0"/>
          <w:numId w:val="66"/>
        </w:numPr>
        <w:spacing w:line="240" w:lineRule="exact"/>
        <w:rPr>
          <w:rFonts w:ascii="Times New Roman" w:hAnsi="Times New Roman" w:cs="Times New Roman"/>
          <w:b/>
        </w:rPr>
      </w:pPr>
      <w:r w:rsidRPr="00C35766">
        <w:rPr>
          <w:rFonts w:ascii="Times New Roman" w:eastAsia="Times New Roman" w:hAnsi="Times New Roman" w:cs="Times New Roman"/>
          <w:b/>
          <w:bCs/>
          <w:lang w:val="it-IT"/>
        </w:rPr>
        <w:t>Possibili effetti indesiderati</w:t>
      </w:r>
    </w:p>
    <w:p w14:paraId="35F9C30E" w14:textId="77777777" w:rsidR="0050099E" w:rsidRPr="00C35766" w:rsidRDefault="0050099E" w:rsidP="0050099E">
      <w:pPr>
        <w:spacing w:before="12" w:line="240" w:lineRule="exact"/>
        <w:rPr>
          <w:rFonts w:ascii="Times New Roman" w:hAnsi="Times New Roman" w:cs="Times New Roman"/>
          <w:sz w:val="24"/>
          <w:szCs w:val="24"/>
        </w:rPr>
      </w:pPr>
    </w:p>
    <w:p w14:paraId="49BCB851" w14:textId="77777777" w:rsidR="0050099E" w:rsidRPr="00C35766" w:rsidRDefault="0050099E" w:rsidP="0050099E">
      <w:pPr>
        <w:pStyle w:val="a3"/>
        <w:rPr>
          <w:lang w:val="pt-BR"/>
        </w:rPr>
      </w:pPr>
      <w:r w:rsidRPr="00C35766">
        <w:rPr>
          <w:rFonts w:eastAsia="Times New Roman"/>
          <w:lang w:val="it-IT"/>
        </w:rPr>
        <w:t>Come tutti i medicinali, questo medicinale può causare effetti indesiderati sebbene non tutte le persone li manifestino. La maggior parte degli effetti indesiderati si presenta in forma da lieve a moderata. Tuttavia, alcuni possono essere gravi e richiedere trattamento. Effetti indesiderati possono manifestarsi fino a 4 mesi dall’ultima iniezione di Yuflyma.</w:t>
      </w:r>
    </w:p>
    <w:p w14:paraId="67F7D929" w14:textId="77777777" w:rsidR="0050099E" w:rsidRPr="00C35766" w:rsidRDefault="0050099E" w:rsidP="0050099E">
      <w:pPr>
        <w:spacing w:before="15" w:line="240" w:lineRule="exact"/>
        <w:rPr>
          <w:rFonts w:ascii="Times New Roman" w:hAnsi="Times New Roman" w:cs="Times New Roman"/>
          <w:sz w:val="24"/>
          <w:szCs w:val="24"/>
          <w:lang w:val="pt-BR"/>
        </w:rPr>
      </w:pPr>
    </w:p>
    <w:p w14:paraId="2A52DCA7" w14:textId="67D959D7" w:rsidR="0050099E" w:rsidRPr="00C35766" w:rsidRDefault="0050099E" w:rsidP="0050099E">
      <w:pPr>
        <w:pStyle w:val="a3"/>
        <w:rPr>
          <w:b/>
          <w:lang w:val="it-IT"/>
        </w:rPr>
      </w:pPr>
      <w:r w:rsidRPr="00C35766">
        <w:rPr>
          <w:rFonts w:eastAsia="Times New Roman"/>
          <w:b/>
          <w:bCs/>
          <w:lang w:val="it-IT"/>
        </w:rPr>
        <w:t xml:space="preserve">Informi </w:t>
      </w:r>
      <w:r w:rsidR="00660E7E" w:rsidRPr="00824699">
        <w:rPr>
          <w:b/>
          <w:lang w:val="it-IT"/>
        </w:rPr>
        <w:t>immediatamente</w:t>
      </w:r>
      <w:r w:rsidR="00660E7E" w:rsidRPr="00C35766">
        <w:rPr>
          <w:rFonts w:eastAsia="Times New Roman"/>
          <w:b/>
          <w:bCs/>
          <w:lang w:val="it-IT"/>
        </w:rPr>
        <w:t xml:space="preserve"> </w:t>
      </w:r>
      <w:r w:rsidRPr="00C35766">
        <w:rPr>
          <w:rFonts w:eastAsia="Times New Roman"/>
          <w:b/>
          <w:bCs/>
          <w:lang w:val="it-IT"/>
        </w:rPr>
        <w:t xml:space="preserve">il medico se nota </w:t>
      </w:r>
      <w:r w:rsidR="00660E7E" w:rsidRPr="00C35766">
        <w:rPr>
          <w:rFonts w:eastAsia="Times New Roman"/>
          <w:b/>
          <w:bCs/>
          <w:lang w:val="it-IT"/>
        </w:rPr>
        <w:t>una</w:t>
      </w:r>
      <w:r w:rsidRPr="00C35766">
        <w:rPr>
          <w:rFonts w:eastAsia="Times New Roman"/>
          <w:b/>
          <w:bCs/>
          <w:lang w:val="it-IT"/>
        </w:rPr>
        <w:t xml:space="preserve"> qualsiasi </w:t>
      </w:r>
      <w:r w:rsidR="00660E7E" w:rsidRPr="00C35766">
        <w:rPr>
          <w:rFonts w:eastAsia="Times New Roman"/>
          <w:b/>
          <w:bCs/>
          <w:lang w:val="it-IT"/>
        </w:rPr>
        <w:t>delle</w:t>
      </w:r>
      <w:r w:rsidRPr="00C35766">
        <w:rPr>
          <w:rFonts w:eastAsia="Times New Roman"/>
          <w:b/>
          <w:bCs/>
          <w:lang w:val="it-IT"/>
        </w:rPr>
        <w:t xml:space="preserve"> seguenti </w:t>
      </w:r>
      <w:r w:rsidR="00660E7E" w:rsidRPr="00C35766">
        <w:rPr>
          <w:rFonts w:eastAsia="Times New Roman"/>
          <w:b/>
          <w:bCs/>
          <w:lang w:val="it-IT"/>
        </w:rPr>
        <w:t>reazioni</w:t>
      </w:r>
    </w:p>
    <w:p w14:paraId="47E7B594" w14:textId="3816E8D2" w:rsidR="0050099E" w:rsidRPr="00C35766" w:rsidRDefault="0050099E" w:rsidP="0050099E">
      <w:pPr>
        <w:spacing w:before="10" w:line="240" w:lineRule="exact"/>
        <w:rPr>
          <w:rFonts w:ascii="Times New Roman" w:hAnsi="Times New Roman" w:cs="Times New Roman"/>
          <w:sz w:val="24"/>
          <w:lang w:val="it-IT"/>
        </w:rPr>
      </w:pPr>
    </w:p>
    <w:p w14:paraId="1F2DD079"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eruzione cutanea grave, orticaria o altri segni di reazione allergica</w:t>
      </w:r>
    </w:p>
    <w:p w14:paraId="3BA38667"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gonfiore del viso, delle mani, dei piedi</w:t>
      </w:r>
    </w:p>
    <w:p w14:paraId="0B67EC19"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difficoltà a respirare, difficoltà a deglutire</w:t>
      </w:r>
    </w:p>
    <w:p w14:paraId="2CD923EB"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respiro corto sotto sforzo o in posizione sdraiata o piedi gonfi</w:t>
      </w:r>
    </w:p>
    <w:p w14:paraId="2143C7FD" w14:textId="77777777" w:rsidR="0050099E" w:rsidRPr="00C35766" w:rsidRDefault="0050099E" w:rsidP="0050099E">
      <w:pPr>
        <w:spacing w:before="15" w:line="240" w:lineRule="exact"/>
        <w:rPr>
          <w:rFonts w:ascii="Times New Roman" w:hAnsi="Times New Roman" w:cs="Times New Roman"/>
          <w:sz w:val="24"/>
          <w:lang w:val="it-IT"/>
        </w:rPr>
      </w:pPr>
    </w:p>
    <w:p w14:paraId="405BF1AD" w14:textId="4A217FD2" w:rsidR="0050099E" w:rsidRPr="00C35766" w:rsidRDefault="0050099E" w:rsidP="0050099E">
      <w:pPr>
        <w:pStyle w:val="a3"/>
        <w:rPr>
          <w:b/>
          <w:lang w:val="pt-BR"/>
        </w:rPr>
      </w:pPr>
      <w:r w:rsidRPr="00C35766">
        <w:rPr>
          <w:rFonts w:eastAsia="Times New Roman"/>
          <w:b/>
          <w:bCs/>
          <w:lang w:val="it-IT"/>
        </w:rPr>
        <w:t xml:space="preserve">Informi </w:t>
      </w:r>
      <w:r w:rsidR="00660E7E" w:rsidRPr="00C35766">
        <w:rPr>
          <w:rFonts w:eastAsia="Times New Roman"/>
          <w:b/>
          <w:bCs/>
          <w:lang w:val="it-IT"/>
        </w:rPr>
        <w:t>appena</w:t>
      </w:r>
      <w:r w:rsidRPr="00C35766">
        <w:rPr>
          <w:rFonts w:eastAsia="Times New Roman"/>
          <w:b/>
          <w:bCs/>
          <w:lang w:val="it-IT"/>
        </w:rPr>
        <w:t xml:space="preserve"> possibile </w:t>
      </w:r>
      <w:r w:rsidR="00660E7E" w:rsidRPr="00C35766">
        <w:rPr>
          <w:rFonts w:eastAsia="Times New Roman"/>
          <w:b/>
          <w:bCs/>
          <w:lang w:val="it-IT"/>
        </w:rPr>
        <w:t xml:space="preserve">il medico </w:t>
      </w:r>
      <w:r w:rsidRPr="00C35766">
        <w:rPr>
          <w:rFonts w:eastAsia="Times New Roman"/>
          <w:b/>
          <w:bCs/>
          <w:lang w:val="it-IT"/>
        </w:rPr>
        <w:t xml:space="preserve">se nota </w:t>
      </w:r>
      <w:r w:rsidR="00660E7E" w:rsidRPr="00C35766">
        <w:rPr>
          <w:rFonts w:eastAsia="Times New Roman"/>
          <w:b/>
          <w:bCs/>
          <w:lang w:val="it-IT"/>
        </w:rPr>
        <w:t>una</w:t>
      </w:r>
      <w:r w:rsidRPr="00C35766">
        <w:rPr>
          <w:rFonts w:eastAsia="Times New Roman"/>
          <w:b/>
          <w:bCs/>
          <w:lang w:val="it-IT"/>
        </w:rPr>
        <w:t xml:space="preserve"> qualsiasi </w:t>
      </w:r>
      <w:r w:rsidR="00660E7E" w:rsidRPr="00C35766">
        <w:rPr>
          <w:rFonts w:eastAsia="Times New Roman"/>
          <w:b/>
          <w:bCs/>
          <w:lang w:val="it-IT"/>
        </w:rPr>
        <w:t>delle</w:t>
      </w:r>
      <w:r w:rsidRPr="00C35766">
        <w:rPr>
          <w:rFonts w:eastAsia="Times New Roman"/>
          <w:b/>
          <w:bCs/>
          <w:lang w:val="it-IT"/>
        </w:rPr>
        <w:t xml:space="preserve"> seguenti </w:t>
      </w:r>
      <w:r w:rsidR="00660E7E" w:rsidRPr="00C35766">
        <w:rPr>
          <w:rFonts w:eastAsia="Times New Roman"/>
          <w:b/>
          <w:bCs/>
          <w:lang w:val="it-IT"/>
        </w:rPr>
        <w:t>reazioni</w:t>
      </w:r>
    </w:p>
    <w:p w14:paraId="22535F9A" w14:textId="77777777" w:rsidR="0050099E" w:rsidRPr="00C35766" w:rsidRDefault="0050099E" w:rsidP="0050099E">
      <w:pPr>
        <w:spacing w:before="10" w:line="240" w:lineRule="exact"/>
        <w:rPr>
          <w:rFonts w:ascii="Times New Roman" w:hAnsi="Times New Roman" w:cs="Times New Roman"/>
          <w:sz w:val="24"/>
          <w:szCs w:val="24"/>
          <w:lang w:val="pt-BR"/>
        </w:rPr>
      </w:pPr>
    </w:p>
    <w:p w14:paraId="7387640B"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segni di infezione come febbre, sensazione di malessere, ferite, problemi dentali, bruciore nell’urinare</w:t>
      </w:r>
    </w:p>
    <w:p w14:paraId="2C15F6AE" w14:textId="77777777" w:rsidR="0050099E" w:rsidRPr="00C35766" w:rsidRDefault="0050099E" w:rsidP="0050099E">
      <w:pPr>
        <w:pStyle w:val="a3"/>
        <w:numPr>
          <w:ilvl w:val="0"/>
          <w:numId w:val="15"/>
        </w:numPr>
        <w:ind w:left="660" w:hanging="660"/>
      </w:pPr>
      <w:r w:rsidRPr="00C35766">
        <w:rPr>
          <w:rFonts w:eastAsia="Times New Roman"/>
          <w:lang w:val="it-IT"/>
        </w:rPr>
        <w:t>sensazione di debolezza/stanchezza</w:t>
      </w:r>
    </w:p>
    <w:p w14:paraId="61A52E47" w14:textId="77777777" w:rsidR="0050099E" w:rsidRPr="00C35766" w:rsidRDefault="0050099E" w:rsidP="0050099E">
      <w:pPr>
        <w:pStyle w:val="a3"/>
        <w:numPr>
          <w:ilvl w:val="0"/>
          <w:numId w:val="15"/>
        </w:numPr>
        <w:ind w:left="660" w:hanging="660"/>
      </w:pPr>
      <w:r w:rsidRPr="00C35766">
        <w:rPr>
          <w:rFonts w:eastAsia="Times New Roman"/>
          <w:lang w:val="it-IT"/>
        </w:rPr>
        <w:t>tosse</w:t>
      </w:r>
    </w:p>
    <w:p w14:paraId="18ED350F" w14:textId="77777777" w:rsidR="0050099E" w:rsidRPr="00C35766" w:rsidRDefault="0050099E" w:rsidP="0050099E">
      <w:pPr>
        <w:pStyle w:val="a3"/>
        <w:numPr>
          <w:ilvl w:val="0"/>
          <w:numId w:val="15"/>
        </w:numPr>
        <w:ind w:left="660" w:hanging="660"/>
      </w:pPr>
      <w:r w:rsidRPr="00C35766">
        <w:rPr>
          <w:rFonts w:eastAsia="Times New Roman"/>
          <w:lang w:val="it-IT"/>
        </w:rPr>
        <w:t>formicolio</w:t>
      </w:r>
    </w:p>
    <w:p w14:paraId="5F193D11" w14:textId="77777777" w:rsidR="0050099E" w:rsidRPr="00C35766" w:rsidRDefault="0050099E" w:rsidP="0050099E">
      <w:pPr>
        <w:pStyle w:val="a3"/>
        <w:numPr>
          <w:ilvl w:val="0"/>
          <w:numId w:val="15"/>
        </w:numPr>
        <w:ind w:left="660" w:hanging="660"/>
      </w:pPr>
      <w:r w:rsidRPr="00C35766">
        <w:rPr>
          <w:rFonts w:eastAsia="Times New Roman"/>
          <w:lang w:val="it-IT"/>
        </w:rPr>
        <w:t>intorpidimento</w:t>
      </w:r>
    </w:p>
    <w:p w14:paraId="66488CFD" w14:textId="77777777" w:rsidR="0050099E" w:rsidRPr="00C35766" w:rsidRDefault="0050099E" w:rsidP="0050099E">
      <w:pPr>
        <w:pStyle w:val="a3"/>
        <w:numPr>
          <w:ilvl w:val="0"/>
          <w:numId w:val="15"/>
        </w:numPr>
        <w:ind w:left="660" w:hanging="660"/>
      </w:pPr>
      <w:r w:rsidRPr="00C35766">
        <w:rPr>
          <w:rFonts w:eastAsia="Times New Roman"/>
          <w:lang w:val="it-IT"/>
        </w:rPr>
        <w:t>sdoppiamento della vista</w:t>
      </w:r>
    </w:p>
    <w:p w14:paraId="0855C19F" w14:textId="77777777" w:rsidR="0050099E" w:rsidRPr="00C35766" w:rsidRDefault="0050099E" w:rsidP="0050099E">
      <w:pPr>
        <w:pStyle w:val="a3"/>
        <w:numPr>
          <w:ilvl w:val="0"/>
          <w:numId w:val="15"/>
        </w:numPr>
        <w:ind w:left="660" w:hanging="660"/>
      </w:pPr>
      <w:r w:rsidRPr="00C35766">
        <w:rPr>
          <w:rFonts w:eastAsia="Times New Roman"/>
          <w:lang w:val="it-IT"/>
        </w:rPr>
        <w:t>debolezza di braccia o gambe</w:t>
      </w:r>
    </w:p>
    <w:p w14:paraId="5CF19FF7"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gonfiore o piaga aperta che non guarisce</w:t>
      </w:r>
    </w:p>
    <w:p w14:paraId="3C92B134"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segni e sintomi che suggeriscono la comparsa di disturbi a carico del sistema emopoietico, come la presenza di febbre persistente, lividi,</w:t>
      </w:r>
      <w:r w:rsidRPr="00C35766" w:rsidDel="0067374F">
        <w:rPr>
          <w:rFonts w:eastAsia="Times New Roman"/>
          <w:lang w:val="it-IT"/>
        </w:rPr>
        <w:t xml:space="preserve"> </w:t>
      </w:r>
      <w:r w:rsidRPr="00C35766">
        <w:rPr>
          <w:rFonts w:eastAsia="Times New Roman"/>
          <w:lang w:val="it-IT"/>
        </w:rPr>
        <w:t>sanguinamento, pallore</w:t>
      </w:r>
    </w:p>
    <w:p w14:paraId="62A4F600" w14:textId="77777777" w:rsidR="0050099E" w:rsidRPr="00C35766" w:rsidRDefault="0050099E" w:rsidP="0050099E">
      <w:pPr>
        <w:pStyle w:val="a3"/>
        <w:numPr>
          <w:ilvl w:val="0"/>
          <w:numId w:val="0"/>
        </w:numPr>
        <w:ind w:left="660"/>
        <w:rPr>
          <w:lang w:val="it-IT"/>
        </w:rPr>
      </w:pPr>
    </w:p>
    <w:p w14:paraId="6D7E3D3B" w14:textId="77777777" w:rsidR="0050099E" w:rsidRPr="00C35766" w:rsidRDefault="0050099E" w:rsidP="0050099E">
      <w:pPr>
        <w:pStyle w:val="a3"/>
        <w:rPr>
          <w:lang w:val="pt-BR"/>
        </w:rPr>
      </w:pPr>
      <w:r w:rsidRPr="00C35766">
        <w:rPr>
          <w:rFonts w:eastAsia="Times New Roman"/>
          <w:lang w:val="it-IT"/>
        </w:rPr>
        <w:lastRenderedPageBreak/>
        <w:t>I sintomi sopra descritti possono essere segni dei seguenti effetti indesiderati, che sono stati osservati con Yuflyma.</w:t>
      </w:r>
    </w:p>
    <w:p w14:paraId="1EFFFB78" w14:textId="77777777" w:rsidR="0050099E" w:rsidRPr="00C35766" w:rsidRDefault="0050099E" w:rsidP="0050099E">
      <w:pPr>
        <w:spacing w:before="10" w:line="240" w:lineRule="exact"/>
        <w:rPr>
          <w:rFonts w:ascii="Times New Roman" w:hAnsi="Times New Roman" w:cs="Times New Roman"/>
          <w:sz w:val="24"/>
          <w:szCs w:val="24"/>
          <w:lang w:val="pt-BR"/>
        </w:rPr>
      </w:pPr>
    </w:p>
    <w:p w14:paraId="5D5EE7F5" w14:textId="77777777" w:rsidR="0050099E" w:rsidRPr="00C35766" w:rsidRDefault="0050099E" w:rsidP="0050099E">
      <w:pPr>
        <w:pStyle w:val="a3"/>
        <w:rPr>
          <w:lang w:val="pt-BR"/>
        </w:rPr>
      </w:pPr>
      <w:r w:rsidRPr="00C35766">
        <w:rPr>
          <w:rFonts w:eastAsia="Times New Roman"/>
          <w:b/>
          <w:bCs/>
          <w:lang w:val="it-IT"/>
        </w:rPr>
        <w:t xml:space="preserve">Molto comuni </w:t>
      </w:r>
      <w:r w:rsidRPr="00C35766">
        <w:rPr>
          <w:rFonts w:eastAsia="Times New Roman"/>
          <w:lang w:val="it-IT"/>
        </w:rPr>
        <w:t>(possono interessare più di 1 persona su 10)</w:t>
      </w:r>
    </w:p>
    <w:p w14:paraId="1CF59924" w14:textId="77777777" w:rsidR="0050099E" w:rsidRPr="00C35766" w:rsidRDefault="0050099E" w:rsidP="0050099E">
      <w:pPr>
        <w:spacing w:before="14" w:line="240" w:lineRule="exact"/>
        <w:rPr>
          <w:rFonts w:ascii="Times New Roman" w:hAnsi="Times New Roman" w:cs="Times New Roman"/>
          <w:sz w:val="24"/>
          <w:szCs w:val="24"/>
          <w:lang w:val="pt-BR"/>
        </w:rPr>
      </w:pPr>
    </w:p>
    <w:p w14:paraId="1500CC94"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reazioni nella sede d’iniezione (tra cui dolore, gonfiore, arrossamento o prurito)</w:t>
      </w:r>
    </w:p>
    <w:p w14:paraId="5AB4FCB7"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delle vie respiratorie (tra cui raffreddore, naso che cola, sinusite e polmonite)</w:t>
      </w:r>
    </w:p>
    <w:p w14:paraId="6C4FE619" w14:textId="77777777" w:rsidR="0050099E" w:rsidRPr="00C35766" w:rsidRDefault="0050099E" w:rsidP="0050099E">
      <w:pPr>
        <w:pStyle w:val="a3"/>
        <w:numPr>
          <w:ilvl w:val="0"/>
          <w:numId w:val="15"/>
        </w:numPr>
        <w:ind w:left="660" w:hanging="660"/>
      </w:pPr>
      <w:r w:rsidRPr="00C35766">
        <w:rPr>
          <w:rFonts w:eastAsia="Times New Roman"/>
          <w:lang w:val="it-IT"/>
        </w:rPr>
        <w:t>mal di testa</w:t>
      </w:r>
    </w:p>
    <w:p w14:paraId="503B4351" w14:textId="77777777" w:rsidR="0050099E" w:rsidRPr="00C35766" w:rsidRDefault="0050099E" w:rsidP="0050099E">
      <w:pPr>
        <w:pStyle w:val="a3"/>
        <w:numPr>
          <w:ilvl w:val="0"/>
          <w:numId w:val="15"/>
        </w:numPr>
        <w:ind w:left="660" w:hanging="660"/>
      </w:pPr>
      <w:r w:rsidRPr="00C35766">
        <w:rPr>
          <w:rFonts w:eastAsia="Times New Roman"/>
          <w:lang w:val="it-IT"/>
        </w:rPr>
        <w:t>dolore addominale</w:t>
      </w:r>
    </w:p>
    <w:p w14:paraId="0C926C8C" w14:textId="77777777" w:rsidR="0050099E" w:rsidRPr="00C35766" w:rsidRDefault="0050099E" w:rsidP="0050099E">
      <w:pPr>
        <w:pStyle w:val="a3"/>
        <w:numPr>
          <w:ilvl w:val="0"/>
          <w:numId w:val="15"/>
        </w:numPr>
        <w:ind w:left="660" w:hanging="660"/>
      </w:pPr>
      <w:r w:rsidRPr="00C35766">
        <w:rPr>
          <w:rFonts w:eastAsia="Times New Roman"/>
          <w:lang w:val="it-IT"/>
        </w:rPr>
        <w:t>nausea e vomito</w:t>
      </w:r>
    </w:p>
    <w:p w14:paraId="685ADC79" w14:textId="77777777" w:rsidR="0050099E" w:rsidRPr="00C35766" w:rsidRDefault="0050099E" w:rsidP="0050099E">
      <w:pPr>
        <w:pStyle w:val="a3"/>
        <w:numPr>
          <w:ilvl w:val="0"/>
          <w:numId w:val="15"/>
        </w:numPr>
        <w:ind w:left="660" w:hanging="660"/>
      </w:pPr>
      <w:r w:rsidRPr="00C35766">
        <w:rPr>
          <w:rFonts w:eastAsia="Times New Roman"/>
          <w:lang w:val="it-IT"/>
        </w:rPr>
        <w:t>eruzione cutanea</w:t>
      </w:r>
    </w:p>
    <w:p w14:paraId="00C8EED8" w14:textId="5B63C114" w:rsidR="0050099E" w:rsidRPr="00C35766" w:rsidRDefault="00B40428" w:rsidP="0050099E">
      <w:pPr>
        <w:pStyle w:val="a3"/>
        <w:numPr>
          <w:ilvl w:val="0"/>
          <w:numId w:val="15"/>
        </w:numPr>
        <w:ind w:left="660" w:hanging="660"/>
      </w:pPr>
      <w:r>
        <w:rPr>
          <w:rFonts w:eastAsia="Times New Roman"/>
          <w:lang w:val="it-IT"/>
        </w:rPr>
        <w:t>d</w:t>
      </w:r>
      <w:r w:rsidR="0050099E" w:rsidRPr="00C35766">
        <w:rPr>
          <w:rFonts w:eastAsia="Times New Roman"/>
          <w:lang w:val="it-IT"/>
        </w:rPr>
        <w:t>olore muscoloscheletrico</w:t>
      </w:r>
    </w:p>
    <w:p w14:paraId="377F82A0" w14:textId="77777777" w:rsidR="0050099E" w:rsidRPr="00C35766" w:rsidRDefault="0050099E" w:rsidP="0050099E">
      <w:pPr>
        <w:pStyle w:val="a3"/>
        <w:numPr>
          <w:ilvl w:val="0"/>
          <w:numId w:val="0"/>
        </w:numPr>
      </w:pPr>
    </w:p>
    <w:p w14:paraId="31C309C5" w14:textId="77777777" w:rsidR="0050099E" w:rsidRPr="00C35766" w:rsidRDefault="0050099E" w:rsidP="0050099E">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225AA11C" w14:textId="77777777" w:rsidR="0050099E" w:rsidRPr="00C35766" w:rsidRDefault="0050099E" w:rsidP="0050099E">
      <w:pPr>
        <w:spacing w:before="14" w:line="240" w:lineRule="exact"/>
        <w:rPr>
          <w:rFonts w:ascii="Times New Roman" w:hAnsi="Times New Roman" w:cs="Times New Roman"/>
          <w:sz w:val="24"/>
          <w:szCs w:val="24"/>
          <w:lang w:val="pt-BR"/>
        </w:rPr>
      </w:pPr>
    </w:p>
    <w:p w14:paraId="09E38126"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gravi (tra cui setticemia ed influenza)</w:t>
      </w:r>
    </w:p>
    <w:p w14:paraId="77DE3756"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infezioni intestinali (tra cui gastroenterite)</w:t>
      </w:r>
    </w:p>
    <w:p w14:paraId="22FDE8B6"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infezioni della pelle (tra cui cellulite e infezione da Herpes Zoster)</w:t>
      </w:r>
    </w:p>
    <w:p w14:paraId="01D55B5F" w14:textId="77777777" w:rsidR="0050099E" w:rsidRPr="00C35766" w:rsidRDefault="0050099E" w:rsidP="0050099E">
      <w:pPr>
        <w:pStyle w:val="a3"/>
        <w:numPr>
          <w:ilvl w:val="0"/>
          <w:numId w:val="15"/>
        </w:numPr>
        <w:ind w:left="660" w:hanging="660"/>
      </w:pPr>
      <w:r w:rsidRPr="00C35766">
        <w:rPr>
          <w:rFonts w:eastAsia="Times New Roman"/>
          <w:lang w:val="it-IT"/>
        </w:rPr>
        <w:t>infezioni dell’orecchio</w:t>
      </w:r>
    </w:p>
    <w:p w14:paraId="711F0966" w14:textId="59624551" w:rsidR="0050099E" w:rsidRPr="00C35766" w:rsidRDefault="0050099E" w:rsidP="0050099E">
      <w:pPr>
        <w:pStyle w:val="a3"/>
        <w:numPr>
          <w:ilvl w:val="0"/>
          <w:numId w:val="15"/>
        </w:numPr>
        <w:ind w:left="660" w:hanging="660"/>
        <w:rPr>
          <w:lang w:val="pt-BR"/>
        </w:rPr>
      </w:pPr>
      <w:r w:rsidRPr="00C35766">
        <w:rPr>
          <w:rFonts w:eastAsia="Times New Roman"/>
          <w:lang w:val="it-IT"/>
        </w:rPr>
        <w:t xml:space="preserve">infezioni orali (tra cui infezioni dei denti ed herpes </w:t>
      </w:r>
      <w:r w:rsidR="00842603" w:rsidRPr="00075E40">
        <w:rPr>
          <w:rFonts w:eastAsia="Times New Roman"/>
          <w:lang w:val="it-IT"/>
        </w:rPr>
        <w:t>labiali</w:t>
      </w:r>
      <w:r w:rsidRPr="00C35766">
        <w:rPr>
          <w:rFonts w:eastAsia="Times New Roman"/>
          <w:lang w:val="it-IT"/>
        </w:rPr>
        <w:t>)</w:t>
      </w:r>
    </w:p>
    <w:p w14:paraId="4EB88F9C" w14:textId="77777777" w:rsidR="0050099E" w:rsidRPr="00C35766" w:rsidRDefault="0050099E" w:rsidP="0050099E">
      <w:pPr>
        <w:pStyle w:val="a3"/>
        <w:numPr>
          <w:ilvl w:val="0"/>
          <w:numId w:val="15"/>
        </w:numPr>
        <w:ind w:left="660" w:hanging="660"/>
      </w:pPr>
      <w:r w:rsidRPr="00C35766">
        <w:rPr>
          <w:rFonts w:eastAsia="Times New Roman"/>
          <w:lang w:val="it-IT"/>
        </w:rPr>
        <w:t>infezioni dell’apparato riproduttivo</w:t>
      </w:r>
    </w:p>
    <w:p w14:paraId="196A2054" w14:textId="69037805" w:rsidR="0050099E" w:rsidRPr="00C35766" w:rsidRDefault="00D53FB4" w:rsidP="0050099E">
      <w:pPr>
        <w:pStyle w:val="a3"/>
        <w:numPr>
          <w:ilvl w:val="0"/>
          <w:numId w:val="15"/>
        </w:numPr>
        <w:ind w:left="660" w:hanging="660"/>
      </w:pPr>
      <w:r>
        <w:rPr>
          <w:rFonts w:eastAsia="Times New Roman"/>
          <w:lang w:val="it-IT"/>
        </w:rPr>
        <w:t>i</w:t>
      </w:r>
      <w:r w:rsidR="0050099E" w:rsidRPr="00C35766">
        <w:rPr>
          <w:rFonts w:eastAsia="Times New Roman"/>
          <w:lang w:val="it-IT"/>
        </w:rPr>
        <w:t>nfezione delle vie urinarie</w:t>
      </w:r>
    </w:p>
    <w:p w14:paraId="1766E307" w14:textId="77777777" w:rsidR="0050099E" w:rsidRPr="00C35766" w:rsidRDefault="0050099E" w:rsidP="0050099E">
      <w:pPr>
        <w:pStyle w:val="a3"/>
        <w:numPr>
          <w:ilvl w:val="0"/>
          <w:numId w:val="15"/>
        </w:numPr>
        <w:ind w:left="660" w:hanging="660"/>
      </w:pPr>
      <w:r w:rsidRPr="00C35766">
        <w:rPr>
          <w:rFonts w:eastAsia="Times New Roman"/>
          <w:lang w:val="it-IT"/>
        </w:rPr>
        <w:t>infezioni fungine</w:t>
      </w:r>
    </w:p>
    <w:p w14:paraId="612032F9" w14:textId="77777777" w:rsidR="0050099E" w:rsidRPr="00C35766" w:rsidRDefault="0050099E" w:rsidP="0050099E">
      <w:pPr>
        <w:pStyle w:val="a3"/>
        <w:numPr>
          <w:ilvl w:val="0"/>
          <w:numId w:val="15"/>
        </w:numPr>
        <w:ind w:left="660" w:hanging="660"/>
      </w:pPr>
      <w:r w:rsidRPr="00C35766">
        <w:rPr>
          <w:rFonts w:eastAsia="Times New Roman"/>
          <w:lang w:val="it-IT"/>
        </w:rPr>
        <w:t>infezioni a carico delle articolazioni</w:t>
      </w:r>
    </w:p>
    <w:p w14:paraId="2B505379" w14:textId="77777777" w:rsidR="0050099E" w:rsidRPr="00C35766" w:rsidRDefault="0050099E" w:rsidP="0050099E">
      <w:pPr>
        <w:pStyle w:val="a3"/>
        <w:numPr>
          <w:ilvl w:val="0"/>
          <w:numId w:val="15"/>
        </w:numPr>
        <w:ind w:left="660" w:hanging="660"/>
      </w:pPr>
      <w:r w:rsidRPr="00C35766">
        <w:rPr>
          <w:rFonts w:eastAsia="Times New Roman"/>
          <w:lang w:val="it-IT"/>
        </w:rPr>
        <w:t>tumori benigni</w:t>
      </w:r>
    </w:p>
    <w:p w14:paraId="439F1AB4" w14:textId="77777777" w:rsidR="0050099E" w:rsidRPr="00C35766" w:rsidRDefault="0050099E" w:rsidP="0050099E">
      <w:pPr>
        <w:pStyle w:val="a3"/>
        <w:numPr>
          <w:ilvl w:val="0"/>
          <w:numId w:val="15"/>
        </w:numPr>
        <w:ind w:left="660" w:hanging="660"/>
      </w:pPr>
      <w:r w:rsidRPr="00C35766">
        <w:rPr>
          <w:rFonts w:eastAsia="Times New Roman"/>
          <w:lang w:val="it-IT"/>
        </w:rPr>
        <w:t>tumore della pelle</w:t>
      </w:r>
    </w:p>
    <w:p w14:paraId="49D04BC0" w14:textId="77777777" w:rsidR="0050099E" w:rsidRPr="002062B2" w:rsidRDefault="0050099E" w:rsidP="0050099E">
      <w:pPr>
        <w:pStyle w:val="a3"/>
        <w:numPr>
          <w:ilvl w:val="0"/>
          <w:numId w:val="15"/>
        </w:numPr>
        <w:ind w:left="660" w:hanging="660"/>
        <w:rPr>
          <w:lang w:val="de-CH"/>
        </w:rPr>
      </w:pPr>
      <w:r w:rsidRPr="00C35766">
        <w:rPr>
          <w:rFonts w:eastAsia="Times New Roman"/>
          <w:lang w:val="it-IT"/>
        </w:rPr>
        <w:t>reazioni allergiche (tra cui allergia stagionale)</w:t>
      </w:r>
    </w:p>
    <w:p w14:paraId="56F6CEDA" w14:textId="77777777" w:rsidR="0050099E" w:rsidRPr="00C35766" w:rsidRDefault="0050099E" w:rsidP="0050099E">
      <w:pPr>
        <w:pStyle w:val="a3"/>
        <w:numPr>
          <w:ilvl w:val="0"/>
          <w:numId w:val="15"/>
        </w:numPr>
        <w:ind w:left="660" w:hanging="660"/>
      </w:pPr>
      <w:r w:rsidRPr="00C35766">
        <w:rPr>
          <w:rFonts w:eastAsia="Times New Roman"/>
          <w:lang w:val="it-IT"/>
        </w:rPr>
        <w:t>disidratazione</w:t>
      </w:r>
    </w:p>
    <w:p w14:paraId="556A73AF"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cambiamenti di umore (inclusa depressione)</w:t>
      </w:r>
    </w:p>
    <w:p w14:paraId="6FE4EF64" w14:textId="77777777" w:rsidR="0050099E" w:rsidRPr="00C35766" w:rsidRDefault="0050099E" w:rsidP="0050099E">
      <w:pPr>
        <w:pStyle w:val="a3"/>
        <w:numPr>
          <w:ilvl w:val="0"/>
          <w:numId w:val="15"/>
        </w:numPr>
        <w:ind w:left="660" w:hanging="660"/>
      </w:pPr>
      <w:r w:rsidRPr="00C35766">
        <w:rPr>
          <w:rFonts w:eastAsia="Times New Roman"/>
          <w:lang w:val="it-IT"/>
        </w:rPr>
        <w:t>ansia</w:t>
      </w:r>
    </w:p>
    <w:p w14:paraId="3CC0C1F8" w14:textId="77777777" w:rsidR="0050099E" w:rsidRPr="00C35766" w:rsidRDefault="0050099E" w:rsidP="0050099E">
      <w:pPr>
        <w:pStyle w:val="a3"/>
        <w:numPr>
          <w:ilvl w:val="0"/>
          <w:numId w:val="15"/>
        </w:numPr>
        <w:ind w:left="660" w:hanging="660"/>
      </w:pPr>
      <w:r w:rsidRPr="00C35766">
        <w:rPr>
          <w:rFonts w:eastAsia="Times New Roman"/>
          <w:lang w:val="it-IT"/>
        </w:rPr>
        <w:t>difficoltà a dormire</w:t>
      </w:r>
    </w:p>
    <w:p w14:paraId="49DE1DA3"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disturbi della sensibilità come formicolii, sensazione di fitte o intorpidimento</w:t>
      </w:r>
    </w:p>
    <w:p w14:paraId="6923C82F" w14:textId="77777777" w:rsidR="0050099E" w:rsidRPr="00C35766" w:rsidRDefault="0050099E" w:rsidP="0050099E">
      <w:pPr>
        <w:pStyle w:val="a3"/>
        <w:numPr>
          <w:ilvl w:val="0"/>
          <w:numId w:val="15"/>
        </w:numPr>
        <w:ind w:left="660" w:hanging="660"/>
      </w:pPr>
      <w:r w:rsidRPr="00C35766">
        <w:rPr>
          <w:rFonts w:eastAsia="Times New Roman"/>
          <w:lang w:val="it-IT"/>
        </w:rPr>
        <w:t>emicrania</w:t>
      </w:r>
    </w:p>
    <w:p w14:paraId="1CC3A857"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compressione di radice nervosa (tra cui dolore lombare e dolore alle gambe)</w:t>
      </w:r>
    </w:p>
    <w:p w14:paraId="191DCF59" w14:textId="77777777" w:rsidR="0050099E" w:rsidRPr="00C35766" w:rsidRDefault="0050099E" w:rsidP="0050099E">
      <w:pPr>
        <w:pStyle w:val="a3"/>
        <w:numPr>
          <w:ilvl w:val="0"/>
          <w:numId w:val="15"/>
        </w:numPr>
        <w:ind w:left="660" w:hanging="660"/>
      </w:pPr>
      <w:r w:rsidRPr="00C35766">
        <w:rPr>
          <w:rFonts w:eastAsia="Times New Roman"/>
          <w:lang w:val="it-IT"/>
        </w:rPr>
        <w:t>disturbi visivi</w:t>
      </w:r>
    </w:p>
    <w:p w14:paraId="27A85696" w14:textId="77777777" w:rsidR="0050099E" w:rsidRPr="00C35766" w:rsidRDefault="0050099E" w:rsidP="0050099E">
      <w:pPr>
        <w:pStyle w:val="a3"/>
        <w:numPr>
          <w:ilvl w:val="0"/>
          <w:numId w:val="15"/>
        </w:numPr>
        <w:ind w:left="660" w:hanging="660"/>
      </w:pPr>
      <w:r w:rsidRPr="00C35766">
        <w:rPr>
          <w:rFonts w:eastAsia="Times New Roman"/>
          <w:lang w:val="it-IT"/>
        </w:rPr>
        <w:t>infiammazione degli occhi</w:t>
      </w:r>
    </w:p>
    <w:p w14:paraId="000E7663" w14:textId="77777777" w:rsidR="0050099E" w:rsidRPr="002062B2" w:rsidRDefault="0050099E" w:rsidP="0050099E">
      <w:pPr>
        <w:pStyle w:val="a3"/>
        <w:numPr>
          <w:ilvl w:val="0"/>
          <w:numId w:val="15"/>
        </w:numPr>
        <w:ind w:left="660" w:hanging="660"/>
        <w:rPr>
          <w:lang w:val="de-CH"/>
        </w:rPr>
      </w:pPr>
      <w:r w:rsidRPr="00C35766">
        <w:rPr>
          <w:rFonts w:eastAsia="Times New Roman"/>
          <w:lang w:val="it-IT"/>
        </w:rPr>
        <w:t>infiammazione delle palpebre e tumefazione degli occhi</w:t>
      </w:r>
    </w:p>
    <w:p w14:paraId="45E068C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vertigini (sensazione di capogiro o rotazione)</w:t>
      </w:r>
    </w:p>
    <w:p w14:paraId="4D20E965" w14:textId="77777777" w:rsidR="0050099E" w:rsidRPr="00C35766" w:rsidRDefault="0050099E" w:rsidP="0050099E">
      <w:pPr>
        <w:pStyle w:val="a3"/>
        <w:numPr>
          <w:ilvl w:val="0"/>
          <w:numId w:val="15"/>
        </w:numPr>
        <w:ind w:left="660" w:hanging="660"/>
      </w:pPr>
      <w:r w:rsidRPr="00C35766">
        <w:rPr>
          <w:rFonts w:eastAsia="Times New Roman"/>
          <w:lang w:val="it-IT"/>
        </w:rPr>
        <w:t>sensazione di battito cardiaco accelerato</w:t>
      </w:r>
    </w:p>
    <w:p w14:paraId="02A6B145" w14:textId="77777777" w:rsidR="0050099E" w:rsidRPr="00C35766" w:rsidRDefault="0050099E" w:rsidP="0050099E">
      <w:pPr>
        <w:pStyle w:val="a3"/>
        <w:numPr>
          <w:ilvl w:val="0"/>
          <w:numId w:val="15"/>
        </w:numPr>
        <w:ind w:left="660" w:hanging="660"/>
      </w:pPr>
      <w:r w:rsidRPr="00C35766">
        <w:rPr>
          <w:rFonts w:eastAsia="Times New Roman"/>
          <w:lang w:val="it-IT"/>
        </w:rPr>
        <w:t>pressione sanguigna elevata</w:t>
      </w:r>
    </w:p>
    <w:p w14:paraId="4FEB54EB" w14:textId="77777777" w:rsidR="0050099E" w:rsidRPr="00C35766" w:rsidRDefault="0050099E" w:rsidP="0050099E">
      <w:pPr>
        <w:pStyle w:val="a3"/>
        <w:numPr>
          <w:ilvl w:val="0"/>
          <w:numId w:val="15"/>
        </w:numPr>
        <w:ind w:left="660" w:hanging="660"/>
      </w:pPr>
      <w:r w:rsidRPr="00C35766">
        <w:rPr>
          <w:rFonts w:eastAsia="Times New Roman"/>
          <w:lang w:val="it-IT"/>
        </w:rPr>
        <w:t>vampate</w:t>
      </w:r>
    </w:p>
    <w:p w14:paraId="1225A5B3"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ematoma (accumulo di sangue al di fuori dei vasi sanguigni)</w:t>
      </w:r>
    </w:p>
    <w:p w14:paraId="495284D7" w14:textId="77777777" w:rsidR="0050099E" w:rsidRPr="00C35766" w:rsidRDefault="0050099E" w:rsidP="0050099E">
      <w:pPr>
        <w:pStyle w:val="a3"/>
        <w:numPr>
          <w:ilvl w:val="0"/>
          <w:numId w:val="15"/>
        </w:numPr>
        <w:ind w:left="660" w:hanging="660"/>
      </w:pPr>
      <w:r w:rsidRPr="00C35766">
        <w:rPr>
          <w:rFonts w:eastAsia="Times New Roman"/>
          <w:lang w:val="it-IT"/>
        </w:rPr>
        <w:t>tosse</w:t>
      </w:r>
    </w:p>
    <w:p w14:paraId="7DBF0A83" w14:textId="77777777" w:rsidR="0050099E" w:rsidRPr="00C35766" w:rsidRDefault="0050099E" w:rsidP="0050099E">
      <w:pPr>
        <w:pStyle w:val="a3"/>
        <w:numPr>
          <w:ilvl w:val="0"/>
          <w:numId w:val="15"/>
        </w:numPr>
        <w:ind w:left="660" w:hanging="660"/>
      </w:pPr>
      <w:r w:rsidRPr="00C35766">
        <w:rPr>
          <w:rFonts w:eastAsia="Times New Roman"/>
          <w:lang w:val="it-IT"/>
        </w:rPr>
        <w:t>asma</w:t>
      </w:r>
    </w:p>
    <w:p w14:paraId="25033EB3" w14:textId="77777777" w:rsidR="0050099E" w:rsidRPr="00C35766" w:rsidRDefault="0050099E" w:rsidP="0050099E">
      <w:pPr>
        <w:pStyle w:val="a3"/>
        <w:numPr>
          <w:ilvl w:val="0"/>
          <w:numId w:val="15"/>
        </w:numPr>
        <w:ind w:left="660" w:hanging="660"/>
      </w:pPr>
      <w:r w:rsidRPr="00C35766">
        <w:rPr>
          <w:rFonts w:eastAsia="Times New Roman"/>
          <w:lang w:val="it-IT"/>
        </w:rPr>
        <w:t>respiro affannoso</w:t>
      </w:r>
    </w:p>
    <w:p w14:paraId="08891D4A" w14:textId="77777777" w:rsidR="0050099E" w:rsidRPr="00C35766" w:rsidRDefault="0050099E" w:rsidP="0050099E">
      <w:pPr>
        <w:pStyle w:val="a3"/>
        <w:numPr>
          <w:ilvl w:val="0"/>
          <w:numId w:val="15"/>
        </w:numPr>
        <w:ind w:left="660" w:hanging="660"/>
      </w:pPr>
      <w:r w:rsidRPr="00C35766">
        <w:rPr>
          <w:rFonts w:eastAsia="Times New Roman"/>
          <w:lang w:val="it-IT"/>
        </w:rPr>
        <w:t>sanguinamento gastrointestinale</w:t>
      </w:r>
    </w:p>
    <w:p w14:paraId="0F35659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dispepsia (indigestione, gonfiore, bruciore di stomaco)</w:t>
      </w:r>
    </w:p>
    <w:p w14:paraId="0E8642AC" w14:textId="77777777" w:rsidR="0050099E" w:rsidRPr="00C35766" w:rsidRDefault="0050099E" w:rsidP="0050099E">
      <w:pPr>
        <w:pStyle w:val="a3"/>
        <w:numPr>
          <w:ilvl w:val="0"/>
          <w:numId w:val="15"/>
        </w:numPr>
        <w:ind w:left="660" w:hanging="660"/>
      </w:pPr>
      <w:r w:rsidRPr="00C35766">
        <w:rPr>
          <w:rFonts w:eastAsia="Times New Roman"/>
          <w:lang w:val="it-IT"/>
        </w:rPr>
        <w:t>disturbo da reflusso acido</w:t>
      </w:r>
    </w:p>
    <w:p w14:paraId="4FB86F8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sindrome sicca (tra cui secchezza degli occhi e della bocca)</w:t>
      </w:r>
    </w:p>
    <w:p w14:paraId="719BDDAB" w14:textId="77777777" w:rsidR="0050099E" w:rsidRPr="00C35766" w:rsidRDefault="0050099E" w:rsidP="0050099E">
      <w:pPr>
        <w:pStyle w:val="a3"/>
        <w:numPr>
          <w:ilvl w:val="0"/>
          <w:numId w:val="15"/>
        </w:numPr>
        <w:ind w:left="660" w:hanging="660"/>
      </w:pPr>
      <w:r w:rsidRPr="00C35766">
        <w:rPr>
          <w:rFonts w:eastAsia="Times New Roman"/>
          <w:lang w:val="it-IT"/>
        </w:rPr>
        <w:t>prurito</w:t>
      </w:r>
    </w:p>
    <w:p w14:paraId="0393CF7A" w14:textId="77777777" w:rsidR="0050099E" w:rsidRPr="00C35766" w:rsidRDefault="0050099E" w:rsidP="0050099E">
      <w:pPr>
        <w:pStyle w:val="a3"/>
        <w:numPr>
          <w:ilvl w:val="0"/>
          <w:numId w:val="15"/>
        </w:numPr>
        <w:ind w:left="660" w:hanging="660"/>
        <w:rPr>
          <w:rFonts w:eastAsia="Times New Roman"/>
          <w:spacing w:val="-1"/>
        </w:rPr>
      </w:pPr>
      <w:r w:rsidRPr="00C35766">
        <w:rPr>
          <w:rFonts w:eastAsia="Times New Roman"/>
          <w:lang w:val="it-IT"/>
        </w:rPr>
        <w:t>eruzione cutanea pruriginosa</w:t>
      </w:r>
    </w:p>
    <w:p w14:paraId="588B3397" w14:textId="77777777" w:rsidR="0050099E" w:rsidRPr="00C35766" w:rsidRDefault="0050099E" w:rsidP="0050099E">
      <w:pPr>
        <w:pStyle w:val="a3"/>
        <w:numPr>
          <w:ilvl w:val="0"/>
          <w:numId w:val="15"/>
        </w:numPr>
        <w:ind w:left="660" w:hanging="660"/>
      </w:pPr>
      <w:r w:rsidRPr="00C35766">
        <w:rPr>
          <w:rFonts w:eastAsia="Times New Roman"/>
          <w:lang w:val="it-IT"/>
        </w:rPr>
        <w:lastRenderedPageBreak/>
        <w:t>lividi</w:t>
      </w:r>
    </w:p>
    <w:p w14:paraId="6F471180"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infiammazione della pelle (come eczema)</w:t>
      </w:r>
    </w:p>
    <w:p w14:paraId="1477600D"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rottura delle unghie delle dita della mano e del piede</w:t>
      </w:r>
    </w:p>
    <w:p w14:paraId="42AC92A3" w14:textId="77777777" w:rsidR="0050099E" w:rsidRPr="00C35766" w:rsidRDefault="0050099E" w:rsidP="0050099E">
      <w:pPr>
        <w:pStyle w:val="a3"/>
        <w:numPr>
          <w:ilvl w:val="0"/>
          <w:numId w:val="15"/>
        </w:numPr>
        <w:ind w:left="660" w:hanging="660"/>
      </w:pPr>
      <w:r w:rsidRPr="00C35766">
        <w:rPr>
          <w:rFonts w:eastAsia="Times New Roman"/>
          <w:lang w:val="it-IT"/>
        </w:rPr>
        <w:t>aumento della sudorazione</w:t>
      </w:r>
    </w:p>
    <w:p w14:paraId="71824EBA" w14:textId="77777777" w:rsidR="0050099E" w:rsidRPr="00C35766" w:rsidRDefault="0050099E" w:rsidP="0050099E">
      <w:pPr>
        <w:pStyle w:val="a3"/>
        <w:numPr>
          <w:ilvl w:val="0"/>
          <w:numId w:val="15"/>
        </w:numPr>
        <w:ind w:left="660" w:hanging="660"/>
      </w:pPr>
      <w:r w:rsidRPr="00C35766">
        <w:rPr>
          <w:rFonts w:eastAsia="Times New Roman"/>
          <w:lang w:val="it-IT"/>
        </w:rPr>
        <w:t>perdita di capelli</w:t>
      </w:r>
    </w:p>
    <w:p w14:paraId="2F133BC5" w14:textId="77777777" w:rsidR="0050099E" w:rsidRPr="00C35766" w:rsidRDefault="0050099E" w:rsidP="0050099E">
      <w:pPr>
        <w:pStyle w:val="a3"/>
        <w:numPr>
          <w:ilvl w:val="0"/>
          <w:numId w:val="15"/>
        </w:numPr>
        <w:ind w:left="660" w:hanging="660"/>
      </w:pPr>
      <w:r w:rsidRPr="00C35766">
        <w:rPr>
          <w:rFonts w:eastAsia="Times New Roman"/>
          <w:lang w:val="it-IT"/>
        </w:rPr>
        <w:t>insorgenza o peggioramento della psoriasi</w:t>
      </w:r>
    </w:p>
    <w:p w14:paraId="0FE8B455" w14:textId="77777777" w:rsidR="0050099E" w:rsidRPr="00C35766" w:rsidRDefault="0050099E" w:rsidP="0050099E">
      <w:pPr>
        <w:pStyle w:val="a3"/>
        <w:numPr>
          <w:ilvl w:val="0"/>
          <w:numId w:val="15"/>
        </w:numPr>
        <w:ind w:left="660" w:hanging="660"/>
      </w:pPr>
      <w:r w:rsidRPr="00C35766">
        <w:rPr>
          <w:rFonts w:eastAsia="Times New Roman"/>
          <w:lang w:val="it-IT"/>
        </w:rPr>
        <w:t>spasmi muscolari</w:t>
      </w:r>
    </w:p>
    <w:p w14:paraId="6D5AEA75" w14:textId="77777777" w:rsidR="0050099E" w:rsidRPr="00C35766" w:rsidRDefault="0050099E" w:rsidP="0050099E">
      <w:pPr>
        <w:pStyle w:val="a3"/>
        <w:numPr>
          <w:ilvl w:val="0"/>
          <w:numId w:val="15"/>
        </w:numPr>
        <w:ind w:left="660" w:hanging="660"/>
      </w:pPr>
      <w:r w:rsidRPr="00C35766">
        <w:rPr>
          <w:rFonts w:eastAsia="Times New Roman"/>
          <w:lang w:val="it-IT"/>
        </w:rPr>
        <w:t>sangue nelle urine</w:t>
      </w:r>
    </w:p>
    <w:p w14:paraId="53E17294" w14:textId="77777777" w:rsidR="0050099E" w:rsidRPr="00C35766" w:rsidRDefault="0050099E" w:rsidP="0050099E">
      <w:pPr>
        <w:pStyle w:val="a3"/>
        <w:numPr>
          <w:ilvl w:val="0"/>
          <w:numId w:val="15"/>
        </w:numPr>
        <w:ind w:left="660" w:hanging="660"/>
      </w:pPr>
      <w:r w:rsidRPr="00C35766">
        <w:rPr>
          <w:rFonts w:eastAsia="Times New Roman"/>
          <w:lang w:val="it-IT"/>
        </w:rPr>
        <w:t>problemi renali</w:t>
      </w:r>
    </w:p>
    <w:p w14:paraId="0AF57D26" w14:textId="77777777" w:rsidR="0050099E" w:rsidRPr="00C35766" w:rsidRDefault="0050099E" w:rsidP="0050099E">
      <w:pPr>
        <w:pStyle w:val="a3"/>
        <w:numPr>
          <w:ilvl w:val="0"/>
          <w:numId w:val="15"/>
        </w:numPr>
        <w:ind w:left="660" w:hanging="660"/>
      </w:pPr>
      <w:r w:rsidRPr="00C35766">
        <w:rPr>
          <w:rFonts w:eastAsia="Times New Roman"/>
          <w:lang w:val="it-IT"/>
        </w:rPr>
        <w:t>dolore al petto</w:t>
      </w:r>
    </w:p>
    <w:p w14:paraId="06CEC511" w14:textId="77777777" w:rsidR="0050099E" w:rsidRPr="00C35766" w:rsidRDefault="0050099E" w:rsidP="0050099E">
      <w:pPr>
        <w:pStyle w:val="a3"/>
        <w:numPr>
          <w:ilvl w:val="0"/>
          <w:numId w:val="15"/>
        </w:numPr>
        <w:ind w:left="660" w:hanging="660"/>
      </w:pPr>
      <w:r w:rsidRPr="00C35766">
        <w:rPr>
          <w:rFonts w:eastAsia="Times New Roman"/>
          <w:lang w:val="it-IT"/>
        </w:rPr>
        <w:t>edema (accumulo di liquidi)</w:t>
      </w:r>
    </w:p>
    <w:p w14:paraId="456AE1BC" w14:textId="77777777" w:rsidR="0050099E" w:rsidRPr="00C35766" w:rsidRDefault="0050099E" w:rsidP="0050099E">
      <w:pPr>
        <w:pStyle w:val="a3"/>
        <w:numPr>
          <w:ilvl w:val="0"/>
          <w:numId w:val="15"/>
        </w:numPr>
        <w:ind w:left="660" w:hanging="660"/>
      </w:pPr>
      <w:r w:rsidRPr="00C35766">
        <w:rPr>
          <w:rFonts w:eastAsia="Times New Roman"/>
          <w:lang w:val="it-IT"/>
        </w:rPr>
        <w:t>febbre</w:t>
      </w:r>
    </w:p>
    <w:p w14:paraId="3062CADB"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riduzione delle piastrine nel sangue che aumenta il rischio di sanguinamento o di lividi</w:t>
      </w:r>
    </w:p>
    <w:p w14:paraId="590CFA11" w14:textId="77777777" w:rsidR="0050099E" w:rsidRPr="00C35766" w:rsidRDefault="0050099E" w:rsidP="0050099E">
      <w:pPr>
        <w:pStyle w:val="a3"/>
        <w:numPr>
          <w:ilvl w:val="0"/>
          <w:numId w:val="15"/>
        </w:numPr>
        <w:ind w:left="660" w:hanging="660"/>
      </w:pPr>
      <w:r w:rsidRPr="00C35766">
        <w:rPr>
          <w:rFonts w:eastAsia="Times New Roman"/>
          <w:lang w:val="it-IT"/>
        </w:rPr>
        <w:t>compromissione della guarigione delle ferite</w:t>
      </w:r>
    </w:p>
    <w:p w14:paraId="61E23517" w14:textId="77777777" w:rsidR="0050099E" w:rsidRPr="00C35766" w:rsidRDefault="0050099E" w:rsidP="0050099E">
      <w:pPr>
        <w:spacing w:before="10" w:line="240" w:lineRule="exact"/>
        <w:rPr>
          <w:rFonts w:ascii="Times New Roman" w:hAnsi="Times New Roman" w:cs="Times New Roman"/>
          <w:sz w:val="24"/>
          <w:szCs w:val="24"/>
        </w:rPr>
      </w:pPr>
    </w:p>
    <w:p w14:paraId="3E1BA82B" w14:textId="77777777" w:rsidR="0050099E" w:rsidRPr="00824699" w:rsidRDefault="0050099E" w:rsidP="0050099E">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460F5A47" w14:textId="77777777" w:rsidR="0050099E" w:rsidRPr="00824699" w:rsidRDefault="0050099E" w:rsidP="0050099E">
      <w:pPr>
        <w:spacing w:before="14" w:line="260" w:lineRule="exact"/>
        <w:rPr>
          <w:rFonts w:ascii="Times New Roman" w:hAnsi="Times New Roman" w:cs="Times New Roman"/>
          <w:sz w:val="26"/>
          <w:szCs w:val="26"/>
          <w:lang w:val="it-IT"/>
        </w:rPr>
      </w:pPr>
    </w:p>
    <w:p w14:paraId="56073BC5"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opportunistiche (che includono la tubercolosi ed altre infezioni che si verificano quando si riducono le difese immunitarie)</w:t>
      </w:r>
    </w:p>
    <w:p w14:paraId="6E8CD69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infezioni neurologiche (tra cui la meningite virale)</w:t>
      </w:r>
    </w:p>
    <w:p w14:paraId="2C108F5C" w14:textId="77777777" w:rsidR="0050099E" w:rsidRPr="00C35766" w:rsidRDefault="0050099E" w:rsidP="0050099E">
      <w:pPr>
        <w:pStyle w:val="a3"/>
        <w:numPr>
          <w:ilvl w:val="0"/>
          <w:numId w:val="15"/>
        </w:numPr>
        <w:ind w:left="660" w:hanging="660"/>
      </w:pPr>
      <w:r w:rsidRPr="00C35766">
        <w:rPr>
          <w:rFonts w:eastAsia="Times New Roman"/>
          <w:lang w:val="it-IT"/>
        </w:rPr>
        <w:t>infezioni degli occhi</w:t>
      </w:r>
    </w:p>
    <w:p w14:paraId="12587AB1" w14:textId="77777777" w:rsidR="0050099E" w:rsidRPr="00C35766" w:rsidRDefault="0050099E" w:rsidP="0050099E">
      <w:pPr>
        <w:pStyle w:val="a3"/>
        <w:numPr>
          <w:ilvl w:val="0"/>
          <w:numId w:val="15"/>
        </w:numPr>
        <w:ind w:left="660" w:hanging="660"/>
      </w:pPr>
      <w:r w:rsidRPr="00C35766">
        <w:rPr>
          <w:rFonts w:eastAsia="Times New Roman"/>
          <w:lang w:val="it-IT"/>
        </w:rPr>
        <w:t>infezioni batteriche</w:t>
      </w:r>
    </w:p>
    <w:p w14:paraId="6767899A"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diverticolite (infiammazione e infezione dell’intestino crasso)</w:t>
      </w:r>
    </w:p>
    <w:p w14:paraId="0A16C6B8" w14:textId="77777777" w:rsidR="0050099E" w:rsidRPr="00C35766" w:rsidRDefault="0050099E" w:rsidP="0050099E">
      <w:pPr>
        <w:pStyle w:val="a3"/>
        <w:numPr>
          <w:ilvl w:val="0"/>
          <w:numId w:val="15"/>
        </w:numPr>
        <w:ind w:left="660" w:hanging="660"/>
      </w:pPr>
      <w:r w:rsidRPr="00C35766">
        <w:rPr>
          <w:rFonts w:eastAsia="Times New Roman"/>
          <w:lang w:val="it-IT"/>
        </w:rPr>
        <w:t>tumore</w:t>
      </w:r>
    </w:p>
    <w:p w14:paraId="26D2384B" w14:textId="77777777" w:rsidR="0050099E" w:rsidRPr="00C35766" w:rsidRDefault="0050099E" w:rsidP="0050099E">
      <w:pPr>
        <w:pStyle w:val="a3"/>
        <w:numPr>
          <w:ilvl w:val="0"/>
          <w:numId w:val="15"/>
        </w:numPr>
        <w:ind w:left="660" w:hanging="660"/>
      </w:pPr>
      <w:r w:rsidRPr="00C35766">
        <w:rPr>
          <w:rFonts w:eastAsia="Times New Roman"/>
          <w:lang w:val="it-IT"/>
        </w:rPr>
        <w:t>tumore del sistema linfatico</w:t>
      </w:r>
    </w:p>
    <w:p w14:paraId="69C6589B" w14:textId="77777777" w:rsidR="0050099E" w:rsidRPr="00C35766" w:rsidRDefault="0050099E" w:rsidP="0050099E">
      <w:pPr>
        <w:pStyle w:val="a3"/>
        <w:numPr>
          <w:ilvl w:val="0"/>
          <w:numId w:val="15"/>
        </w:numPr>
        <w:ind w:left="660" w:hanging="660"/>
      </w:pPr>
      <w:r w:rsidRPr="00C35766">
        <w:rPr>
          <w:rFonts w:eastAsia="Times New Roman"/>
          <w:lang w:val="it-IT"/>
        </w:rPr>
        <w:t>melanoma</w:t>
      </w:r>
    </w:p>
    <w:p w14:paraId="79421775"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disordini del sistema immunitario che possono colpire polmoni, pelle e linfonodi (che si presentano più comunemente come sarcoidosi)</w:t>
      </w:r>
    </w:p>
    <w:p w14:paraId="778AEBF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vasculite (infiammazione dei vasi sanguigni)</w:t>
      </w:r>
    </w:p>
    <w:p w14:paraId="278A9A47" w14:textId="77777777" w:rsidR="0050099E" w:rsidRPr="00C35766" w:rsidRDefault="0050099E" w:rsidP="0050099E">
      <w:pPr>
        <w:pStyle w:val="a3"/>
        <w:numPr>
          <w:ilvl w:val="0"/>
          <w:numId w:val="15"/>
        </w:numPr>
        <w:ind w:left="660" w:hanging="660"/>
      </w:pPr>
      <w:r w:rsidRPr="00C35766">
        <w:rPr>
          <w:rFonts w:eastAsia="Times New Roman"/>
          <w:lang w:val="it-IT"/>
        </w:rPr>
        <w:t>tremore (agitazione)</w:t>
      </w:r>
    </w:p>
    <w:p w14:paraId="0B4D56E9"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neuropatia (disturbo del sistema nervoso)</w:t>
      </w:r>
    </w:p>
    <w:p w14:paraId="310BD634" w14:textId="77777777" w:rsidR="0050099E" w:rsidRPr="00C35766" w:rsidRDefault="0050099E" w:rsidP="0050099E">
      <w:pPr>
        <w:pStyle w:val="a3"/>
        <w:numPr>
          <w:ilvl w:val="0"/>
          <w:numId w:val="15"/>
        </w:numPr>
        <w:ind w:left="660" w:hanging="660"/>
      </w:pPr>
      <w:r w:rsidRPr="00C35766">
        <w:rPr>
          <w:rFonts w:eastAsia="Times New Roman"/>
          <w:lang w:val="it-IT"/>
        </w:rPr>
        <w:t>ictus</w:t>
      </w:r>
    </w:p>
    <w:p w14:paraId="2E254D27" w14:textId="77777777" w:rsidR="0050099E" w:rsidRPr="00C35766" w:rsidRDefault="0050099E" w:rsidP="0050099E">
      <w:pPr>
        <w:pStyle w:val="a3"/>
        <w:numPr>
          <w:ilvl w:val="0"/>
          <w:numId w:val="15"/>
        </w:numPr>
        <w:ind w:left="660" w:hanging="660"/>
      </w:pPr>
      <w:r w:rsidRPr="00C35766">
        <w:rPr>
          <w:rFonts w:eastAsia="Times New Roman"/>
          <w:lang w:val="it-IT"/>
        </w:rPr>
        <w:t>perdita dell' udito, ronzio</w:t>
      </w:r>
    </w:p>
    <w:p w14:paraId="680D96D9"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sensazione di battito cardiaco irregolare come palpitazioni</w:t>
      </w:r>
    </w:p>
    <w:p w14:paraId="6C61002F"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problemi al cuore che possono causare respiro corto o gonfiore a livello delle caviglie</w:t>
      </w:r>
    </w:p>
    <w:p w14:paraId="605106DB" w14:textId="77777777" w:rsidR="0050099E" w:rsidRPr="00C35766" w:rsidRDefault="0050099E" w:rsidP="0050099E">
      <w:pPr>
        <w:pStyle w:val="a3"/>
        <w:numPr>
          <w:ilvl w:val="0"/>
          <w:numId w:val="15"/>
        </w:numPr>
        <w:ind w:left="660" w:hanging="660"/>
      </w:pPr>
      <w:r w:rsidRPr="00C35766">
        <w:rPr>
          <w:rFonts w:eastAsia="Times New Roman"/>
          <w:lang w:val="it-IT"/>
        </w:rPr>
        <w:t>attacco di cuore</w:t>
      </w:r>
    </w:p>
    <w:p w14:paraId="1F80DC19"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una sacca nella parete di un’arteria principale, infiammazione e coagulo in una vena, ostruzione di un vaso sanguigno</w:t>
      </w:r>
    </w:p>
    <w:p w14:paraId="2D886B1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malattia polmonare che provoca respiro corto (inclusa infiammazione)</w:t>
      </w:r>
    </w:p>
    <w:p w14:paraId="65807006"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embolia polmonare (occlusione di una arteria del polmone)</w:t>
      </w:r>
    </w:p>
    <w:p w14:paraId="0B5671E5"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versamento pleurico (accumulo anomalo di liquido nello spazio pleurico)</w:t>
      </w:r>
    </w:p>
    <w:p w14:paraId="0E5C1E42"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infiammazione del pancreas che causa forti dolori all’addome ed alla schiena</w:t>
      </w:r>
    </w:p>
    <w:p w14:paraId="7F018910" w14:textId="77777777" w:rsidR="0050099E" w:rsidRPr="00C35766" w:rsidRDefault="0050099E" w:rsidP="0050099E">
      <w:pPr>
        <w:pStyle w:val="a3"/>
        <w:numPr>
          <w:ilvl w:val="0"/>
          <w:numId w:val="15"/>
        </w:numPr>
        <w:ind w:left="660" w:hanging="660"/>
      </w:pPr>
      <w:r w:rsidRPr="00C35766">
        <w:rPr>
          <w:rFonts w:eastAsia="Times New Roman"/>
          <w:lang w:val="it-IT"/>
        </w:rPr>
        <w:t>difficoltà nella deglutizione</w:t>
      </w:r>
    </w:p>
    <w:p w14:paraId="78F428C4"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edema facciale (gonfiore del viso)</w:t>
      </w:r>
    </w:p>
    <w:p w14:paraId="49CCCE14"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infiammazione della cistifellea, calcoli alla cistifellea</w:t>
      </w:r>
    </w:p>
    <w:p w14:paraId="510ABE3D" w14:textId="77777777" w:rsidR="0050099E" w:rsidRPr="00C35766" w:rsidRDefault="0050099E" w:rsidP="0050099E">
      <w:pPr>
        <w:pStyle w:val="a3"/>
        <w:numPr>
          <w:ilvl w:val="0"/>
          <w:numId w:val="15"/>
        </w:numPr>
        <w:ind w:left="660" w:hanging="660"/>
      </w:pPr>
      <w:r w:rsidRPr="00C35766">
        <w:rPr>
          <w:rFonts w:eastAsia="Times New Roman"/>
          <w:lang w:val="it-IT"/>
        </w:rPr>
        <w:t>fegato grasso</w:t>
      </w:r>
    </w:p>
    <w:p w14:paraId="2431165C" w14:textId="77777777" w:rsidR="0050099E" w:rsidRPr="00C35766" w:rsidRDefault="0050099E" w:rsidP="0050099E">
      <w:pPr>
        <w:pStyle w:val="a3"/>
        <w:numPr>
          <w:ilvl w:val="0"/>
          <w:numId w:val="15"/>
        </w:numPr>
        <w:ind w:left="660" w:hanging="660"/>
      </w:pPr>
      <w:r w:rsidRPr="00C35766">
        <w:rPr>
          <w:rFonts w:eastAsia="Times New Roman"/>
          <w:lang w:val="it-IT"/>
        </w:rPr>
        <w:t>sudorazione notturna</w:t>
      </w:r>
    </w:p>
    <w:p w14:paraId="0A3385FE" w14:textId="77777777" w:rsidR="0050099E" w:rsidRPr="00C35766" w:rsidRDefault="0050099E" w:rsidP="0050099E">
      <w:pPr>
        <w:pStyle w:val="a3"/>
        <w:numPr>
          <w:ilvl w:val="0"/>
          <w:numId w:val="15"/>
        </w:numPr>
        <w:ind w:left="660" w:hanging="660"/>
      </w:pPr>
      <w:r w:rsidRPr="00C35766">
        <w:rPr>
          <w:rFonts w:eastAsia="Times New Roman"/>
          <w:lang w:val="it-IT"/>
        </w:rPr>
        <w:t>cicatrice</w:t>
      </w:r>
    </w:p>
    <w:p w14:paraId="75A80815" w14:textId="77777777" w:rsidR="0050099E" w:rsidRPr="00C35766" w:rsidRDefault="0050099E" w:rsidP="0050099E">
      <w:pPr>
        <w:pStyle w:val="a3"/>
        <w:numPr>
          <w:ilvl w:val="0"/>
          <w:numId w:val="15"/>
        </w:numPr>
        <w:ind w:left="660" w:hanging="660"/>
      </w:pPr>
      <w:r w:rsidRPr="00C35766">
        <w:rPr>
          <w:rFonts w:eastAsia="Times New Roman"/>
          <w:lang w:val="it-IT"/>
        </w:rPr>
        <w:t>anormale catabolismo muscolare</w:t>
      </w:r>
    </w:p>
    <w:p w14:paraId="4A4B1147" w14:textId="77777777" w:rsidR="0050099E" w:rsidRPr="00C35766" w:rsidRDefault="0050099E" w:rsidP="0050099E">
      <w:pPr>
        <w:pStyle w:val="a3"/>
        <w:numPr>
          <w:ilvl w:val="0"/>
          <w:numId w:val="15"/>
        </w:numPr>
        <w:ind w:left="660" w:hanging="660"/>
        <w:rPr>
          <w:rFonts w:eastAsia="Times New Roman"/>
          <w:spacing w:val="-1"/>
          <w:lang w:val="es-ES"/>
        </w:rPr>
      </w:pPr>
      <w:r w:rsidRPr="00C35766">
        <w:rPr>
          <w:rFonts w:eastAsia="Times New Roman"/>
          <w:lang w:val="it-IT"/>
        </w:rPr>
        <w:t>lupus eritematoso sistemico (tra cui infiammazione della pelle, del cuore, del polmone, delle articolazioni e di altri organi)</w:t>
      </w:r>
    </w:p>
    <w:p w14:paraId="3CE2B02D" w14:textId="77777777" w:rsidR="0050099E" w:rsidRPr="00C35766" w:rsidRDefault="0050099E" w:rsidP="0050099E">
      <w:pPr>
        <w:pStyle w:val="a3"/>
        <w:numPr>
          <w:ilvl w:val="0"/>
          <w:numId w:val="15"/>
        </w:numPr>
        <w:ind w:left="660" w:hanging="660"/>
      </w:pPr>
      <w:r w:rsidRPr="00C35766">
        <w:rPr>
          <w:rFonts w:eastAsia="Times New Roman"/>
          <w:lang w:val="it-IT"/>
        </w:rPr>
        <w:lastRenderedPageBreak/>
        <w:t>sonno interrotto</w:t>
      </w:r>
    </w:p>
    <w:p w14:paraId="5F8D90F4" w14:textId="77777777" w:rsidR="0050099E" w:rsidRPr="00C35766" w:rsidRDefault="0050099E" w:rsidP="0050099E">
      <w:pPr>
        <w:pStyle w:val="a3"/>
        <w:numPr>
          <w:ilvl w:val="0"/>
          <w:numId w:val="15"/>
        </w:numPr>
        <w:ind w:left="660" w:hanging="660"/>
      </w:pPr>
      <w:r w:rsidRPr="00C35766">
        <w:rPr>
          <w:rFonts w:eastAsia="Times New Roman"/>
          <w:lang w:val="it-IT"/>
        </w:rPr>
        <w:t>impotenza</w:t>
      </w:r>
    </w:p>
    <w:p w14:paraId="54FEBBFA" w14:textId="77777777" w:rsidR="0050099E" w:rsidRPr="00C35766" w:rsidRDefault="0050099E" w:rsidP="0050099E">
      <w:pPr>
        <w:pStyle w:val="a3"/>
        <w:numPr>
          <w:ilvl w:val="0"/>
          <w:numId w:val="15"/>
        </w:numPr>
        <w:ind w:left="660" w:hanging="660"/>
      </w:pPr>
      <w:r w:rsidRPr="00C35766">
        <w:rPr>
          <w:rFonts w:eastAsia="Times New Roman"/>
          <w:lang w:val="it-IT"/>
        </w:rPr>
        <w:t>infiammazioni</w:t>
      </w:r>
    </w:p>
    <w:p w14:paraId="4B7E4FC5" w14:textId="77777777" w:rsidR="0050099E" w:rsidRPr="00C35766" w:rsidRDefault="0050099E" w:rsidP="0050099E">
      <w:pPr>
        <w:spacing w:before="13" w:line="240" w:lineRule="exact"/>
        <w:rPr>
          <w:rFonts w:ascii="Times New Roman" w:hAnsi="Times New Roman" w:cs="Times New Roman"/>
          <w:sz w:val="24"/>
          <w:szCs w:val="24"/>
        </w:rPr>
      </w:pPr>
    </w:p>
    <w:p w14:paraId="47C70C43" w14:textId="20EEBD07" w:rsidR="0050099E" w:rsidRPr="00824699" w:rsidRDefault="0050099E" w:rsidP="0050099E">
      <w:pPr>
        <w:pStyle w:val="a3"/>
        <w:rPr>
          <w:lang w:val="it-IT"/>
        </w:rPr>
      </w:pPr>
      <w:r w:rsidRPr="00C35766">
        <w:rPr>
          <w:rFonts w:eastAsia="Times New Roman"/>
          <w:b/>
          <w:lang w:val="it-IT"/>
        </w:rPr>
        <w:t xml:space="preserve">Raro </w:t>
      </w:r>
      <w:r w:rsidRPr="00C35766">
        <w:rPr>
          <w:rFonts w:eastAsia="Times New Roman"/>
          <w:bCs/>
          <w:lang w:val="it-IT"/>
        </w:rPr>
        <w:t>(può interessare fino a 1 </w:t>
      </w:r>
      <w:r w:rsidR="00471BD2">
        <w:rPr>
          <w:rFonts w:eastAsia="Times New Roman"/>
          <w:bCs/>
          <w:lang w:val="it-IT"/>
        </w:rPr>
        <w:t xml:space="preserve">persona </w:t>
      </w:r>
      <w:r w:rsidRPr="00C35766">
        <w:rPr>
          <w:rFonts w:eastAsia="Times New Roman"/>
          <w:bCs/>
          <w:lang w:val="it-IT"/>
        </w:rPr>
        <w:t>su 1.000)</w:t>
      </w:r>
    </w:p>
    <w:p w14:paraId="3A2E3C0F" w14:textId="77777777" w:rsidR="0050099E" w:rsidRPr="00824699" w:rsidRDefault="0050099E" w:rsidP="0050099E">
      <w:pPr>
        <w:spacing w:before="12" w:line="240" w:lineRule="exact"/>
        <w:rPr>
          <w:rFonts w:ascii="Times New Roman" w:hAnsi="Times New Roman" w:cs="Times New Roman"/>
          <w:sz w:val="24"/>
          <w:szCs w:val="24"/>
          <w:lang w:val="it-IT"/>
        </w:rPr>
      </w:pPr>
    </w:p>
    <w:p w14:paraId="1AC2DD80"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leucemia (un tumore che colpisce il sangue e il midollo osseo)</w:t>
      </w:r>
    </w:p>
    <w:p w14:paraId="40B82701" w14:textId="77777777" w:rsidR="0050099E" w:rsidRPr="00C35766" w:rsidRDefault="0050099E" w:rsidP="0050099E">
      <w:pPr>
        <w:pStyle w:val="a3"/>
        <w:numPr>
          <w:ilvl w:val="0"/>
          <w:numId w:val="15"/>
        </w:numPr>
        <w:ind w:left="660" w:hanging="660"/>
      </w:pPr>
      <w:r w:rsidRPr="00C35766">
        <w:rPr>
          <w:rFonts w:eastAsia="Times New Roman"/>
          <w:lang w:val="it-IT"/>
        </w:rPr>
        <w:t>reazione allergica grave con shock</w:t>
      </w:r>
    </w:p>
    <w:p w14:paraId="73BD3158" w14:textId="77777777" w:rsidR="0050099E" w:rsidRPr="00C35766" w:rsidRDefault="0050099E" w:rsidP="0050099E">
      <w:pPr>
        <w:pStyle w:val="a3"/>
        <w:numPr>
          <w:ilvl w:val="0"/>
          <w:numId w:val="15"/>
        </w:numPr>
        <w:ind w:left="660" w:hanging="660"/>
      </w:pPr>
      <w:r w:rsidRPr="00C35766">
        <w:rPr>
          <w:rFonts w:eastAsia="Times New Roman"/>
          <w:lang w:val="it-IT"/>
        </w:rPr>
        <w:t>sclerosi multipla</w:t>
      </w:r>
    </w:p>
    <w:p w14:paraId="3C1AF0F5"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disturbi neurologici (come infiammazione del nervo ottico e sindrome di Guillain-Barré che può causare debolezza muscolare, sensazioni anormali, formicolio alle braccia ed alla parte superiore del corpo)</w:t>
      </w:r>
    </w:p>
    <w:p w14:paraId="709AC7BC" w14:textId="77777777" w:rsidR="0050099E" w:rsidRPr="00C35766" w:rsidRDefault="0050099E" w:rsidP="0050099E">
      <w:pPr>
        <w:pStyle w:val="a3"/>
        <w:numPr>
          <w:ilvl w:val="0"/>
          <w:numId w:val="15"/>
        </w:numPr>
        <w:ind w:left="660" w:hanging="660"/>
      </w:pPr>
      <w:r w:rsidRPr="00C35766">
        <w:rPr>
          <w:rFonts w:eastAsia="Times New Roman"/>
          <w:lang w:val="it-IT"/>
        </w:rPr>
        <w:t>arresto cardiaco</w:t>
      </w:r>
    </w:p>
    <w:p w14:paraId="7CED643D"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fibrosi polmonare (cicatrici del polmone)</w:t>
      </w:r>
    </w:p>
    <w:p w14:paraId="3A2B7C8F" w14:textId="77777777" w:rsidR="0050099E" w:rsidRPr="00C35766" w:rsidRDefault="0050099E" w:rsidP="0050099E">
      <w:pPr>
        <w:pStyle w:val="a3"/>
        <w:numPr>
          <w:ilvl w:val="0"/>
          <w:numId w:val="15"/>
        </w:numPr>
        <w:ind w:left="660" w:hanging="660"/>
      </w:pPr>
      <w:r w:rsidRPr="00C35766">
        <w:rPr>
          <w:rFonts w:eastAsia="Times New Roman"/>
          <w:lang w:val="it-IT"/>
        </w:rPr>
        <w:t>perforazione intestinale (foro nell’intestino)</w:t>
      </w:r>
    </w:p>
    <w:p w14:paraId="3156524A" w14:textId="77777777" w:rsidR="0050099E" w:rsidRPr="00C35766" w:rsidRDefault="0050099E" w:rsidP="0050099E">
      <w:pPr>
        <w:pStyle w:val="a3"/>
        <w:numPr>
          <w:ilvl w:val="0"/>
          <w:numId w:val="15"/>
        </w:numPr>
        <w:ind w:left="660" w:hanging="660"/>
      </w:pPr>
      <w:r w:rsidRPr="00C35766">
        <w:rPr>
          <w:rFonts w:eastAsia="Times New Roman"/>
          <w:lang w:val="it-IT"/>
        </w:rPr>
        <w:t>epatite</w:t>
      </w:r>
    </w:p>
    <w:p w14:paraId="579FC0A4" w14:textId="77777777" w:rsidR="0050099E" w:rsidRPr="00C35766" w:rsidRDefault="0050099E" w:rsidP="0050099E">
      <w:pPr>
        <w:pStyle w:val="a3"/>
        <w:numPr>
          <w:ilvl w:val="0"/>
          <w:numId w:val="15"/>
        </w:numPr>
        <w:ind w:left="660" w:hanging="660"/>
      </w:pPr>
      <w:r w:rsidRPr="00C35766">
        <w:rPr>
          <w:rFonts w:eastAsia="Times New Roman"/>
          <w:lang w:val="it-IT"/>
        </w:rPr>
        <w:t>riattivazione dell’epatite B</w:t>
      </w:r>
    </w:p>
    <w:p w14:paraId="26AE32AA"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epatite autoimmune (infiammazione del fegato causata dal proprio sistema immunitario)</w:t>
      </w:r>
    </w:p>
    <w:p w14:paraId="03DA6A7E"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vasculite cutanea (infiammazione dei vasi sanguigni della pelle)</w:t>
      </w:r>
    </w:p>
    <w:p w14:paraId="6D34293B"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sindrome di Stevens-Johnson (i sintomi precoci includono malessere, febbre, mal di testa ed eruzione cutanea)</w:t>
      </w:r>
    </w:p>
    <w:p w14:paraId="051EA4E3"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edema facciale (gonfiore del viso) associato a reazioni allergiche</w:t>
      </w:r>
    </w:p>
    <w:p w14:paraId="03A85409" w14:textId="77777777" w:rsidR="0050099E" w:rsidRPr="00C35766" w:rsidRDefault="0050099E" w:rsidP="0050099E">
      <w:pPr>
        <w:pStyle w:val="a3"/>
        <w:numPr>
          <w:ilvl w:val="0"/>
          <w:numId w:val="15"/>
        </w:numPr>
        <w:ind w:left="660" w:hanging="660"/>
        <w:rPr>
          <w:lang w:val="it-IT"/>
        </w:rPr>
      </w:pPr>
      <w:r w:rsidRPr="00C35766">
        <w:rPr>
          <w:rFonts w:eastAsia="Times New Roman"/>
          <w:lang w:val="it-IT"/>
        </w:rPr>
        <w:t>eritema multiforme (eruzione cutanea infiammatoria)</w:t>
      </w:r>
    </w:p>
    <w:p w14:paraId="6BACA041" w14:textId="77777777" w:rsidR="0050099E" w:rsidRPr="00C35766" w:rsidRDefault="0050099E" w:rsidP="0050099E">
      <w:pPr>
        <w:pStyle w:val="a3"/>
        <w:numPr>
          <w:ilvl w:val="0"/>
          <w:numId w:val="15"/>
        </w:numPr>
        <w:ind w:left="660" w:hanging="660"/>
      </w:pPr>
      <w:r w:rsidRPr="00C35766">
        <w:rPr>
          <w:rFonts w:eastAsia="Times New Roman"/>
          <w:lang w:val="it-IT"/>
        </w:rPr>
        <w:t>sindrome simile al lupus</w:t>
      </w:r>
    </w:p>
    <w:p w14:paraId="588CC649"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angioedema (gonfiore localizzato della pelle)</w:t>
      </w:r>
    </w:p>
    <w:p w14:paraId="2B9FD548"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reazione cutanea lichenoide (eruzione cutanea rosso-violacea pruriginosa)</w:t>
      </w:r>
    </w:p>
    <w:p w14:paraId="2DC6012D" w14:textId="77777777" w:rsidR="0050099E" w:rsidRPr="00C35766" w:rsidRDefault="0050099E" w:rsidP="0050099E">
      <w:pPr>
        <w:spacing w:before="10" w:line="240" w:lineRule="exact"/>
        <w:rPr>
          <w:rFonts w:ascii="Times New Roman" w:hAnsi="Times New Roman" w:cs="Times New Roman"/>
          <w:sz w:val="24"/>
          <w:szCs w:val="24"/>
          <w:lang w:val="pt-BR"/>
        </w:rPr>
      </w:pPr>
    </w:p>
    <w:p w14:paraId="2027E2E8" w14:textId="77777777" w:rsidR="0050099E" w:rsidRPr="00824699" w:rsidRDefault="0050099E" w:rsidP="0050099E">
      <w:pPr>
        <w:pStyle w:val="a3"/>
        <w:rPr>
          <w:lang w:val="it-IT"/>
        </w:rPr>
      </w:pPr>
      <w:r w:rsidRPr="00C35766">
        <w:rPr>
          <w:rFonts w:eastAsia="Times New Roman"/>
          <w:b/>
          <w:bCs/>
          <w:lang w:val="it-IT"/>
        </w:rPr>
        <w:t xml:space="preserve">Non nota </w:t>
      </w:r>
      <w:r w:rsidRPr="00C35766">
        <w:rPr>
          <w:rFonts w:eastAsia="Times New Roman"/>
          <w:lang w:val="it-IT"/>
        </w:rPr>
        <w:t>(la frequenza non può essere definita sulla base dei dati disponibili):</w:t>
      </w:r>
    </w:p>
    <w:p w14:paraId="3538A3AA" w14:textId="77777777" w:rsidR="0050099E" w:rsidRPr="00824699" w:rsidRDefault="0050099E" w:rsidP="0050099E">
      <w:pPr>
        <w:spacing w:before="14" w:line="240" w:lineRule="exact"/>
        <w:rPr>
          <w:rFonts w:ascii="Times New Roman" w:hAnsi="Times New Roman" w:cs="Times New Roman"/>
          <w:sz w:val="24"/>
          <w:szCs w:val="24"/>
          <w:lang w:val="it-IT"/>
        </w:rPr>
      </w:pPr>
    </w:p>
    <w:p w14:paraId="58EB923D"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linfoma epato-splenico a cellule T (un raro tumore del sangue che spesso risulta fatale)</w:t>
      </w:r>
    </w:p>
    <w:p w14:paraId="60561410"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carcinoma a cellule di Merkel (un tipo di cancro della pelle)</w:t>
      </w:r>
    </w:p>
    <w:p w14:paraId="614C84D9" w14:textId="77777777" w:rsidR="0050099E" w:rsidRPr="00C35766" w:rsidRDefault="0050099E" w:rsidP="0050099E">
      <w:pPr>
        <w:pStyle w:val="a3"/>
        <w:numPr>
          <w:ilvl w:val="0"/>
          <w:numId w:val="15"/>
        </w:numPr>
        <w:ind w:left="660" w:hanging="660"/>
        <w:rPr>
          <w:lang w:val="es-ES"/>
        </w:rPr>
      </w:pPr>
      <w:r w:rsidRPr="00C35766">
        <w:rPr>
          <w:rFonts w:eastAsia="Times New Roman"/>
          <w:lang w:val="it-IT"/>
        </w:rPr>
        <w:t>sarcoma di Kaposi, un raro tumore associato all’infezione da herpes virus umano 8. Il sarcoma di Kaposi appare più comunemente come lesioni viola sulla pelle.</w:t>
      </w:r>
    </w:p>
    <w:p w14:paraId="4F916D45" w14:textId="77777777" w:rsidR="0050099E" w:rsidRPr="00C35766" w:rsidRDefault="0050099E" w:rsidP="0050099E">
      <w:pPr>
        <w:pStyle w:val="a3"/>
        <w:numPr>
          <w:ilvl w:val="0"/>
          <w:numId w:val="15"/>
        </w:numPr>
        <w:ind w:left="660" w:hanging="660"/>
      </w:pPr>
      <w:r w:rsidRPr="00C35766">
        <w:rPr>
          <w:rFonts w:eastAsia="Times New Roman"/>
          <w:lang w:val="it-IT"/>
        </w:rPr>
        <w:t>insufficienza epatica</w:t>
      </w:r>
    </w:p>
    <w:p w14:paraId="1919D440"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peggioramento di una condizione chiamata dermatomiosite (che si manifesta come eruzione cutanea accompagnata da debolezza muscolare)</w:t>
      </w:r>
    </w:p>
    <w:p w14:paraId="0EF0491C" w14:textId="1A3271E9" w:rsidR="0050099E" w:rsidRPr="00C35766" w:rsidRDefault="00A24854" w:rsidP="0050099E">
      <w:pPr>
        <w:pStyle w:val="a3"/>
        <w:numPr>
          <w:ilvl w:val="0"/>
          <w:numId w:val="15"/>
        </w:numPr>
        <w:ind w:left="660" w:hanging="660"/>
        <w:rPr>
          <w:lang w:val="pt-BR"/>
        </w:rPr>
      </w:pPr>
      <w:r>
        <w:rPr>
          <w:rFonts w:eastAsia="Times New Roman"/>
          <w:lang w:val="it-IT"/>
        </w:rPr>
        <w:t>a</w:t>
      </w:r>
      <w:r w:rsidR="0050099E" w:rsidRPr="00C35766">
        <w:rPr>
          <w:rFonts w:eastAsia="Times New Roman"/>
          <w:lang w:val="it-IT"/>
        </w:rPr>
        <w:t>umento di peso (per la maggior parte dei pazienti l’aumento di peso è stato basso)</w:t>
      </w:r>
    </w:p>
    <w:p w14:paraId="333170F1" w14:textId="77777777" w:rsidR="0050099E" w:rsidRPr="00C35766" w:rsidRDefault="0050099E" w:rsidP="0050099E">
      <w:pPr>
        <w:pStyle w:val="a3"/>
        <w:numPr>
          <w:ilvl w:val="0"/>
          <w:numId w:val="0"/>
        </w:numPr>
        <w:rPr>
          <w:lang w:val="pt-BR"/>
        </w:rPr>
      </w:pPr>
    </w:p>
    <w:p w14:paraId="0AC6A91E" w14:textId="77777777" w:rsidR="0050099E" w:rsidRPr="00C35766" w:rsidRDefault="0050099E" w:rsidP="0050099E">
      <w:pPr>
        <w:pStyle w:val="a3"/>
        <w:rPr>
          <w:lang w:val="pt-BR"/>
        </w:rPr>
      </w:pPr>
      <w:r w:rsidRPr="00C35766">
        <w:rPr>
          <w:rFonts w:eastAsia="Times New Roman"/>
          <w:lang w:val="it-IT"/>
        </w:rPr>
        <w:t>Alcuni degli effetti indesiderati osservati con Yuflyma possono essere asintomatici e possono essere individuati solo attraverso gli esami del sangue. Questi includono:</w:t>
      </w:r>
    </w:p>
    <w:p w14:paraId="02529608" w14:textId="77777777" w:rsidR="0050099E" w:rsidRPr="00C35766" w:rsidRDefault="0050099E" w:rsidP="0050099E">
      <w:pPr>
        <w:pStyle w:val="a3"/>
        <w:rPr>
          <w:lang w:val="pt-BR"/>
        </w:rPr>
      </w:pPr>
    </w:p>
    <w:p w14:paraId="355251E0" w14:textId="77777777" w:rsidR="0050099E" w:rsidRPr="00C35766" w:rsidRDefault="0050099E" w:rsidP="0050099E">
      <w:pPr>
        <w:pStyle w:val="a3"/>
        <w:rPr>
          <w:rFonts w:eastAsia="Times New Roman"/>
          <w:lang w:val="pt-BR"/>
        </w:rPr>
      </w:pPr>
      <w:r w:rsidRPr="00C35766">
        <w:rPr>
          <w:rFonts w:eastAsia="Times New Roman"/>
          <w:b/>
          <w:bCs/>
          <w:spacing w:val="-1"/>
          <w:lang w:val="it-IT"/>
        </w:rPr>
        <w:t xml:space="preserve">Molto comuni </w:t>
      </w:r>
      <w:r w:rsidRPr="00C35766">
        <w:rPr>
          <w:rFonts w:eastAsia="Times New Roman"/>
          <w:spacing w:val="-1"/>
          <w:lang w:val="it-IT"/>
        </w:rPr>
        <w:t>(possono interessare più di 1 persona su 10)</w:t>
      </w:r>
    </w:p>
    <w:p w14:paraId="321BD538" w14:textId="77777777" w:rsidR="0050099E" w:rsidRPr="00C35766" w:rsidRDefault="0050099E" w:rsidP="0050099E">
      <w:pPr>
        <w:pStyle w:val="a3"/>
        <w:rPr>
          <w:lang w:val="pt-BR"/>
        </w:rPr>
      </w:pPr>
    </w:p>
    <w:p w14:paraId="70CFA3D3" w14:textId="77777777" w:rsidR="0050099E" w:rsidRPr="00C35766" w:rsidRDefault="0050099E" w:rsidP="0050099E">
      <w:pPr>
        <w:pStyle w:val="a3"/>
        <w:numPr>
          <w:ilvl w:val="0"/>
          <w:numId w:val="15"/>
        </w:numPr>
        <w:ind w:left="660" w:hanging="660"/>
      </w:pPr>
      <w:r w:rsidRPr="00C35766">
        <w:rPr>
          <w:rFonts w:eastAsia="Times New Roman"/>
          <w:lang w:val="it-IT"/>
        </w:rPr>
        <w:t>bassa conta dei globuli bianchi</w:t>
      </w:r>
    </w:p>
    <w:p w14:paraId="68CCD7BA" w14:textId="77777777" w:rsidR="0050099E" w:rsidRPr="00C35766" w:rsidRDefault="0050099E" w:rsidP="0050099E">
      <w:pPr>
        <w:pStyle w:val="a3"/>
        <w:numPr>
          <w:ilvl w:val="0"/>
          <w:numId w:val="15"/>
        </w:numPr>
        <w:ind w:left="660" w:hanging="660"/>
      </w:pPr>
      <w:r w:rsidRPr="00C35766">
        <w:rPr>
          <w:rFonts w:eastAsia="Times New Roman"/>
          <w:lang w:val="it-IT"/>
        </w:rPr>
        <w:t>bassa conta dei globuli rossi</w:t>
      </w:r>
    </w:p>
    <w:p w14:paraId="157CE100" w14:textId="77777777" w:rsidR="0050099E" w:rsidRPr="00C35766" w:rsidRDefault="0050099E" w:rsidP="0050099E">
      <w:pPr>
        <w:pStyle w:val="a3"/>
        <w:numPr>
          <w:ilvl w:val="0"/>
          <w:numId w:val="15"/>
        </w:numPr>
        <w:ind w:left="660" w:hanging="660"/>
      </w:pPr>
      <w:r w:rsidRPr="00C35766">
        <w:rPr>
          <w:rFonts w:eastAsia="Times New Roman"/>
          <w:lang w:val="it-IT"/>
        </w:rPr>
        <w:t>aumento dei lipidi nel sangue</w:t>
      </w:r>
    </w:p>
    <w:p w14:paraId="72D07C16" w14:textId="77777777" w:rsidR="0050099E" w:rsidRPr="00C35766" w:rsidRDefault="0050099E" w:rsidP="0050099E">
      <w:pPr>
        <w:pStyle w:val="a3"/>
        <w:numPr>
          <w:ilvl w:val="0"/>
          <w:numId w:val="15"/>
        </w:numPr>
        <w:ind w:left="660" w:hanging="660"/>
      </w:pPr>
      <w:r w:rsidRPr="00C35766">
        <w:rPr>
          <w:rFonts w:eastAsia="Times New Roman"/>
          <w:lang w:val="it-IT"/>
        </w:rPr>
        <w:t>aumento degli enzimi epatici</w:t>
      </w:r>
    </w:p>
    <w:p w14:paraId="433555F2" w14:textId="77777777" w:rsidR="0050099E" w:rsidRPr="00C35766" w:rsidRDefault="0050099E" w:rsidP="0050099E">
      <w:pPr>
        <w:spacing w:before="10" w:line="240" w:lineRule="exact"/>
        <w:rPr>
          <w:rFonts w:ascii="Times New Roman" w:hAnsi="Times New Roman" w:cs="Times New Roman"/>
          <w:sz w:val="24"/>
          <w:szCs w:val="24"/>
        </w:rPr>
      </w:pPr>
    </w:p>
    <w:p w14:paraId="702F0BCA" w14:textId="77777777" w:rsidR="0050099E" w:rsidRPr="00C35766" w:rsidRDefault="0050099E" w:rsidP="0050099E">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57E42D48" w14:textId="77777777" w:rsidR="0050099E" w:rsidRPr="00C35766" w:rsidRDefault="0050099E" w:rsidP="0050099E">
      <w:pPr>
        <w:spacing w:before="14" w:line="240" w:lineRule="exact"/>
        <w:rPr>
          <w:rFonts w:ascii="Times New Roman" w:hAnsi="Times New Roman" w:cs="Times New Roman"/>
          <w:sz w:val="24"/>
          <w:szCs w:val="24"/>
          <w:lang w:val="pt-BR"/>
        </w:rPr>
      </w:pPr>
    </w:p>
    <w:p w14:paraId="67AA0862"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aumento della conta dei globuli bianchi</w:t>
      </w:r>
    </w:p>
    <w:p w14:paraId="011080A8" w14:textId="77777777" w:rsidR="0050099E" w:rsidRPr="00C35766" w:rsidRDefault="0050099E" w:rsidP="0050099E">
      <w:pPr>
        <w:pStyle w:val="a3"/>
        <w:numPr>
          <w:ilvl w:val="0"/>
          <w:numId w:val="15"/>
        </w:numPr>
        <w:ind w:left="660" w:hanging="660"/>
      </w:pPr>
      <w:r w:rsidRPr="00C35766">
        <w:rPr>
          <w:rFonts w:eastAsia="Times New Roman"/>
          <w:lang w:val="it-IT"/>
        </w:rPr>
        <w:t>riduzione delle piastrine nel sangue</w:t>
      </w:r>
    </w:p>
    <w:p w14:paraId="71245377" w14:textId="77777777" w:rsidR="0050099E" w:rsidRPr="00C35766" w:rsidRDefault="0050099E" w:rsidP="0050099E">
      <w:pPr>
        <w:pStyle w:val="a3"/>
        <w:numPr>
          <w:ilvl w:val="0"/>
          <w:numId w:val="15"/>
        </w:numPr>
        <w:ind w:left="660" w:hanging="660"/>
      </w:pPr>
      <w:r w:rsidRPr="00C35766">
        <w:rPr>
          <w:rFonts w:eastAsia="Times New Roman"/>
          <w:lang w:val="it-IT"/>
        </w:rPr>
        <w:lastRenderedPageBreak/>
        <w:t>aumento dell’acido urico nel sangue</w:t>
      </w:r>
    </w:p>
    <w:p w14:paraId="19A30368" w14:textId="77777777" w:rsidR="0050099E" w:rsidRPr="00C35766" w:rsidRDefault="0050099E" w:rsidP="0050099E">
      <w:pPr>
        <w:pStyle w:val="a3"/>
        <w:numPr>
          <w:ilvl w:val="0"/>
          <w:numId w:val="15"/>
        </w:numPr>
        <w:ind w:left="660" w:hanging="660"/>
      </w:pPr>
      <w:r w:rsidRPr="00C35766">
        <w:rPr>
          <w:rFonts w:eastAsia="Times New Roman"/>
          <w:lang w:val="it-IT"/>
        </w:rPr>
        <w:t>alterazione del sodio nel sangue</w:t>
      </w:r>
    </w:p>
    <w:p w14:paraId="1DC65F83" w14:textId="77777777" w:rsidR="0050099E" w:rsidRPr="00C35766" w:rsidRDefault="0050099E" w:rsidP="0050099E">
      <w:pPr>
        <w:pStyle w:val="a3"/>
        <w:numPr>
          <w:ilvl w:val="0"/>
          <w:numId w:val="15"/>
        </w:numPr>
        <w:ind w:left="660" w:hanging="660"/>
      </w:pPr>
      <w:r w:rsidRPr="00C35766">
        <w:rPr>
          <w:rFonts w:eastAsia="Times New Roman"/>
          <w:lang w:val="it-IT"/>
        </w:rPr>
        <w:t>riduzione del calcio nel sangue</w:t>
      </w:r>
    </w:p>
    <w:p w14:paraId="5E4AD6F1" w14:textId="77777777" w:rsidR="0050099E" w:rsidRPr="00C35766" w:rsidRDefault="0050099E" w:rsidP="0050099E">
      <w:pPr>
        <w:pStyle w:val="a3"/>
        <w:numPr>
          <w:ilvl w:val="0"/>
          <w:numId w:val="15"/>
        </w:numPr>
        <w:ind w:left="660" w:hanging="660"/>
      </w:pPr>
      <w:r w:rsidRPr="00C35766">
        <w:rPr>
          <w:rFonts w:eastAsia="Times New Roman"/>
          <w:lang w:val="it-IT"/>
        </w:rPr>
        <w:t>riduzione del fosfato nel sangue</w:t>
      </w:r>
    </w:p>
    <w:p w14:paraId="7824B7C9" w14:textId="77777777" w:rsidR="0050099E" w:rsidRPr="00C35766" w:rsidRDefault="0050099E" w:rsidP="0050099E">
      <w:pPr>
        <w:pStyle w:val="a3"/>
        <w:numPr>
          <w:ilvl w:val="0"/>
          <w:numId w:val="15"/>
        </w:numPr>
        <w:ind w:left="660" w:hanging="660"/>
      </w:pPr>
      <w:r w:rsidRPr="00C35766">
        <w:rPr>
          <w:rFonts w:eastAsia="Times New Roman"/>
          <w:lang w:val="it-IT"/>
        </w:rPr>
        <w:t>aumento dello zucchero nel sangue</w:t>
      </w:r>
    </w:p>
    <w:p w14:paraId="33AB8ADD"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aumento della lattato deidrogenasi nel sangue</w:t>
      </w:r>
    </w:p>
    <w:p w14:paraId="56FB090A" w14:textId="77777777" w:rsidR="0050099E" w:rsidRPr="00C35766" w:rsidRDefault="0050099E" w:rsidP="0050099E">
      <w:pPr>
        <w:pStyle w:val="a3"/>
        <w:numPr>
          <w:ilvl w:val="0"/>
          <w:numId w:val="15"/>
        </w:numPr>
        <w:ind w:left="660" w:hanging="660"/>
      </w:pPr>
      <w:r w:rsidRPr="00C35766">
        <w:rPr>
          <w:rFonts w:eastAsia="Times New Roman"/>
          <w:lang w:val="it-IT"/>
        </w:rPr>
        <w:t>presenza di autoanticorpi nel sangue</w:t>
      </w:r>
    </w:p>
    <w:p w14:paraId="7796ACC8" w14:textId="77777777" w:rsidR="0050099E" w:rsidRPr="00C35766" w:rsidRDefault="0050099E" w:rsidP="0050099E">
      <w:pPr>
        <w:pStyle w:val="a3"/>
        <w:numPr>
          <w:ilvl w:val="0"/>
          <w:numId w:val="15"/>
        </w:numPr>
        <w:ind w:left="660" w:hanging="660"/>
      </w:pPr>
      <w:r w:rsidRPr="00C35766">
        <w:rPr>
          <w:rFonts w:eastAsia="Times New Roman"/>
          <w:lang w:val="it-IT"/>
        </w:rPr>
        <w:t>riduzione del potassio nel sangue</w:t>
      </w:r>
    </w:p>
    <w:p w14:paraId="6A6F60ED" w14:textId="77777777" w:rsidR="0050099E" w:rsidRPr="00C35766" w:rsidRDefault="0050099E" w:rsidP="0050099E">
      <w:pPr>
        <w:spacing w:before="13" w:line="240" w:lineRule="exact"/>
        <w:rPr>
          <w:rFonts w:ascii="Times New Roman" w:hAnsi="Times New Roman" w:cs="Times New Roman"/>
          <w:sz w:val="24"/>
          <w:szCs w:val="24"/>
        </w:rPr>
      </w:pPr>
    </w:p>
    <w:p w14:paraId="4DE65012" w14:textId="77777777" w:rsidR="0050099E" w:rsidRPr="00824699" w:rsidRDefault="0050099E" w:rsidP="0050099E">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179A9291" w14:textId="77777777" w:rsidR="0050099E" w:rsidRPr="00824699" w:rsidRDefault="0050099E" w:rsidP="0050099E">
      <w:pPr>
        <w:spacing w:before="12" w:line="240" w:lineRule="exact"/>
        <w:rPr>
          <w:rFonts w:ascii="Times New Roman" w:hAnsi="Times New Roman" w:cs="Times New Roman"/>
          <w:sz w:val="24"/>
          <w:szCs w:val="24"/>
          <w:lang w:val="it-IT"/>
        </w:rPr>
      </w:pPr>
    </w:p>
    <w:p w14:paraId="1FF577DB" w14:textId="77777777" w:rsidR="0050099E" w:rsidRPr="00824699" w:rsidRDefault="0050099E" w:rsidP="0050099E">
      <w:pPr>
        <w:pStyle w:val="a3"/>
        <w:numPr>
          <w:ilvl w:val="0"/>
          <w:numId w:val="15"/>
        </w:numPr>
        <w:ind w:left="660" w:hanging="660"/>
        <w:rPr>
          <w:lang w:val="it-IT"/>
        </w:rPr>
      </w:pPr>
      <w:r w:rsidRPr="00C35766">
        <w:rPr>
          <w:rFonts w:eastAsia="Times New Roman"/>
          <w:lang w:val="it-IT"/>
        </w:rPr>
        <w:t>livelli elevati di bilirubina (esame del sangue relativo al fegato)</w:t>
      </w:r>
    </w:p>
    <w:p w14:paraId="2703C25C" w14:textId="77777777" w:rsidR="0050099E" w:rsidRPr="00824699" w:rsidRDefault="0050099E" w:rsidP="0050099E">
      <w:pPr>
        <w:spacing w:before="13" w:line="240" w:lineRule="exact"/>
        <w:rPr>
          <w:rFonts w:ascii="Times New Roman" w:hAnsi="Times New Roman" w:cs="Times New Roman"/>
          <w:sz w:val="24"/>
          <w:szCs w:val="24"/>
          <w:lang w:val="it-IT"/>
        </w:rPr>
      </w:pPr>
    </w:p>
    <w:p w14:paraId="564406EE" w14:textId="01D66DBE" w:rsidR="0050099E" w:rsidRPr="00824699" w:rsidRDefault="0050099E" w:rsidP="0050099E">
      <w:pPr>
        <w:pStyle w:val="a3"/>
        <w:rPr>
          <w:lang w:val="it-IT"/>
        </w:rPr>
      </w:pPr>
      <w:r w:rsidRPr="00C35766">
        <w:rPr>
          <w:rFonts w:eastAsia="Times New Roman"/>
          <w:b/>
          <w:bCs/>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0ACACB8E" w14:textId="77777777" w:rsidR="0050099E" w:rsidRPr="00824699" w:rsidRDefault="0050099E" w:rsidP="0050099E">
      <w:pPr>
        <w:spacing w:before="14" w:line="240" w:lineRule="exact"/>
        <w:rPr>
          <w:rFonts w:ascii="Times New Roman" w:hAnsi="Times New Roman" w:cs="Times New Roman"/>
          <w:sz w:val="24"/>
          <w:szCs w:val="24"/>
          <w:lang w:val="it-IT"/>
        </w:rPr>
      </w:pPr>
    </w:p>
    <w:p w14:paraId="20EFBA10" w14:textId="77777777" w:rsidR="0050099E" w:rsidRPr="00C35766" w:rsidRDefault="0050099E" w:rsidP="0050099E">
      <w:pPr>
        <w:pStyle w:val="a3"/>
        <w:numPr>
          <w:ilvl w:val="0"/>
          <w:numId w:val="15"/>
        </w:numPr>
        <w:ind w:left="660" w:hanging="660"/>
        <w:rPr>
          <w:lang w:val="pt-BR"/>
        </w:rPr>
      </w:pPr>
      <w:r w:rsidRPr="00C35766">
        <w:rPr>
          <w:rFonts w:eastAsia="Times New Roman"/>
          <w:lang w:val="it-IT"/>
        </w:rPr>
        <w:t xml:space="preserve">bassa conta dei globuli bianchi, dei globuli rossi e delle piastrine. </w:t>
      </w:r>
    </w:p>
    <w:p w14:paraId="27C1C97C" w14:textId="77777777" w:rsidR="0050099E" w:rsidRPr="00C35766" w:rsidRDefault="0050099E" w:rsidP="0050099E">
      <w:pPr>
        <w:spacing w:before="15" w:line="240" w:lineRule="exact"/>
        <w:rPr>
          <w:rFonts w:ascii="Times New Roman" w:hAnsi="Times New Roman" w:cs="Times New Roman"/>
          <w:sz w:val="24"/>
          <w:szCs w:val="24"/>
          <w:lang w:val="pt-BR"/>
        </w:rPr>
      </w:pPr>
    </w:p>
    <w:p w14:paraId="505B7370" w14:textId="77777777" w:rsidR="0050099E" w:rsidRPr="00C35766" w:rsidRDefault="0050099E" w:rsidP="0050099E">
      <w:pPr>
        <w:pStyle w:val="a3"/>
        <w:rPr>
          <w:b/>
          <w:lang w:val="pt-BR"/>
        </w:rPr>
      </w:pPr>
      <w:r w:rsidRPr="00C35766">
        <w:rPr>
          <w:rFonts w:eastAsia="Times New Roman"/>
          <w:b/>
          <w:bCs/>
          <w:lang w:val="it-IT"/>
        </w:rPr>
        <w:t>Segnalazione degli effetti indesiderati</w:t>
      </w:r>
    </w:p>
    <w:p w14:paraId="5F685DE9" w14:textId="77777777" w:rsidR="0050099E" w:rsidRPr="00C35766" w:rsidRDefault="0050099E" w:rsidP="0050099E">
      <w:pPr>
        <w:pStyle w:val="a3"/>
        <w:rPr>
          <w:sz w:val="10"/>
          <w:szCs w:val="10"/>
          <w:lang w:val="pt-BR"/>
        </w:rPr>
      </w:pPr>
    </w:p>
    <w:p w14:paraId="41E7A5C3" w14:textId="22A0B04B" w:rsidR="0050099E" w:rsidRPr="00C35766" w:rsidRDefault="0050099E" w:rsidP="0050099E">
      <w:pPr>
        <w:pStyle w:val="a3"/>
        <w:rPr>
          <w:lang w:val="it-IT"/>
        </w:rPr>
      </w:pPr>
      <w:r w:rsidRPr="00C35766">
        <w:rPr>
          <w:rFonts w:eastAsia="Times New Roman"/>
          <w:lang w:val="it-IT"/>
        </w:rPr>
        <w:t xml:space="preserve">Se manifesta un qualsiasi effetto indesiderato, compresi quelli non elencati in questo foglio, si rivolga al medico, o al farmacista o all’infermiere. Può inoltre segnalare gli effetti indesiderati direttamente tramite il </w:t>
      </w:r>
      <w:r w:rsidRPr="00C35766">
        <w:rPr>
          <w:rFonts w:eastAsia="Times New Roman"/>
          <w:highlight w:val="lightGray"/>
          <w:lang w:val="it-IT"/>
        </w:rPr>
        <w:t xml:space="preserve">sistema nazionale di segnalazione riportato </w:t>
      </w:r>
      <w:hyperlink r:id="rId134" w:history="1">
        <w:r w:rsidRPr="00C35766">
          <w:rPr>
            <w:rStyle w:val="ad"/>
            <w:rFonts w:eastAsia="Times New Roman"/>
            <w:highlight w:val="lightGray"/>
            <w:lang w:val="it-IT"/>
          </w:rPr>
          <w:t>nell’allegato V</w:t>
        </w:r>
      </w:hyperlink>
      <w:r w:rsidRPr="00C35766">
        <w:rPr>
          <w:rFonts w:eastAsia="Times New Roman"/>
          <w:lang w:val="it-IT"/>
        </w:rPr>
        <w:t>. Segnalando gli effetti indesiderati può contribuire a fornire maggiori informazioni sulla sicurezza di questo medicinale.</w:t>
      </w:r>
    </w:p>
    <w:p w14:paraId="6ECEF5D1" w14:textId="77777777" w:rsidR="0050099E" w:rsidRPr="00C35766" w:rsidRDefault="0050099E" w:rsidP="0050099E">
      <w:pPr>
        <w:spacing w:line="200" w:lineRule="exact"/>
        <w:rPr>
          <w:rFonts w:ascii="Times New Roman" w:hAnsi="Times New Roman" w:cs="Times New Roman"/>
          <w:sz w:val="20"/>
          <w:szCs w:val="20"/>
          <w:lang w:val="it-IT"/>
        </w:rPr>
      </w:pPr>
    </w:p>
    <w:p w14:paraId="14B933D0" w14:textId="77777777" w:rsidR="0050099E" w:rsidRPr="00C35766" w:rsidRDefault="0050099E" w:rsidP="00933A6C">
      <w:pPr>
        <w:pStyle w:val="a4"/>
        <w:numPr>
          <w:ilvl w:val="0"/>
          <w:numId w:val="66"/>
        </w:numPr>
        <w:spacing w:line="240" w:lineRule="exact"/>
        <w:ind w:left="357" w:hanging="357"/>
        <w:rPr>
          <w:rFonts w:ascii="Times New Roman" w:eastAsia="Times New Roman" w:hAnsi="Times New Roman" w:cs="Times New Roman"/>
          <w:b/>
          <w:noProof/>
          <w:lang w:val="en-GB"/>
        </w:rPr>
      </w:pPr>
      <w:r w:rsidRPr="00C35766">
        <w:rPr>
          <w:rFonts w:ascii="Times New Roman" w:eastAsia="Times New Roman" w:hAnsi="Times New Roman" w:cs="Times New Roman"/>
          <w:b/>
          <w:bCs/>
          <w:noProof/>
          <w:lang w:val="it-IT"/>
        </w:rPr>
        <w:t>Come conservare Yuflyma</w:t>
      </w:r>
    </w:p>
    <w:p w14:paraId="200560CC" w14:textId="77777777" w:rsidR="0050099E" w:rsidRPr="00C35766" w:rsidRDefault="0050099E" w:rsidP="0050099E">
      <w:pPr>
        <w:pStyle w:val="a3"/>
      </w:pPr>
    </w:p>
    <w:p w14:paraId="095F285C" w14:textId="77777777" w:rsidR="0050099E" w:rsidRPr="00C35766" w:rsidRDefault="0050099E" w:rsidP="0050099E">
      <w:pPr>
        <w:pStyle w:val="a3"/>
        <w:rPr>
          <w:lang w:val="it-IT"/>
        </w:rPr>
      </w:pPr>
      <w:r w:rsidRPr="00C35766">
        <w:rPr>
          <w:rFonts w:eastAsia="Times New Roman"/>
          <w:lang w:val="it-IT"/>
        </w:rPr>
        <w:t>Conservi questo medicinale fuori dalla vista e dalla portata dei bambini.</w:t>
      </w:r>
    </w:p>
    <w:p w14:paraId="229C1862" w14:textId="77777777" w:rsidR="0050099E" w:rsidRPr="00C35766" w:rsidRDefault="0050099E" w:rsidP="0050099E">
      <w:pPr>
        <w:pStyle w:val="a3"/>
        <w:rPr>
          <w:lang w:val="it-IT"/>
        </w:rPr>
      </w:pPr>
    </w:p>
    <w:p w14:paraId="59601B9A" w14:textId="77777777" w:rsidR="0050099E" w:rsidRPr="00C35766" w:rsidRDefault="0050099E" w:rsidP="0050099E">
      <w:pPr>
        <w:pStyle w:val="a3"/>
        <w:rPr>
          <w:lang w:val="it-IT"/>
        </w:rPr>
      </w:pPr>
      <w:r w:rsidRPr="00C35766">
        <w:rPr>
          <w:rFonts w:eastAsia="Times New Roman"/>
          <w:lang w:val="it-IT"/>
        </w:rPr>
        <w:t>Non usi questo medicinale dopo la data di scadenza che è riportata sull’etichetta/imballaggio esterno dopo la scritta Scad..</w:t>
      </w:r>
    </w:p>
    <w:p w14:paraId="570FBF08" w14:textId="77777777" w:rsidR="0050099E" w:rsidRPr="00C35766" w:rsidRDefault="0050099E" w:rsidP="0050099E">
      <w:pPr>
        <w:pStyle w:val="a3"/>
        <w:rPr>
          <w:lang w:val="it-IT"/>
        </w:rPr>
      </w:pPr>
    </w:p>
    <w:p w14:paraId="122078D1" w14:textId="77777777" w:rsidR="0050099E" w:rsidRPr="00C35766" w:rsidRDefault="0050099E" w:rsidP="0050099E">
      <w:pPr>
        <w:pStyle w:val="a3"/>
        <w:rPr>
          <w:lang w:val="es-ES"/>
        </w:rPr>
      </w:pPr>
      <w:r w:rsidRPr="00C35766">
        <w:rPr>
          <w:rFonts w:eastAsia="Times New Roman"/>
          <w:lang w:val="it-IT"/>
        </w:rPr>
        <w:t>Conservare in frigorifero (2°C – 8°C). Non congelare.</w:t>
      </w:r>
    </w:p>
    <w:p w14:paraId="02C7946A" w14:textId="77777777" w:rsidR="0050099E" w:rsidRPr="00C35766" w:rsidRDefault="0050099E" w:rsidP="0050099E">
      <w:pPr>
        <w:pStyle w:val="a3"/>
        <w:rPr>
          <w:lang w:val="es-ES"/>
        </w:rPr>
      </w:pPr>
    </w:p>
    <w:p w14:paraId="3D95599C" w14:textId="2F51FA0A" w:rsidR="0050099E" w:rsidRPr="00C35766" w:rsidRDefault="00A073E7" w:rsidP="0050099E">
      <w:pPr>
        <w:pStyle w:val="a3"/>
        <w:rPr>
          <w:lang w:val="es-ES"/>
        </w:rPr>
      </w:pPr>
      <w:r>
        <w:rPr>
          <w:rFonts w:eastAsia="Times New Roman"/>
          <w:lang w:val="it-IT"/>
        </w:rPr>
        <w:t>Tenere</w:t>
      </w:r>
      <w:r w:rsidR="0050099E" w:rsidRPr="00C35766">
        <w:rPr>
          <w:rFonts w:eastAsia="Times New Roman"/>
          <w:lang w:val="it-IT"/>
        </w:rPr>
        <w:t xml:space="preserve"> la penna pre-riempita nell’imballaggio esterno per protegger</w:t>
      </w:r>
      <w:r>
        <w:rPr>
          <w:rFonts w:eastAsia="Times New Roman"/>
          <w:lang w:val="it-IT"/>
        </w:rPr>
        <w:t>e il medicinale</w:t>
      </w:r>
      <w:r w:rsidR="0050099E" w:rsidRPr="00C35766">
        <w:rPr>
          <w:rFonts w:eastAsia="Times New Roman"/>
          <w:lang w:val="it-IT"/>
        </w:rPr>
        <w:t xml:space="preserve"> dalla luce.</w:t>
      </w:r>
    </w:p>
    <w:p w14:paraId="259B8ADF" w14:textId="77777777" w:rsidR="0050099E" w:rsidRPr="00C35766" w:rsidRDefault="0050099E" w:rsidP="0050099E">
      <w:pPr>
        <w:spacing w:before="13" w:line="240" w:lineRule="exact"/>
        <w:rPr>
          <w:rFonts w:ascii="Times New Roman" w:hAnsi="Times New Roman" w:cs="Times New Roman"/>
          <w:sz w:val="24"/>
          <w:szCs w:val="24"/>
          <w:lang w:val="es-ES"/>
        </w:rPr>
      </w:pPr>
    </w:p>
    <w:p w14:paraId="5B2B4548" w14:textId="77777777" w:rsidR="0050099E" w:rsidRPr="00C35766" w:rsidRDefault="0050099E" w:rsidP="0050099E">
      <w:pPr>
        <w:pStyle w:val="a3"/>
        <w:rPr>
          <w:lang w:val="es-ES"/>
        </w:rPr>
      </w:pPr>
      <w:r w:rsidRPr="00C35766">
        <w:rPr>
          <w:rFonts w:eastAsia="Times New Roman"/>
          <w:lang w:val="it-IT"/>
        </w:rPr>
        <w:t>Condizioni di conservazione alternative:</w:t>
      </w:r>
    </w:p>
    <w:p w14:paraId="260DC4CF" w14:textId="77777777" w:rsidR="0050099E" w:rsidRPr="00C35766" w:rsidRDefault="0050099E" w:rsidP="0050099E">
      <w:pPr>
        <w:spacing w:before="14" w:line="240" w:lineRule="exact"/>
        <w:rPr>
          <w:rFonts w:ascii="Times New Roman" w:hAnsi="Times New Roman" w:cs="Times New Roman"/>
          <w:sz w:val="24"/>
          <w:szCs w:val="24"/>
          <w:lang w:val="es-ES"/>
        </w:rPr>
      </w:pPr>
    </w:p>
    <w:p w14:paraId="7943F105" w14:textId="16792CFE" w:rsidR="0050099E" w:rsidRPr="00C35766" w:rsidRDefault="0050099E" w:rsidP="0050099E">
      <w:pPr>
        <w:pStyle w:val="a3"/>
        <w:rPr>
          <w:lang w:val="pt-BR"/>
        </w:rPr>
      </w:pPr>
      <w:r w:rsidRPr="00C35766">
        <w:rPr>
          <w:rFonts w:eastAsia="Times New Roman"/>
          <w:lang w:val="it-IT"/>
        </w:rPr>
        <w:t>Quando necessario (per esempio quando viaggia) una singola penna pre-riempita di Yuflyma può essere conservata a temperatura ambiente (fino a 25°C) per un periodo massimo di 3</w:t>
      </w:r>
      <w:r w:rsidR="00A62C62">
        <w:rPr>
          <w:rFonts w:eastAsia="Times New Roman"/>
          <w:lang w:val="it-IT"/>
        </w:rPr>
        <w:t>1</w:t>
      </w:r>
      <w:r w:rsidRPr="00C35766">
        <w:rPr>
          <w:rFonts w:eastAsia="Times New Roman"/>
          <w:lang w:val="it-IT"/>
        </w:rPr>
        <w:t xml:space="preserve"> giorni; assicurarsi di proteggere il medicinale dalla luce. Una volta che viene rimossa dal frigorifero per essere conservata a temperatura ambiente, la penna </w:t>
      </w:r>
      <w:r w:rsidRPr="00C35766">
        <w:rPr>
          <w:rFonts w:eastAsia="Times New Roman"/>
          <w:b/>
          <w:bCs/>
          <w:lang w:val="it-IT"/>
        </w:rPr>
        <w:t>deve essere usata entro 3</w:t>
      </w:r>
      <w:r w:rsidR="00A62C62">
        <w:rPr>
          <w:rFonts w:eastAsia="Times New Roman"/>
          <w:b/>
          <w:bCs/>
          <w:lang w:val="it-IT"/>
        </w:rPr>
        <w:t>1</w:t>
      </w:r>
      <w:r w:rsidRPr="00C35766">
        <w:rPr>
          <w:rFonts w:eastAsia="Times New Roman"/>
          <w:b/>
          <w:bCs/>
          <w:lang w:val="it-IT"/>
        </w:rPr>
        <w:t xml:space="preserve"> giorni o buttata via</w:t>
      </w:r>
      <w:r w:rsidRPr="00C35766">
        <w:rPr>
          <w:rFonts w:eastAsia="Times New Roman"/>
          <w:lang w:val="it-IT"/>
        </w:rPr>
        <w:t>, anche se viene posta di nuovo nel frigorifero.</w:t>
      </w:r>
    </w:p>
    <w:p w14:paraId="3E823305" w14:textId="77777777" w:rsidR="0050099E" w:rsidRPr="00C35766" w:rsidRDefault="0050099E" w:rsidP="0050099E">
      <w:pPr>
        <w:spacing w:before="17" w:line="240" w:lineRule="exact"/>
        <w:rPr>
          <w:rFonts w:ascii="Times New Roman" w:hAnsi="Times New Roman" w:cs="Times New Roman"/>
          <w:sz w:val="24"/>
          <w:szCs w:val="24"/>
          <w:lang w:val="pt-BR"/>
        </w:rPr>
      </w:pPr>
    </w:p>
    <w:p w14:paraId="23EC175E" w14:textId="77777777" w:rsidR="0050099E" w:rsidRPr="00C35766" w:rsidRDefault="0050099E" w:rsidP="0050099E">
      <w:pPr>
        <w:pStyle w:val="a3"/>
        <w:rPr>
          <w:lang w:val="pt-BR"/>
        </w:rPr>
      </w:pPr>
      <w:r w:rsidRPr="00C35766">
        <w:rPr>
          <w:rFonts w:eastAsia="Times New Roman"/>
          <w:lang w:val="it-IT"/>
        </w:rPr>
        <w:t>Deve registrare la data in cui la penna viene tolta dal frigorifero la prima volta e la data dopo la quale la penna deve essere buttata via.</w:t>
      </w:r>
    </w:p>
    <w:p w14:paraId="33492EBE" w14:textId="77777777" w:rsidR="0050099E" w:rsidRPr="00C35766" w:rsidRDefault="0050099E" w:rsidP="0050099E">
      <w:pPr>
        <w:spacing w:before="14" w:line="240" w:lineRule="exact"/>
        <w:rPr>
          <w:rFonts w:ascii="Times New Roman" w:hAnsi="Times New Roman" w:cs="Times New Roman"/>
          <w:sz w:val="24"/>
          <w:szCs w:val="24"/>
          <w:lang w:val="pt-BR"/>
        </w:rPr>
      </w:pPr>
    </w:p>
    <w:p w14:paraId="1992EE57" w14:textId="77777777" w:rsidR="0050099E" w:rsidRPr="00C35766" w:rsidRDefault="0050099E" w:rsidP="0050099E">
      <w:pPr>
        <w:pStyle w:val="a3"/>
      </w:pPr>
      <w:r w:rsidRPr="00C35766">
        <w:rPr>
          <w:rFonts w:eastAsia="Times New Roman"/>
          <w:lang w:val="it-IT"/>
        </w:rPr>
        <w:t>Non getti alcun medicinale nell’acqua di scarico e nei rifiuti domestici. Chieda al medico o al farmacista come eliminare i medicinali che non utilizza più. Questo aiuterà a proteggere l’ambiente.</w:t>
      </w:r>
    </w:p>
    <w:p w14:paraId="34CE45BD" w14:textId="77777777" w:rsidR="0050099E" w:rsidRPr="00C35766" w:rsidRDefault="0050099E" w:rsidP="0050099E">
      <w:pPr>
        <w:spacing w:before="7" w:line="100" w:lineRule="exact"/>
        <w:rPr>
          <w:rFonts w:ascii="Times New Roman" w:hAnsi="Times New Roman" w:cs="Times New Roman"/>
          <w:sz w:val="10"/>
          <w:szCs w:val="10"/>
        </w:rPr>
      </w:pPr>
    </w:p>
    <w:p w14:paraId="68563E19" w14:textId="77777777" w:rsidR="0050099E" w:rsidRPr="00C35766" w:rsidRDefault="0050099E" w:rsidP="0050099E">
      <w:pPr>
        <w:spacing w:line="200" w:lineRule="exact"/>
        <w:rPr>
          <w:rFonts w:ascii="Times New Roman" w:hAnsi="Times New Roman" w:cs="Times New Roman"/>
          <w:sz w:val="20"/>
          <w:szCs w:val="20"/>
        </w:rPr>
      </w:pPr>
    </w:p>
    <w:p w14:paraId="4F992823" w14:textId="77777777" w:rsidR="0050099E" w:rsidRPr="00C35766" w:rsidRDefault="0050099E" w:rsidP="0050099E">
      <w:pPr>
        <w:spacing w:line="200" w:lineRule="exact"/>
        <w:rPr>
          <w:rFonts w:ascii="Times New Roman" w:hAnsi="Times New Roman" w:cs="Times New Roman"/>
          <w:sz w:val="20"/>
          <w:szCs w:val="20"/>
        </w:rPr>
      </w:pPr>
    </w:p>
    <w:p w14:paraId="41A5A580" w14:textId="77777777" w:rsidR="0050099E" w:rsidRPr="00C35766" w:rsidRDefault="0050099E" w:rsidP="00933A6C">
      <w:pPr>
        <w:pStyle w:val="a4"/>
        <w:numPr>
          <w:ilvl w:val="0"/>
          <w:numId w:val="66"/>
        </w:numPr>
        <w:spacing w:line="240" w:lineRule="exact"/>
        <w:ind w:left="357" w:hanging="357"/>
        <w:rPr>
          <w:rFonts w:ascii="Times New Roman" w:hAnsi="Times New Roman" w:cs="Times New Roman"/>
          <w:b/>
          <w:lang w:val="it-IT"/>
        </w:rPr>
      </w:pPr>
      <w:r w:rsidRPr="00C35766">
        <w:rPr>
          <w:rFonts w:ascii="Times New Roman" w:eastAsia="Times New Roman" w:hAnsi="Times New Roman" w:cs="Times New Roman"/>
          <w:b/>
          <w:bCs/>
          <w:noProof/>
          <w:lang w:val="it-IT"/>
        </w:rPr>
        <w:t>Contenuto della confezione e altre informazioni</w:t>
      </w:r>
    </w:p>
    <w:p w14:paraId="0ACAF0BA" w14:textId="77777777" w:rsidR="0050099E" w:rsidRPr="00C35766" w:rsidRDefault="0050099E" w:rsidP="0050099E">
      <w:pPr>
        <w:widowControl/>
        <w:tabs>
          <w:tab w:val="left" w:pos="567"/>
        </w:tabs>
        <w:spacing w:line="260" w:lineRule="exact"/>
        <w:ind w:left="360"/>
        <w:rPr>
          <w:rFonts w:ascii="Times New Roman" w:hAnsi="Times New Roman" w:cs="Times New Roman"/>
          <w:b/>
          <w:lang w:val="it-IT"/>
        </w:rPr>
      </w:pPr>
    </w:p>
    <w:p w14:paraId="2681BF27" w14:textId="77777777" w:rsidR="0050099E" w:rsidRPr="00C35766" w:rsidRDefault="0050099E" w:rsidP="0050099E">
      <w:pPr>
        <w:pStyle w:val="a3"/>
        <w:rPr>
          <w:b/>
          <w:lang w:val="it-IT"/>
        </w:rPr>
      </w:pPr>
      <w:r w:rsidRPr="00C35766">
        <w:rPr>
          <w:rFonts w:eastAsia="Times New Roman"/>
          <w:b/>
          <w:bCs/>
          <w:lang w:val="it-IT"/>
        </w:rPr>
        <w:t>Cosa contiene Yuflyma</w:t>
      </w:r>
    </w:p>
    <w:p w14:paraId="5A8EFBC1" w14:textId="77777777" w:rsidR="0050099E" w:rsidRPr="00C35766" w:rsidRDefault="0050099E" w:rsidP="0050099E">
      <w:pPr>
        <w:pStyle w:val="a3"/>
        <w:rPr>
          <w:b/>
          <w:lang w:val="it-IT"/>
        </w:rPr>
      </w:pPr>
    </w:p>
    <w:p w14:paraId="3A5D0AFB" w14:textId="77777777" w:rsidR="0050099E" w:rsidRPr="00C35766" w:rsidRDefault="0050099E" w:rsidP="0050099E">
      <w:pPr>
        <w:pStyle w:val="a3"/>
        <w:rPr>
          <w:lang w:val="it-IT"/>
        </w:rPr>
      </w:pPr>
      <w:r w:rsidRPr="00C35766">
        <w:rPr>
          <w:rFonts w:eastAsia="Times New Roman"/>
          <w:lang w:val="it-IT"/>
        </w:rPr>
        <w:lastRenderedPageBreak/>
        <w:t>Il principio attivo è adalimumab.</w:t>
      </w:r>
    </w:p>
    <w:p w14:paraId="1E7B204B" w14:textId="77777777" w:rsidR="0050099E" w:rsidRPr="00C35766" w:rsidRDefault="0050099E" w:rsidP="0050099E">
      <w:pPr>
        <w:pStyle w:val="a3"/>
        <w:rPr>
          <w:lang w:val="pt-BR"/>
        </w:rPr>
      </w:pPr>
      <w:r w:rsidRPr="00C35766">
        <w:rPr>
          <w:rFonts w:eastAsia="Times New Roman"/>
          <w:lang w:val="it-IT"/>
        </w:rPr>
        <w:t>Gli altri componenti sono acido acetico, acetato di sodio triidrato, glicina, polisorbato 80, e acqua per preparazioni iniettabili.</w:t>
      </w:r>
    </w:p>
    <w:p w14:paraId="7492A04E" w14:textId="77777777" w:rsidR="0050099E" w:rsidRPr="00C35766" w:rsidRDefault="0050099E" w:rsidP="0050099E">
      <w:pPr>
        <w:pStyle w:val="a3"/>
        <w:rPr>
          <w:lang w:val="pt-BR"/>
        </w:rPr>
      </w:pPr>
    </w:p>
    <w:p w14:paraId="381CBFFB" w14:textId="77777777" w:rsidR="0050099E" w:rsidRPr="00C35766" w:rsidRDefault="0050099E" w:rsidP="0050099E">
      <w:pPr>
        <w:pStyle w:val="a3"/>
        <w:rPr>
          <w:b/>
          <w:bCs/>
          <w:lang w:val="pt-BR"/>
        </w:rPr>
      </w:pPr>
      <w:r w:rsidRPr="00C35766">
        <w:rPr>
          <w:rFonts w:eastAsia="Times New Roman"/>
          <w:b/>
          <w:bCs/>
          <w:lang w:val="it-IT"/>
        </w:rPr>
        <w:t>Descrizione dell’aspetto di Yuflyma penna pre-riempita  e contenuto della confezione</w:t>
      </w:r>
    </w:p>
    <w:p w14:paraId="41FDCC89" w14:textId="77777777" w:rsidR="0050099E" w:rsidRPr="00C35766" w:rsidRDefault="0050099E" w:rsidP="0050099E">
      <w:pPr>
        <w:spacing w:before="12" w:line="240" w:lineRule="exact"/>
        <w:rPr>
          <w:rFonts w:ascii="Times New Roman" w:hAnsi="Times New Roman" w:cs="Times New Roman"/>
          <w:sz w:val="24"/>
          <w:szCs w:val="24"/>
          <w:lang w:val="pt-BR"/>
        </w:rPr>
      </w:pPr>
    </w:p>
    <w:p w14:paraId="409C8121" w14:textId="0D308817" w:rsidR="0050099E" w:rsidRPr="00C35766" w:rsidRDefault="0050099E" w:rsidP="0050099E">
      <w:pPr>
        <w:pStyle w:val="a3"/>
        <w:rPr>
          <w:lang w:val="pt-BR"/>
        </w:rPr>
      </w:pPr>
      <w:r w:rsidRPr="00C35766">
        <w:rPr>
          <w:rFonts w:eastAsia="Times New Roman"/>
          <w:lang w:val="it-IT"/>
        </w:rPr>
        <w:t xml:space="preserve">Yuflyma </w:t>
      </w:r>
      <w:r w:rsidR="007836F0" w:rsidRPr="00C35766">
        <w:rPr>
          <w:rFonts w:eastAsia="Times New Roman"/>
          <w:lang w:val="it-IT"/>
        </w:rPr>
        <w:t>8</w:t>
      </w:r>
      <w:r w:rsidRPr="00C35766">
        <w:rPr>
          <w:rFonts w:eastAsia="Times New Roman"/>
          <w:lang w:val="it-IT"/>
        </w:rPr>
        <w:t xml:space="preserve">0 mg soluzione iniettabile in penna pre-riempita è </w:t>
      </w:r>
      <w:r w:rsidR="00A710B5" w:rsidRPr="00C35766">
        <w:rPr>
          <w:rFonts w:eastAsia="Times New Roman"/>
          <w:lang w:val="it-IT"/>
        </w:rPr>
        <w:t>fornit</w:t>
      </w:r>
      <w:r w:rsidR="00A710B5">
        <w:rPr>
          <w:rFonts w:eastAsia="Times New Roman"/>
          <w:lang w:val="it-IT"/>
        </w:rPr>
        <w:t>a</w:t>
      </w:r>
      <w:r w:rsidR="00A710B5" w:rsidRPr="00C35766">
        <w:rPr>
          <w:rFonts w:eastAsia="Times New Roman"/>
          <w:lang w:val="it-IT"/>
        </w:rPr>
        <w:t xml:space="preserve"> </w:t>
      </w:r>
      <w:r w:rsidRPr="00C35766">
        <w:rPr>
          <w:rFonts w:eastAsia="Times New Roman"/>
          <w:lang w:val="it-IT"/>
        </w:rPr>
        <w:t xml:space="preserve">come soluzione sterile di </w:t>
      </w:r>
      <w:r w:rsidR="007836F0" w:rsidRPr="00C35766">
        <w:rPr>
          <w:rFonts w:eastAsia="Times New Roman"/>
          <w:lang w:val="it-IT"/>
        </w:rPr>
        <w:t>8</w:t>
      </w:r>
      <w:r w:rsidRPr="00C35766">
        <w:rPr>
          <w:rFonts w:eastAsia="Times New Roman"/>
          <w:lang w:val="it-IT"/>
        </w:rPr>
        <w:t>0 mg di adalimumab disciolti in 0,</w:t>
      </w:r>
      <w:r w:rsidR="007836F0" w:rsidRPr="00C35766">
        <w:rPr>
          <w:rFonts w:eastAsia="Times New Roman"/>
          <w:lang w:val="it-IT"/>
        </w:rPr>
        <w:t>8</w:t>
      </w:r>
      <w:r w:rsidRPr="00C35766">
        <w:rPr>
          <w:rFonts w:eastAsia="Times New Roman"/>
          <w:lang w:val="it-IT"/>
        </w:rPr>
        <w:t xml:space="preserve"> mL di soluzione.</w:t>
      </w:r>
    </w:p>
    <w:p w14:paraId="4F12B544" w14:textId="77777777" w:rsidR="0050099E" w:rsidRPr="00C35766" w:rsidRDefault="0050099E" w:rsidP="0050099E">
      <w:pPr>
        <w:spacing w:before="11" w:line="240" w:lineRule="exact"/>
        <w:rPr>
          <w:rFonts w:ascii="Times New Roman" w:hAnsi="Times New Roman" w:cs="Times New Roman"/>
          <w:sz w:val="24"/>
          <w:szCs w:val="24"/>
          <w:lang w:val="pt-BR"/>
        </w:rPr>
      </w:pPr>
    </w:p>
    <w:p w14:paraId="1BC0C939" w14:textId="77777777" w:rsidR="0050099E" w:rsidRPr="00C35766" w:rsidRDefault="0050099E" w:rsidP="0050099E">
      <w:pPr>
        <w:pStyle w:val="a3"/>
        <w:rPr>
          <w:lang w:val="es-ES"/>
        </w:rPr>
      </w:pPr>
      <w:r w:rsidRPr="00C35766">
        <w:rPr>
          <w:rFonts w:eastAsia="Times New Roman"/>
          <w:lang w:val="it-IT"/>
        </w:rPr>
        <w:t>Yuflyma penna pre-riempita è un sistema di iniezione monouso tramite ago con funzioni automatiche. Su ciascun lato della penna è presente una finestra attraverso cui è possibile vedere la soluzione di Yuflyma all'interno della penna.</w:t>
      </w:r>
    </w:p>
    <w:p w14:paraId="4DF4492D" w14:textId="77777777" w:rsidR="0050099E" w:rsidRPr="00C35766" w:rsidRDefault="0050099E" w:rsidP="0050099E">
      <w:pPr>
        <w:spacing w:before="13" w:line="240" w:lineRule="exact"/>
        <w:rPr>
          <w:rFonts w:ascii="Times New Roman" w:hAnsi="Times New Roman" w:cs="Times New Roman"/>
          <w:sz w:val="24"/>
          <w:szCs w:val="24"/>
          <w:lang w:val="es-ES"/>
        </w:rPr>
      </w:pPr>
    </w:p>
    <w:p w14:paraId="3FB693BB" w14:textId="77777777" w:rsidR="007836F0" w:rsidRPr="00C35766" w:rsidRDefault="007836F0" w:rsidP="007836F0">
      <w:pPr>
        <w:pStyle w:val="a3"/>
        <w:rPr>
          <w:rFonts w:eastAsia="Times New Roman"/>
          <w:lang w:val="it-IT"/>
        </w:rPr>
      </w:pPr>
      <w:r w:rsidRPr="00C35766">
        <w:rPr>
          <w:rFonts w:eastAsia="Times New Roman"/>
          <w:lang w:val="it-IT"/>
        </w:rPr>
        <w:t>La penna preriempita Yuflyma è disponibile in confezioni contenenti:</w:t>
      </w:r>
    </w:p>
    <w:p w14:paraId="5A4E474C" w14:textId="77777777" w:rsidR="007836F0" w:rsidRPr="00824699" w:rsidRDefault="007836F0" w:rsidP="00933A6C">
      <w:pPr>
        <w:pStyle w:val="a3"/>
        <w:ind w:left="800" w:hanging="400"/>
        <w:rPr>
          <w:lang w:val="it-IT"/>
        </w:rPr>
      </w:pPr>
      <w:r w:rsidRPr="00824699">
        <w:rPr>
          <w:lang w:val="it-IT"/>
        </w:rPr>
        <w:t>• 1 penna preriempita per uso paziente con 2 tamponi imbevuti di alcol (1 di riserva)</w:t>
      </w:r>
    </w:p>
    <w:p w14:paraId="2FA82967" w14:textId="08120AB3" w:rsidR="0050099E" w:rsidRPr="00C35766" w:rsidRDefault="007836F0" w:rsidP="00933A6C">
      <w:pPr>
        <w:pStyle w:val="a3"/>
        <w:ind w:left="800" w:hanging="400"/>
        <w:rPr>
          <w:lang w:val="it-IT"/>
        </w:rPr>
      </w:pPr>
      <w:r w:rsidRPr="00824699">
        <w:rPr>
          <w:lang w:val="it-IT"/>
        </w:rPr>
        <w:t>• 3 penne preriempite per uso paziente con 4 tamponi imbevuti di alcol (1 di riserva)</w:t>
      </w:r>
    </w:p>
    <w:p w14:paraId="61491707" w14:textId="77777777" w:rsidR="0050099E" w:rsidRPr="00C35766" w:rsidRDefault="0050099E" w:rsidP="0050099E">
      <w:pPr>
        <w:spacing w:before="11" w:line="240" w:lineRule="exact"/>
        <w:rPr>
          <w:rFonts w:ascii="Times New Roman" w:hAnsi="Times New Roman" w:cs="Times New Roman"/>
          <w:sz w:val="24"/>
          <w:szCs w:val="24"/>
          <w:lang w:val="it-IT"/>
        </w:rPr>
      </w:pPr>
    </w:p>
    <w:p w14:paraId="4C0553BD" w14:textId="77777777" w:rsidR="0050099E" w:rsidRPr="00C35766" w:rsidRDefault="0050099E" w:rsidP="0050099E">
      <w:pPr>
        <w:pStyle w:val="a3"/>
        <w:rPr>
          <w:lang w:val="it-IT"/>
        </w:rPr>
      </w:pPr>
      <w:r w:rsidRPr="00C35766">
        <w:rPr>
          <w:rFonts w:eastAsia="Times New Roman"/>
          <w:lang w:val="it-IT"/>
        </w:rPr>
        <w:t>È possibile che non tutte le confezioni siano commercializzate.</w:t>
      </w:r>
    </w:p>
    <w:p w14:paraId="036A5E98" w14:textId="77777777" w:rsidR="0050099E" w:rsidRPr="00C35766" w:rsidRDefault="0050099E" w:rsidP="0050099E">
      <w:pPr>
        <w:spacing w:before="13" w:line="240" w:lineRule="exact"/>
        <w:rPr>
          <w:rFonts w:ascii="Times New Roman" w:hAnsi="Times New Roman" w:cs="Times New Roman"/>
          <w:sz w:val="24"/>
          <w:szCs w:val="24"/>
          <w:lang w:val="it-IT"/>
        </w:rPr>
      </w:pPr>
    </w:p>
    <w:p w14:paraId="22BB9409" w14:textId="77777777" w:rsidR="0050099E" w:rsidRPr="00C35766" w:rsidRDefault="0050099E" w:rsidP="0050099E">
      <w:pPr>
        <w:pStyle w:val="a3"/>
        <w:rPr>
          <w:lang w:val="pt-BR"/>
        </w:rPr>
      </w:pPr>
      <w:r w:rsidRPr="00C35766">
        <w:rPr>
          <w:rFonts w:eastAsia="Times New Roman"/>
          <w:lang w:val="it-IT"/>
        </w:rPr>
        <w:t>Yuflyma può essere disponibile come siringa pre-riempita e/o penna pre-riempita.</w:t>
      </w:r>
    </w:p>
    <w:p w14:paraId="112AD432" w14:textId="77777777" w:rsidR="0050099E" w:rsidRPr="00C35766" w:rsidRDefault="0050099E" w:rsidP="0050099E">
      <w:pPr>
        <w:spacing w:before="18" w:line="240" w:lineRule="exact"/>
        <w:rPr>
          <w:rFonts w:ascii="Times New Roman" w:hAnsi="Times New Roman" w:cs="Times New Roman"/>
          <w:sz w:val="24"/>
          <w:szCs w:val="24"/>
          <w:lang w:val="pt-BR"/>
        </w:rPr>
      </w:pPr>
    </w:p>
    <w:p w14:paraId="331B3B1C" w14:textId="77777777" w:rsidR="0050099E" w:rsidRPr="00C35766" w:rsidRDefault="0050099E" w:rsidP="0050099E">
      <w:pPr>
        <w:pStyle w:val="a3"/>
        <w:rPr>
          <w:b/>
          <w:lang w:val="it-IT"/>
        </w:rPr>
      </w:pPr>
      <w:r w:rsidRPr="00C35766">
        <w:rPr>
          <w:rFonts w:eastAsia="Times New Roman"/>
          <w:b/>
          <w:bCs/>
          <w:lang w:val="it-IT"/>
        </w:rPr>
        <w:t>Titolare dell’autorizzazione all’immissione in commercio</w:t>
      </w:r>
    </w:p>
    <w:p w14:paraId="36B77CCF" w14:textId="77777777" w:rsidR="0050099E" w:rsidRPr="00C35766" w:rsidRDefault="0050099E" w:rsidP="0050099E">
      <w:pPr>
        <w:spacing w:before="12" w:line="240" w:lineRule="exact"/>
        <w:rPr>
          <w:rFonts w:ascii="Times New Roman" w:hAnsi="Times New Roman" w:cs="Times New Roman"/>
          <w:sz w:val="24"/>
          <w:lang w:val="it-IT"/>
        </w:rPr>
      </w:pPr>
    </w:p>
    <w:p w14:paraId="383BF0A9" w14:textId="77777777" w:rsidR="0050099E" w:rsidRPr="00C35766" w:rsidRDefault="0050099E" w:rsidP="0050099E">
      <w:pPr>
        <w:spacing w:before="12" w:line="240" w:lineRule="exact"/>
        <w:rPr>
          <w:rFonts w:ascii="Times New Roman" w:hAnsi="Times New Roman" w:cs="Times New Roman"/>
          <w:lang w:val="it-IT"/>
        </w:rPr>
      </w:pPr>
      <w:r w:rsidRPr="00C35766">
        <w:rPr>
          <w:rFonts w:ascii="Times New Roman" w:hAnsi="Times New Roman" w:cs="Times New Roman"/>
          <w:lang w:val="it-IT"/>
        </w:rPr>
        <w:t xml:space="preserve">Celltrion Healthcare Hungary Kft. </w:t>
      </w:r>
    </w:p>
    <w:p w14:paraId="6E8C469A" w14:textId="77777777" w:rsidR="0050099E" w:rsidRPr="00C35766" w:rsidRDefault="0050099E" w:rsidP="0050099E">
      <w:pPr>
        <w:spacing w:before="12" w:line="240" w:lineRule="exact"/>
        <w:rPr>
          <w:rFonts w:ascii="Times New Roman" w:hAnsi="Times New Roman" w:cs="Times New Roman"/>
        </w:rPr>
      </w:pPr>
      <w:r w:rsidRPr="00C35766">
        <w:rPr>
          <w:rFonts w:ascii="Times New Roman" w:hAnsi="Times New Roman" w:cs="Times New Roman"/>
        </w:rPr>
        <w:t>1062 Budapest</w:t>
      </w:r>
    </w:p>
    <w:p w14:paraId="6E317F3E" w14:textId="5DD21615" w:rsidR="0050099E" w:rsidRPr="00C35766" w:rsidRDefault="0050099E" w:rsidP="00E250C0">
      <w:pPr>
        <w:pStyle w:val="a3"/>
        <w:rPr>
          <w:vanish/>
        </w:rPr>
      </w:pPr>
      <w:r w:rsidRPr="00C35766">
        <w:t>Váci út 1-3. WestEnd Office Building B torony</w:t>
      </w:r>
      <w:r w:rsidRPr="00C35766">
        <w:rPr>
          <w:vanish/>
        </w:rPr>
        <w:t xml:space="preserve"> </w:t>
      </w:r>
    </w:p>
    <w:p w14:paraId="7BEB67E1" w14:textId="77777777" w:rsidR="0050099E" w:rsidRPr="00C35766" w:rsidRDefault="0050099E" w:rsidP="0050099E">
      <w:pPr>
        <w:pStyle w:val="a3"/>
      </w:pPr>
      <w:r w:rsidRPr="00C35766">
        <w:t>Ungheria</w:t>
      </w:r>
    </w:p>
    <w:p w14:paraId="10FD1468" w14:textId="77777777" w:rsidR="0050099E" w:rsidRPr="00C35766" w:rsidRDefault="0050099E" w:rsidP="0050099E">
      <w:pPr>
        <w:spacing w:before="15" w:line="240" w:lineRule="exact"/>
        <w:rPr>
          <w:rFonts w:ascii="Times New Roman" w:hAnsi="Times New Roman" w:cs="Times New Roman"/>
          <w:sz w:val="24"/>
          <w:szCs w:val="24"/>
        </w:rPr>
      </w:pPr>
    </w:p>
    <w:p w14:paraId="5804A263" w14:textId="77777777" w:rsidR="0050099E" w:rsidRPr="00C35766" w:rsidRDefault="0050099E" w:rsidP="0050099E">
      <w:pPr>
        <w:pStyle w:val="a3"/>
        <w:rPr>
          <w:b/>
          <w:bCs/>
        </w:rPr>
      </w:pPr>
      <w:r w:rsidRPr="00C35766">
        <w:rPr>
          <w:b/>
        </w:rPr>
        <w:t>Produttore</w:t>
      </w:r>
    </w:p>
    <w:p w14:paraId="44D68A2E" w14:textId="77777777" w:rsidR="0050099E" w:rsidRPr="00C35766" w:rsidRDefault="0050099E" w:rsidP="0050099E">
      <w:pPr>
        <w:spacing w:before="12" w:line="240" w:lineRule="exact"/>
        <w:rPr>
          <w:rFonts w:ascii="Times New Roman" w:hAnsi="Times New Roman" w:cs="Times New Roman"/>
          <w:sz w:val="24"/>
          <w:szCs w:val="24"/>
        </w:rPr>
      </w:pPr>
    </w:p>
    <w:p w14:paraId="757FD4DC" w14:textId="200B09CE" w:rsidR="0050099E" w:rsidRPr="00BD232C" w:rsidDel="009328A5" w:rsidRDefault="0050099E" w:rsidP="0050099E">
      <w:pPr>
        <w:spacing w:before="12" w:line="240" w:lineRule="exact"/>
        <w:rPr>
          <w:del w:id="150" w:author="만든 이"/>
          <w:rFonts w:ascii="Times New Roman" w:hAnsi="Times New Roman" w:cs="Times New Roman"/>
        </w:rPr>
      </w:pPr>
      <w:del w:id="151" w:author="만든 이">
        <w:r w:rsidRPr="00BD232C" w:rsidDel="009328A5">
          <w:rPr>
            <w:rFonts w:ascii="Times New Roman" w:hAnsi="Times New Roman" w:cs="Times New Roman"/>
          </w:rPr>
          <w:delText>Millmount Healthcare Ltd.</w:delText>
        </w:r>
      </w:del>
    </w:p>
    <w:p w14:paraId="4415E712" w14:textId="7BA4F328" w:rsidR="0050099E" w:rsidRPr="00BD232C" w:rsidDel="009328A5" w:rsidRDefault="0050099E" w:rsidP="0050099E">
      <w:pPr>
        <w:spacing w:before="12" w:line="240" w:lineRule="exact"/>
        <w:rPr>
          <w:del w:id="152" w:author="만든 이"/>
          <w:rFonts w:ascii="Times New Roman" w:hAnsi="Times New Roman" w:cs="Times New Roman"/>
        </w:rPr>
      </w:pPr>
      <w:del w:id="153" w:author="만든 이">
        <w:r w:rsidRPr="00BD232C" w:rsidDel="009328A5">
          <w:rPr>
            <w:rFonts w:ascii="Times New Roman" w:hAnsi="Times New Roman" w:cs="Times New Roman"/>
          </w:rPr>
          <w:delText>Block 7</w:delText>
        </w:r>
      </w:del>
    </w:p>
    <w:p w14:paraId="174E6DCA" w14:textId="69B325CE" w:rsidR="0050099E" w:rsidRPr="00BD232C" w:rsidDel="009328A5" w:rsidRDefault="0050099E" w:rsidP="0050099E">
      <w:pPr>
        <w:spacing w:before="12" w:line="240" w:lineRule="exact"/>
        <w:rPr>
          <w:del w:id="154" w:author="만든 이"/>
          <w:rFonts w:ascii="Times New Roman" w:hAnsi="Times New Roman" w:cs="Times New Roman"/>
        </w:rPr>
      </w:pPr>
      <w:del w:id="155" w:author="만든 이">
        <w:r w:rsidRPr="00BD232C" w:rsidDel="009328A5">
          <w:rPr>
            <w:rFonts w:ascii="Times New Roman" w:hAnsi="Times New Roman" w:cs="Times New Roman"/>
          </w:rPr>
          <w:delText xml:space="preserve">City North Business Campus </w:delText>
        </w:r>
      </w:del>
    </w:p>
    <w:p w14:paraId="5C47A606" w14:textId="1CA223EB" w:rsidR="002A37A2" w:rsidRPr="002A37A2" w:rsidDel="009328A5" w:rsidRDefault="0050099E" w:rsidP="002A37A2">
      <w:pPr>
        <w:pStyle w:val="a3"/>
        <w:rPr>
          <w:del w:id="156" w:author="만든 이"/>
          <w:lang w:val="fr-CA"/>
          <w:rPrChange w:id="157" w:author="만든 이">
            <w:rPr>
              <w:del w:id="158" w:author="만든 이"/>
              <w:vanish/>
            </w:rPr>
          </w:rPrChange>
        </w:rPr>
      </w:pPr>
      <w:del w:id="159" w:author="만든 이">
        <w:r w:rsidRPr="00BD232C" w:rsidDel="009328A5">
          <w:delText xml:space="preserve">Stamullen, Co. </w:delText>
        </w:r>
        <w:r w:rsidRPr="00BD232C" w:rsidDel="009328A5">
          <w:rPr>
            <w:lang w:val="fr-CA"/>
            <w:rPrChange w:id="160" w:author="만든 이">
              <w:rPr/>
            </w:rPrChange>
          </w:rPr>
          <w:delText>Meath K32 YD60</w:delText>
        </w:r>
      </w:del>
    </w:p>
    <w:p w14:paraId="7A806CF2" w14:textId="117DEDBB" w:rsidR="0050099E" w:rsidRPr="00BD232C" w:rsidDel="009328A5" w:rsidRDefault="0050099E" w:rsidP="002A37A2">
      <w:pPr>
        <w:pStyle w:val="a3"/>
        <w:rPr>
          <w:del w:id="161" w:author="만든 이"/>
          <w:lang w:val="it-IT"/>
        </w:rPr>
      </w:pPr>
      <w:del w:id="162" w:author="만든 이">
        <w:r w:rsidRPr="00BD232C" w:rsidDel="009328A5">
          <w:rPr>
            <w:rFonts w:eastAsia="Times New Roman"/>
            <w:lang w:val="it-IT"/>
          </w:rPr>
          <w:delText>Irlanda</w:delText>
        </w:r>
      </w:del>
    </w:p>
    <w:p w14:paraId="2BE07135" w14:textId="2715CD8A" w:rsidR="0050099E" w:rsidRPr="00BD232C" w:rsidDel="009328A5" w:rsidRDefault="0050099E" w:rsidP="002A37A2">
      <w:pPr>
        <w:pStyle w:val="a3"/>
        <w:rPr>
          <w:del w:id="163" w:author="만든 이"/>
          <w:sz w:val="24"/>
          <w:lang w:val="it-IT"/>
        </w:rPr>
      </w:pPr>
    </w:p>
    <w:p w14:paraId="3535FE0F" w14:textId="77777777" w:rsidR="009328A5" w:rsidRPr="00BD232C" w:rsidRDefault="009328A5" w:rsidP="002A37A2">
      <w:pPr>
        <w:pStyle w:val="a3"/>
        <w:rPr>
          <w:moveTo w:id="164" w:author="만든 이" w16du:dateUtc="2025-09-09T05:42:00Z"/>
          <w:rFonts w:eastAsia="Times New Roman"/>
          <w:lang w:val="it-IT"/>
        </w:rPr>
      </w:pPr>
      <w:moveToRangeStart w:id="165" w:author="만든 이" w:name="move208321350"/>
      <w:moveTo w:id="166" w:author="만든 이" w16du:dateUtc="2025-09-09T05:42:00Z">
        <w:r w:rsidRPr="00BD232C">
          <w:rPr>
            <w:rFonts w:eastAsia="Times New Roman"/>
            <w:lang w:val="it-IT"/>
          </w:rPr>
          <w:t>Nuvisan France SARL</w:t>
        </w:r>
      </w:moveTo>
    </w:p>
    <w:p w14:paraId="73605698" w14:textId="77777777" w:rsidR="009328A5" w:rsidRPr="00BD232C" w:rsidRDefault="009328A5" w:rsidP="009328A5">
      <w:pPr>
        <w:spacing w:before="10" w:line="240" w:lineRule="exact"/>
        <w:rPr>
          <w:moveTo w:id="167" w:author="만든 이" w16du:dateUtc="2025-09-09T05:42:00Z"/>
          <w:rFonts w:ascii="Times New Roman" w:hAnsi="Times New Roman" w:cs="Times New Roman"/>
          <w:lang w:val="it-IT" w:eastAsia="ko-KR"/>
        </w:rPr>
      </w:pPr>
      <w:moveTo w:id="168" w:author="만든 이" w16du:dateUtc="2025-09-09T05:42:00Z">
        <w:r w:rsidRPr="00BD232C">
          <w:rPr>
            <w:rFonts w:ascii="Times New Roman" w:eastAsia="Times New Roman" w:hAnsi="Times New Roman" w:cs="Times New Roman"/>
            <w:lang w:val="it-IT"/>
          </w:rPr>
          <w:t>2400, Route des Colles</w:t>
        </w:r>
      </w:moveTo>
    </w:p>
    <w:p w14:paraId="51E6FA8E" w14:textId="77777777" w:rsidR="009328A5" w:rsidRPr="00BD232C" w:rsidRDefault="009328A5" w:rsidP="009328A5">
      <w:pPr>
        <w:spacing w:before="10" w:line="240" w:lineRule="exact"/>
        <w:rPr>
          <w:moveTo w:id="169" w:author="만든 이" w16du:dateUtc="2025-09-09T05:42:00Z"/>
          <w:rFonts w:ascii="Times New Roman" w:hAnsi="Times New Roman" w:cs="Times New Roman"/>
          <w:lang w:val="it-IT" w:eastAsia="ko-KR"/>
        </w:rPr>
      </w:pPr>
      <w:moveTo w:id="170" w:author="만든 이" w16du:dateUtc="2025-09-09T05:42:00Z">
        <w:r w:rsidRPr="00BD232C">
          <w:rPr>
            <w:rFonts w:ascii="Times New Roman" w:eastAsia="Times New Roman" w:hAnsi="Times New Roman" w:cs="Times New Roman"/>
            <w:lang w:val="it-IT"/>
          </w:rPr>
          <w:t>06410, Biot</w:t>
        </w:r>
      </w:moveTo>
    </w:p>
    <w:p w14:paraId="252704CF" w14:textId="77777777" w:rsidR="009328A5" w:rsidRPr="00BD232C" w:rsidRDefault="009328A5" w:rsidP="009328A5">
      <w:pPr>
        <w:autoSpaceDE w:val="0"/>
        <w:autoSpaceDN w:val="0"/>
        <w:adjustRightInd w:val="0"/>
        <w:rPr>
          <w:moveTo w:id="171" w:author="만든 이" w16du:dateUtc="2025-09-09T05:42:00Z"/>
          <w:rFonts w:ascii="Times New Roman" w:eastAsia="Times New Roman" w:hAnsi="Times New Roman" w:cs="Times New Roman"/>
          <w:lang w:val="it-IT"/>
        </w:rPr>
      </w:pPr>
      <w:moveTo w:id="172" w:author="만든 이" w16du:dateUtc="2025-09-09T05:42:00Z">
        <w:r w:rsidRPr="00BD232C">
          <w:rPr>
            <w:rFonts w:ascii="Times New Roman" w:eastAsia="Times New Roman" w:hAnsi="Times New Roman" w:cs="Times New Roman"/>
            <w:lang w:val="it-IT"/>
          </w:rPr>
          <w:t>Francia</w:t>
        </w:r>
      </w:moveTo>
    </w:p>
    <w:p w14:paraId="64F05044" w14:textId="77777777" w:rsidR="009328A5" w:rsidRPr="00BD232C" w:rsidRDefault="009328A5" w:rsidP="009328A5">
      <w:pPr>
        <w:pStyle w:val="a3"/>
        <w:rPr>
          <w:moveTo w:id="173" w:author="만든 이" w16du:dateUtc="2025-09-09T05:42:00Z"/>
          <w:rFonts w:eastAsia="Times New Roman"/>
          <w:lang w:val="es-ES_tradnl"/>
        </w:rPr>
      </w:pPr>
    </w:p>
    <w:moveToRangeEnd w:id="165"/>
    <w:p w14:paraId="5C63CA4E" w14:textId="77777777" w:rsidR="0050099E" w:rsidRPr="00146E60" w:rsidRDefault="0050099E" w:rsidP="0050099E">
      <w:pPr>
        <w:spacing w:before="10" w:line="240" w:lineRule="exact"/>
        <w:rPr>
          <w:rFonts w:ascii="Times New Roman" w:eastAsia="Times New Roman" w:hAnsi="Times New Roman" w:cs="Times New Roman"/>
          <w:shd w:val="pct15" w:color="auto" w:fill="FFFFFF"/>
          <w:lang w:val="de-CH"/>
        </w:rPr>
      </w:pPr>
      <w:r w:rsidRPr="00146E60">
        <w:rPr>
          <w:rFonts w:ascii="Times New Roman" w:eastAsia="Times New Roman" w:hAnsi="Times New Roman" w:cs="Times New Roman"/>
          <w:shd w:val="pct15" w:color="auto" w:fill="FFFFFF"/>
          <w:lang w:val="de-CH"/>
        </w:rPr>
        <w:t>Nuvisan GmbH</w:t>
      </w:r>
    </w:p>
    <w:p w14:paraId="7B54FA2F" w14:textId="141A89B2" w:rsidR="0050099E" w:rsidRPr="00D74B3A" w:rsidRDefault="0050099E" w:rsidP="0050099E">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Wegenerstraße 13</w:t>
      </w:r>
    </w:p>
    <w:p w14:paraId="060ED3D7" w14:textId="7884EE7C" w:rsidR="0050099E" w:rsidRPr="00D74B3A" w:rsidRDefault="0050099E" w:rsidP="0050099E">
      <w:pPr>
        <w:spacing w:before="10" w:line="240" w:lineRule="exact"/>
        <w:rPr>
          <w:rFonts w:ascii="Times New Roman" w:hAnsi="Times New Roman" w:cs="Times New Roman"/>
          <w:shd w:val="pct15" w:color="auto" w:fill="FFFFFF"/>
          <w:lang w:val="it-IT" w:eastAsia="ko-KR"/>
        </w:rPr>
      </w:pPr>
      <w:r w:rsidRPr="00824699">
        <w:rPr>
          <w:rFonts w:ascii="Times New Roman" w:eastAsia="Times New Roman" w:hAnsi="Times New Roman" w:cs="Times New Roman"/>
          <w:shd w:val="pct15" w:color="auto" w:fill="FFFFFF"/>
          <w:lang w:val="it-IT"/>
        </w:rPr>
        <w:t>89231 Neu</w:t>
      </w:r>
      <w:r w:rsidR="003A4F8F">
        <w:rPr>
          <w:rFonts w:ascii="Times New Roman" w:hAnsi="Times New Roman" w:cs="Times New Roman" w:hint="eastAsia"/>
          <w:shd w:val="pct15" w:color="auto" w:fill="FFFFFF"/>
          <w:lang w:val="it-IT" w:eastAsia="ko-KR"/>
        </w:rPr>
        <w:t>-</w:t>
      </w:r>
      <w:r w:rsidRPr="00824699">
        <w:rPr>
          <w:rFonts w:ascii="Times New Roman" w:eastAsia="Times New Roman" w:hAnsi="Times New Roman" w:cs="Times New Roman"/>
          <w:shd w:val="pct15" w:color="auto" w:fill="FFFFFF"/>
          <w:lang w:val="it-IT"/>
        </w:rPr>
        <w:t>Ulm</w:t>
      </w:r>
    </w:p>
    <w:p w14:paraId="01E18ED7" w14:textId="77777777" w:rsidR="0050099E" w:rsidRPr="00824699" w:rsidRDefault="0050099E" w:rsidP="0050099E">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Germania</w:t>
      </w:r>
    </w:p>
    <w:p w14:paraId="45317644" w14:textId="77777777" w:rsidR="0050099E" w:rsidRPr="00824699" w:rsidRDefault="0050099E" w:rsidP="0050099E">
      <w:pPr>
        <w:spacing w:before="10" w:line="240" w:lineRule="exact"/>
        <w:rPr>
          <w:rFonts w:ascii="Times New Roman" w:eastAsia="Times New Roman" w:hAnsi="Times New Roman" w:cs="Times New Roman"/>
          <w:shd w:val="pct15" w:color="auto" w:fill="FFFFFF"/>
          <w:lang w:val="it-IT"/>
        </w:rPr>
      </w:pPr>
    </w:p>
    <w:p w14:paraId="1592F656" w14:textId="3B68F05F" w:rsidR="0050099E" w:rsidRPr="00824699" w:rsidDel="009328A5" w:rsidRDefault="0050099E" w:rsidP="0050099E">
      <w:pPr>
        <w:spacing w:before="10" w:line="240" w:lineRule="exact"/>
        <w:rPr>
          <w:moveFrom w:id="174" w:author="만든 이" w16du:dateUtc="2025-09-09T05:42:00Z"/>
          <w:rFonts w:ascii="Times New Roman" w:eastAsia="Times New Roman" w:hAnsi="Times New Roman" w:cs="Times New Roman"/>
          <w:shd w:val="pct15" w:color="auto" w:fill="FFFFFF"/>
          <w:lang w:val="it-IT"/>
        </w:rPr>
      </w:pPr>
      <w:moveFromRangeStart w:id="175" w:author="만든 이" w:name="move208321350"/>
      <w:moveFrom w:id="176" w:author="만든 이" w16du:dateUtc="2025-09-09T05:42:00Z">
        <w:r w:rsidRPr="00824699" w:rsidDel="009328A5">
          <w:rPr>
            <w:rFonts w:ascii="Times New Roman" w:eastAsia="Times New Roman" w:hAnsi="Times New Roman" w:cs="Times New Roman"/>
            <w:shd w:val="pct15" w:color="auto" w:fill="FFFFFF"/>
            <w:lang w:val="it-IT"/>
          </w:rPr>
          <w:t>Nuvisan France SARL</w:t>
        </w:r>
      </w:moveFrom>
    </w:p>
    <w:p w14:paraId="4200ED60" w14:textId="246B632B" w:rsidR="0050099E" w:rsidRPr="00D74B3A" w:rsidDel="009328A5" w:rsidRDefault="0050099E" w:rsidP="0050099E">
      <w:pPr>
        <w:spacing w:before="10" w:line="240" w:lineRule="exact"/>
        <w:rPr>
          <w:moveFrom w:id="177" w:author="만든 이" w16du:dateUtc="2025-09-09T05:42:00Z"/>
          <w:rFonts w:ascii="Times New Roman" w:hAnsi="Times New Roman" w:cs="Times New Roman"/>
          <w:shd w:val="pct15" w:color="auto" w:fill="FFFFFF"/>
          <w:lang w:val="it-IT" w:eastAsia="ko-KR"/>
        </w:rPr>
      </w:pPr>
      <w:moveFrom w:id="178" w:author="만든 이" w16du:dateUtc="2025-09-09T05:42:00Z">
        <w:r w:rsidRPr="00824699" w:rsidDel="009328A5">
          <w:rPr>
            <w:rFonts w:ascii="Times New Roman" w:eastAsia="Times New Roman" w:hAnsi="Times New Roman" w:cs="Times New Roman"/>
            <w:shd w:val="pct15" w:color="auto" w:fill="FFFFFF"/>
            <w:lang w:val="it-IT"/>
          </w:rPr>
          <w:t>2400, Route des Colles</w:t>
        </w:r>
      </w:moveFrom>
    </w:p>
    <w:p w14:paraId="389F5531" w14:textId="0726EE88" w:rsidR="0050099E" w:rsidRPr="00D74B3A" w:rsidDel="009328A5" w:rsidRDefault="0050099E" w:rsidP="0050099E">
      <w:pPr>
        <w:spacing w:before="10" w:line="240" w:lineRule="exact"/>
        <w:rPr>
          <w:moveFrom w:id="179" w:author="만든 이" w16du:dateUtc="2025-09-09T05:42:00Z"/>
          <w:rFonts w:ascii="Times New Roman" w:hAnsi="Times New Roman" w:cs="Times New Roman"/>
          <w:shd w:val="pct15" w:color="auto" w:fill="FFFFFF"/>
          <w:lang w:val="it-IT" w:eastAsia="ko-KR"/>
        </w:rPr>
      </w:pPr>
      <w:moveFrom w:id="180" w:author="만든 이" w16du:dateUtc="2025-09-09T05:42:00Z">
        <w:r w:rsidRPr="00824699" w:rsidDel="009328A5">
          <w:rPr>
            <w:rFonts w:ascii="Times New Roman" w:eastAsia="Times New Roman" w:hAnsi="Times New Roman" w:cs="Times New Roman"/>
            <w:shd w:val="pct15" w:color="auto" w:fill="FFFFFF"/>
            <w:lang w:val="it-IT"/>
          </w:rPr>
          <w:t>06410, Biot</w:t>
        </w:r>
      </w:moveFrom>
    </w:p>
    <w:p w14:paraId="5394000F" w14:textId="4D6EC664" w:rsidR="0050099E" w:rsidRPr="00824699" w:rsidDel="009328A5" w:rsidRDefault="0050099E" w:rsidP="0050099E">
      <w:pPr>
        <w:autoSpaceDE w:val="0"/>
        <w:autoSpaceDN w:val="0"/>
        <w:adjustRightInd w:val="0"/>
        <w:rPr>
          <w:moveFrom w:id="181" w:author="만든 이" w16du:dateUtc="2025-09-09T05:42:00Z"/>
          <w:rFonts w:ascii="Times New Roman" w:eastAsia="Times New Roman" w:hAnsi="Times New Roman" w:cs="Times New Roman"/>
          <w:shd w:val="pct15" w:color="auto" w:fill="FFFFFF"/>
          <w:lang w:val="it-IT"/>
        </w:rPr>
      </w:pPr>
      <w:moveFrom w:id="182" w:author="만든 이" w16du:dateUtc="2025-09-09T05:42:00Z">
        <w:r w:rsidRPr="00824699" w:rsidDel="009328A5">
          <w:rPr>
            <w:rFonts w:ascii="Times New Roman" w:eastAsia="Times New Roman" w:hAnsi="Times New Roman" w:cs="Times New Roman"/>
            <w:shd w:val="pct15" w:color="auto" w:fill="FFFFFF"/>
            <w:lang w:val="it-IT"/>
          </w:rPr>
          <w:t>Francia</w:t>
        </w:r>
      </w:moveFrom>
    </w:p>
    <w:p w14:paraId="69F23203" w14:textId="2DBDD8D9" w:rsidR="0007460C" w:rsidRPr="00146E60" w:rsidDel="009328A5" w:rsidRDefault="0007460C" w:rsidP="0007460C">
      <w:pPr>
        <w:pStyle w:val="a3"/>
        <w:rPr>
          <w:moveFrom w:id="183" w:author="만든 이" w16du:dateUtc="2025-09-09T05:42:00Z"/>
          <w:rFonts w:eastAsia="Times New Roman"/>
          <w:shd w:val="pct15" w:color="auto" w:fill="FFFFFF"/>
          <w:lang w:val="es-ES_tradnl"/>
        </w:rPr>
      </w:pPr>
    </w:p>
    <w:moveFromRangeEnd w:id="175"/>
    <w:p w14:paraId="0B7582EC" w14:textId="77777777" w:rsidR="0007460C" w:rsidRPr="002A37A2" w:rsidRDefault="0007460C" w:rsidP="0007460C">
      <w:pPr>
        <w:pStyle w:val="a3"/>
        <w:rPr>
          <w:rFonts w:eastAsia="Times New Roman"/>
          <w:shd w:val="pct15" w:color="auto" w:fill="FFFFFF"/>
          <w:lang w:val="es-ES_tradnl"/>
        </w:rPr>
      </w:pPr>
      <w:r w:rsidRPr="002A37A2">
        <w:rPr>
          <w:rFonts w:eastAsia="Times New Roman"/>
          <w:shd w:val="pct15" w:color="auto" w:fill="FFFFFF"/>
          <w:lang w:val="es-ES_tradnl"/>
        </w:rPr>
        <w:t>Midas Pharma GmbH</w:t>
      </w:r>
    </w:p>
    <w:p w14:paraId="362C4571" w14:textId="3261B6BC"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Rheinstr. 49</w:t>
      </w:r>
    </w:p>
    <w:p w14:paraId="5B70D23F" w14:textId="69AC087C"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55218 Ingelheim</w:t>
      </w:r>
    </w:p>
    <w:p w14:paraId="123E9EB2" w14:textId="77777777" w:rsidR="0007460C" w:rsidRPr="002A37A2" w:rsidRDefault="0007460C" w:rsidP="0007460C">
      <w:pPr>
        <w:pStyle w:val="a3"/>
        <w:rPr>
          <w:rFonts w:eastAsia="Times New Roman"/>
          <w:shd w:val="pct15" w:color="auto" w:fill="FFFFFF"/>
          <w:lang w:val="es-ES_tradnl"/>
        </w:rPr>
      </w:pPr>
      <w:r w:rsidRPr="002A37A2">
        <w:rPr>
          <w:rFonts w:eastAsia="Times New Roman"/>
          <w:shd w:val="pct15" w:color="auto" w:fill="FFFFFF"/>
          <w:lang w:val="es-ES_tradnl"/>
        </w:rPr>
        <w:t>Germania</w:t>
      </w:r>
    </w:p>
    <w:p w14:paraId="075AC40C" w14:textId="77777777" w:rsidR="0007460C" w:rsidRPr="002A37A2" w:rsidRDefault="0007460C" w:rsidP="0007460C">
      <w:pPr>
        <w:pStyle w:val="a3"/>
        <w:rPr>
          <w:rFonts w:eastAsia="Times New Roman"/>
          <w:shd w:val="pct15" w:color="auto" w:fill="FFFFFF"/>
          <w:lang w:val="es-ES_tradnl"/>
        </w:rPr>
      </w:pPr>
    </w:p>
    <w:p w14:paraId="401FA85F" w14:textId="07CE741D"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KYMOS S.L.</w:t>
      </w:r>
    </w:p>
    <w:p w14:paraId="198B1E34" w14:textId="164921B4"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Ronda Can Fatjó, 7B.</w:t>
      </w:r>
    </w:p>
    <w:p w14:paraId="091274A1" w14:textId="7871751C" w:rsidR="0007460C" w:rsidRPr="002A37A2" w:rsidRDefault="0007460C" w:rsidP="0007460C">
      <w:pPr>
        <w:pStyle w:val="a3"/>
        <w:rPr>
          <w:shd w:val="pct15" w:color="auto" w:fill="FFFFFF"/>
          <w:lang w:val="es-ES_tradnl" w:eastAsia="ko-KR"/>
        </w:rPr>
      </w:pPr>
      <w:r w:rsidRPr="002A37A2">
        <w:rPr>
          <w:rFonts w:eastAsia="Times New Roman"/>
          <w:shd w:val="pct15" w:color="auto" w:fill="FFFFFF"/>
          <w:lang w:val="es-ES_tradnl"/>
        </w:rPr>
        <w:t>08290 Cerdanyola del Vallès</w:t>
      </w:r>
    </w:p>
    <w:p w14:paraId="2410FFC2" w14:textId="1C4506BF" w:rsidR="0007460C" w:rsidRPr="00D74B3A" w:rsidRDefault="0007460C" w:rsidP="0007460C">
      <w:pPr>
        <w:pStyle w:val="a3"/>
        <w:rPr>
          <w:shd w:val="pct15" w:color="auto" w:fill="FFFFFF"/>
          <w:lang w:val="fr-FR" w:eastAsia="ko-KR"/>
        </w:rPr>
      </w:pPr>
      <w:r w:rsidRPr="00146E60">
        <w:rPr>
          <w:rFonts w:eastAsia="Times New Roman"/>
          <w:shd w:val="pct15" w:color="auto" w:fill="FFFFFF"/>
          <w:lang w:val="fr-FR"/>
        </w:rPr>
        <w:t>Barcelona</w:t>
      </w:r>
    </w:p>
    <w:p w14:paraId="3B3082F4" w14:textId="77777777" w:rsidR="0007460C" w:rsidRPr="00146E60" w:rsidRDefault="0007460C" w:rsidP="0007460C">
      <w:pPr>
        <w:pStyle w:val="a3"/>
        <w:rPr>
          <w:rFonts w:eastAsia="Times New Roman"/>
          <w:shd w:val="pct15" w:color="auto" w:fill="FFFFFF"/>
          <w:lang w:val="fr-FR"/>
        </w:rPr>
      </w:pPr>
      <w:r w:rsidRPr="00146E60">
        <w:rPr>
          <w:rFonts w:eastAsia="Times New Roman"/>
          <w:shd w:val="pct15" w:color="auto" w:fill="FFFFFF"/>
          <w:lang w:val="fr-FR"/>
        </w:rPr>
        <w:t>Spagna</w:t>
      </w:r>
    </w:p>
    <w:p w14:paraId="6FD30F52" w14:textId="77777777" w:rsidR="0050099E" w:rsidRPr="00FB7F5C" w:rsidRDefault="0050099E" w:rsidP="0050099E">
      <w:pPr>
        <w:spacing w:before="14" w:line="240" w:lineRule="exact"/>
        <w:rPr>
          <w:rFonts w:ascii="Times New Roman" w:hAnsi="Times New Roman" w:cs="Times New Roman"/>
          <w:sz w:val="24"/>
          <w:lang w:val="fr-FR"/>
        </w:rPr>
      </w:pPr>
    </w:p>
    <w:p w14:paraId="0EFFAEC2" w14:textId="77777777" w:rsidR="0050099E" w:rsidRPr="00C35766" w:rsidRDefault="0050099E" w:rsidP="0050099E">
      <w:pPr>
        <w:pStyle w:val="a3"/>
        <w:rPr>
          <w:rFonts w:eastAsia="Times New Roman"/>
          <w:lang w:val="it-IT"/>
        </w:rPr>
      </w:pPr>
      <w:r w:rsidRPr="00C35766">
        <w:rPr>
          <w:rFonts w:eastAsia="Times New Roman"/>
          <w:lang w:val="it-IT"/>
        </w:rPr>
        <w:t>Per ulteriori informazioni su questo medicinale, contatti il rappresentante locale del titolare dell’autorizzazione all’immissione in commercio:</w:t>
      </w:r>
    </w:p>
    <w:p w14:paraId="01E00699" w14:textId="77777777" w:rsidR="0050099E" w:rsidRPr="00C35766" w:rsidRDefault="0050099E" w:rsidP="0050099E">
      <w:pPr>
        <w:pStyle w:val="a3"/>
        <w:rPr>
          <w:rFonts w:eastAsia="Times New Roman"/>
          <w:lang w:val="it-IT"/>
        </w:rPr>
      </w:pPr>
    </w:p>
    <w:tbl>
      <w:tblPr>
        <w:tblW w:w="5000" w:type="pct"/>
        <w:tblLook w:val="04A0" w:firstRow="1" w:lastRow="0" w:firstColumn="1" w:lastColumn="0" w:noHBand="0" w:noVBand="1"/>
      </w:tblPr>
      <w:tblGrid>
        <w:gridCol w:w="4800"/>
        <w:gridCol w:w="4800"/>
      </w:tblGrid>
      <w:tr w:rsidR="0050099E" w:rsidRPr="00C35766" w14:paraId="0BE9471C" w14:textId="77777777" w:rsidTr="00933A6C">
        <w:tc>
          <w:tcPr>
            <w:tcW w:w="2500" w:type="pct"/>
            <w:hideMark/>
          </w:tcPr>
          <w:p w14:paraId="0A69BEF4" w14:textId="77777777" w:rsidR="0050099E" w:rsidRPr="00C35766" w:rsidRDefault="0050099E" w:rsidP="00BD232C">
            <w:pPr>
              <w:keepNext/>
              <w:keepLines/>
              <w:rPr>
                <w:rFonts w:ascii="Times New Roman" w:hAnsi="Times New Roman" w:cs="Times New Roman"/>
                <w:b/>
                <w:noProof/>
                <w:lang w:eastAsia="fr-FR"/>
              </w:rPr>
            </w:pPr>
            <w:r w:rsidRPr="00C35766">
              <w:rPr>
                <w:rFonts w:ascii="Times New Roman" w:eastAsia="맑은 고딕" w:hAnsi="Times New Roman" w:cs="Times New Roman"/>
                <w:b/>
                <w:noProof/>
                <w:lang w:eastAsia="fr-FR"/>
              </w:rPr>
              <w:lastRenderedPageBreak/>
              <w:t>België/Belgique/Belgien</w:t>
            </w:r>
          </w:p>
          <w:p w14:paraId="15CF3FEE" w14:textId="77777777" w:rsidR="0050099E" w:rsidRPr="00C35766" w:rsidRDefault="0050099E" w:rsidP="00BD232C">
            <w:pPr>
              <w:keepNext/>
              <w:keepLine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Belgium BVBA</w:t>
            </w:r>
          </w:p>
          <w:p w14:paraId="4AD45B27" w14:textId="77777777" w:rsidR="0050099E" w:rsidRPr="00C35766" w:rsidRDefault="0050099E" w:rsidP="00BD232C">
            <w:pPr>
              <w:keepNext/>
              <w:keepLine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Tél/Tel: + 32 1528 7418</w:t>
            </w:r>
          </w:p>
        </w:tc>
        <w:tc>
          <w:tcPr>
            <w:tcW w:w="2500" w:type="pct"/>
          </w:tcPr>
          <w:p w14:paraId="4FB9BF9F" w14:textId="77777777" w:rsidR="0050099E" w:rsidRPr="00C35766" w:rsidRDefault="0050099E" w:rsidP="00BD232C">
            <w:pPr>
              <w:keepNext/>
              <w:keepLines/>
              <w:tabs>
                <w:tab w:val="left" w:pos="-720"/>
              </w:tabs>
              <w:suppressAutoHyphens/>
              <w:rPr>
                <w:rFonts w:ascii="Times New Roman" w:hAnsi="Times New Roman" w:cs="Times New Roman"/>
                <w:b/>
                <w:noProof/>
                <w:lang w:eastAsia="fr-FR"/>
              </w:rPr>
            </w:pPr>
            <w:r w:rsidRPr="00C35766">
              <w:rPr>
                <w:rFonts w:ascii="Times New Roman" w:hAnsi="Times New Roman" w:cs="Times New Roman"/>
                <w:b/>
                <w:noProof/>
                <w:lang w:eastAsia="fr-FR"/>
              </w:rPr>
              <w:t>Lietuva</w:t>
            </w:r>
          </w:p>
          <w:p w14:paraId="23F90DD5" w14:textId="77777777" w:rsidR="0050099E" w:rsidRPr="00C35766" w:rsidRDefault="0050099E" w:rsidP="00BD232C">
            <w:pPr>
              <w:keepNext/>
              <w:keepLines/>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4945A67" w14:textId="77777777" w:rsidR="0050099E" w:rsidRPr="00C35766" w:rsidRDefault="0050099E" w:rsidP="00BD232C">
            <w:pPr>
              <w:keepNext/>
              <w:keepLines/>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p w14:paraId="6A5CF9D5" w14:textId="77777777" w:rsidR="0050099E" w:rsidRPr="00C35766" w:rsidRDefault="0050099E" w:rsidP="00BD232C">
            <w:pPr>
              <w:keepNext/>
              <w:keepLines/>
              <w:autoSpaceDE w:val="0"/>
              <w:autoSpaceDN w:val="0"/>
              <w:adjustRightInd w:val="0"/>
              <w:rPr>
                <w:rFonts w:ascii="Times New Roman" w:hAnsi="Times New Roman" w:cs="Times New Roman"/>
                <w:noProof/>
                <w:lang w:eastAsia="fr-FR"/>
              </w:rPr>
            </w:pPr>
          </w:p>
        </w:tc>
      </w:tr>
      <w:tr w:rsidR="0050099E" w:rsidRPr="00C35766" w14:paraId="18BA06DF" w14:textId="77777777" w:rsidTr="00933A6C">
        <w:trPr>
          <w:trHeight w:val="619"/>
        </w:trPr>
        <w:tc>
          <w:tcPr>
            <w:tcW w:w="2500" w:type="pct"/>
          </w:tcPr>
          <w:p w14:paraId="0F59B1C6"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bCs/>
              </w:rPr>
              <w:t>България</w:t>
            </w:r>
          </w:p>
          <w:p w14:paraId="7F05C008"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AA50193"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noProof/>
                <w:lang w:eastAsia="fr-FR"/>
              </w:rPr>
              <w:t>Teл.: +36 1 231 0493</w:t>
            </w:r>
          </w:p>
        </w:tc>
        <w:tc>
          <w:tcPr>
            <w:tcW w:w="2500" w:type="pct"/>
            <w:hideMark/>
          </w:tcPr>
          <w:p w14:paraId="473A11E2" w14:textId="77777777" w:rsidR="0050099E" w:rsidRPr="002062B2" w:rsidRDefault="0050099E" w:rsidP="00933A6C">
            <w:pPr>
              <w:tabs>
                <w:tab w:val="left" w:pos="-720"/>
              </w:tabs>
              <w:suppressAutoHyphens/>
              <w:rPr>
                <w:rFonts w:ascii="Times New Roman" w:hAnsi="Times New Roman" w:cs="Times New Roman"/>
                <w:noProof/>
                <w:lang w:val="de-CH" w:eastAsia="fr-FR"/>
              </w:rPr>
            </w:pPr>
            <w:r w:rsidRPr="002062B2">
              <w:rPr>
                <w:rFonts w:ascii="Times New Roman" w:eastAsia="맑은 고딕" w:hAnsi="Times New Roman" w:cs="Times New Roman"/>
                <w:b/>
                <w:noProof/>
                <w:lang w:val="de-CH" w:eastAsia="fr-FR"/>
              </w:rPr>
              <w:t>Luxembourg/Luxemburg</w:t>
            </w:r>
          </w:p>
          <w:p w14:paraId="19CCEEC2" w14:textId="77777777" w:rsidR="0050099E" w:rsidRPr="002062B2" w:rsidRDefault="0050099E" w:rsidP="00933A6C">
            <w:pPr>
              <w:tabs>
                <w:tab w:val="left" w:pos="-720"/>
              </w:tabs>
              <w:suppressAutoHyphens/>
              <w:rPr>
                <w:rFonts w:ascii="Times New Roman" w:eastAsia="맑은 고딕" w:hAnsi="Times New Roman" w:cs="Times New Roman"/>
                <w:iCs/>
                <w:noProof/>
                <w:lang w:val="de-CH" w:eastAsia="fr-FR"/>
              </w:rPr>
            </w:pPr>
            <w:r w:rsidRPr="002062B2">
              <w:rPr>
                <w:rFonts w:ascii="Times New Roman" w:eastAsia="맑은 고딕" w:hAnsi="Times New Roman" w:cs="Times New Roman"/>
                <w:iCs/>
                <w:noProof/>
                <w:lang w:val="de-CH" w:eastAsia="fr-FR"/>
              </w:rPr>
              <w:t>Celltrion Healthcare Belgium BVBA</w:t>
            </w:r>
          </w:p>
          <w:p w14:paraId="65F05247" w14:textId="77777777" w:rsidR="0050099E" w:rsidRPr="00C35766" w:rsidRDefault="0050099E" w:rsidP="00933A6C">
            <w:pPr>
              <w:tabs>
                <w:tab w:val="left" w:pos="-720"/>
              </w:tabs>
              <w:suppressAutoHyphens/>
              <w:rPr>
                <w:rFonts w:ascii="Times New Roman" w:eastAsia="맑은 고딕" w:hAnsi="Times New Roman" w:cs="Times New Roman"/>
                <w:iCs/>
                <w:noProof/>
                <w:lang w:val="pt-PT" w:eastAsia="fr-FR"/>
              </w:rPr>
            </w:pPr>
            <w:r w:rsidRPr="00C35766">
              <w:rPr>
                <w:rFonts w:ascii="Times New Roman" w:eastAsia="맑은 고딕" w:hAnsi="Times New Roman" w:cs="Times New Roman"/>
                <w:noProof/>
                <w:lang w:val="fr-FR" w:eastAsia="fr-FR"/>
              </w:rPr>
              <w:t xml:space="preserve">Tél/Tel: </w:t>
            </w:r>
            <w:r w:rsidRPr="00C35766">
              <w:rPr>
                <w:rFonts w:ascii="Times New Roman" w:eastAsia="맑은 고딕" w:hAnsi="Times New Roman" w:cs="Times New Roman"/>
                <w:iCs/>
                <w:noProof/>
                <w:lang w:val="pt-PT" w:eastAsia="fr-FR"/>
              </w:rPr>
              <w:t>+ 32 1528 7418</w:t>
            </w:r>
          </w:p>
          <w:p w14:paraId="4F916AC6" w14:textId="77777777" w:rsidR="0050099E" w:rsidRPr="00C35766" w:rsidRDefault="0050099E" w:rsidP="00933A6C">
            <w:pPr>
              <w:tabs>
                <w:tab w:val="left" w:pos="-720"/>
              </w:tabs>
              <w:suppressAutoHyphens/>
              <w:rPr>
                <w:rFonts w:ascii="Times New Roman" w:eastAsia="맑은 고딕" w:hAnsi="Times New Roman" w:cs="Times New Roman"/>
                <w:lang w:val="pt-PT" w:eastAsia="ko-KR"/>
              </w:rPr>
            </w:pPr>
          </w:p>
        </w:tc>
      </w:tr>
      <w:tr w:rsidR="0050099E" w:rsidRPr="00C35766" w14:paraId="5BBA19BE" w14:textId="77777777" w:rsidTr="00933A6C">
        <w:tc>
          <w:tcPr>
            <w:tcW w:w="2500" w:type="pct"/>
            <w:hideMark/>
          </w:tcPr>
          <w:p w14:paraId="31BF729B" w14:textId="77777777" w:rsidR="00F45088" w:rsidRDefault="00F45088" w:rsidP="00933A6C">
            <w:pPr>
              <w:tabs>
                <w:tab w:val="left" w:pos="-720"/>
              </w:tabs>
              <w:suppressAutoHyphens/>
              <w:rPr>
                <w:rFonts w:ascii="Times New Roman" w:eastAsia="맑은 고딕" w:hAnsi="Times New Roman" w:cs="Times New Roman"/>
                <w:b/>
                <w:noProof/>
                <w:lang w:eastAsia="fr-FR"/>
              </w:rPr>
            </w:pPr>
          </w:p>
          <w:p w14:paraId="33A663CB" w14:textId="235C94A6" w:rsidR="0050099E" w:rsidRPr="00C35766" w:rsidRDefault="0050099E" w:rsidP="00933A6C">
            <w:pPr>
              <w:tabs>
                <w:tab w:val="left" w:pos="-720"/>
              </w:tabs>
              <w:suppressAutoHyphen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Česká republika</w:t>
            </w:r>
          </w:p>
          <w:p w14:paraId="114F20DD"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3AC8804"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tc>
        <w:tc>
          <w:tcPr>
            <w:tcW w:w="2500" w:type="pct"/>
          </w:tcPr>
          <w:p w14:paraId="621FC2FD" w14:textId="77777777" w:rsidR="00F45088" w:rsidRDefault="00F45088" w:rsidP="00933A6C">
            <w:pPr>
              <w:rPr>
                <w:rFonts w:ascii="Times New Roman" w:hAnsi="Times New Roman" w:cs="Times New Roman"/>
                <w:b/>
                <w:noProof/>
              </w:rPr>
            </w:pPr>
          </w:p>
          <w:p w14:paraId="2CEAD11A" w14:textId="68D5836C"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noProof/>
              </w:rPr>
              <w:t>Magyarország</w:t>
            </w:r>
          </w:p>
          <w:p w14:paraId="4764AF82"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CADD8A1"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+36 1 231 0493</w:t>
            </w:r>
          </w:p>
          <w:p w14:paraId="345C807D" w14:textId="77777777" w:rsidR="0050099E" w:rsidRPr="00C35766" w:rsidRDefault="0050099E" w:rsidP="00933A6C">
            <w:pPr>
              <w:rPr>
                <w:rFonts w:ascii="Times New Roman" w:eastAsia="맑은 고딕" w:hAnsi="Times New Roman" w:cs="Times New Roman"/>
                <w:noProof/>
                <w:lang w:eastAsia="ko-KR"/>
              </w:rPr>
            </w:pPr>
          </w:p>
        </w:tc>
      </w:tr>
      <w:tr w:rsidR="0007795B" w:rsidRPr="00C35766" w14:paraId="7905FD8A" w14:textId="77777777" w:rsidTr="00933A6C">
        <w:tc>
          <w:tcPr>
            <w:tcW w:w="2500" w:type="pct"/>
            <w:hideMark/>
          </w:tcPr>
          <w:p w14:paraId="3E5A8807" w14:textId="77777777" w:rsidR="0007795B" w:rsidRPr="00741905" w:rsidRDefault="0007795B" w:rsidP="0007795B">
            <w:pPr>
              <w:tabs>
                <w:tab w:val="left" w:pos="-720"/>
              </w:tabs>
              <w:suppressAutoHyphens/>
              <w:rPr>
                <w:rFonts w:ascii="Times New Roman" w:hAnsi="Times New Roman" w:cs="Times New Roman"/>
                <w:b/>
                <w:bCs/>
                <w:i/>
                <w:iCs/>
                <w:noProof/>
                <w:lang w:eastAsia="fr-FR"/>
              </w:rPr>
            </w:pPr>
            <w:r w:rsidRPr="00741905">
              <w:rPr>
                <w:rFonts w:ascii="Times New Roman" w:hAnsi="Times New Roman" w:cs="Times New Roman"/>
                <w:b/>
                <w:noProof/>
              </w:rPr>
              <w:t>Danmark</w:t>
            </w:r>
          </w:p>
          <w:p w14:paraId="32214EFC" w14:textId="5365E627" w:rsidR="0007795B" w:rsidRPr="00741905" w:rsidRDefault="0007795B" w:rsidP="0007795B">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Celltrion Healthcare Denmark ApS</w:t>
            </w:r>
          </w:p>
          <w:p w14:paraId="7E921930" w14:textId="77777777" w:rsidR="00970422" w:rsidRPr="00741905" w:rsidRDefault="00970422" w:rsidP="00970422">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Tlf: +</w:t>
            </w:r>
            <w:r w:rsidRPr="00741905">
              <w:rPr>
                <w:rFonts w:ascii="Times New Roman" w:eastAsia="맑은 고딕" w:hAnsi="Times New Roman" w:cs="Times New Roman"/>
                <w:noProof/>
                <w:lang w:eastAsia="ko-KR"/>
              </w:rPr>
              <w:t>45 35352989</w:t>
            </w:r>
          </w:p>
          <w:p w14:paraId="2338D523" w14:textId="77777777" w:rsidR="0007795B" w:rsidRPr="00741905" w:rsidRDefault="0007795B" w:rsidP="0007795B">
            <w:pPr>
              <w:tabs>
                <w:tab w:val="left" w:pos="-720"/>
              </w:tabs>
              <w:suppressAutoHyphens/>
              <w:rPr>
                <w:rStyle w:val="ad"/>
                <w:rFonts w:ascii="Times New Roman" w:hAnsi="Times New Roman" w:cs="Times New Roman"/>
                <w:lang w:eastAsia="ko-KR"/>
              </w:rPr>
            </w:pPr>
            <w:r w:rsidRPr="00741905">
              <w:rPr>
                <w:rStyle w:val="ad"/>
                <w:rFonts w:ascii="Times New Roman" w:eastAsia="맑은 고딕" w:hAnsi="Times New Roman" w:cs="Times New Roman"/>
                <w:noProof/>
                <w:lang w:eastAsia="ko-KR"/>
              </w:rPr>
              <w:t>Contact_dk@celltrionhc.com</w:t>
            </w:r>
          </w:p>
          <w:p w14:paraId="278F94FC" w14:textId="77777777" w:rsidR="0007795B" w:rsidRPr="00741905" w:rsidRDefault="0007795B" w:rsidP="0007795B">
            <w:pPr>
              <w:tabs>
                <w:tab w:val="left" w:pos="-720"/>
              </w:tabs>
              <w:suppressAutoHyphens/>
              <w:rPr>
                <w:rFonts w:ascii="Times New Roman" w:eastAsia="맑은 고딕" w:hAnsi="Times New Roman" w:cs="Times New Roman"/>
                <w:noProof/>
                <w:lang w:eastAsia="fr-FR"/>
              </w:rPr>
            </w:pPr>
          </w:p>
          <w:p w14:paraId="4B0C7204" w14:textId="6FE85039" w:rsidR="0007795B" w:rsidRPr="00741905" w:rsidRDefault="0007795B" w:rsidP="0007795B">
            <w:pPr>
              <w:tabs>
                <w:tab w:val="left" w:pos="-720"/>
              </w:tabs>
              <w:suppressAutoHyphens/>
              <w:rPr>
                <w:rFonts w:ascii="Times New Roman" w:eastAsia="맑은 고딕" w:hAnsi="Times New Roman" w:cs="Times New Roman"/>
                <w:noProof/>
                <w:lang w:eastAsia="fr-FR"/>
              </w:rPr>
            </w:pPr>
          </w:p>
        </w:tc>
        <w:tc>
          <w:tcPr>
            <w:tcW w:w="2500" w:type="pct"/>
          </w:tcPr>
          <w:p w14:paraId="4A53510D" w14:textId="77777777" w:rsidR="0007795B" w:rsidRPr="00741905" w:rsidRDefault="0007795B" w:rsidP="0007795B">
            <w:pPr>
              <w:rPr>
                <w:rFonts w:ascii="Times New Roman" w:hAnsi="Times New Roman" w:cs="Times New Roman"/>
                <w:noProof/>
                <w:lang w:eastAsia="fr-FR"/>
              </w:rPr>
            </w:pPr>
            <w:r w:rsidRPr="00741905">
              <w:rPr>
                <w:rFonts w:ascii="Times New Roman" w:eastAsia="맑은 고딕" w:hAnsi="Times New Roman" w:cs="Times New Roman"/>
                <w:b/>
                <w:noProof/>
                <w:lang w:eastAsia="fr-FR"/>
              </w:rPr>
              <w:t>Malta</w:t>
            </w:r>
          </w:p>
          <w:p w14:paraId="795940D4" w14:textId="77777777" w:rsidR="0007795B" w:rsidRPr="00741905" w:rsidRDefault="0007795B" w:rsidP="0007795B">
            <w:pPr>
              <w:tabs>
                <w:tab w:val="left" w:pos="-720"/>
              </w:tabs>
              <w:suppressAutoHyphens/>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Mint Health Ltd.</w:t>
            </w:r>
          </w:p>
          <w:p w14:paraId="7018EE70" w14:textId="77777777" w:rsidR="0007795B" w:rsidRPr="00741905" w:rsidRDefault="0007795B" w:rsidP="0007795B">
            <w:pPr>
              <w:rPr>
                <w:rFonts w:ascii="Times New Roman" w:eastAsia="맑은 고딕" w:hAnsi="Times New Roman" w:cs="Times New Roman"/>
                <w:noProof/>
                <w:lang w:eastAsia="ko-KR"/>
              </w:rPr>
            </w:pPr>
            <w:r w:rsidRPr="00741905">
              <w:rPr>
                <w:rFonts w:ascii="Times New Roman" w:eastAsia="맑은 고딕" w:hAnsi="Times New Roman" w:cs="Times New Roman"/>
                <w:noProof/>
                <w:lang w:eastAsia="fr-FR"/>
              </w:rPr>
              <w:t>Tel: +356 2093 9800</w:t>
            </w:r>
          </w:p>
          <w:p w14:paraId="446F330B" w14:textId="77777777" w:rsidR="0007795B" w:rsidRPr="00741905" w:rsidRDefault="0007795B" w:rsidP="0007795B">
            <w:pPr>
              <w:rPr>
                <w:rFonts w:ascii="Times New Roman" w:eastAsia="맑은 고딕" w:hAnsi="Times New Roman" w:cs="Times New Roman"/>
                <w:noProof/>
                <w:lang w:eastAsia="ko-KR"/>
              </w:rPr>
            </w:pPr>
          </w:p>
        </w:tc>
      </w:tr>
      <w:tr w:rsidR="0007795B" w:rsidRPr="00C35766" w14:paraId="2BCF78F5" w14:textId="77777777" w:rsidTr="00933A6C">
        <w:tc>
          <w:tcPr>
            <w:tcW w:w="2500" w:type="pct"/>
            <w:hideMark/>
          </w:tcPr>
          <w:p w14:paraId="07802E69" w14:textId="77777777" w:rsidR="0007795B" w:rsidRPr="00741905" w:rsidRDefault="0007795B" w:rsidP="0007795B">
            <w:pPr>
              <w:rPr>
                <w:rFonts w:ascii="Times New Roman" w:hAnsi="Times New Roman" w:cs="Times New Roman"/>
                <w:b/>
                <w:noProof/>
                <w:lang w:eastAsia="fr-FR"/>
              </w:rPr>
            </w:pPr>
            <w:r w:rsidRPr="00741905">
              <w:rPr>
                <w:rFonts w:ascii="Times New Roman" w:eastAsia="맑은 고딕" w:hAnsi="Times New Roman" w:cs="Times New Roman"/>
                <w:b/>
                <w:noProof/>
                <w:lang w:eastAsia="fr-FR"/>
              </w:rPr>
              <w:t>Deutschland</w:t>
            </w:r>
          </w:p>
          <w:p w14:paraId="5B811F06" w14:textId="77777777" w:rsidR="0007795B" w:rsidRPr="00741905" w:rsidRDefault="0007795B" w:rsidP="0007795B">
            <w:pPr>
              <w:rPr>
                <w:rFonts w:ascii="Times New Roman" w:hAnsi="Times New Roman" w:cs="Times New Roman"/>
                <w:noProof/>
                <w:lang w:eastAsia="ko-KR"/>
              </w:rPr>
            </w:pPr>
            <w:r w:rsidRPr="00741905">
              <w:rPr>
                <w:rFonts w:ascii="Times New Roman" w:hAnsi="Times New Roman" w:cs="Times New Roman"/>
                <w:noProof/>
                <w:lang w:eastAsia="ko-KR"/>
              </w:rPr>
              <w:t xml:space="preserve">Celltrion Healthcare Deutschland </w:t>
            </w:r>
            <w:r w:rsidRPr="00741905">
              <w:rPr>
                <w:rFonts w:ascii="Times New Roman" w:eastAsia="바탕" w:hAnsi="Times New Roman" w:cs="Times New Roman"/>
                <w:noProof/>
                <w:lang w:eastAsia="ko-KR"/>
              </w:rPr>
              <w:t>GmbH</w:t>
            </w:r>
          </w:p>
          <w:p w14:paraId="039021D1" w14:textId="1CA02257" w:rsidR="0007795B" w:rsidRPr="00741905" w:rsidRDefault="0007795B" w:rsidP="0007795B">
            <w:pPr>
              <w:tabs>
                <w:tab w:val="left" w:pos="-720"/>
              </w:tabs>
              <w:suppressAutoHyphens/>
              <w:rPr>
                <w:rFonts w:ascii="Times New Roman" w:hAnsi="Times New Roman" w:cs="Times New Roman"/>
                <w:noProof/>
                <w:lang w:eastAsia="ko-KR"/>
              </w:rPr>
            </w:pPr>
            <w:r w:rsidRPr="00741905">
              <w:rPr>
                <w:rFonts w:ascii="Times New Roman" w:hAnsi="Times New Roman" w:cs="Times New Roman"/>
                <w:noProof/>
                <w:lang w:eastAsia="ko-KR"/>
              </w:rPr>
              <w:t>T</w:t>
            </w:r>
            <w:r w:rsidR="00CD1189">
              <w:rPr>
                <w:rFonts w:ascii="Times New Roman" w:hAnsi="Times New Roman" w:cs="Times New Roman" w:hint="eastAsia"/>
                <w:noProof/>
                <w:lang w:eastAsia="ko-KR"/>
              </w:rPr>
              <w:t>e</w:t>
            </w:r>
            <w:r w:rsidRPr="00741905">
              <w:rPr>
                <w:rFonts w:ascii="Times New Roman" w:hAnsi="Times New Roman" w:cs="Times New Roman"/>
                <w:noProof/>
                <w:lang w:eastAsia="ko-KR"/>
              </w:rPr>
              <w:t>l.: +49 (0)30 346494150</w:t>
            </w:r>
          </w:p>
          <w:p w14:paraId="4B6E1356" w14:textId="77777777" w:rsidR="0007795B" w:rsidRPr="00741905" w:rsidRDefault="0007795B" w:rsidP="0007795B">
            <w:pPr>
              <w:tabs>
                <w:tab w:val="left" w:pos="-720"/>
              </w:tabs>
              <w:suppressAutoHyphens/>
              <w:rPr>
                <w:rFonts w:ascii="Times New Roman" w:eastAsia="맑은 고딕" w:hAnsi="Times New Roman" w:cs="Times New Roman"/>
                <w:noProof/>
                <w:lang w:eastAsia="ko-KR"/>
              </w:rPr>
            </w:pPr>
            <w:hyperlink r:id="rId135" w:history="1">
              <w:r w:rsidRPr="00741905">
                <w:rPr>
                  <w:rStyle w:val="ad"/>
                  <w:rFonts w:ascii="Times New Roman" w:eastAsia="맑은 고딕" w:hAnsi="Times New Roman" w:cs="Times New Roman"/>
                  <w:noProof/>
                  <w:lang w:eastAsia="ko-KR"/>
                </w:rPr>
                <w:t>infoDE@celltrionhc.com</w:t>
              </w:r>
            </w:hyperlink>
          </w:p>
          <w:p w14:paraId="58E89DDC" w14:textId="77777777" w:rsidR="0007795B" w:rsidRPr="00741905" w:rsidRDefault="0007795B" w:rsidP="0007795B">
            <w:pPr>
              <w:tabs>
                <w:tab w:val="left" w:pos="-720"/>
              </w:tabs>
              <w:suppressAutoHyphens/>
              <w:rPr>
                <w:rFonts w:ascii="Times New Roman" w:eastAsia="맑은 고딕" w:hAnsi="Times New Roman" w:cs="Times New Roman"/>
                <w:noProof/>
                <w:lang w:eastAsia="ko-KR"/>
              </w:rPr>
            </w:pPr>
          </w:p>
          <w:p w14:paraId="57675F4E" w14:textId="77777777" w:rsidR="0007795B" w:rsidRPr="00741905" w:rsidRDefault="0007795B" w:rsidP="0007795B">
            <w:pPr>
              <w:tabs>
                <w:tab w:val="left" w:pos="-720"/>
              </w:tabs>
              <w:suppressAutoHyphens/>
              <w:rPr>
                <w:rFonts w:ascii="Times New Roman" w:eastAsia="맑은 고딕" w:hAnsi="Times New Roman" w:cs="Times New Roman"/>
                <w:noProof/>
                <w:lang w:eastAsia="fr-FR"/>
              </w:rPr>
            </w:pPr>
          </w:p>
        </w:tc>
        <w:tc>
          <w:tcPr>
            <w:tcW w:w="2500" w:type="pct"/>
          </w:tcPr>
          <w:p w14:paraId="6EFCF608" w14:textId="77777777" w:rsidR="0007795B" w:rsidRPr="00741905" w:rsidRDefault="0007795B" w:rsidP="0007795B">
            <w:pPr>
              <w:rPr>
                <w:rFonts w:ascii="Times New Roman" w:hAnsi="Times New Roman" w:cs="Times New Roman"/>
                <w:noProof/>
                <w:lang w:eastAsia="fr-FR"/>
              </w:rPr>
            </w:pPr>
            <w:r w:rsidRPr="00741905">
              <w:rPr>
                <w:rFonts w:ascii="Times New Roman" w:eastAsia="맑은 고딕" w:hAnsi="Times New Roman" w:cs="Times New Roman"/>
                <w:b/>
                <w:noProof/>
                <w:lang w:eastAsia="fr-FR"/>
              </w:rPr>
              <w:t>Nederland</w:t>
            </w:r>
          </w:p>
          <w:p w14:paraId="79778D6F" w14:textId="77777777" w:rsidR="0007795B" w:rsidRPr="00741905" w:rsidRDefault="0007795B" w:rsidP="0007795B">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Celltrion Healthcare Netherlands B.V.</w:t>
            </w:r>
          </w:p>
          <w:p w14:paraId="7A79D754" w14:textId="77777777" w:rsidR="0007795B" w:rsidRPr="00741905" w:rsidRDefault="0007795B" w:rsidP="0007795B">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Tel: + 31 20 888 7300</w:t>
            </w:r>
          </w:p>
          <w:p w14:paraId="6328B5B3" w14:textId="77777777" w:rsidR="0007795B" w:rsidRPr="00741905" w:rsidRDefault="0007795B" w:rsidP="0007795B">
            <w:pPr>
              <w:rPr>
                <w:rFonts w:ascii="Times New Roman" w:eastAsia="맑은 고딕" w:hAnsi="Times New Roman" w:cs="Times New Roman"/>
                <w:noProof/>
                <w:lang w:eastAsia="fr-FR"/>
              </w:rPr>
            </w:pPr>
          </w:p>
        </w:tc>
      </w:tr>
      <w:tr w:rsidR="0007795B" w:rsidRPr="00C35766" w14:paraId="03BF0070" w14:textId="77777777" w:rsidTr="00933A6C">
        <w:tc>
          <w:tcPr>
            <w:tcW w:w="2500" w:type="pct"/>
            <w:hideMark/>
          </w:tcPr>
          <w:p w14:paraId="2F46A309" w14:textId="77777777" w:rsidR="0007795B" w:rsidRPr="00741905" w:rsidRDefault="0007795B" w:rsidP="0007795B">
            <w:pPr>
              <w:tabs>
                <w:tab w:val="left" w:pos="-720"/>
                <w:tab w:val="left" w:pos="4536"/>
              </w:tabs>
              <w:suppressAutoHyphens/>
              <w:rPr>
                <w:rFonts w:ascii="Times New Roman" w:hAnsi="Times New Roman" w:cs="Times New Roman"/>
                <w:b/>
                <w:noProof/>
                <w:lang w:val="en-GB" w:eastAsia="fr-FR"/>
              </w:rPr>
            </w:pPr>
            <w:r w:rsidRPr="00741905">
              <w:rPr>
                <w:rFonts w:ascii="Times New Roman" w:eastAsia="맑은 고딕" w:hAnsi="Times New Roman" w:cs="Times New Roman"/>
                <w:b/>
                <w:noProof/>
                <w:lang w:val="en-GB" w:eastAsia="fr-FR"/>
              </w:rPr>
              <w:t>Eesti</w:t>
            </w:r>
          </w:p>
          <w:p w14:paraId="43E94AF0" w14:textId="77777777" w:rsidR="0007795B" w:rsidRPr="00741905" w:rsidRDefault="0007795B" w:rsidP="0007795B">
            <w:pPr>
              <w:rPr>
                <w:rFonts w:ascii="Times New Roman" w:eastAsia="맑은 고딕" w:hAnsi="Times New Roman" w:cs="Times New Roman"/>
                <w:noProof/>
                <w:lang w:val="en-GB" w:eastAsia="fr-FR"/>
              </w:rPr>
            </w:pPr>
            <w:r w:rsidRPr="00741905">
              <w:rPr>
                <w:rFonts w:ascii="Times New Roman" w:eastAsia="맑은 고딕" w:hAnsi="Times New Roman" w:cs="Times New Roman"/>
                <w:noProof/>
                <w:lang w:val="en-GB" w:eastAsia="fr-FR"/>
              </w:rPr>
              <w:t>Celltrion Healthcare Hungary Kft.</w:t>
            </w:r>
          </w:p>
          <w:p w14:paraId="67ECBBA4" w14:textId="77777777" w:rsidR="0007795B" w:rsidRPr="00741905" w:rsidRDefault="0007795B" w:rsidP="0007795B">
            <w:pPr>
              <w:tabs>
                <w:tab w:val="left" w:pos="-720"/>
              </w:tabs>
              <w:suppressAutoHyphens/>
              <w:rPr>
                <w:rFonts w:ascii="Times New Roman" w:eastAsia="맑은 고딕" w:hAnsi="Times New Roman" w:cs="Times New Roman"/>
                <w:noProof/>
                <w:lang w:val="fi-FI" w:eastAsia="fr-FR"/>
              </w:rPr>
            </w:pPr>
            <w:r w:rsidRPr="00741905">
              <w:rPr>
                <w:rFonts w:ascii="Times New Roman" w:eastAsia="맑은 고딕" w:hAnsi="Times New Roman" w:cs="Times New Roman"/>
                <w:noProof/>
                <w:lang w:eastAsia="fr-FR"/>
              </w:rPr>
              <w:t xml:space="preserve">Tel: </w:t>
            </w:r>
            <w:r w:rsidRPr="00741905">
              <w:rPr>
                <w:rFonts w:ascii="Times New Roman" w:eastAsia="맑은 고딕" w:hAnsi="Times New Roman" w:cs="Times New Roman"/>
                <w:noProof/>
                <w:lang w:val="fi-FI" w:eastAsia="fr-FR"/>
              </w:rPr>
              <w:t>+36 1 231 0493</w:t>
            </w:r>
          </w:p>
          <w:p w14:paraId="299DD58E" w14:textId="77777777" w:rsidR="0007795B" w:rsidRPr="00741905" w:rsidRDefault="0007795B" w:rsidP="0007795B">
            <w:pPr>
              <w:tabs>
                <w:tab w:val="left" w:pos="-720"/>
              </w:tabs>
              <w:suppressAutoHyphens/>
              <w:rPr>
                <w:rFonts w:ascii="Times New Roman" w:eastAsia="맑은 고딕" w:hAnsi="Times New Roman" w:cs="Times New Roman"/>
                <w:noProof/>
                <w:lang w:val="fi-FI" w:eastAsia="ko-KR"/>
              </w:rPr>
            </w:pPr>
          </w:p>
        </w:tc>
        <w:tc>
          <w:tcPr>
            <w:tcW w:w="2500" w:type="pct"/>
          </w:tcPr>
          <w:p w14:paraId="7FE77657" w14:textId="77777777" w:rsidR="0007795B" w:rsidRPr="00741905" w:rsidRDefault="0007795B" w:rsidP="0007795B">
            <w:pPr>
              <w:tabs>
                <w:tab w:val="left" w:pos="-720"/>
              </w:tabs>
              <w:suppressAutoHyphens/>
              <w:rPr>
                <w:rFonts w:ascii="Times New Roman" w:hAnsi="Times New Roman" w:cs="Times New Roman"/>
                <w:noProof/>
                <w:lang w:eastAsia="fr-FR"/>
              </w:rPr>
            </w:pPr>
            <w:r w:rsidRPr="00741905">
              <w:rPr>
                <w:rFonts w:ascii="Times New Roman" w:eastAsia="맑은 고딕" w:hAnsi="Times New Roman" w:cs="Times New Roman"/>
                <w:b/>
                <w:noProof/>
                <w:lang w:eastAsia="fr-FR"/>
              </w:rPr>
              <w:t>Norge</w:t>
            </w:r>
          </w:p>
          <w:p w14:paraId="6DB3D9CB" w14:textId="07DF7538" w:rsidR="0007795B" w:rsidRPr="00741905" w:rsidRDefault="0007795B" w:rsidP="0007795B">
            <w:pPr>
              <w:rPr>
                <w:rFonts w:ascii="Times New Roman" w:eastAsia="맑은 고딕" w:hAnsi="Times New Roman" w:cs="Times New Roman"/>
                <w:noProof/>
                <w:lang w:eastAsia="fr-FR"/>
              </w:rPr>
            </w:pPr>
            <w:r w:rsidRPr="00741905">
              <w:rPr>
                <w:rFonts w:ascii="Times New Roman" w:eastAsia="맑은 고딕" w:hAnsi="Times New Roman" w:cs="Times New Roman"/>
                <w:noProof/>
                <w:lang w:eastAsia="fr-FR"/>
              </w:rPr>
              <w:t xml:space="preserve">Celltrion Healthcare </w:t>
            </w:r>
            <w:r w:rsidRPr="00741905">
              <w:rPr>
                <w:rFonts w:ascii="Times New Roman" w:eastAsia="맑은 고딕" w:hAnsi="Times New Roman" w:cs="Times New Roman"/>
                <w:noProof/>
                <w:lang w:eastAsia="ko-KR"/>
              </w:rPr>
              <w:t>Norway AS</w:t>
            </w:r>
          </w:p>
          <w:p w14:paraId="62ABC498" w14:textId="08274A0A" w:rsidR="0007795B" w:rsidRPr="00741905" w:rsidRDefault="0007795B" w:rsidP="0007795B">
            <w:pPr>
              <w:tabs>
                <w:tab w:val="left" w:pos="-720"/>
              </w:tabs>
              <w:suppressAutoHyphens/>
              <w:rPr>
                <w:rStyle w:val="ad"/>
                <w:rFonts w:ascii="Times New Roman" w:hAnsi="Times New Roman" w:cs="Times New Roman"/>
                <w:lang w:eastAsia="ko-KR"/>
              </w:rPr>
            </w:pPr>
            <w:hyperlink r:id="rId136" w:history="1">
              <w:r w:rsidRPr="00741905">
                <w:rPr>
                  <w:rStyle w:val="ad"/>
                  <w:rFonts w:ascii="Times New Roman" w:eastAsia="맑은 고딕" w:hAnsi="Times New Roman" w:cs="Times New Roman"/>
                  <w:noProof/>
                  <w:lang w:eastAsia="ko-KR"/>
                </w:rPr>
                <w:t>Contact_no@celltrionhc.com</w:t>
              </w:r>
            </w:hyperlink>
          </w:p>
          <w:p w14:paraId="2A15071F" w14:textId="77777777" w:rsidR="0007795B" w:rsidRPr="00741905" w:rsidRDefault="0007795B" w:rsidP="0007795B">
            <w:pPr>
              <w:tabs>
                <w:tab w:val="left" w:pos="-720"/>
              </w:tabs>
              <w:suppressAutoHyphens/>
              <w:rPr>
                <w:rFonts w:ascii="Times New Roman" w:eastAsia="맑은 고딕" w:hAnsi="Times New Roman" w:cs="Times New Roman"/>
                <w:noProof/>
                <w:lang w:eastAsia="ko-KR"/>
              </w:rPr>
            </w:pPr>
          </w:p>
        </w:tc>
      </w:tr>
      <w:tr w:rsidR="0050099E" w:rsidRPr="007B2F1E" w14:paraId="2E8DFA40" w14:textId="77777777" w:rsidTr="00933A6C">
        <w:tc>
          <w:tcPr>
            <w:tcW w:w="2500" w:type="pct"/>
            <w:hideMark/>
          </w:tcPr>
          <w:p w14:paraId="518089CD" w14:textId="77777777" w:rsidR="0050099E" w:rsidRPr="00C35766" w:rsidRDefault="0050099E" w:rsidP="00933A6C">
            <w:pPr>
              <w:rPr>
                <w:rFonts w:ascii="Times New Roman" w:hAnsi="Times New Roman" w:cs="Times New Roman"/>
                <w:noProof/>
                <w:lang w:val="es-ES_tradnl" w:eastAsia="fr-FR"/>
              </w:rPr>
            </w:pPr>
            <w:r w:rsidRPr="00C35766">
              <w:rPr>
                <w:rFonts w:ascii="Times New Roman" w:hAnsi="Times New Roman" w:cs="Times New Roman"/>
                <w:b/>
                <w:noProof/>
                <w:lang w:val="es-ES_tradnl"/>
              </w:rPr>
              <w:t>España</w:t>
            </w:r>
          </w:p>
          <w:p w14:paraId="4B335164" w14:textId="77777777" w:rsidR="0050099E" w:rsidRPr="00C35766" w:rsidRDefault="0050099E" w:rsidP="00933A6C">
            <w:pPr>
              <w:rPr>
                <w:rFonts w:ascii="Times New Roman" w:eastAsia="맑은 고딕" w:hAnsi="Times New Roman" w:cs="Times New Roman"/>
                <w:noProof/>
                <w:lang w:val="es-ES_tradnl" w:eastAsia="fr-FR"/>
              </w:rPr>
            </w:pPr>
            <w:r w:rsidRPr="00C35766">
              <w:rPr>
                <w:rFonts w:ascii="Times New Roman" w:eastAsia="맑은 고딕" w:hAnsi="Times New Roman" w:cs="Times New Roman"/>
                <w:noProof/>
                <w:lang w:val="es-ES_tradnl" w:eastAsia="fr-FR"/>
              </w:rPr>
              <w:t>Kern Pharma, S.L.</w:t>
            </w:r>
          </w:p>
          <w:p w14:paraId="0AC653F4"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+34 93 700 2525</w:t>
            </w:r>
          </w:p>
          <w:p w14:paraId="758F7D52" w14:textId="77777777" w:rsidR="0050099E" w:rsidRPr="00C35766" w:rsidRDefault="0050099E" w:rsidP="00933A6C">
            <w:pPr>
              <w:rPr>
                <w:rFonts w:ascii="Times New Roman" w:hAnsi="Times New Roman" w:cs="Times New Roman"/>
                <w:b/>
                <w:noProof/>
                <w:lang w:eastAsia="fr-FR"/>
              </w:rPr>
            </w:pPr>
          </w:p>
        </w:tc>
        <w:tc>
          <w:tcPr>
            <w:tcW w:w="2500" w:type="pct"/>
          </w:tcPr>
          <w:p w14:paraId="1CC7B026" w14:textId="77777777" w:rsidR="0050099E" w:rsidRPr="00C35766" w:rsidRDefault="0050099E" w:rsidP="00933A6C">
            <w:pPr>
              <w:rPr>
                <w:rFonts w:ascii="Times New Roman" w:hAnsi="Times New Roman" w:cs="Times New Roman"/>
                <w:noProof/>
                <w:lang w:val="de-DE" w:eastAsia="fr-FR"/>
              </w:rPr>
            </w:pPr>
            <w:r w:rsidRPr="00C35766">
              <w:rPr>
                <w:rFonts w:ascii="Times New Roman" w:hAnsi="Times New Roman" w:cs="Times New Roman"/>
                <w:b/>
                <w:noProof/>
                <w:lang w:val="de-DE"/>
              </w:rPr>
              <w:t>Österreich</w:t>
            </w:r>
          </w:p>
          <w:p w14:paraId="33BD50F0" w14:textId="77777777" w:rsidR="0050099E" w:rsidRPr="00C35766" w:rsidRDefault="0050099E" w:rsidP="00933A6C">
            <w:pPr>
              <w:rPr>
                <w:rFonts w:ascii="Times New Roman" w:eastAsia="맑은 고딕" w:hAnsi="Times New Roman" w:cs="Times New Roman"/>
                <w:noProof/>
                <w:lang w:val="de-DE" w:eastAsia="ko-KR"/>
              </w:rPr>
            </w:pPr>
            <w:r w:rsidRPr="00C35766">
              <w:rPr>
                <w:rFonts w:ascii="Times New Roman" w:eastAsia="맑은 고딕" w:hAnsi="Times New Roman" w:cs="Times New Roman"/>
                <w:noProof/>
                <w:lang w:val="de-DE" w:eastAsia="fr-FR"/>
              </w:rPr>
              <w:t>Astro-Pharma GmbH</w:t>
            </w:r>
          </w:p>
          <w:p w14:paraId="00D6C455" w14:textId="77777777" w:rsidR="0050099E" w:rsidRPr="00C35766" w:rsidRDefault="0050099E" w:rsidP="00933A6C">
            <w:pPr>
              <w:tabs>
                <w:tab w:val="left" w:pos="-720"/>
              </w:tabs>
              <w:suppressAutoHyphens/>
              <w:rPr>
                <w:rFonts w:ascii="Times New Roman" w:eastAsia="맑은 고딕" w:hAnsi="Times New Roman" w:cs="Times New Roman"/>
                <w:noProof/>
                <w:lang w:val="de-DE" w:eastAsia="fr-FR"/>
              </w:rPr>
            </w:pPr>
            <w:r w:rsidRPr="00C35766">
              <w:rPr>
                <w:rFonts w:ascii="Times New Roman" w:eastAsia="맑은 고딕" w:hAnsi="Times New Roman" w:cs="Times New Roman"/>
                <w:noProof/>
                <w:lang w:val="de-DE" w:eastAsia="fr-FR"/>
              </w:rPr>
              <w:t>Tel: +43 1 97 99 860</w:t>
            </w:r>
          </w:p>
          <w:p w14:paraId="4A36ACBF" w14:textId="77777777" w:rsidR="0050099E" w:rsidRPr="00C35766" w:rsidRDefault="0050099E" w:rsidP="00933A6C">
            <w:pPr>
              <w:tabs>
                <w:tab w:val="left" w:pos="-720"/>
              </w:tabs>
              <w:suppressAutoHyphens/>
              <w:rPr>
                <w:rFonts w:ascii="Times New Roman" w:hAnsi="Times New Roman" w:cs="Times New Roman"/>
                <w:noProof/>
                <w:lang w:val="de-DE" w:eastAsia="fr-FR"/>
              </w:rPr>
            </w:pPr>
          </w:p>
        </w:tc>
      </w:tr>
      <w:tr w:rsidR="0050099E" w:rsidRPr="00C35766" w14:paraId="00136B98" w14:textId="77777777" w:rsidTr="00933A6C">
        <w:tc>
          <w:tcPr>
            <w:tcW w:w="2500" w:type="pct"/>
          </w:tcPr>
          <w:p w14:paraId="17C6268B" w14:textId="77777777" w:rsidR="0050099E" w:rsidRPr="00C35766" w:rsidRDefault="0050099E" w:rsidP="00933A6C">
            <w:pPr>
              <w:rPr>
                <w:rFonts w:ascii="Times New Roman" w:hAnsi="Times New Roman" w:cs="Times New Roman"/>
                <w:b/>
                <w:noProof/>
                <w:lang w:val="el-GR" w:eastAsia="fr-FR"/>
              </w:rPr>
            </w:pPr>
            <w:r w:rsidRPr="00C35766">
              <w:rPr>
                <w:rFonts w:ascii="Times New Roman" w:hAnsi="Times New Roman" w:cs="Times New Roman"/>
                <w:b/>
                <w:noProof/>
                <w:lang w:val="el-GR" w:eastAsia="fr-FR"/>
              </w:rPr>
              <w:t>Ελλάδα</w:t>
            </w:r>
          </w:p>
          <w:p w14:paraId="27C16C4D" w14:textId="77777777" w:rsidR="0050099E" w:rsidRPr="00C35766" w:rsidRDefault="0050099E" w:rsidP="00933A6C">
            <w:pPr>
              <w:rPr>
                <w:rFonts w:ascii="Times New Roman" w:hAnsi="Times New Roman" w:cs="Times New Roman"/>
                <w:noProof/>
                <w:lang w:val="el-GR" w:eastAsia="fr-FR"/>
              </w:rPr>
            </w:pPr>
            <w:r w:rsidRPr="00C35766">
              <w:rPr>
                <w:rFonts w:ascii="Times New Roman" w:hAnsi="Times New Roman" w:cs="Times New Roman"/>
                <w:noProof/>
                <w:lang w:val="el-GR" w:eastAsia="fr-FR"/>
              </w:rPr>
              <w:t>ΒΙΑΝΕΞ Α.Ε.</w:t>
            </w:r>
          </w:p>
          <w:p w14:paraId="42649C97" w14:textId="7C500479" w:rsidR="0050099E" w:rsidRPr="00C35766" w:rsidRDefault="0050099E" w:rsidP="00933A6C">
            <w:pPr>
              <w:rPr>
                <w:rFonts w:ascii="Times New Roman" w:hAnsi="Times New Roman" w:cs="Times New Roman"/>
                <w:noProof/>
                <w:lang w:val="el-GR" w:eastAsia="fr-FR"/>
              </w:rPr>
            </w:pPr>
            <w:r w:rsidRPr="00C35766">
              <w:rPr>
                <w:rFonts w:ascii="Times New Roman" w:hAnsi="Times New Roman" w:cs="Times New Roman"/>
                <w:noProof/>
                <w:lang w:val="el-GR" w:eastAsia="fr-FR"/>
              </w:rPr>
              <w:t>Τηλ: +30 210 8009111</w:t>
            </w:r>
          </w:p>
          <w:p w14:paraId="28D825CC" w14:textId="77777777" w:rsidR="0050099E" w:rsidRPr="00C35766" w:rsidRDefault="0050099E" w:rsidP="00933A6C">
            <w:pPr>
              <w:rPr>
                <w:rFonts w:ascii="Times New Roman" w:eastAsia="맑은 고딕" w:hAnsi="Times New Roman" w:cs="Times New Roman"/>
                <w:noProof/>
                <w:lang w:val="el-GR" w:eastAsia="fr-FR"/>
              </w:rPr>
            </w:pPr>
          </w:p>
        </w:tc>
        <w:tc>
          <w:tcPr>
            <w:tcW w:w="2500" w:type="pct"/>
          </w:tcPr>
          <w:p w14:paraId="072ECDE4" w14:textId="77777777" w:rsidR="0050099E" w:rsidRPr="00C35766" w:rsidRDefault="0050099E" w:rsidP="00933A6C">
            <w:pPr>
              <w:rPr>
                <w:rFonts w:ascii="Times New Roman" w:eastAsia="맑은 고딕" w:hAnsi="Times New Roman" w:cs="Times New Roman"/>
                <w:b/>
                <w:noProof/>
                <w:lang w:val="pl-PL" w:eastAsia="fr-FR"/>
              </w:rPr>
            </w:pPr>
            <w:r w:rsidRPr="00C35766">
              <w:rPr>
                <w:rFonts w:ascii="Times New Roman" w:eastAsia="맑은 고딕" w:hAnsi="Times New Roman" w:cs="Times New Roman"/>
                <w:b/>
                <w:noProof/>
                <w:lang w:val="pl-PL" w:eastAsia="fr-FR"/>
              </w:rPr>
              <w:t>Polska</w:t>
            </w:r>
          </w:p>
          <w:p w14:paraId="299D61F2"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5C34AA5" w14:textId="77777777" w:rsidR="0050099E" w:rsidRPr="00C35766" w:rsidRDefault="0050099E" w:rsidP="00933A6C">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50099E" w:rsidRPr="002A37A2" w14:paraId="3C3934BF" w14:textId="77777777" w:rsidTr="00933A6C">
        <w:tc>
          <w:tcPr>
            <w:tcW w:w="2500" w:type="pct"/>
          </w:tcPr>
          <w:p w14:paraId="04135CEC" w14:textId="77777777" w:rsidR="0050099E" w:rsidRPr="00C35766" w:rsidRDefault="0050099E" w:rsidP="00933A6C">
            <w:pPr>
              <w:rPr>
                <w:rFonts w:ascii="Times New Roman" w:hAnsi="Times New Roman" w:cs="Times New Roman"/>
                <w:b/>
                <w:noProof/>
                <w:lang w:eastAsia="ko-KR"/>
              </w:rPr>
            </w:pPr>
            <w:r w:rsidRPr="00C35766">
              <w:rPr>
                <w:rFonts w:ascii="Times New Roman" w:hAnsi="Times New Roman" w:cs="Times New Roman"/>
                <w:b/>
                <w:noProof/>
                <w:lang w:eastAsia="ko-KR"/>
              </w:rPr>
              <w:t>France</w:t>
            </w:r>
          </w:p>
          <w:p w14:paraId="75E06DC6" w14:textId="0A48F19B" w:rsidR="0050099E" w:rsidRPr="00C35766" w:rsidRDefault="00B5072D" w:rsidP="00933A6C">
            <w:pPr>
              <w:rPr>
                <w:rFonts w:ascii="Times New Roman" w:hAnsi="Times New Roman" w:cs="Times New Roman"/>
                <w:noProof/>
                <w:lang w:eastAsia="ko-KR"/>
              </w:rPr>
            </w:pPr>
            <w:r w:rsidRPr="00B5072D">
              <w:rPr>
                <w:rFonts w:ascii="Times New Roman" w:hAnsi="Times New Roman" w:cs="Times New Roman"/>
                <w:noProof/>
                <w:lang w:eastAsia="ko-KR"/>
              </w:rPr>
              <w:t>Celltrion Healthcare France SAS</w:t>
            </w:r>
          </w:p>
          <w:p w14:paraId="3DE03A96" w14:textId="77777777" w:rsidR="0050099E" w:rsidRPr="00C35766" w:rsidRDefault="0050099E" w:rsidP="00933A6C">
            <w:pPr>
              <w:rPr>
                <w:rFonts w:ascii="Times New Roman" w:eastAsia="맑은 고딕" w:hAnsi="Times New Roman" w:cs="Times New Roman"/>
                <w:noProof/>
                <w:lang w:eastAsia="ko-KR"/>
              </w:rPr>
            </w:pPr>
            <w:r w:rsidRPr="00C35766">
              <w:rPr>
                <w:rFonts w:ascii="Times New Roman" w:hAnsi="Times New Roman" w:cs="Times New Roman"/>
                <w:noProof/>
                <w:lang w:eastAsia="ko-KR"/>
              </w:rPr>
              <w:t>T</w:t>
            </w:r>
            <w:r w:rsidRPr="00C35766">
              <w:rPr>
                <w:rFonts w:ascii="Times New Roman" w:hAnsi="Times New Roman" w:cs="Times New Roman"/>
              </w:rPr>
              <w:t>é</w:t>
            </w:r>
            <w:r w:rsidRPr="00C35766">
              <w:rPr>
                <w:rFonts w:ascii="Times New Roman" w:hAnsi="Times New Roman" w:cs="Times New Roman"/>
                <w:noProof/>
                <w:lang w:eastAsia="ko-KR"/>
              </w:rPr>
              <w:t>l.: +33 (0)1 71 25 27 00</w:t>
            </w:r>
          </w:p>
          <w:p w14:paraId="5E346548"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76E6D8F9" w14:textId="77777777" w:rsidR="00B71A1B" w:rsidRPr="002F72A3" w:rsidRDefault="00B71A1B" w:rsidP="00B71A1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111EC2BE" w14:textId="734E2167" w:rsidR="00B71A1B" w:rsidRDefault="00B71A1B" w:rsidP="00B71A1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6421B748" w14:textId="17646EB9" w:rsidR="00B71A1B" w:rsidRPr="006501B3" w:rsidRDefault="00B71A1B" w:rsidP="00B71A1B">
            <w:pPr>
              <w:rPr>
                <w:rFonts w:ascii="Times New Roman" w:eastAsia="맑은 고딕" w:hAnsi="Times New Roman" w:cs="Times New Roman"/>
                <w:noProof/>
                <w:lang w:val="fr-CA" w:eastAsia="fr-FR"/>
              </w:rPr>
            </w:pPr>
            <w:r w:rsidRPr="006501B3">
              <w:rPr>
                <w:rFonts w:ascii="Times New Roman" w:eastAsia="맑은 고딕" w:hAnsi="Times New Roman" w:cs="Times New Roman"/>
                <w:noProof/>
                <w:lang w:val="fr-CA" w:eastAsia="fr-FR"/>
              </w:rPr>
              <w:t>Tel: +351 21 936 8542</w:t>
            </w:r>
          </w:p>
          <w:p w14:paraId="2E9C4614" w14:textId="77777777" w:rsidR="0050099E" w:rsidRPr="006501B3" w:rsidRDefault="0050099E" w:rsidP="00933A6C">
            <w:pPr>
              <w:rPr>
                <w:rFonts w:ascii="Times New Roman" w:hAnsi="Times New Roman" w:cs="Times New Roman"/>
                <w:b/>
                <w:noProof/>
                <w:lang w:val="fr-CA"/>
              </w:rPr>
            </w:pPr>
          </w:p>
        </w:tc>
      </w:tr>
      <w:tr w:rsidR="0050099E" w:rsidRPr="00C35766" w14:paraId="46BDE966" w14:textId="77777777" w:rsidTr="00933A6C">
        <w:tc>
          <w:tcPr>
            <w:tcW w:w="2500" w:type="pct"/>
          </w:tcPr>
          <w:p w14:paraId="79A96829" w14:textId="77777777" w:rsidR="0050099E" w:rsidRPr="002062B2" w:rsidRDefault="0050099E" w:rsidP="00933A6C">
            <w:pPr>
              <w:rPr>
                <w:rFonts w:ascii="Times New Roman" w:hAnsi="Times New Roman" w:cs="Times New Roman"/>
                <w:b/>
                <w:noProof/>
                <w:lang w:val="de-CH" w:eastAsia="ko-KR"/>
              </w:rPr>
            </w:pPr>
            <w:r w:rsidRPr="002062B2">
              <w:rPr>
                <w:rFonts w:ascii="Times New Roman" w:hAnsi="Times New Roman" w:cs="Times New Roman"/>
                <w:b/>
                <w:noProof/>
                <w:lang w:val="de-CH" w:eastAsia="ko-KR"/>
              </w:rPr>
              <w:t>Hrvatska</w:t>
            </w:r>
          </w:p>
          <w:p w14:paraId="730DF8DC" w14:textId="77777777" w:rsidR="0050099E" w:rsidRPr="002062B2" w:rsidRDefault="0050099E" w:rsidP="00933A6C">
            <w:pPr>
              <w:rPr>
                <w:rFonts w:ascii="Times New Roman" w:hAnsi="Times New Roman" w:cs="Times New Roman"/>
                <w:noProof/>
                <w:lang w:val="de-CH" w:eastAsia="ko-KR"/>
              </w:rPr>
            </w:pPr>
            <w:r w:rsidRPr="002062B2">
              <w:rPr>
                <w:rFonts w:ascii="Times New Roman" w:hAnsi="Times New Roman" w:cs="Times New Roman"/>
                <w:noProof/>
                <w:lang w:val="de-CH" w:eastAsia="ko-KR"/>
              </w:rPr>
              <w:t>Oktal Pharma d.o.o.</w:t>
            </w:r>
          </w:p>
          <w:p w14:paraId="7A10F572" w14:textId="77777777" w:rsidR="0050099E" w:rsidRPr="00C35766" w:rsidRDefault="0050099E" w:rsidP="00933A6C">
            <w:pPr>
              <w:rPr>
                <w:rFonts w:ascii="Times New Roman" w:hAnsi="Times New Roman" w:cs="Times New Roman"/>
                <w:noProof/>
                <w:lang w:eastAsia="ko-KR"/>
              </w:rPr>
            </w:pPr>
            <w:r w:rsidRPr="00C35766">
              <w:rPr>
                <w:rFonts w:ascii="Times New Roman" w:hAnsi="Times New Roman" w:cs="Times New Roman"/>
                <w:noProof/>
                <w:lang w:eastAsia="ko-KR"/>
              </w:rPr>
              <w:t>Tel: +385 1 6595 777</w:t>
            </w:r>
          </w:p>
          <w:p w14:paraId="77A51B69"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141974DF" w14:textId="77777777" w:rsidR="0050099E" w:rsidRPr="00C35766" w:rsidRDefault="0050099E" w:rsidP="00933A6C">
            <w:pPr>
              <w:tabs>
                <w:tab w:val="left" w:pos="-720"/>
              </w:tabs>
              <w:suppressAutoHyphens/>
              <w:rPr>
                <w:rFonts w:ascii="Times New Roman" w:eastAsia="맑은 고딕" w:hAnsi="Times New Roman" w:cs="Times New Roman"/>
                <w:b/>
                <w:noProof/>
                <w:lang w:eastAsia="fr-FR"/>
              </w:rPr>
            </w:pPr>
            <w:r w:rsidRPr="00C35766">
              <w:rPr>
                <w:rFonts w:ascii="Times New Roman" w:hAnsi="Times New Roman" w:cs="Times New Roman"/>
                <w:b/>
                <w:noProof/>
              </w:rPr>
              <w:t>România</w:t>
            </w:r>
          </w:p>
          <w:p w14:paraId="2FA54DE1"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73A9736C" w14:textId="77777777" w:rsidR="0050099E" w:rsidRPr="00C35766" w:rsidRDefault="0050099E" w:rsidP="00933A6C">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50099E" w:rsidRPr="00C35766" w14:paraId="16FA1471" w14:textId="77777777" w:rsidTr="00933A6C">
        <w:tc>
          <w:tcPr>
            <w:tcW w:w="2500" w:type="pct"/>
          </w:tcPr>
          <w:p w14:paraId="7EAFCEEF" w14:textId="77777777" w:rsidR="0050099E" w:rsidRPr="00C35766" w:rsidRDefault="0050099E" w:rsidP="00933A6C">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Ireland</w:t>
            </w:r>
          </w:p>
          <w:p w14:paraId="39A2A1B5"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Ireland Limited</w:t>
            </w:r>
          </w:p>
          <w:p w14:paraId="2F227266"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+353 1 223 4026</w:t>
            </w:r>
          </w:p>
          <w:p w14:paraId="578B7E22"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1D72B858" w14:textId="77777777" w:rsidR="0050099E" w:rsidRPr="00C35766" w:rsidRDefault="0050099E" w:rsidP="00933A6C">
            <w:pPr>
              <w:rPr>
                <w:rFonts w:ascii="Times New Roman" w:eastAsia="맑은 고딕" w:hAnsi="Times New Roman" w:cs="Times New Roman"/>
                <w:b/>
                <w:noProof/>
                <w:lang w:val="it-IT" w:eastAsia="fr-FR"/>
              </w:rPr>
            </w:pPr>
            <w:r w:rsidRPr="00C35766">
              <w:rPr>
                <w:rFonts w:ascii="Times New Roman" w:eastAsia="맑은 고딕" w:hAnsi="Times New Roman" w:cs="Times New Roman"/>
                <w:b/>
                <w:noProof/>
                <w:lang w:val="it-IT" w:eastAsia="fr-FR"/>
              </w:rPr>
              <w:t>Slovenija</w:t>
            </w:r>
          </w:p>
          <w:p w14:paraId="5516C137" w14:textId="77777777" w:rsidR="0050099E" w:rsidRPr="00C35766" w:rsidRDefault="0050099E" w:rsidP="00933A6C">
            <w:pPr>
              <w:rPr>
                <w:rFonts w:ascii="Times New Roman" w:eastAsia="맑은 고딕" w:hAnsi="Times New Roman" w:cs="Times New Roman"/>
                <w:noProof/>
                <w:lang w:val="it-IT" w:eastAsia="fr-FR"/>
              </w:rPr>
            </w:pPr>
            <w:r w:rsidRPr="00C35766">
              <w:rPr>
                <w:rFonts w:ascii="Times New Roman" w:eastAsia="맑은 고딕" w:hAnsi="Times New Roman" w:cs="Times New Roman"/>
                <w:noProof/>
                <w:lang w:val="it-IT" w:eastAsia="fr-FR"/>
              </w:rPr>
              <w:t>OPH Oktal Pharma d.o.o.</w:t>
            </w:r>
          </w:p>
          <w:p w14:paraId="64FF2C20"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+386 1 519 29 22</w:t>
            </w:r>
          </w:p>
          <w:p w14:paraId="2C4CBCF7" w14:textId="77777777" w:rsidR="0050099E" w:rsidRPr="00C35766" w:rsidRDefault="0050099E" w:rsidP="00933A6C">
            <w:pPr>
              <w:rPr>
                <w:rFonts w:ascii="Times New Roman" w:hAnsi="Times New Roman" w:cs="Times New Roman"/>
                <w:b/>
                <w:noProof/>
              </w:rPr>
            </w:pPr>
          </w:p>
        </w:tc>
      </w:tr>
      <w:tr w:rsidR="0050099E" w:rsidRPr="00C35766" w14:paraId="4D2384DD" w14:textId="77777777" w:rsidTr="00933A6C">
        <w:tc>
          <w:tcPr>
            <w:tcW w:w="2500" w:type="pct"/>
          </w:tcPr>
          <w:p w14:paraId="12EEFC2F"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b/>
                <w:noProof/>
                <w:lang w:eastAsia="fr-FR"/>
              </w:rPr>
              <w:t>Ísland</w:t>
            </w:r>
          </w:p>
          <w:p w14:paraId="754D5556"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32CFC246" w14:textId="7777777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Sími: +36 1 231 0493</w:t>
            </w:r>
          </w:p>
        </w:tc>
        <w:tc>
          <w:tcPr>
            <w:tcW w:w="2500" w:type="pct"/>
          </w:tcPr>
          <w:p w14:paraId="675CBEFC"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hAnsi="Times New Roman" w:cs="Times New Roman"/>
                <w:b/>
                <w:noProof/>
              </w:rPr>
              <w:t>Slovenská republika</w:t>
            </w:r>
          </w:p>
          <w:p w14:paraId="6C17B54B" w14:textId="77777777" w:rsidR="0050099E" w:rsidRPr="00C35766" w:rsidRDefault="0050099E" w:rsidP="00933A6C">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492DFBA" w14:textId="77777777" w:rsidR="0050099E" w:rsidRPr="00C35766" w:rsidRDefault="0050099E" w:rsidP="00933A6C">
            <w:pPr>
              <w:rPr>
                <w:rFonts w:ascii="Times New Roman" w:eastAsia="맑은 고딕" w:hAnsi="Times New Roman" w:cs="Times New Roman"/>
                <w:b/>
                <w:noProof/>
                <w:lang w:eastAsia="fr-FR"/>
              </w:rPr>
            </w:pPr>
            <w:r w:rsidRPr="00C35766">
              <w:rPr>
                <w:rFonts w:ascii="Times New Roman" w:eastAsia="맑은 고딕" w:hAnsi="Times New Roman" w:cs="Times New Roman"/>
                <w:noProof/>
                <w:lang w:eastAsia="fr-FR"/>
              </w:rPr>
              <w:t>Tel: +36 1 231 0493</w:t>
            </w:r>
          </w:p>
          <w:p w14:paraId="719DC88C" w14:textId="77777777" w:rsidR="0050099E" w:rsidRPr="00C35766" w:rsidRDefault="0050099E" w:rsidP="00933A6C">
            <w:pPr>
              <w:rPr>
                <w:rFonts w:ascii="Times New Roman" w:eastAsia="맑은 고딕" w:hAnsi="Times New Roman" w:cs="Times New Roman"/>
                <w:b/>
                <w:noProof/>
                <w:lang w:eastAsia="fr-FR"/>
              </w:rPr>
            </w:pPr>
          </w:p>
        </w:tc>
      </w:tr>
      <w:tr w:rsidR="0050099E" w:rsidRPr="00C35766" w14:paraId="6F4FE019" w14:textId="77777777" w:rsidTr="00933A6C">
        <w:tc>
          <w:tcPr>
            <w:tcW w:w="2500" w:type="pct"/>
          </w:tcPr>
          <w:p w14:paraId="66AD029A"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Italia</w:t>
            </w:r>
          </w:p>
          <w:p w14:paraId="1649B280" w14:textId="073C7258"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Italy S.</w:t>
            </w:r>
            <w:r w:rsidR="00B5072D">
              <w:rPr>
                <w:rFonts w:ascii="Times New Roman" w:eastAsia="맑은 고딕" w:hAnsi="Times New Roman" w:cs="Times New Roman"/>
                <w:noProof/>
                <w:lang w:eastAsia="fr-FR"/>
              </w:rPr>
              <w:t>r</w:t>
            </w:r>
            <w:r w:rsidRPr="00C35766">
              <w:rPr>
                <w:rFonts w:ascii="Times New Roman" w:eastAsia="맑은 고딕" w:hAnsi="Times New Roman" w:cs="Times New Roman"/>
                <w:noProof/>
                <w:lang w:eastAsia="fr-FR"/>
              </w:rPr>
              <w:t>.</w:t>
            </w:r>
            <w:r w:rsidR="00B5072D">
              <w:rPr>
                <w:rFonts w:ascii="Times New Roman" w:eastAsia="맑은 고딕" w:hAnsi="Times New Roman" w:cs="Times New Roman"/>
                <w:noProof/>
                <w:lang w:eastAsia="fr-FR"/>
              </w:rPr>
              <w:t>l</w:t>
            </w:r>
            <w:r w:rsidRPr="00C35766">
              <w:rPr>
                <w:rFonts w:ascii="Times New Roman" w:eastAsia="맑은 고딕" w:hAnsi="Times New Roman" w:cs="Times New Roman"/>
                <w:noProof/>
                <w:lang w:eastAsia="fr-FR"/>
              </w:rPr>
              <w:t>.</w:t>
            </w:r>
          </w:p>
          <w:p w14:paraId="2451A933" w14:textId="19DF8537" w:rsidR="0050099E" w:rsidRPr="00C35766" w:rsidRDefault="0050099E" w:rsidP="00933A6C">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+39 </w:t>
            </w:r>
            <w:r w:rsidR="00B5072D" w:rsidRPr="00B5072D">
              <w:rPr>
                <w:rFonts w:ascii="Times New Roman" w:eastAsia="맑은 고딕" w:hAnsi="Times New Roman" w:cs="Times New Roman"/>
                <w:noProof/>
                <w:lang w:eastAsia="fr-FR"/>
              </w:rPr>
              <w:t>02</w:t>
            </w:r>
            <w:r w:rsidR="00471BD2">
              <w:rPr>
                <w:rFonts w:ascii="Times New Roman" w:eastAsia="맑은 고딕" w:hAnsi="Times New Roman" w:cs="Times New Roman"/>
                <w:noProof/>
                <w:lang w:eastAsia="fr-FR"/>
              </w:rPr>
              <w:t xml:space="preserve"> </w:t>
            </w:r>
            <w:r w:rsidR="00B5072D" w:rsidRPr="00B5072D">
              <w:rPr>
                <w:rFonts w:ascii="Times New Roman" w:eastAsia="맑은 고딕" w:hAnsi="Times New Roman" w:cs="Times New Roman"/>
                <w:noProof/>
                <w:lang w:eastAsia="fr-FR"/>
              </w:rPr>
              <w:t>47927040</w:t>
            </w:r>
          </w:p>
          <w:p w14:paraId="6BD4D50D" w14:textId="77777777" w:rsidR="0050099E" w:rsidRPr="00C35766" w:rsidRDefault="0050099E" w:rsidP="00933A6C">
            <w:pPr>
              <w:rPr>
                <w:rFonts w:ascii="Times New Roman" w:eastAsia="맑은 고딕" w:hAnsi="Times New Roman" w:cs="Times New Roman"/>
                <w:noProof/>
                <w:lang w:eastAsia="fr-FR"/>
              </w:rPr>
            </w:pPr>
          </w:p>
        </w:tc>
        <w:tc>
          <w:tcPr>
            <w:tcW w:w="2500" w:type="pct"/>
          </w:tcPr>
          <w:p w14:paraId="5EFE5785" w14:textId="77777777" w:rsidR="0050099E" w:rsidRPr="00C35766" w:rsidRDefault="0050099E" w:rsidP="00933A6C">
            <w:pPr>
              <w:rPr>
                <w:rFonts w:ascii="Times New Roman" w:hAnsi="Times New Roman" w:cs="Times New Roman"/>
                <w:noProof/>
                <w:lang w:eastAsia="fr-FR"/>
              </w:rPr>
            </w:pPr>
            <w:r w:rsidRPr="00C35766">
              <w:rPr>
                <w:rFonts w:ascii="Times New Roman" w:eastAsia="맑은 고딕" w:hAnsi="Times New Roman" w:cs="Times New Roman"/>
                <w:b/>
                <w:noProof/>
                <w:lang w:eastAsia="fr-FR"/>
              </w:rPr>
              <w:t>Suomi/Finland</w:t>
            </w:r>
          </w:p>
          <w:p w14:paraId="101A17F2" w14:textId="77777777" w:rsidR="00471BD2" w:rsidRDefault="00471BD2" w:rsidP="00471BD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Finland Oy. </w:t>
            </w:r>
          </w:p>
          <w:p w14:paraId="1B842595" w14:textId="54739425" w:rsidR="0050099E" w:rsidRPr="00C35766" w:rsidRDefault="00471BD2" w:rsidP="00933A6C">
            <w:pPr>
              <w:autoSpaceDE w:val="0"/>
              <w:autoSpaceDN w:val="0"/>
              <w:adjustRightInd w:val="0"/>
              <w:rPr>
                <w:rFonts w:ascii="Times New Roman" w:eastAsia="맑은 고딕" w:hAnsi="Times New Roman" w:cs="Times New Roman"/>
                <w:noProof/>
                <w:lang w:val="sv-SE" w:eastAsia="fr-FR"/>
              </w:rPr>
            </w:pPr>
            <w:r>
              <w:rPr>
                <w:rFonts w:ascii="Times New Roman" w:eastAsia="맑은 고딕" w:hAnsi="Times New Roman" w:cs="Times New Roman"/>
                <w:noProof/>
                <w:lang w:eastAsia="fr-FR"/>
              </w:rPr>
              <w:t>Puh/Tel: +358 29 170 7755</w:t>
            </w:r>
          </w:p>
          <w:p w14:paraId="37A27ADA" w14:textId="77777777" w:rsidR="0050099E" w:rsidRPr="00C35766" w:rsidRDefault="0050099E" w:rsidP="00933A6C">
            <w:pPr>
              <w:autoSpaceDE w:val="0"/>
              <w:autoSpaceDN w:val="0"/>
              <w:adjustRightInd w:val="0"/>
              <w:rPr>
                <w:rFonts w:ascii="Times New Roman" w:eastAsia="맑은 고딕" w:hAnsi="Times New Roman" w:cs="Times New Roman"/>
                <w:noProof/>
                <w:lang w:val="sv-SE" w:eastAsia="ko-KR"/>
              </w:rPr>
            </w:pPr>
          </w:p>
        </w:tc>
      </w:tr>
      <w:tr w:rsidR="00B71A1B" w:rsidRPr="00C35766" w14:paraId="24CEF6C8" w14:textId="77777777" w:rsidTr="00933A6C">
        <w:tc>
          <w:tcPr>
            <w:tcW w:w="2500" w:type="pct"/>
          </w:tcPr>
          <w:p w14:paraId="6655164A" w14:textId="77777777" w:rsidR="00B71A1B" w:rsidRPr="00C35766" w:rsidRDefault="00B71A1B" w:rsidP="00B71A1B">
            <w:pPr>
              <w:tabs>
                <w:tab w:val="left" w:pos="-720"/>
              </w:tabs>
              <w:suppressAutoHyphens/>
              <w:rPr>
                <w:rFonts w:ascii="Times New Roman" w:hAnsi="Times New Roman" w:cs="Times New Roman"/>
                <w:b/>
                <w:bCs/>
                <w:noProof/>
                <w:lang w:eastAsia="fr-FR"/>
              </w:rPr>
            </w:pPr>
            <w:r w:rsidRPr="00C35766">
              <w:rPr>
                <w:rFonts w:ascii="Times New Roman" w:hAnsi="Times New Roman" w:cs="Times New Roman"/>
                <w:b/>
                <w:noProof/>
              </w:rPr>
              <w:lastRenderedPageBreak/>
              <w:t>Κύπρος</w:t>
            </w:r>
          </w:p>
          <w:p w14:paraId="694514C9" w14:textId="77777777" w:rsidR="00B71A1B" w:rsidRPr="00C35766" w:rsidRDefault="00B71A1B" w:rsidP="00B71A1B">
            <w:pPr>
              <w:tabs>
                <w:tab w:val="left" w:pos="-720"/>
              </w:tabs>
              <w:suppressAutoHyphen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C.A. Papaellinas Ltd</w:t>
            </w:r>
          </w:p>
          <w:p w14:paraId="1A3B3F2F"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hAnsi="Times New Roman" w:cs="Times New Roman"/>
                <w:noProof/>
              </w:rPr>
              <w:t xml:space="preserve">Τηλ: </w:t>
            </w:r>
            <w:r w:rsidRPr="00C35766">
              <w:rPr>
                <w:rFonts w:ascii="Times New Roman" w:eastAsia="맑은 고딕" w:hAnsi="Times New Roman" w:cs="Times New Roman"/>
                <w:noProof/>
                <w:lang w:eastAsia="fr-FR"/>
              </w:rPr>
              <w:t>+357 22741741</w:t>
            </w:r>
          </w:p>
          <w:p w14:paraId="6DF3B195" w14:textId="77777777" w:rsidR="00B71A1B" w:rsidRPr="00C35766" w:rsidRDefault="00B71A1B" w:rsidP="00B71A1B">
            <w:pPr>
              <w:autoSpaceDE w:val="0"/>
              <w:autoSpaceDN w:val="0"/>
              <w:adjustRightInd w:val="0"/>
              <w:rPr>
                <w:rFonts w:ascii="Times New Roman" w:eastAsia="맑은 고딕" w:hAnsi="Times New Roman" w:cs="Times New Roman"/>
                <w:b/>
                <w:noProof/>
                <w:lang w:eastAsia="fr-FR"/>
              </w:rPr>
            </w:pPr>
          </w:p>
        </w:tc>
        <w:tc>
          <w:tcPr>
            <w:tcW w:w="2500" w:type="pct"/>
          </w:tcPr>
          <w:p w14:paraId="0043EDA7" w14:textId="77777777" w:rsidR="00B71A1B" w:rsidRPr="00D86615" w:rsidRDefault="00B71A1B" w:rsidP="00B71A1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3CF0C3CD" w14:textId="0D36AD87" w:rsidR="00B71A1B" w:rsidRPr="005A6A67" w:rsidRDefault="00B71A1B" w:rsidP="00B71A1B">
            <w:pPr>
              <w:tabs>
                <w:tab w:val="left" w:pos="-720"/>
              </w:tabs>
              <w:suppressAutoHyphens/>
              <w:rPr>
                <w:rFonts w:ascii="Times New Roman" w:eastAsia="맑은 고딕" w:hAnsi="Times New Roman" w:cs="Times New Roman"/>
                <w:noProof/>
                <w:lang w:eastAsia="ko-KR"/>
              </w:rPr>
            </w:pPr>
            <w:r w:rsidRPr="005A6A67">
              <w:rPr>
                <w:rFonts w:ascii="Times New Roman" w:eastAsia="맑은 고딕" w:hAnsi="Times New Roman" w:cs="Times New Roman"/>
                <w:noProof/>
                <w:lang w:eastAsia="ko-KR"/>
              </w:rPr>
              <w:t>Celltrion Sweden AB</w:t>
            </w:r>
          </w:p>
          <w:p w14:paraId="7B945D18" w14:textId="77777777" w:rsidR="00B71A1B" w:rsidRPr="005A6A67" w:rsidRDefault="00B71A1B" w:rsidP="00B71A1B">
            <w:pPr>
              <w:tabs>
                <w:tab w:val="left" w:pos="-720"/>
              </w:tabs>
              <w:suppressAutoHyphens/>
              <w:rPr>
                <w:rFonts w:ascii="Times New Roman" w:eastAsia="맑은 고딕" w:hAnsi="Times New Roman" w:cs="Times New Roman"/>
                <w:bCs/>
                <w:noProof/>
                <w:u w:val="single"/>
                <w:lang w:eastAsia="ko-KR"/>
              </w:rPr>
            </w:pPr>
            <w:hyperlink r:id="rId137" w:history="1">
              <w:r w:rsidRPr="005A6A67">
                <w:rPr>
                  <w:rStyle w:val="ad"/>
                  <w:rFonts w:ascii="Times New Roman" w:eastAsia="맑은 고딕" w:hAnsi="Times New Roman" w:cs="Times New Roman"/>
                  <w:noProof/>
                  <w:lang w:eastAsia="ko-KR"/>
                </w:rPr>
                <w:t>contact_se@celltrionhc.com</w:t>
              </w:r>
            </w:hyperlink>
          </w:p>
          <w:p w14:paraId="572796BF" w14:textId="4176A926"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r w:rsidR="00B71A1B" w:rsidRPr="00C35766" w14:paraId="7828266C" w14:textId="77777777" w:rsidTr="00933A6C">
        <w:tc>
          <w:tcPr>
            <w:tcW w:w="2500" w:type="pct"/>
          </w:tcPr>
          <w:p w14:paraId="32DE09FC" w14:textId="77777777" w:rsidR="00B71A1B" w:rsidRPr="00C35766" w:rsidRDefault="00B71A1B" w:rsidP="00B71A1B">
            <w:pPr>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Latvija</w:t>
            </w:r>
          </w:p>
          <w:p w14:paraId="0B31CC49" w14:textId="77777777" w:rsidR="00B71A1B" w:rsidRPr="00C35766" w:rsidRDefault="00B71A1B" w:rsidP="00B71A1B">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60599954" w14:textId="77777777" w:rsidR="00B71A1B" w:rsidRDefault="00B71A1B" w:rsidP="00B71A1B">
            <w:pPr>
              <w:autoSpaceDE w:val="0"/>
              <w:autoSpaceDN w:val="0"/>
              <w:adjustRightInd w:val="0"/>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Tālr.: +36 1 231 0493</w:t>
            </w:r>
          </w:p>
          <w:p w14:paraId="1076C7CB" w14:textId="77777777" w:rsidR="00EF70FD" w:rsidRPr="00C35766" w:rsidRDefault="00EF70FD" w:rsidP="00B71A1B">
            <w:pPr>
              <w:autoSpaceDE w:val="0"/>
              <w:autoSpaceDN w:val="0"/>
              <w:adjustRightInd w:val="0"/>
              <w:rPr>
                <w:rFonts w:ascii="Times New Roman" w:eastAsia="맑은 고딕" w:hAnsi="Times New Roman" w:cs="Times New Roman"/>
                <w:b/>
                <w:bCs/>
                <w:lang w:eastAsia="fr-FR"/>
              </w:rPr>
            </w:pPr>
          </w:p>
        </w:tc>
        <w:tc>
          <w:tcPr>
            <w:tcW w:w="2500" w:type="pct"/>
          </w:tcPr>
          <w:p w14:paraId="713E2541" w14:textId="77777777"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bl>
    <w:p w14:paraId="51EE93EB" w14:textId="77777777" w:rsidR="0050099E" w:rsidRPr="00C35766" w:rsidRDefault="0050099E" w:rsidP="0050099E">
      <w:pPr>
        <w:numPr>
          <w:ilvl w:val="12"/>
          <w:numId w:val="0"/>
        </w:numPr>
        <w:rPr>
          <w:rFonts w:ascii="Times New Roman" w:eastAsia="맑은 고딕" w:hAnsi="Times New Roman" w:cs="Times New Roman"/>
          <w:noProof/>
          <w:lang w:val="pt-BR" w:eastAsia="ko-KR"/>
        </w:rPr>
      </w:pPr>
      <w:r w:rsidRPr="00C35766">
        <w:rPr>
          <w:rFonts w:ascii="Times New Roman" w:eastAsia="Times New Roman" w:hAnsi="Times New Roman" w:cs="Times New Roman"/>
          <w:b/>
          <w:bCs/>
          <w:noProof/>
          <w:lang w:val="it-IT"/>
        </w:rPr>
        <w:t>Questo foglio illustrativo è stato aggiornato il</w:t>
      </w:r>
    </w:p>
    <w:p w14:paraId="48AD89AB" w14:textId="77777777" w:rsidR="0050099E" w:rsidRPr="00C35766" w:rsidRDefault="0050099E" w:rsidP="0050099E">
      <w:pPr>
        <w:numPr>
          <w:ilvl w:val="12"/>
          <w:numId w:val="0"/>
        </w:numPr>
        <w:rPr>
          <w:rFonts w:ascii="Times New Roman" w:hAnsi="Times New Roman" w:cs="Times New Roman"/>
          <w:noProof/>
          <w:lang w:val="pt-BR"/>
        </w:rPr>
      </w:pPr>
    </w:p>
    <w:p w14:paraId="44874328" w14:textId="77777777" w:rsidR="0050099E" w:rsidRPr="00C35766" w:rsidRDefault="0050099E" w:rsidP="0050099E">
      <w:pPr>
        <w:numPr>
          <w:ilvl w:val="12"/>
          <w:numId w:val="0"/>
        </w:numPr>
        <w:rPr>
          <w:rFonts w:ascii="Times New Roman" w:hAnsi="Times New Roman" w:cs="Times New Roman"/>
          <w:b/>
          <w:noProof/>
          <w:lang w:val="pt-BR"/>
        </w:rPr>
      </w:pPr>
      <w:r w:rsidRPr="00C35766">
        <w:rPr>
          <w:rFonts w:ascii="Times New Roman" w:eastAsia="Times New Roman" w:hAnsi="Times New Roman" w:cs="Times New Roman"/>
          <w:b/>
          <w:bCs/>
          <w:noProof/>
          <w:lang w:val="it-IT"/>
        </w:rPr>
        <w:t>Altre fonti d’informazioni</w:t>
      </w:r>
    </w:p>
    <w:p w14:paraId="14282DCD" w14:textId="77777777" w:rsidR="0050099E" w:rsidRPr="00C35766" w:rsidRDefault="0050099E" w:rsidP="0050099E">
      <w:pPr>
        <w:pStyle w:val="a3"/>
        <w:rPr>
          <w:lang w:val="pt-BR"/>
        </w:rPr>
      </w:pPr>
    </w:p>
    <w:p w14:paraId="6471C3E6" w14:textId="77777777" w:rsidR="0050099E" w:rsidRPr="00C35766" w:rsidRDefault="0050099E" w:rsidP="0050099E">
      <w:pPr>
        <w:numPr>
          <w:ilvl w:val="12"/>
          <w:numId w:val="0"/>
        </w:numPr>
        <w:rPr>
          <w:rFonts w:ascii="Times New Roman" w:eastAsia="맑은 고딕" w:hAnsi="Times New Roman" w:cs="Times New Roman"/>
          <w:noProof/>
          <w:color w:val="0000FF"/>
          <w:lang w:val="pt-BR" w:eastAsia="ko-KR"/>
        </w:rPr>
      </w:pPr>
      <w:r w:rsidRPr="00C35766">
        <w:rPr>
          <w:rFonts w:ascii="Times New Roman" w:eastAsia="Times New Roman" w:hAnsi="Times New Roman" w:cs="Times New Roman"/>
          <w:lang w:val="it-IT"/>
        </w:rPr>
        <w:t xml:space="preserve">Informazioni più dettagliate su questo medicinale sono disponibili sul sito web dell’Agenzia europea per i medicinali, </w:t>
      </w:r>
      <w:r w:rsidRPr="00C35766">
        <w:rPr>
          <w:rFonts w:ascii="Times New Roman" w:eastAsia="Times New Roman" w:hAnsi="Times New Roman" w:cs="Times New Roman"/>
          <w:color w:val="0000FF"/>
          <w:u w:val="single"/>
          <w:lang w:val="it-IT"/>
        </w:rPr>
        <w:t>http://www.ema.europa.eu</w:t>
      </w:r>
    </w:p>
    <w:p w14:paraId="7B7531C2" w14:textId="44BB3552" w:rsidR="0050099E" w:rsidRPr="00C35766" w:rsidRDefault="0050099E" w:rsidP="0050099E">
      <w:pPr>
        <w:spacing w:line="252" w:lineRule="exact"/>
        <w:rPr>
          <w:rFonts w:ascii="Times New Roman" w:hAnsi="Times New Roman" w:cs="Times New Roman"/>
          <w:b/>
          <w:lang w:val="pt-BR"/>
        </w:rPr>
      </w:pPr>
    </w:p>
    <w:p w14:paraId="5CF95FC2" w14:textId="77777777" w:rsidR="00280E92" w:rsidRPr="00C35766" w:rsidRDefault="00280E92" w:rsidP="0050099E">
      <w:pPr>
        <w:spacing w:line="252" w:lineRule="exact"/>
        <w:rPr>
          <w:rFonts w:ascii="Times New Roman" w:hAnsi="Times New Roman" w:cs="Times New Roman"/>
          <w:b/>
          <w:lang w:val="pt-BR"/>
        </w:rPr>
      </w:pPr>
    </w:p>
    <w:p w14:paraId="5A02CC32" w14:textId="77777777" w:rsidR="0050099E" w:rsidRPr="00C35766" w:rsidRDefault="0050099E" w:rsidP="00933A6C">
      <w:pPr>
        <w:pStyle w:val="a4"/>
        <w:numPr>
          <w:ilvl w:val="0"/>
          <w:numId w:val="66"/>
        </w:numPr>
        <w:spacing w:line="240" w:lineRule="exact"/>
        <w:rPr>
          <w:rFonts w:ascii="Times New Roman" w:eastAsia="Times New Roman" w:hAnsi="Times New Roman" w:cs="Times New Roman"/>
          <w:b/>
          <w:noProof/>
          <w:lang w:val="en-GB"/>
        </w:rPr>
      </w:pPr>
      <w:r w:rsidRPr="00C35766">
        <w:rPr>
          <w:rFonts w:ascii="Times New Roman" w:eastAsia="Times New Roman" w:hAnsi="Times New Roman" w:cs="Times New Roman"/>
          <w:b/>
          <w:bCs/>
          <w:spacing w:val="-1"/>
          <w:lang w:val="it-IT"/>
        </w:rPr>
        <w:t>Istruzioni per l’uso</w:t>
      </w:r>
    </w:p>
    <w:p w14:paraId="6A8AF6C9" w14:textId="77777777" w:rsidR="0050099E" w:rsidRPr="00C35766" w:rsidRDefault="0050099E" w:rsidP="0050099E">
      <w:pPr>
        <w:spacing w:before="16" w:line="280" w:lineRule="exact"/>
        <w:rPr>
          <w:rFonts w:ascii="Times New Roman" w:hAnsi="Times New Roman" w:cs="Times New Roman"/>
          <w:sz w:val="28"/>
          <w:szCs w:val="28"/>
        </w:rPr>
      </w:pPr>
    </w:p>
    <w:p w14:paraId="702A7F2B" w14:textId="77777777" w:rsidR="0050099E" w:rsidRPr="00C35766" w:rsidRDefault="0050099E" w:rsidP="0050099E">
      <w:pPr>
        <w:pStyle w:val="a3"/>
        <w:numPr>
          <w:ilvl w:val="1"/>
          <w:numId w:val="2"/>
        </w:numPr>
        <w:ind w:left="660" w:hanging="660"/>
        <w:rPr>
          <w:lang w:val="pt-BR"/>
        </w:rPr>
      </w:pPr>
      <w:r w:rsidRPr="00C35766">
        <w:rPr>
          <w:rFonts w:eastAsia="Times New Roman"/>
          <w:lang w:val="it-IT"/>
        </w:rPr>
        <w:t>Le seguenti istruzioni spiegano come effettuare l’autoiniezione sottocutanea di Yuflyma utilizzando la penna pre-riempita. Prima di tutto legga attentamente le istruzioni e le segua passo dopo passo.</w:t>
      </w:r>
    </w:p>
    <w:p w14:paraId="295D8205" w14:textId="77777777" w:rsidR="0050099E" w:rsidRPr="00C35766" w:rsidRDefault="0050099E" w:rsidP="0050099E">
      <w:pPr>
        <w:spacing w:before="12" w:line="240" w:lineRule="exact"/>
        <w:rPr>
          <w:rFonts w:ascii="Times New Roman" w:hAnsi="Times New Roman" w:cs="Times New Roman"/>
          <w:sz w:val="24"/>
          <w:szCs w:val="24"/>
          <w:lang w:val="pt-BR"/>
        </w:rPr>
      </w:pPr>
    </w:p>
    <w:p w14:paraId="0351B4CA" w14:textId="77777777" w:rsidR="0050099E" w:rsidRPr="00C35766" w:rsidRDefault="0050099E" w:rsidP="0050099E">
      <w:pPr>
        <w:pStyle w:val="a3"/>
        <w:numPr>
          <w:ilvl w:val="1"/>
          <w:numId w:val="2"/>
        </w:numPr>
        <w:ind w:left="660" w:hanging="660"/>
        <w:rPr>
          <w:lang w:val="it-IT"/>
        </w:rPr>
      </w:pPr>
      <w:r w:rsidRPr="00C35766">
        <w:rPr>
          <w:rFonts w:eastAsia="Times New Roman"/>
          <w:lang w:val="it-IT"/>
        </w:rPr>
        <w:t>Riceverà istruzioni dal medico, dall’infermiere o dal farmacista sulla tecnica dell’autoiniezione.</w:t>
      </w:r>
    </w:p>
    <w:p w14:paraId="70915AFC" w14:textId="77777777" w:rsidR="0050099E" w:rsidRPr="00C35766" w:rsidRDefault="0050099E" w:rsidP="0050099E">
      <w:pPr>
        <w:spacing w:before="11" w:line="260" w:lineRule="exact"/>
        <w:rPr>
          <w:rFonts w:ascii="Times New Roman" w:hAnsi="Times New Roman" w:cs="Times New Roman"/>
          <w:sz w:val="26"/>
          <w:lang w:val="it-IT"/>
        </w:rPr>
      </w:pPr>
    </w:p>
    <w:p w14:paraId="135C58D5" w14:textId="77777777" w:rsidR="0050099E" w:rsidRPr="00C35766" w:rsidRDefault="0050099E" w:rsidP="0050099E">
      <w:pPr>
        <w:pStyle w:val="a3"/>
        <w:numPr>
          <w:ilvl w:val="1"/>
          <w:numId w:val="2"/>
        </w:numPr>
        <w:ind w:left="660" w:hanging="660"/>
        <w:rPr>
          <w:lang w:val="it-IT"/>
        </w:rPr>
      </w:pPr>
      <w:r w:rsidRPr="00C35766">
        <w:rPr>
          <w:rFonts w:eastAsia="Times New Roman"/>
          <w:b/>
          <w:bCs/>
          <w:spacing w:val="-2"/>
          <w:lang w:val="it-IT"/>
        </w:rPr>
        <w:t>Non</w:t>
      </w:r>
      <w:r w:rsidRPr="00C35766">
        <w:rPr>
          <w:rFonts w:eastAsia="Times New Roman"/>
          <w:spacing w:val="-2"/>
          <w:lang w:val="it-IT"/>
        </w:rPr>
        <w:t xml:space="preserve"> proceda all’iniezione da solo finché non è sicuro di aver capito come preparare ed eseguire l’iniezione.</w:t>
      </w:r>
    </w:p>
    <w:p w14:paraId="58C8A158" w14:textId="77777777" w:rsidR="0050099E" w:rsidRPr="00C35766" w:rsidRDefault="0050099E" w:rsidP="0050099E">
      <w:pPr>
        <w:spacing w:before="11" w:line="260" w:lineRule="exact"/>
        <w:rPr>
          <w:rFonts w:ascii="Times New Roman" w:hAnsi="Times New Roman" w:cs="Times New Roman"/>
          <w:sz w:val="26"/>
          <w:lang w:val="it-IT"/>
        </w:rPr>
      </w:pPr>
    </w:p>
    <w:p w14:paraId="23E28F20" w14:textId="77777777" w:rsidR="0050099E" w:rsidRPr="00C35766" w:rsidRDefault="0050099E" w:rsidP="0050099E">
      <w:pPr>
        <w:pStyle w:val="a3"/>
        <w:numPr>
          <w:ilvl w:val="1"/>
          <w:numId w:val="2"/>
        </w:numPr>
        <w:ind w:left="660" w:hanging="660"/>
        <w:rPr>
          <w:lang w:val="it-IT"/>
        </w:rPr>
      </w:pPr>
      <w:r w:rsidRPr="00C35766">
        <w:rPr>
          <w:rFonts w:eastAsia="Times New Roman"/>
          <w:lang w:val="it-IT"/>
        </w:rPr>
        <w:t>Dopo adeguate istruzioni l’iniezione può essere eseguita da lei o da altre persone quali, ad esempio, un familiare o un amico.</w:t>
      </w:r>
    </w:p>
    <w:p w14:paraId="45999684" w14:textId="77777777" w:rsidR="0050099E" w:rsidRPr="00C35766" w:rsidRDefault="0050099E" w:rsidP="0050099E">
      <w:pPr>
        <w:spacing w:before="12" w:line="240" w:lineRule="exact"/>
        <w:rPr>
          <w:rFonts w:ascii="Times New Roman" w:hAnsi="Times New Roman" w:cs="Times New Roman"/>
          <w:sz w:val="24"/>
          <w:lang w:val="it-IT"/>
        </w:rPr>
      </w:pPr>
    </w:p>
    <w:p w14:paraId="30302244" w14:textId="77777777" w:rsidR="0050099E" w:rsidRPr="00C35766" w:rsidRDefault="0050099E" w:rsidP="0050099E">
      <w:pPr>
        <w:pStyle w:val="a3"/>
        <w:numPr>
          <w:ilvl w:val="1"/>
          <w:numId w:val="2"/>
        </w:numPr>
        <w:ind w:left="660" w:hanging="660"/>
        <w:rPr>
          <w:lang w:val="es-ES"/>
        </w:rPr>
      </w:pPr>
      <w:r w:rsidRPr="00C35766">
        <w:rPr>
          <w:rFonts w:eastAsia="Times New Roman"/>
          <w:lang w:val="it-IT"/>
        </w:rPr>
        <w:t>Usi ciascuna penna pre-riempita esclusivamente per una sola iniezione.</w:t>
      </w:r>
    </w:p>
    <w:p w14:paraId="419F5C27" w14:textId="77777777" w:rsidR="0050099E" w:rsidRPr="00C35766" w:rsidRDefault="0050099E" w:rsidP="0050099E">
      <w:pPr>
        <w:rPr>
          <w:rFonts w:ascii="Times New Roman" w:hAnsi="Times New Roman" w:cs="Times New Roman"/>
          <w:sz w:val="24"/>
          <w:szCs w:val="24"/>
          <w:lang w:val="es-ES"/>
        </w:rPr>
      </w:pPr>
      <w:r w:rsidRPr="00C35766">
        <w:rPr>
          <w:rFonts w:ascii="Times New Roman" w:hAnsi="Times New Roman" w:cs="Times New Roman"/>
          <w:sz w:val="24"/>
          <w:szCs w:val="24"/>
          <w:lang w:val="es-ES"/>
        </w:rPr>
        <w:br w:type="page"/>
      </w:r>
    </w:p>
    <w:p w14:paraId="051BC943" w14:textId="77777777" w:rsidR="0050099E" w:rsidRPr="00C35766" w:rsidRDefault="0050099E" w:rsidP="0050099E">
      <w:pPr>
        <w:pStyle w:val="a3"/>
        <w:rPr>
          <w:b/>
          <w:bCs/>
        </w:rPr>
      </w:pPr>
      <w:r w:rsidRPr="00C35766">
        <w:rPr>
          <w:rFonts w:eastAsia="Times New Roman"/>
          <w:b/>
          <w:bCs/>
          <w:spacing w:val="-1"/>
          <w:lang w:val="it-IT"/>
        </w:rPr>
        <w:lastRenderedPageBreak/>
        <w:t>Yuflyma Penna pre-riempita</w:t>
      </w:r>
    </w:p>
    <w:p w14:paraId="1604B39C" w14:textId="77777777" w:rsidR="0050099E" w:rsidRPr="00C35766" w:rsidRDefault="0050099E" w:rsidP="0050099E">
      <w:pPr>
        <w:spacing w:before="13" w:line="240" w:lineRule="exact"/>
        <w:rPr>
          <w:rFonts w:ascii="Times New Roman" w:hAnsi="Times New Roman" w:cs="Times New Roman"/>
          <w:sz w:val="24"/>
          <w:szCs w:val="24"/>
        </w:rPr>
      </w:pPr>
    </w:p>
    <w:p w14:paraId="4D6B17DA" w14:textId="77777777" w:rsidR="0050099E" w:rsidRPr="00C35766" w:rsidRDefault="0050099E" w:rsidP="0050099E">
      <w:pPr>
        <w:tabs>
          <w:tab w:val="left" w:pos="3004"/>
          <w:tab w:val="left" w:pos="5932"/>
        </w:tabs>
        <w:spacing w:before="33" w:line="480" w:lineRule="auto"/>
        <w:ind w:left="111" w:right="1474" w:firstLine="1653"/>
        <w:rPr>
          <w:rFonts w:ascii="Times New Roman" w:hAnsi="Times New Roman" w:cs="Times New Roman"/>
          <w:b/>
          <w:lang w:val="it-IT"/>
        </w:rPr>
      </w:pPr>
      <w:r w:rsidRPr="00C35766">
        <w:rPr>
          <w:rFonts w:ascii="Times New Roman" w:hAnsi="Times New Roman" w:cs="Times New Roman"/>
          <w:noProof/>
          <w:sz w:val="24"/>
          <w:szCs w:val="24"/>
          <w:lang w:eastAsia="ko-KR"/>
        </w:rPr>
        <w:drawing>
          <wp:inline distT="0" distB="0" distL="0" distR="0" wp14:anchorId="2661E150" wp14:editId="0B631B43">
            <wp:extent cx="3704106" cy="3468925"/>
            <wp:effectExtent l="19050" t="19050" r="10795" b="17780"/>
            <wp:docPr id="3959" name="그림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그림 395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04106" cy="3468925"/>
                    </a:xfrm>
                    <a:prstGeom prst="rect">
                      <a:avLst/>
                    </a:prstGeom>
                    <a:ln>
                      <a:solidFill>
                        <a:schemeClr val="tx1"/>
                      </a:solidFill>
                    </a:ln>
                  </pic:spPr>
                </pic:pic>
              </a:graphicData>
            </a:graphic>
          </wp:inline>
        </w:drawing>
      </w:r>
    </w:p>
    <w:p w14:paraId="207ED82B" w14:textId="1801D6EB" w:rsidR="0050099E" w:rsidRPr="00C35766" w:rsidRDefault="0050099E" w:rsidP="0050099E">
      <w:pPr>
        <w:pStyle w:val="af0"/>
        <w:ind w:left="4320" w:firstLineChars="1300" w:firstLine="2603"/>
        <w:rPr>
          <w:rFonts w:ascii="Times New Roman" w:hAnsi="Times New Roman" w:cs="Times New Roman"/>
          <w:lang w:val="it-IT"/>
        </w:rPr>
      </w:pPr>
      <w:r w:rsidRPr="00C35766">
        <w:rPr>
          <w:rFonts w:ascii="Times New Roman" w:eastAsia="Times New Roman" w:hAnsi="Times New Roman" w:cs="Times New Roman"/>
          <w:lang w:val="it-IT"/>
        </w:rPr>
        <w:t>Figura </w:t>
      </w:r>
      <w:r w:rsidR="00783889" w:rsidRPr="00824699">
        <w:rPr>
          <w:rFonts w:ascii="Times New Roman" w:hAnsi="Times New Roman" w:cs="Times New Roman"/>
          <w:lang w:val="it-IT"/>
        </w:rPr>
        <w:t>A</w:t>
      </w:r>
    </w:p>
    <w:p w14:paraId="3D37B885" w14:textId="77777777" w:rsidR="0050099E" w:rsidRPr="00C35766" w:rsidRDefault="0050099E" w:rsidP="0050099E">
      <w:pPr>
        <w:tabs>
          <w:tab w:val="left" w:pos="3004"/>
          <w:tab w:val="left" w:pos="5932"/>
        </w:tabs>
        <w:spacing w:before="33" w:line="480" w:lineRule="auto"/>
        <w:ind w:left="113" w:right="1474"/>
        <w:rPr>
          <w:rFonts w:ascii="Times New Roman" w:eastAsia="Times New Roman" w:hAnsi="Times New Roman" w:cs="Times New Roman"/>
          <w:bCs/>
          <w:spacing w:val="-1"/>
          <w:lang w:val="it-IT"/>
        </w:rPr>
      </w:pPr>
    </w:p>
    <w:p w14:paraId="1DAEAA6C" w14:textId="77777777" w:rsidR="0050099E" w:rsidRPr="00C35766" w:rsidRDefault="0050099E" w:rsidP="0050099E">
      <w:pPr>
        <w:tabs>
          <w:tab w:val="left" w:pos="3004"/>
          <w:tab w:val="left" w:pos="5932"/>
        </w:tabs>
        <w:spacing w:before="33" w:line="480" w:lineRule="auto"/>
        <w:ind w:left="113" w:right="1474"/>
        <w:rPr>
          <w:rFonts w:ascii="Times New Roman" w:hAnsi="Times New Roman" w:cs="Times New Roman"/>
          <w:b/>
          <w:lang w:val="it-IT"/>
        </w:rPr>
      </w:pPr>
      <w:r w:rsidRPr="00C35766">
        <w:rPr>
          <w:rFonts w:ascii="Times New Roman" w:eastAsia="Times New Roman" w:hAnsi="Times New Roman" w:cs="Times New Roman"/>
          <w:b/>
          <w:spacing w:val="-1"/>
          <w:lang w:val="it-IT"/>
        </w:rPr>
        <w:t>Non usi la penna pre-riempita se:</w:t>
      </w:r>
    </w:p>
    <w:p w14:paraId="50CCBE7C" w14:textId="77777777" w:rsidR="0050099E" w:rsidRPr="00C35766" w:rsidRDefault="0050099E" w:rsidP="0050099E">
      <w:pPr>
        <w:pStyle w:val="a3"/>
        <w:numPr>
          <w:ilvl w:val="1"/>
          <w:numId w:val="2"/>
        </w:numPr>
        <w:ind w:left="660" w:hanging="660"/>
      </w:pPr>
      <w:r w:rsidRPr="00C35766">
        <w:rPr>
          <w:rFonts w:eastAsia="Times New Roman"/>
          <w:lang w:val="it-IT"/>
        </w:rPr>
        <w:t>è incrinata o danneggiata.</w:t>
      </w:r>
    </w:p>
    <w:p w14:paraId="59B47F4D" w14:textId="77777777" w:rsidR="0050099E" w:rsidRPr="00613304" w:rsidRDefault="0050099E" w:rsidP="0050099E">
      <w:pPr>
        <w:pStyle w:val="a3"/>
        <w:numPr>
          <w:ilvl w:val="1"/>
          <w:numId w:val="2"/>
        </w:numPr>
        <w:ind w:left="660" w:hanging="660"/>
        <w:rPr>
          <w:sz w:val="26"/>
          <w:szCs w:val="26"/>
          <w:lang w:val="es-ES"/>
        </w:rPr>
      </w:pPr>
      <w:r w:rsidRPr="00C35766">
        <w:rPr>
          <w:rFonts w:eastAsia="Times New Roman"/>
          <w:lang w:val="it-IT"/>
        </w:rPr>
        <w:t>è stata superata la data di scadenza.</w:t>
      </w:r>
    </w:p>
    <w:p w14:paraId="7E2D37EB" w14:textId="27C7217E" w:rsidR="00F21E03" w:rsidRPr="00C35766" w:rsidRDefault="00F21E03" w:rsidP="0050099E">
      <w:pPr>
        <w:pStyle w:val="a3"/>
        <w:numPr>
          <w:ilvl w:val="1"/>
          <w:numId w:val="2"/>
        </w:numPr>
        <w:ind w:left="660" w:hanging="660"/>
        <w:rPr>
          <w:sz w:val="26"/>
          <w:szCs w:val="26"/>
          <w:lang w:val="es-ES"/>
        </w:rPr>
      </w:pPr>
      <w:r w:rsidRPr="00F21E03">
        <w:rPr>
          <w:rFonts w:hint="eastAsia"/>
          <w:lang w:val="es-ES"/>
        </w:rPr>
        <w:t>è</w:t>
      </w:r>
      <w:r w:rsidRPr="00F21E03">
        <w:rPr>
          <w:lang w:val="es-ES"/>
        </w:rPr>
        <w:t xml:space="preserve"> caduta su una superficie dura</w:t>
      </w:r>
      <w:r>
        <w:rPr>
          <w:lang w:val="es-ES"/>
        </w:rPr>
        <w:t>.</w:t>
      </w:r>
    </w:p>
    <w:p w14:paraId="7C848828" w14:textId="77777777" w:rsidR="0050099E" w:rsidRPr="00C35766" w:rsidRDefault="0050099E" w:rsidP="0050099E">
      <w:pPr>
        <w:pStyle w:val="a3"/>
        <w:rPr>
          <w:lang w:val="es-ES"/>
        </w:rPr>
      </w:pPr>
    </w:p>
    <w:p w14:paraId="036868E9" w14:textId="77777777" w:rsidR="0050099E" w:rsidRPr="00C35766" w:rsidRDefault="0050099E" w:rsidP="0050099E">
      <w:pPr>
        <w:pStyle w:val="a3"/>
        <w:rPr>
          <w:b/>
          <w:bCs/>
        </w:rPr>
      </w:pPr>
      <w:r w:rsidRPr="00C35766">
        <w:rPr>
          <w:rFonts w:eastAsia="Times New Roman"/>
          <w:b/>
          <w:bCs/>
          <w:lang w:val="it-IT"/>
        </w:rPr>
        <w:t>Non rimuova il cappuccio fino a quando non è pronto per effettuare l'iniezione. Tenga Yuflyma fuori dalla portata dei bambini.</w:t>
      </w:r>
    </w:p>
    <w:tbl>
      <w:tblPr>
        <w:tblStyle w:val="ac"/>
        <w:tblW w:w="0" w:type="auto"/>
        <w:tblLook w:val="04A0" w:firstRow="1" w:lastRow="0" w:firstColumn="1" w:lastColumn="0" w:noHBand="0" w:noVBand="1"/>
      </w:tblPr>
      <w:tblGrid>
        <w:gridCol w:w="9550"/>
      </w:tblGrid>
      <w:tr w:rsidR="0050099E" w:rsidRPr="00494E69" w14:paraId="51B4F214" w14:textId="77777777" w:rsidTr="00933A6C">
        <w:trPr>
          <w:trHeight w:val="2551"/>
        </w:trPr>
        <w:tc>
          <w:tcPr>
            <w:tcW w:w="9550" w:type="dxa"/>
          </w:tcPr>
          <w:p w14:paraId="578D6838" w14:textId="77777777" w:rsidR="0050099E" w:rsidRPr="00C35766" w:rsidRDefault="0050099E" w:rsidP="00933A6C">
            <w:pPr>
              <w:spacing w:line="260" w:lineRule="exact"/>
              <w:rPr>
                <w:rFonts w:ascii="Times New Roman" w:eastAsia="Times New Roman" w:hAnsi="Times New Roman" w:cs="Times New Roman"/>
                <w:b/>
                <w:bCs/>
                <w:spacing w:val="-1"/>
              </w:rPr>
            </w:pPr>
          </w:p>
          <w:p w14:paraId="66E4014F" w14:textId="77777777" w:rsidR="0050099E" w:rsidRPr="00C35766" w:rsidRDefault="0050099E" w:rsidP="00933A6C">
            <w:pPr>
              <w:pStyle w:val="a3"/>
              <w:numPr>
                <w:ilvl w:val="0"/>
                <w:numId w:val="67"/>
              </w:numPr>
              <w:rPr>
                <w:b/>
              </w:rPr>
            </w:pPr>
            <w:r w:rsidRPr="00C35766">
              <w:rPr>
                <w:rFonts w:eastAsia="Times New Roman"/>
                <w:b/>
                <w:bCs/>
                <w:lang w:val="it-IT"/>
              </w:rPr>
              <w:t>Prepari i materiali per l’iniezione</w:t>
            </w:r>
          </w:p>
          <w:p w14:paraId="54133327" w14:textId="77777777" w:rsidR="0050099E" w:rsidRPr="00C35766" w:rsidRDefault="0050099E" w:rsidP="00933A6C">
            <w:pPr>
              <w:pStyle w:val="a3"/>
              <w:numPr>
                <w:ilvl w:val="0"/>
                <w:numId w:val="0"/>
              </w:numPr>
              <w:ind w:left="470"/>
              <w:rPr>
                <w:b/>
              </w:rPr>
            </w:pPr>
          </w:p>
          <w:p w14:paraId="7F9E37E1" w14:textId="77777777" w:rsidR="0050099E" w:rsidRPr="00C35766" w:rsidRDefault="0050099E" w:rsidP="00933A6C">
            <w:pPr>
              <w:pStyle w:val="a3"/>
              <w:ind w:leftChars="50" w:left="110"/>
              <w:rPr>
                <w:lang w:val="es-ES" w:eastAsia="ko-KR"/>
              </w:rPr>
            </w:pPr>
            <w:r w:rsidRPr="00C35766">
              <w:rPr>
                <w:rFonts w:eastAsia="Times New Roman"/>
                <w:b/>
                <w:bCs/>
                <w:lang w:val="it-IT" w:eastAsia="ko-KR"/>
              </w:rPr>
              <w:t xml:space="preserve">    a.</w:t>
            </w:r>
            <w:r w:rsidRPr="00C35766">
              <w:rPr>
                <w:rFonts w:eastAsia="Times New Roman"/>
                <w:lang w:val="it-IT" w:eastAsia="ko-KR"/>
              </w:rPr>
              <w:t xml:space="preserve"> Prepari una superficie piana pulita, ad esempio un tavolo o ripiano, in un luogo ben illuminato.</w:t>
            </w:r>
          </w:p>
          <w:p w14:paraId="73D2B556" w14:textId="77777777" w:rsidR="0050099E" w:rsidRPr="00C35766" w:rsidRDefault="0050099E" w:rsidP="00933A6C">
            <w:pPr>
              <w:pStyle w:val="a3"/>
              <w:ind w:leftChars="50" w:left="110"/>
              <w:rPr>
                <w:lang w:val="pt-BR" w:eastAsia="ko-KR"/>
              </w:rPr>
            </w:pPr>
            <w:r w:rsidRPr="00C35766">
              <w:rPr>
                <w:rFonts w:eastAsia="Times New Roman"/>
                <w:b/>
                <w:bCs/>
                <w:lang w:val="it-IT" w:eastAsia="ko-KR"/>
              </w:rPr>
              <w:t xml:space="preserve">    b.</w:t>
            </w:r>
            <w:r w:rsidRPr="00C35766">
              <w:rPr>
                <w:rFonts w:eastAsia="Times New Roman"/>
                <w:lang w:val="it-IT" w:eastAsia="ko-KR"/>
              </w:rPr>
              <w:t xml:space="preserve"> Rimuova 1 penna pre-riempita dalla scatola conservata in frigorifero.</w:t>
            </w:r>
          </w:p>
          <w:p w14:paraId="75839528" w14:textId="77777777" w:rsidR="0050099E" w:rsidRPr="00C35766" w:rsidRDefault="0050099E" w:rsidP="00933A6C">
            <w:pPr>
              <w:pStyle w:val="a3"/>
              <w:ind w:leftChars="50" w:left="110"/>
              <w:rPr>
                <w:lang w:val="pt-BR" w:eastAsia="ko-KR"/>
              </w:rPr>
            </w:pPr>
            <w:r w:rsidRPr="00C35766">
              <w:rPr>
                <w:rFonts w:eastAsia="Times New Roman"/>
                <w:b/>
                <w:bCs/>
                <w:lang w:val="it-IT" w:eastAsia="ko-KR"/>
              </w:rPr>
              <w:t xml:space="preserve">    c.</w:t>
            </w:r>
            <w:r w:rsidRPr="00C35766">
              <w:rPr>
                <w:rFonts w:eastAsia="Times New Roman"/>
                <w:lang w:val="it-IT" w:eastAsia="ko-KR"/>
              </w:rPr>
              <w:t xml:space="preserve"> Si assicuri di avere i seguenti materiali:</w:t>
            </w:r>
          </w:p>
          <w:p w14:paraId="53FE158B" w14:textId="77777777" w:rsidR="0050099E" w:rsidRPr="00C35766" w:rsidRDefault="0050099E" w:rsidP="00933A6C">
            <w:pPr>
              <w:pStyle w:val="a3"/>
              <w:ind w:leftChars="402" w:left="884"/>
              <w:rPr>
                <w:lang w:val="pt-BR" w:eastAsia="ko-KR"/>
              </w:rPr>
            </w:pPr>
            <w:r w:rsidRPr="00C35766">
              <w:rPr>
                <w:rFonts w:eastAsia="Times New Roman"/>
                <w:lang w:val="it-IT" w:eastAsia="ko-KR"/>
              </w:rPr>
              <w:t>- Penna pre-riempita</w:t>
            </w:r>
          </w:p>
          <w:p w14:paraId="558D52A2" w14:textId="77777777" w:rsidR="0050099E" w:rsidRPr="00C35766" w:rsidRDefault="0050099E" w:rsidP="00933A6C">
            <w:pPr>
              <w:pStyle w:val="a3"/>
              <w:ind w:leftChars="402" w:left="1659" w:hanging="775"/>
              <w:rPr>
                <w:lang w:val="pt-BR" w:eastAsia="ko-KR"/>
              </w:rPr>
            </w:pPr>
            <w:r w:rsidRPr="00C35766">
              <w:rPr>
                <w:rFonts w:eastAsia="Times New Roman"/>
                <w:lang w:val="it-IT" w:eastAsia="ko-KR"/>
              </w:rPr>
              <w:t>- 1 tampone imbevuto di alcol</w:t>
            </w:r>
          </w:p>
          <w:p w14:paraId="29A7E23A" w14:textId="77777777" w:rsidR="0050099E" w:rsidRPr="00C35766" w:rsidRDefault="0050099E" w:rsidP="00933A6C">
            <w:pPr>
              <w:pStyle w:val="a3"/>
              <w:ind w:leftChars="402" w:left="1659" w:hanging="775"/>
              <w:rPr>
                <w:lang w:val="pt-BR" w:eastAsia="ko-KR"/>
              </w:rPr>
            </w:pPr>
          </w:p>
          <w:p w14:paraId="289E8897" w14:textId="77777777" w:rsidR="0050099E" w:rsidRPr="00C35766" w:rsidRDefault="0050099E" w:rsidP="00933A6C">
            <w:pPr>
              <w:pStyle w:val="a3"/>
              <w:ind w:left="720"/>
              <w:rPr>
                <w:b/>
                <w:lang w:val="pt-BR" w:eastAsia="ko-KR"/>
              </w:rPr>
            </w:pPr>
            <w:r w:rsidRPr="00C35766">
              <w:rPr>
                <w:rFonts w:eastAsia="Times New Roman"/>
                <w:b/>
                <w:bCs/>
                <w:lang w:val="it-IT" w:eastAsia="ko-KR"/>
              </w:rPr>
              <w:t>Non compreso nella scatola:</w:t>
            </w:r>
          </w:p>
          <w:p w14:paraId="64EAC133" w14:textId="77777777" w:rsidR="0050099E" w:rsidRPr="00C35766" w:rsidRDefault="0050099E" w:rsidP="00933A6C">
            <w:pPr>
              <w:pStyle w:val="a3"/>
              <w:ind w:left="720"/>
              <w:rPr>
                <w:lang w:val="pt-BR" w:eastAsia="ko-KR"/>
              </w:rPr>
            </w:pPr>
            <w:r w:rsidRPr="00C35766">
              <w:rPr>
                <w:rFonts w:eastAsia="Times New Roman"/>
                <w:lang w:val="it-IT" w:eastAsia="ko-KR"/>
              </w:rPr>
              <w:t>- batuffolo di cotone idrofilo o garza</w:t>
            </w:r>
          </w:p>
          <w:p w14:paraId="1D02B226" w14:textId="77777777" w:rsidR="0050099E" w:rsidRPr="00C35766" w:rsidRDefault="0050099E" w:rsidP="00933A6C">
            <w:pPr>
              <w:pStyle w:val="a3"/>
              <w:ind w:left="720"/>
              <w:rPr>
                <w:lang w:val="pt-BR" w:eastAsia="ko-KR"/>
              </w:rPr>
            </w:pPr>
            <w:r w:rsidRPr="00C35766">
              <w:rPr>
                <w:rFonts w:eastAsia="Times New Roman"/>
                <w:lang w:val="it-IT" w:eastAsia="ko-KR"/>
              </w:rPr>
              <w:t>- cerotto adesivo</w:t>
            </w:r>
          </w:p>
          <w:p w14:paraId="0B790F82" w14:textId="77777777" w:rsidR="0050099E" w:rsidRPr="00C35766" w:rsidRDefault="0050099E" w:rsidP="00933A6C">
            <w:pPr>
              <w:pStyle w:val="a3"/>
              <w:ind w:left="720"/>
              <w:rPr>
                <w:lang w:val="pt-BR" w:eastAsia="ko-KR"/>
              </w:rPr>
            </w:pPr>
            <w:r w:rsidRPr="00C35766">
              <w:rPr>
                <w:rFonts w:eastAsia="Times New Roman"/>
                <w:lang w:val="it-IT" w:eastAsia="ko-KR"/>
              </w:rPr>
              <w:t>- contenitore per smaltimento di materiale tagliente</w:t>
            </w:r>
          </w:p>
          <w:p w14:paraId="3E54AE71" w14:textId="77777777" w:rsidR="0050099E" w:rsidRPr="00C35766" w:rsidRDefault="0050099E" w:rsidP="00933A6C">
            <w:pPr>
              <w:pStyle w:val="a3"/>
              <w:ind w:leftChars="402" w:left="1659" w:hanging="775"/>
              <w:rPr>
                <w:sz w:val="26"/>
                <w:szCs w:val="26"/>
                <w:lang w:val="pt-BR"/>
              </w:rPr>
            </w:pPr>
          </w:p>
        </w:tc>
      </w:tr>
      <w:tr w:rsidR="0050099E" w:rsidRPr="002A37A2" w14:paraId="2A372899" w14:textId="77777777" w:rsidTr="00933A6C">
        <w:trPr>
          <w:trHeight w:val="5025"/>
        </w:trPr>
        <w:tc>
          <w:tcPr>
            <w:tcW w:w="9550" w:type="dxa"/>
          </w:tcPr>
          <w:p w14:paraId="25B7B89E" w14:textId="77777777" w:rsidR="0050099E" w:rsidRPr="00C35766" w:rsidRDefault="0050099E" w:rsidP="00933A6C">
            <w:pPr>
              <w:spacing w:line="260" w:lineRule="exact"/>
              <w:rPr>
                <w:rFonts w:ascii="Times New Roman" w:hAnsi="Times New Roman" w:cs="Times New Roman"/>
                <w:sz w:val="26"/>
                <w:szCs w:val="26"/>
                <w:lang w:val="pt-BR"/>
              </w:rPr>
            </w:pPr>
            <w:r w:rsidRPr="00C35766">
              <w:rPr>
                <w:rFonts w:ascii="Times New Roman" w:hAnsi="Times New Roman" w:cs="Times New Roman"/>
                <w:noProof/>
                <w:sz w:val="26"/>
                <w:szCs w:val="26"/>
                <w:lang w:eastAsia="ko-KR"/>
              </w:rPr>
              <w:lastRenderedPageBreak/>
              <mc:AlternateContent>
                <mc:Choice Requires="wpg">
                  <w:drawing>
                    <wp:anchor distT="0" distB="0" distL="114300" distR="114300" simplePos="0" relativeHeight="251658332" behindDoc="0" locked="0" layoutInCell="1" allowOverlap="1" wp14:anchorId="62A313A1" wp14:editId="74199894">
                      <wp:simplePos x="0" y="0"/>
                      <wp:positionH relativeFrom="column">
                        <wp:posOffset>64770</wp:posOffset>
                      </wp:positionH>
                      <wp:positionV relativeFrom="paragraph">
                        <wp:posOffset>101600</wp:posOffset>
                      </wp:positionV>
                      <wp:extent cx="1995170" cy="2701925"/>
                      <wp:effectExtent l="0" t="0" r="5080" b="3175"/>
                      <wp:wrapSquare wrapText="bothSides"/>
                      <wp:docPr id="3874" name="그룹 3874"/>
                      <wp:cNvGraphicFramePr/>
                      <a:graphic xmlns:a="http://schemas.openxmlformats.org/drawingml/2006/main">
                        <a:graphicData uri="http://schemas.microsoft.com/office/word/2010/wordprocessingGroup">
                          <wpg:wgp>
                            <wpg:cNvGrpSpPr/>
                            <wpg:grpSpPr>
                              <a:xfrm>
                                <a:off x="0" y="0"/>
                                <a:ext cx="1995170" cy="2701925"/>
                                <a:chOff x="17084" y="0"/>
                                <a:chExt cx="1995292" cy="2701925"/>
                              </a:xfrm>
                            </wpg:grpSpPr>
                            <wpg:grpSp>
                              <wpg:cNvPr id="3875" name="그룹 3875"/>
                              <wpg:cNvGrpSpPr/>
                              <wpg:grpSpPr>
                                <a:xfrm>
                                  <a:off x="17084" y="0"/>
                                  <a:ext cx="1995292" cy="2701925"/>
                                  <a:chOff x="17084" y="0"/>
                                  <a:chExt cx="1995292" cy="2701925"/>
                                </a:xfrm>
                              </wpg:grpSpPr>
                              <pic:pic xmlns:pic="http://schemas.openxmlformats.org/drawingml/2006/picture">
                                <pic:nvPicPr>
                                  <pic:cNvPr id="3876" name="그림 3876"/>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bwMode="auto">
                                  <a:xfrm>
                                    <a:off x="17084" y="0"/>
                                    <a:ext cx="1995292" cy="2491740"/>
                                  </a:xfrm>
                                  <a:prstGeom prst="rect">
                                    <a:avLst/>
                                  </a:prstGeom>
                                  <a:noFill/>
                                  <a:ln>
                                    <a:noFill/>
                                  </a:ln>
                                </pic:spPr>
                              </pic:pic>
                              <wps:wsp>
                                <wps:cNvPr id="3877" name="Text Box 3877"/>
                                <wps:cNvSpPr txBox="1"/>
                                <wps:spPr>
                                  <a:xfrm>
                                    <a:off x="1292286" y="2555875"/>
                                    <a:ext cx="720090" cy="146050"/>
                                  </a:xfrm>
                                  <a:prstGeom prst="rect">
                                    <a:avLst/>
                                  </a:prstGeom>
                                  <a:solidFill>
                                    <a:prstClr val="white"/>
                                  </a:solidFill>
                                  <a:ln>
                                    <a:noFill/>
                                  </a:ln>
                                </wps:spPr>
                                <wps:txbx>
                                  <w:txbxContent>
                                    <w:p w14:paraId="14153DED" w14:textId="06F30255"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78" name="Text Box 3878"/>
                              <wps:cNvSpPr txBox="1"/>
                              <wps:spPr>
                                <a:xfrm>
                                  <a:off x="914400" y="1348740"/>
                                  <a:ext cx="930275" cy="3416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4C8DA0" w14:textId="77777777" w:rsidR="00D97785" w:rsidRPr="004F566E" w:rsidRDefault="00D97785" w:rsidP="0050099E">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2A313A1" id="그룹 3874" o:spid="_x0000_s1286" style="position:absolute;margin-left:5.1pt;margin-top:8pt;width:157.1pt;height:212.75pt;z-index:251658332;mso-width-relative:margin;mso-height-relative:margin" coordorigin="170" coordsize="19952,2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">
                      <v:group id="그룹 3875" o:spid="_x0000_s1287" style="position:absolute;left:170;width:19953;height:27019" coordorigin="170" coordsize="19952,2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">
                        <v:shape id="그림 3876" o:spid="_x0000_s1288"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">
                          <v:imagedata r:id="rId140" o:title=""/>
                        </v:shape>
                        <v:shape id="Text Box 3877" o:spid="_x0000_s1289" type="#_x0000_t202" style="position:absolute;left:12922;top:25558;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" stroked="f">
                          <v:textbox style="mso-fit-shape-to-text:t" inset="0,0,0,0">
                            <w:txbxContent>
                              <w:p w14:paraId="14153DED" w14:textId="06F30255"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w:t>
                                </w:r>
                                <w:r>
                                  <w:rPr>
                                    <w:rFonts w:ascii="Times New Roman" w:hAnsi="Times New Roman" w:cs="Times New Roman"/>
                                  </w:rPr>
                                  <w:t>B</w:t>
                                </w:r>
                              </w:p>
                            </w:txbxContent>
                          </v:textbox>
                        </v:shape>
                      </v:group>
                      <v:shape id="Text Box 3878" o:spid="_x0000_s1290" type="#_x0000_t202" style="position:absolute;left:9144;top:13487;width:9302;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" fillcolor="white [3212]" stroked="f" strokeweight=".5pt">
                        <v:textbox inset="0,0,0,0">
                          <w:txbxContent>
                            <w:p w14:paraId="1D4C8DA0" w14:textId="77777777" w:rsidR="00D97785" w:rsidRPr="004F566E" w:rsidRDefault="00D97785" w:rsidP="0050099E">
                              <w:pPr>
                                <w:rPr>
                                  <w:rFonts w:asciiTheme="majorBidi" w:hAnsiTheme="majorBidi" w:cstheme="majorBidi"/>
                                  <w:b/>
                                  <w:bCs/>
                                  <w:sz w:val="16"/>
                                  <w:szCs w:val="14"/>
                                </w:rPr>
                              </w:pPr>
                              <w:r w:rsidRPr="004F566E">
                                <w:rPr>
                                  <w:rFonts w:ascii="Times New Roman" w:eastAsia="Times New Roman" w:hAnsi="Times New Roman" w:cs="Times New Roman"/>
                                  <w:b/>
                                  <w:bCs/>
                                  <w:sz w:val="16"/>
                                  <w:szCs w:val="14"/>
                                  <w:lang w:val="it-IT"/>
                                </w:rPr>
                                <w:t xml:space="preserve">Scad. </w:t>
                              </w:r>
                              <w:r w:rsidRPr="004F566E">
                                <w:rPr>
                                  <w:rFonts w:ascii="Times New Roman" w:eastAsia="Times New Roman" w:hAnsi="Times New Roman" w:cs="Times New Roman"/>
                                  <w:sz w:val="16"/>
                                  <w:szCs w:val="14"/>
                                  <w:lang w:val="it-IT"/>
                                </w:rPr>
                                <w:t>MESE/ANNO</w:t>
                              </w:r>
                            </w:p>
                          </w:txbxContent>
                        </v:textbox>
                      </v:shape>
                      <w10:wrap type="square"/>
                    </v:group>
                  </w:pict>
                </mc:Fallback>
              </mc:AlternateContent>
            </w:r>
          </w:p>
          <w:p w14:paraId="14324697" w14:textId="254A0DEA" w:rsidR="0050099E" w:rsidRPr="00C35766" w:rsidRDefault="00E67CB3" w:rsidP="00933A6C">
            <w:pPr>
              <w:pStyle w:val="a3"/>
              <w:numPr>
                <w:ilvl w:val="0"/>
                <w:numId w:val="67"/>
              </w:numPr>
              <w:rPr>
                <w:b/>
              </w:rPr>
            </w:pPr>
            <w:r>
              <w:rPr>
                <w:rFonts w:eastAsia="Times New Roman"/>
                <w:b/>
                <w:bCs/>
                <w:lang w:val="it-IT"/>
              </w:rPr>
              <w:t xml:space="preserve"> </w:t>
            </w:r>
            <w:r w:rsidR="0050099E" w:rsidRPr="00C35766">
              <w:rPr>
                <w:rFonts w:eastAsia="Times New Roman"/>
                <w:b/>
                <w:bCs/>
                <w:lang w:val="it-IT"/>
              </w:rPr>
              <w:t>Ispezioni la penna pre-riempita</w:t>
            </w:r>
          </w:p>
          <w:p w14:paraId="67CAC361" w14:textId="77777777" w:rsidR="0050099E" w:rsidRPr="00C35766" w:rsidRDefault="0050099E" w:rsidP="00933A6C">
            <w:pPr>
              <w:pStyle w:val="a3"/>
              <w:numPr>
                <w:ilvl w:val="0"/>
                <w:numId w:val="0"/>
              </w:numPr>
              <w:ind w:left="471"/>
              <w:rPr>
                <w:b/>
              </w:rPr>
            </w:pPr>
          </w:p>
          <w:p w14:paraId="68B646BD" w14:textId="77777777" w:rsidR="0050099E" w:rsidRPr="00C35766" w:rsidRDefault="0050099E" w:rsidP="00933A6C">
            <w:pPr>
              <w:pStyle w:val="a3"/>
              <w:rPr>
                <w:rFonts w:eastAsia="Times New Roman"/>
                <w:b/>
                <w:bCs/>
                <w:lang w:val="it-IT" w:eastAsia="ko-KR"/>
              </w:rPr>
            </w:pPr>
            <w:r w:rsidRPr="00C35766">
              <w:rPr>
                <w:rFonts w:eastAsia="Times New Roman"/>
                <w:b/>
                <w:bCs/>
                <w:lang w:val="it-IT" w:eastAsia="ko-KR"/>
              </w:rPr>
              <w:t>a.</w:t>
            </w:r>
            <w:r w:rsidRPr="00C35766">
              <w:rPr>
                <w:rFonts w:eastAsia="Times New Roman"/>
                <w:lang w:val="it-IT" w:eastAsia="ko-KR"/>
              </w:rPr>
              <w:t xml:space="preserve"> Si assicuri di avere il medicinale (Yuflyma) e il dosaggio corretti</w:t>
            </w:r>
            <w:r w:rsidRPr="00C35766">
              <w:rPr>
                <w:rFonts w:eastAsia="Times New Roman"/>
                <w:b/>
                <w:bCs/>
                <w:lang w:val="it-IT" w:eastAsia="ko-KR"/>
              </w:rPr>
              <w:t xml:space="preserve">     </w:t>
            </w:r>
          </w:p>
          <w:p w14:paraId="33C4AD15" w14:textId="77777777" w:rsidR="0050099E" w:rsidRPr="00C35766" w:rsidRDefault="0050099E" w:rsidP="00933A6C">
            <w:pPr>
              <w:pStyle w:val="a3"/>
              <w:rPr>
                <w:lang w:val="it-IT"/>
              </w:rPr>
            </w:pPr>
            <w:r w:rsidRPr="00C35766">
              <w:rPr>
                <w:rFonts w:eastAsia="Times New Roman"/>
                <w:b/>
                <w:bCs/>
                <w:lang w:val="it-IT" w:eastAsia="ko-KR"/>
              </w:rPr>
              <w:t>b.</w:t>
            </w:r>
            <w:r w:rsidRPr="00C35766">
              <w:rPr>
                <w:rFonts w:eastAsia="Times New Roman"/>
                <w:lang w:val="it-IT" w:eastAsia="ko-KR"/>
              </w:rPr>
              <w:t xml:space="preserve"> Guardi la penna pre-riempita e si accerti che non sia incrinata o danneggiata. </w:t>
            </w:r>
          </w:p>
          <w:p w14:paraId="1B30D21A" w14:textId="77777777" w:rsidR="0050099E" w:rsidRPr="00C35766" w:rsidRDefault="0050099E" w:rsidP="00933A6C">
            <w:pPr>
              <w:spacing w:line="260" w:lineRule="exact"/>
              <w:rPr>
                <w:rFonts w:ascii="Times New Roman" w:hAnsi="Times New Roman" w:cs="Times New Roman"/>
                <w:spacing w:val="-1"/>
                <w:lang w:val="it-IT"/>
              </w:rPr>
            </w:pPr>
            <w:r w:rsidRPr="00C35766">
              <w:rPr>
                <w:rFonts w:ascii="Times New Roman" w:eastAsia="Times New Roman" w:hAnsi="Times New Roman" w:cs="Times New Roman"/>
                <w:b/>
                <w:bCs/>
                <w:spacing w:val="-1"/>
                <w:lang w:val="it-IT" w:eastAsia="ko-KR"/>
              </w:rPr>
              <w:t>c</w:t>
            </w:r>
            <w:r w:rsidRPr="00C35766">
              <w:rPr>
                <w:rFonts w:ascii="Times New Roman" w:eastAsia="Calibri" w:hAnsi="Times New Roman" w:cs="Times New Roman"/>
                <w:b/>
                <w:bCs/>
                <w:spacing w:val="-1"/>
                <w:lang w:val="it-IT" w:eastAsia="ko-KR"/>
              </w:rPr>
              <w:t>.</w:t>
            </w:r>
            <w:r w:rsidRPr="00C35766">
              <w:rPr>
                <w:rFonts w:ascii="Times New Roman" w:eastAsia="Calibri" w:hAnsi="Times New Roman" w:cs="Times New Roman"/>
                <w:spacing w:val="-1"/>
                <w:lang w:val="it-IT" w:eastAsia="ko-KR"/>
              </w:rPr>
              <w:t xml:space="preserve"> </w:t>
            </w:r>
            <w:r w:rsidRPr="00C35766">
              <w:rPr>
                <w:rFonts w:ascii="Times New Roman" w:eastAsia="Times New Roman" w:hAnsi="Times New Roman" w:cs="Times New Roman"/>
                <w:spacing w:val="-1"/>
                <w:lang w:val="it-IT" w:eastAsia="ko-KR"/>
              </w:rPr>
              <w:t>Controlli la data di scadenza sull’etichetta della penna pre-riempita</w:t>
            </w:r>
          </w:p>
          <w:p w14:paraId="3AF8F042" w14:textId="77777777" w:rsidR="0050099E" w:rsidRPr="00C35766" w:rsidRDefault="0050099E" w:rsidP="00933A6C">
            <w:pPr>
              <w:pStyle w:val="a3"/>
              <w:numPr>
                <w:ilvl w:val="0"/>
                <w:numId w:val="0"/>
              </w:numPr>
              <w:ind w:left="1384"/>
              <w:rPr>
                <w:lang w:val="it-IT"/>
              </w:rPr>
            </w:pPr>
          </w:p>
          <w:p w14:paraId="7B25F262" w14:textId="77777777" w:rsidR="0050099E" w:rsidRPr="00C35766" w:rsidRDefault="0050099E" w:rsidP="00933A6C">
            <w:pPr>
              <w:pStyle w:val="a3"/>
              <w:numPr>
                <w:ilvl w:val="0"/>
                <w:numId w:val="0"/>
              </w:numPr>
              <w:ind w:left="984"/>
              <w:rPr>
                <w:b/>
                <w:lang w:val="it-IT"/>
              </w:rPr>
            </w:pPr>
          </w:p>
          <w:p w14:paraId="79D094B5" w14:textId="77777777" w:rsidR="0050099E" w:rsidRPr="00C35766" w:rsidRDefault="0050099E" w:rsidP="00933A6C">
            <w:pPr>
              <w:pStyle w:val="a3"/>
              <w:numPr>
                <w:ilvl w:val="0"/>
                <w:numId w:val="0"/>
              </w:numPr>
              <w:ind w:left="984"/>
              <w:rPr>
                <w:lang w:val="it-IT"/>
              </w:rPr>
            </w:pPr>
            <w:r w:rsidRPr="00C35766">
              <w:rPr>
                <w:rFonts w:eastAsia="Times New Roman"/>
                <w:b/>
                <w:bCs/>
                <w:lang w:val="it-IT" w:eastAsia="ko-KR"/>
              </w:rPr>
              <w:t>Non</w:t>
            </w:r>
            <w:r w:rsidRPr="00C35766">
              <w:rPr>
                <w:rFonts w:eastAsia="Times New Roman"/>
                <w:lang w:val="it-IT" w:eastAsia="ko-KR"/>
              </w:rPr>
              <w:t xml:space="preserve"> usi la penna pre-riempita se:</w:t>
            </w:r>
          </w:p>
          <w:p w14:paraId="51E5CE60" w14:textId="103D9654" w:rsidR="0050099E" w:rsidRPr="00C35766" w:rsidRDefault="0050099E" w:rsidP="00933A6C">
            <w:pPr>
              <w:pStyle w:val="a3"/>
              <w:numPr>
                <w:ilvl w:val="0"/>
                <w:numId w:val="17"/>
              </w:numPr>
              <w:rPr>
                <w:lang w:eastAsia="ko-KR"/>
              </w:rPr>
            </w:pPr>
            <w:r w:rsidRPr="00C35766">
              <w:rPr>
                <w:rFonts w:eastAsia="Times New Roman"/>
                <w:lang w:val="it-IT" w:eastAsia="ko-KR"/>
              </w:rPr>
              <w:t xml:space="preserve">è incrinata o danneggiata </w:t>
            </w:r>
          </w:p>
          <w:p w14:paraId="3F3A3DC8" w14:textId="77777777" w:rsidR="0050099E" w:rsidRPr="00613304" w:rsidRDefault="0050099E" w:rsidP="00933A6C">
            <w:pPr>
              <w:pStyle w:val="a3"/>
              <w:numPr>
                <w:ilvl w:val="0"/>
                <w:numId w:val="17"/>
              </w:numPr>
              <w:rPr>
                <w:sz w:val="26"/>
                <w:szCs w:val="26"/>
                <w:lang w:val="es-ES"/>
              </w:rPr>
            </w:pPr>
            <w:r w:rsidRPr="00C35766">
              <w:rPr>
                <w:rFonts w:eastAsia="Times New Roman"/>
                <w:lang w:val="it-IT" w:eastAsia="ko-KR"/>
              </w:rPr>
              <w:t xml:space="preserve">è stata superata la data di scadenza. </w:t>
            </w:r>
          </w:p>
          <w:p w14:paraId="782B24FE" w14:textId="3860FBCC" w:rsidR="00F21E03" w:rsidRPr="00C35766" w:rsidRDefault="00F21E03" w:rsidP="00933A6C">
            <w:pPr>
              <w:pStyle w:val="a3"/>
              <w:numPr>
                <w:ilvl w:val="0"/>
                <w:numId w:val="17"/>
              </w:numPr>
              <w:rPr>
                <w:sz w:val="26"/>
                <w:szCs w:val="26"/>
                <w:lang w:val="es-ES"/>
              </w:rPr>
            </w:pPr>
            <w:r w:rsidRPr="00F21E03">
              <w:rPr>
                <w:rFonts w:hint="eastAsia"/>
                <w:lang w:val="es-ES"/>
              </w:rPr>
              <w:t>è</w:t>
            </w:r>
            <w:r w:rsidRPr="00F21E03">
              <w:rPr>
                <w:lang w:val="es-ES"/>
              </w:rPr>
              <w:t xml:space="preserve"> caduta su una superficie dura</w:t>
            </w:r>
            <w:r>
              <w:rPr>
                <w:lang w:val="es-ES"/>
              </w:rPr>
              <w:t>.</w:t>
            </w:r>
          </w:p>
        </w:tc>
      </w:tr>
      <w:tr w:rsidR="0050099E" w:rsidRPr="00C35766" w14:paraId="44C51E5E" w14:textId="77777777" w:rsidTr="00933A6C">
        <w:trPr>
          <w:trHeight w:val="4969"/>
        </w:trPr>
        <w:tc>
          <w:tcPr>
            <w:tcW w:w="9550" w:type="dxa"/>
          </w:tcPr>
          <w:p w14:paraId="211D4708" w14:textId="77777777" w:rsidR="0050099E" w:rsidRPr="00C35766" w:rsidRDefault="0050099E" w:rsidP="00933A6C">
            <w:pPr>
              <w:spacing w:line="260" w:lineRule="exact"/>
              <w:rPr>
                <w:rFonts w:ascii="Times New Roman" w:eastAsia="Times New Roman" w:hAnsi="Times New Roman" w:cs="Times New Roman"/>
                <w:b/>
                <w:bCs/>
                <w:spacing w:val="-1"/>
                <w:lang w:val="es-ES"/>
              </w:rPr>
            </w:pPr>
          </w:p>
          <w:p w14:paraId="7B3AC263" w14:textId="77777777" w:rsidR="0050099E" w:rsidRPr="00C35766" w:rsidRDefault="0050099E" w:rsidP="00933A6C">
            <w:pPr>
              <w:spacing w:line="260" w:lineRule="exact"/>
              <w:rPr>
                <w:rFonts w:ascii="Times New Roman" w:hAnsi="Times New Roman" w:cs="Times New Roman"/>
                <w:sz w:val="26"/>
                <w:szCs w:val="26"/>
                <w:lang w:val="es-ES"/>
              </w:rPr>
            </w:pPr>
          </w:p>
          <w:p w14:paraId="184050EB" w14:textId="77777777" w:rsidR="0050099E" w:rsidRPr="00C35766" w:rsidRDefault="0050099E" w:rsidP="00933A6C">
            <w:pPr>
              <w:spacing w:line="260" w:lineRule="exact"/>
              <w:rPr>
                <w:rFonts w:ascii="Times New Roman" w:hAnsi="Times New Roman" w:cs="Times New Roman"/>
                <w:sz w:val="26"/>
                <w:szCs w:val="26"/>
                <w:lang w:val="es-ES"/>
              </w:rPr>
            </w:pPr>
            <w:r w:rsidRPr="00C35766">
              <w:rPr>
                <w:rFonts w:ascii="Times New Roman" w:hAnsi="Times New Roman" w:cs="Times New Roman"/>
                <w:noProof/>
                <w:sz w:val="26"/>
                <w:szCs w:val="26"/>
                <w:lang w:eastAsia="ko-KR"/>
              </w:rPr>
              <mc:AlternateContent>
                <mc:Choice Requires="wpg">
                  <w:drawing>
                    <wp:anchor distT="0" distB="0" distL="114300" distR="114300" simplePos="0" relativeHeight="251658304" behindDoc="0" locked="0" layoutInCell="1" allowOverlap="1" wp14:anchorId="7CAEB767" wp14:editId="14FF4B4C">
                      <wp:simplePos x="0" y="0"/>
                      <wp:positionH relativeFrom="column">
                        <wp:posOffset>64770</wp:posOffset>
                      </wp:positionH>
                      <wp:positionV relativeFrom="paragraph">
                        <wp:posOffset>22225</wp:posOffset>
                      </wp:positionV>
                      <wp:extent cx="2066925" cy="2740025"/>
                      <wp:effectExtent l="0" t="0" r="9525" b="3175"/>
                      <wp:wrapSquare wrapText="bothSides"/>
                      <wp:docPr id="3879" name="그룹 3879"/>
                      <wp:cNvGraphicFramePr/>
                      <a:graphic xmlns:a="http://schemas.openxmlformats.org/drawingml/2006/main">
                        <a:graphicData uri="http://schemas.microsoft.com/office/word/2010/wordprocessingGroup">
                          <wpg:wgp>
                            <wpg:cNvGrpSpPr/>
                            <wpg:grpSpPr>
                              <a:xfrm>
                                <a:off x="0" y="0"/>
                                <a:ext cx="2066925" cy="2740025"/>
                                <a:chOff x="17352" y="0"/>
                                <a:chExt cx="2067353" cy="2740025"/>
                              </a:xfrm>
                            </wpg:grpSpPr>
                            <pic:pic xmlns:pic="http://schemas.openxmlformats.org/drawingml/2006/picture">
                              <pic:nvPicPr>
                                <pic:cNvPr id="3880" name="그림 3880"/>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bwMode="auto">
                                <a:xfrm>
                                  <a:off x="17352" y="0"/>
                                  <a:ext cx="2046190" cy="2531110"/>
                                </a:xfrm>
                                <a:prstGeom prst="rect">
                                  <a:avLst/>
                                </a:prstGeom>
                                <a:noFill/>
                                <a:ln>
                                  <a:noFill/>
                                </a:ln>
                              </pic:spPr>
                            </pic:pic>
                            <wps:wsp>
                              <wps:cNvPr id="3883" name="Text Box 3883"/>
                              <wps:cNvSpPr txBox="1"/>
                              <wps:spPr>
                                <a:xfrm>
                                  <a:off x="1364615" y="2593975"/>
                                  <a:ext cx="720090" cy="146050"/>
                                </a:xfrm>
                                <a:prstGeom prst="rect">
                                  <a:avLst/>
                                </a:prstGeom>
                                <a:solidFill>
                                  <a:prstClr val="white"/>
                                </a:solidFill>
                                <a:ln>
                                  <a:noFill/>
                                </a:ln>
                              </wps:spPr>
                              <wps:txbx>
                                <w:txbxContent>
                                  <w:p w14:paraId="20BD3A9A" w14:textId="19650A09" w:rsidR="00D97785" w:rsidRDefault="00D97785" w:rsidP="0050099E">
                                    <w:pPr>
                                      <w:pStyle w:val="af0"/>
                                      <w:jc w:val="right"/>
                                      <w:rPr>
                                        <w:rFonts w:ascii="Times New Roman" w:hAnsi="Times New Roman" w:cs="Times New Roman"/>
                                      </w:rPr>
                                    </w:pPr>
                                    <w:r>
                                      <w:rPr>
                                        <w:rFonts w:ascii="Times New Roman" w:eastAsia="Times New Roman" w:hAnsi="Times New Roman" w:cs="Times New Roman"/>
                                        <w:lang w:val="it-IT"/>
                                      </w:rPr>
                                      <w:t>Figura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CAEB767" id="그룹 3879" o:spid="_x0000_s1291" style="position:absolute;margin-left:5.1pt;margin-top:1.75pt;width:162.75pt;height:215.75pt;z-index:251658304;mso-width-relative:margin;mso-height-relative:margin" coordorigin="173" coordsize="20673,2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">
                      <v:shape id="그림 3880" o:spid="_x0000_s1292" type="#_x0000_t75" style="position:absolute;left:173;width:20462;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">
                        <v:imagedata r:id="rId142" o:title=""/>
                      </v:shape>
                      <v:shape id="_x0000_s1293" type="#_x0000_t202" style="position:absolute;left:13646;top:25939;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" stroked="f">
                        <v:textbox style="mso-fit-shape-to-text:t" inset="0,0,0,0">
                          <w:txbxContent>
                            <w:p w14:paraId="20BD3A9A" w14:textId="19650A09" w:rsidR="00D97785" w:rsidRDefault="00D97785" w:rsidP="0050099E">
                              <w:pPr>
                                <w:pStyle w:val="af0"/>
                                <w:jc w:val="right"/>
                                <w:rPr>
                                  <w:rFonts w:ascii="Times New Roman" w:hAnsi="Times New Roman" w:cs="Times New Roman"/>
                                </w:rPr>
                              </w:pPr>
                              <w:r>
                                <w:rPr>
                                  <w:rFonts w:ascii="Times New Roman" w:eastAsia="Times New Roman" w:hAnsi="Times New Roman" w:cs="Times New Roman"/>
                                  <w:lang w:val="it-IT"/>
                                </w:rPr>
                                <w:t>Figura </w:t>
                              </w:r>
                              <w:r>
                                <w:rPr>
                                  <w:rFonts w:ascii="Times New Roman" w:hAnsi="Times New Roman" w:cs="Times New Roman"/>
                                </w:rPr>
                                <w:t>C</w:t>
                              </w:r>
                            </w:p>
                          </w:txbxContent>
                        </v:textbox>
                      </v:shape>
                      <w10:wrap type="square"/>
                    </v:group>
                  </w:pict>
                </mc:Fallback>
              </mc:AlternateContent>
            </w:r>
          </w:p>
          <w:p w14:paraId="766D1212" w14:textId="77777777" w:rsidR="0050099E" w:rsidRPr="00C35766" w:rsidRDefault="0050099E" w:rsidP="00933A6C">
            <w:pPr>
              <w:pStyle w:val="a3"/>
              <w:numPr>
                <w:ilvl w:val="0"/>
                <w:numId w:val="67"/>
              </w:numPr>
              <w:rPr>
                <w:b/>
              </w:rPr>
            </w:pPr>
            <w:r w:rsidRPr="00C35766">
              <w:rPr>
                <w:rFonts w:eastAsia="Times New Roman"/>
                <w:b/>
                <w:bCs/>
                <w:spacing w:val="-1"/>
                <w:lang w:val="it-IT"/>
              </w:rPr>
              <w:t>Ispezioni il farmaco.</w:t>
            </w:r>
          </w:p>
          <w:p w14:paraId="515B406A" w14:textId="77777777" w:rsidR="0050099E" w:rsidRPr="00C35766" w:rsidRDefault="0050099E" w:rsidP="00933A6C">
            <w:pPr>
              <w:spacing w:line="260" w:lineRule="exact"/>
              <w:rPr>
                <w:rFonts w:ascii="Times New Roman" w:hAnsi="Times New Roman" w:cs="Times New Roman"/>
                <w:sz w:val="26"/>
                <w:szCs w:val="26"/>
              </w:rPr>
            </w:pPr>
          </w:p>
          <w:p w14:paraId="34C2F05C" w14:textId="77777777" w:rsidR="0050099E" w:rsidRPr="00C35766" w:rsidRDefault="0050099E" w:rsidP="00933A6C">
            <w:pPr>
              <w:pStyle w:val="a3"/>
              <w:rPr>
                <w:lang w:val="pt-BR"/>
              </w:rPr>
            </w:pPr>
            <w:r w:rsidRPr="00C35766">
              <w:rPr>
                <w:rFonts w:eastAsia="Times New Roman"/>
                <w:b/>
                <w:bCs/>
                <w:lang w:val="it-IT"/>
              </w:rPr>
              <w:t>a.</w:t>
            </w:r>
            <w:r w:rsidRPr="00C35766">
              <w:rPr>
                <w:rFonts w:eastAsia="Times New Roman"/>
                <w:lang w:val="it-IT"/>
              </w:rPr>
              <w:t>Guardi attraverso la finestra e si assicuri che il liquido sia limpido, da incolore a marrone chiaro e privo di particelle.</w:t>
            </w:r>
          </w:p>
          <w:p w14:paraId="358BC8B2" w14:textId="77777777" w:rsidR="0050099E" w:rsidRPr="00C35766" w:rsidRDefault="0050099E" w:rsidP="00933A6C">
            <w:pPr>
              <w:pStyle w:val="a3"/>
              <w:rPr>
                <w:lang w:val="pt-BR"/>
              </w:rPr>
            </w:pPr>
          </w:p>
          <w:p w14:paraId="4E9F353F" w14:textId="77777777" w:rsidR="0050099E" w:rsidRPr="00C35766" w:rsidRDefault="0050099E" w:rsidP="00933A6C">
            <w:pPr>
              <w:pStyle w:val="a3"/>
              <w:numPr>
                <w:ilvl w:val="0"/>
                <w:numId w:val="17"/>
              </w:numPr>
              <w:rPr>
                <w:rFonts w:eastAsia="Times New Roman"/>
                <w:bCs/>
                <w:lang w:val="it-IT"/>
              </w:rPr>
            </w:pPr>
            <w:r w:rsidRPr="00C35766">
              <w:rPr>
                <w:rFonts w:eastAsia="Times New Roman"/>
                <w:b/>
                <w:bCs/>
                <w:lang w:val="it-IT"/>
              </w:rPr>
              <w:t xml:space="preserve">Non </w:t>
            </w:r>
            <w:r w:rsidRPr="00C35766">
              <w:rPr>
                <w:rFonts w:eastAsia="Times New Roman"/>
                <w:bCs/>
                <w:lang w:val="it-IT"/>
              </w:rPr>
              <w:t>usi la penna pre-riempita se il liquido è di colore alterato (giallo o marrone scuro), torbido o contiene particelle</w:t>
            </w:r>
          </w:p>
          <w:p w14:paraId="4CCA90E5" w14:textId="77777777" w:rsidR="0050099E" w:rsidRPr="00613304" w:rsidRDefault="0050099E" w:rsidP="00933A6C">
            <w:pPr>
              <w:pStyle w:val="a3"/>
              <w:numPr>
                <w:ilvl w:val="0"/>
                <w:numId w:val="17"/>
              </w:numPr>
              <w:rPr>
                <w:rFonts w:eastAsia="Times New Roman"/>
                <w:lang w:val="it-IT"/>
              </w:rPr>
            </w:pPr>
            <w:r w:rsidRPr="00613304">
              <w:rPr>
                <w:rFonts w:eastAsia="Times New Roman"/>
                <w:lang w:val="it-IT"/>
              </w:rPr>
              <w:t>Potrebbe vedere bolle d’aria nel liquido. Questo è normale.</w:t>
            </w:r>
          </w:p>
          <w:p w14:paraId="12258752" w14:textId="77777777" w:rsidR="0050099E" w:rsidRPr="00C35766" w:rsidRDefault="0050099E" w:rsidP="00933A6C">
            <w:pPr>
              <w:pStyle w:val="a3"/>
              <w:rPr>
                <w:lang w:val="it-IT"/>
              </w:rPr>
            </w:pPr>
          </w:p>
        </w:tc>
      </w:tr>
    </w:tbl>
    <w:p w14:paraId="592AE439" w14:textId="77777777" w:rsidR="0050099E" w:rsidRPr="00C35766" w:rsidRDefault="0050099E" w:rsidP="0050099E">
      <w:pPr>
        <w:spacing w:line="260" w:lineRule="exact"/>
        <w:rPr>
          <w:rFonts w:ascii="Times New Roman" w:hAnsi="Times New Roman" w:cs="Times New Roman"/>
          <w:sz w:val="26"/>
          <w:lang w:val="it-IT"/>
        </w:rPr>
      </w:pPr>
    </w:p>
    <w:p w14:paraId="5D824402" w14:textId="77777777" w:rsidR="0050099E" w:rsidRPr="00C35766" w:rsidRDefault="0050099E" w:rsidP="0050099E">
      <w:pPr>
        <w:spacing w:line="260" w:lineRule="exact"/>
        <w:rPr>
          <w:rFonts w:ascii="Times New Roman" w:hAnsi="Times New Roman" w:cs="Times New Roman"/>
          <w:sz w:val="26"/>
          <w:lang w:val="it-IT"/>
        </w:rPr>
      </w:pPr>
    </w:p>
    <w:p w14:paraId="6977F0BE" w14:textId="77777777" w:rsidR="0050099E" w:rsidRPr="00C35766" w:rsidRDefault="0050099E" w:rsidP="0050099E">
      <w:pPr>
        <w:spacing w:line="260" w:lineRule="exact"/>
        <w:rPr>
          <w:rFonts w:ascii="Times New Roman" w:hAnsi="Times New Roman" w:cs="Times New Roman"/>
          <w:sz w:val="26"/>
          <w:lang w:val="it-IT"/>
        </w:rPr>
      </w:pPr>
    </w:p>
    <w:p w14:paraId="395B9811" w14:textId="77777777" w:rsidR="0050099E" w:rsidRPr="00C35766" w:rsidRDefault="0050099E" w:rsidP="0050099E">
      <w:pPr>
        <w:rPr>
          <w:rFonts w:ascii="Times New Roman" w:hAnsi="Times New Roman" w:cs="Times New Roman"/>
          <w:lang w:val="it-IT"/>
        </w:rPr>
      </w:pPr>
    </w:p>
    <w:tbl>
      <w:tblPr>
        <w:tblStyle w:val="ac"/>
        <w:tblW w:w="0" w:type="auto"/>
        <w:tblLook w:val="04A0" w:firstRow="1" w:lastRow="0" w:firstColumn="1" w:lastColumn="0" w:noHBand="0" w:noVBand="1"/>
      </w:tblPr>
      <w:tblGrid>
        <w:gridCol w:w="9550"/>
      </w:tblGrid>
      <w:tr w:rsidR="0050099E" w:rsidRPr="002A37A2" w14:paraId="221E5706" w14:textId="77777777" w:rsidTr="00933A6C">
        <w:trPr>
          <w:trHeight w:val="5238"/>
        </w:trPr>
        <w:tc>
          <w:tcPr>
            <w:tcW w:w="9550" w:type="dxa"/>
          </w:tcPr>
          <w:p w14:paraId="09E5A55D" w14:textId="77777777" w:rsidR="0050099E" w:rsidRPr="00C35766" w:rsidRDefault="0050099E" w:rsidP="00933A6C">
            <w:pPr>
              <w:spacing w:line="260" w:lineRule="exact"/>
              <w:rPr>
                <w:rFonts w:ascii="Times New Roman" w:hAnsi="Times New Roman" w:cs="Times New Roman"/>
                <w:b/>
                <w:spacing w:val="-1"/>
                <w:lang w:val="it-IT"/>
              </w:rPr>
            </w:pPr>
          </w:p>
          <w:p w14:paraId="4A058473" w14:textId="77777777" w:rsidR="0050099E" w:rsidRPr="00C35766" w:rsidRDefault="0050099E" w:rsidP="00933A6C">
            <w:pPr>
              <w:spacing w:line="260" w:lineRule="exact"/>
              <w:rPr>
                <w:rFonts w:ascii="Times New Roman" w:hAnsi="Times New Roman" w:cs="Times New Roman"/>
                <w:b/>
                <w:lang w:val="it-IT"/>
              </w:rPr>
            </w:pPr>
            <w:r w:rsidRPr="00C35766">
              <w:rPr>
                <w:rFonts w:ascii="Times New Roman" w:hAnsi="Times New Roman" w:cs="Times New Roman"/>
                <w:b/>
                <w:noProof/>
                <w:lang w:eastAsia="ko-KR"/>
              </w:rPr>
              <mc:AlternateContent>
                <mc:Choice Requires="wpg">
                  <w:drawing>
                    <wp:anchor distT="0" distB="0" distL="114300" distR="114300" simplePos="0" relativeHeight="251658331" behindDoc="0" locked="0" layoutInCell="1" allowOverlap="1" wp14:anchorId="18022A19" wp14:editId="20F85AE2">
                      <wp:simplePos x="0" y="0"/>
                      <wp:positionH relativeFrom="column">
                        <wp:posOffset>55245</wp:posOffset>
                      </wp:positionH>
                      <wp:positionV relativeFrom="paragraph">
                        <wp:posOffset>161290</wp:posOffset>
                      </wp:positionV>
                      <wp:extent cx="2154555" cy="2774950"/>
                      <wp:effectExtent l="0" t="0" r="0" b="6350"/>
                      <wp:wrapSquare wrapText="bothSides"/>
                      <wp:docPr id="3884" name="그룹 3884"/>
                      <wp:cNvGraphicFramePr/>
                      <a:graphic xmlns:a="http://schemas.openxmlformats.org/drawingml/2006/main">
                        <a:graphicData uri="http://schemas.microsoft.com/office/word/2010/wordprocessingGroup">
                          <wpg:wgp>
                            <wpg:cNvGrpSpPr/>
                            <wpg:grpSpPr>
                              <a:xfrm>
                                <a:off x="0" y="0"/>
                                <a:ext cx="2138779" cy="2774950"/>
                                <a:chOff x="15776" y="0"/>
                                <a:chExt cx="2138779" cy="2774950"/>
                              </a:xfrm>
                            </wpg:grpSpPr>
                            <wpg:grpSp>
                              <wpg:cNvPr id="3901" name="그룹 3901"/>
                              <wpg:cNvGrpSpPr/>
                              <wpg:grpSpPr>
                                <a:xfrm>
                                  <a:off x="15776" y="0"/>
                                  <a:ext cx="2138779" cy="2774950"/>
                                  <a:chOff x="15776" y="0"/>
                                  <a:chExt cx="2138779" cy="2774950"/>
                                </a:xfrm>
                              </wpg:grpSpPr>
                              <pic:pic xmlns:pic="http://schemas.openxmlformats.org/drawingml/2006/picture">
                                <pic:nvPicPr>
                                  <pic:cNvPr id="3902" name="그림 3902"/>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bwMode="auto">
                                  <a:xfrm>
                                    <a:off x="15776" y="0"/>
                                    <a:ext cx="2122368" cy="2628900"/>
                                  </a:xfrm>
                                  <a:prstGeom prst="rect">
                                    <a:avLst/>
                                  </a:prstGeom>
                                  <a:noFill/>
                                  <a:ln>
                                    <a:noFill/>
                                  </a:ln>
                                </pic:spPr>
                              </pic:pic>
                              <wps:wsp>
                                <wps:cNvPr id="3903" name="Text Box 3903"/>
                                <wps:cNvSpPr txBox="1"/>
                                <wps:spPr>
                                  <a:xfrm>
                                    <a:off x="1434465" y="2628900"/>
                                    <a:ext cx="720090" cy="146050"/>
                                  </a:xfrm>
                                  <a:prstGeom prst="rect">
                                    <a:avLst/>
                                  </a:prstGeom>
                                  <a:solidFill>
                                    <a:prstClr val="white"/>
                                  </a:solidFill>
                                  <a:ln>
                                    <a:noFill/>
                                  </a:ln>
                                </wps:spPr>
                                <wps:txbx>
                                  <w:txbxContent>
                                    <w:p w14:paraId="799421A8" w14:textId="12AC82BE" w:rsidR="00D97785" w:rsidRDefault="00D97785" w:rsidP="0050099E">
                                      <w:pPr>
                                        <w:pStyle w:val="af0"/>
                                        <w:jc w:val="right"/>
                                        <w:rPr>
                                          <w:rFonts w:ascii="Times New Roman" w:hAnsi="Times New Roman" w:cs="Times New Roman"/>
                                          <w:szCs w:val="22"/>
                                        </w:rPr>
                                      </w:pPr>
                                      <w:r>
                                        <w:rPr>
                                          <w:rFonts w:ascii="Times New Roman" w:eastAsia="Times New Roman" w:hAnsi="Times New Roman" w:cs="Times New Roman"/>
                                          <w:lang w:val="it-IT"/>
                                        </w:rPr>
                                        <w:t>Figura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04" name="Text Box 3904"/>
                              <wps:cNvSpPr txBox="1"/>
                              <wps:spPr>
                                <a:xfrm>
                                  <a:off x="1074420" y="22860"/>
                                  <a:ext cx="858520" cy="1248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16CB5" w14:textId="77777777" w:rsidR="00D97785" w:rsidRDefault="00D97785" w:rsidP="0050099E">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8022A19" id="그룹 3884" o:spid="_x0000_s1294" style="position:absolute;margin-left:4.35pt;margin-top:12.7pt;width:169.65pt;height:218.5pt;z-index:251658331" coordorigin="157" coordsize="21387,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">
                      <v:group id="그룹 3901" o:spid="_x0000_s1295" style="position:absolute;left:157;width:21388;height:27749" coordorigin="157" coordsize="21387,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">
                        <v:shape id="그림 3902" o:spid="_x0000_s1296"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">
                          <v:imagedata r:id="rId144" o:title=""/>
                        </v:shape>
                        <v:shape id="Text Box 3903" o:spid="_x0000_s1297"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" stroked="f">
                          <v:textbox style="mso-fit-shape-to-text:t" inset="0,0,0,0">
                            <w:txbxContent>
                              <w:p w14:paraId="799421A8" w14:textId="12AC82BE" w:rsidR="00D97785" w:rsidRDefault="00D97785" w:rsidP="0050099E">
                                <w:pPr>
                                  <w:pStyle w:val="af0"/>
                                  <w:jc w:val="right"/>
                                  <w:rPr>
                                    <w:rFonts w:ascii="Times New Roman" w:hAnsi="Times New Roman" w:cs="Times New Roman"/>
                                    <w:szCs w:val="22"/>
                                  </w:rPr>
                                </w:pPr>
                                <w:r>
                                  <w:rPr>
                                    <w:rFonts w:ascii="Times New Roman" w:eastAsia="Times New Roman" w:hAnsi="Times New Roman" w:cs="Times New Roman"/>
                                    <w:lang w:val="it-IT"/>
                                  </w:rPr>
                                  <w:t>Figura </w:t>
                                </w:r>
                                <w:r>
                                  <w:rPr>
                                    <w:rFonts w:ascii="Times New Roman" w:hAnsi="Times New Roman" w:cs="Times New Roman"/>
                                  </w:rPr>
                                  <w:t>D</w:t>
                                </w:r>
                              </w:p>
                            </w:txbxContent>
                          </v:textbox>
                        </v:shape>
                      </v:group>
                      <v:shape id="Text Box 3904" o:spid="_x0000_s1298" type="#_x0000_t202" style="position:absolute;left:10744;top:228;width:8585;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" fillcolor="white [3212]" stroked="f" strokeweight=".5pt">
                        <v:textbox inset="0,0,0,0">
                          <w:txbxContent>
                            <w:p w14:paraId="10F16CB5" w14:textId="77777777" w:rsidR="00D97785" w:rsidRDefault="00D97785" w:rsidP="0050099E">
                              <w:pPr>
                                <w:jc w:val="center"/>
                                <w:rPr>
                                  <w:rFonts w:asciiTheme="majorBidi" w:hAnsiTheme="majorBidi" w:cstheme="majorBidi"/>
                                  <w:b/>
                                  <w:bCs/>
                                  <w:sz w:val="32"/>
                                  <w:szCs w:val="32"/>
                                </w:rPr>
                              </w:pPr>
                              <w:r>
                                <w:rPr>
                                  <w:rFonts w:ascii="Times New Roman" w:eastAsia="Times New Roman" w:hAnsi="Times New Roman" w:cs="Times New Roman"/>
                                  <w:b/>
                                  <w:bCs/>
                                  <w:sz w:val="32"/>
                                  <w:szCs w:val="32"/>
                                  <w:lang w:val="it-IT"/>
                                </w:rPr>
                                <w:t>15 – 30 minuti</w:t>
                              </w:r>
                            </w:p>
                          </w:txbxContent>
                        </v:textbox>
                      </v:shape>
                      <w10:wrap type="square"/>
                    </v:group>
                  </w:pict>
                </mc:Fallback>
              </mc:AlternateContent>
            </w:r>
          </w:p>
          <w:p w14:paraId="50B71B4C" w14:textId="77777777" w:rsidR="0050099E" w:rsidRPr="00C35766" w:rsidRDefault="0050099E" w:rsidP="00933A6C">
            <w:pPr>
              <w:spacing w:line="260" w:lineRule="exact"/>
              <w:rPr>
                <w:rFonts w:ascii="Times New Roman" w:hAnsi="Times New Roman" w:cs="Times New Roman"/>
                <w:b/>
                <w:lang w:val="it-IT"/>
              </w:rPr>
            </w:pPr>
          </w:p>
          <w:p w14:paraId="1B9F258D" w14:textId="77777777" w:rsidR="0050099E" w:rsidRPr="00C35766" w:rsidRDefault="0050099E" w:rsidP="00933A6C">
            <w:pPr>
              <w:spacing w:line="260" w:lineRule="exact"/>
              <w:rPr>
                <w:rFonts w:ascii="Times New Roman" w:hAnsi="Times New Roman" w:cs="Times New Roman"/>
                <w:b/>
                <w:lang w:val="it-IT"/>
              </w:rPr>
            </w:pPr>
          </w:p>
          <w:p w14:paraId="43705E20" w14:textId="77777777" w:rsidR="0050099E" w:rsidRPr="00C35766" w:rsidRDefault="0050099E" w:rsidP="00933A6C">
            <w:pPr>
              <w:pStyle w:val="a3"/>
              <w:numPr>
                <w:ilvl w:val="0"/>
                <w:numId w:val="67"/>
              </w:numPr>
              <w:rPr>
                <w:b/>
              </w:rPr>
            </w:pPr>
            <w:r w:rsidRPr="00C35766">
              <w:rPr>
                <w:rFonts w:eastAsia="Times New Roman"/>
                <w:b/>
                <w:bCs/>
                <w:lang w:val="it-IT"/>
              </w:rPr>
              <w:t xml:space="preserve">Attenda 15-30 minuti </w:t>
            </w:r>
          </w:p>
          <w:p w14:paraId="48D7CB8A" w14:textId="77777777" w:rsidR="0050099E" w:rsidRPr="00C35766" w:rsidRDefault="0050099E" w:rsidP="00933A6C">
            <w:pPr>
              <w:pStyle w:val="Default"/>
              <w:rPr>
                <w:rFonts w:ascii="Times New Roman" w:hAnsi="Times New Roman" w:cs="Times New Roman"/>
              </w:rPr>
            </w:pPr>
            <w:r w:rsidRPr="00C35766">
              <w:rPr>
                <w:rFonts w:ascii="Times New Roman" w:hAnsi="Times New Roman" w:cs="Times New Roman"/>
              </w:rPr>
              <w:t xml:space="preserve"> </w:t>
            </w:r>
          </w:p>
          <w:p w14:paraId="19A845C7" w14:textId="77777777" w:rsidR="0050099E" w:rsidRPr="00C35766" w:rsidRDefault="0050099E" w:rsidP="00933A6C">
            <w:pPr>
              <w:pStyle w:val="a3"/>
              <w:ind w:left="3964" w:hangingChars="1800" w:hanging="3964"/>
              <w:rPr>
                <w:lang w:val="pt-BR"/>
              </w:rPr>
            </w:pPr>
            <w:r w:rsidRPr="00C35766">
              <w:rPr>
                <w:rFonts w:eastAsia="Times New Roman"/>
                <w:b/>
                <w:bCs/>
                <w:lang w:val="it-IT"/>
              </w:rPr>
              <w:t xml:space="preserve">     a.</w:t>
            </w:r>
            <w:r w:rsidRPr="00C35766">
              <w:rPr>
                <w:rFonts w:eastAsia="Times New Roman"/>
                <w:lang w:val="it-IT"/>
              </w:rPr>
              <w:t xml:space="preserve"> Lasci la penna pre-riempita a temperatura ambiente per </w:t>
            </w:r>
            <w:r w:rsidRPr="00C35766">
              <w:rPr>
                <w:rFonts w:eastAsia="Times New Roman"/>
                <w:lang w:val="it-IT"/>
              </w:rPr>
              <w:br/>
              <w:t>15-30 minuti in modo che si possa scaldare.</w:t>
            </w:r>
          </w:p>
          <w:p w14:paraId="67899232" w14:textId="77777777" w:rsidR="0050099E" w:rsidRPr="00C35766" w:rsidRDefault="0050099E" w:rsidP="00933A6C">
            <w:pPr>
              <w:pStyle w:val="Default"/>
              <w:rPr>
                <w:rFonts w:ascii="Times New Roman" w:hAnsi="Times New Roman" w:cs="Times New Roman"/>
                <w:color w:val="211D1E"/>
                <w:sz w:val="20"/>
                <w:szCs w:val="20"/>
                <w:lang w:val="pt-BR"/>
              </w:rPr>
            </w:pPr>
          </w:p>
          <w:p w14:paraId="23BA7D21" w14:textId="77777777" w:rsidR="0050099E" w:rsidRPr="00C35766" w:rsidRDefault="0050099E" w:rsidP="00933A6C">
            <w:pPr>
              <w:pStyle w:val="a3"/>
              <w:numPr>
                <w:ilvl w:val="0"/>
                <w:numId w:val="0"/>
              </w:numPr>
              <w:ind w:left="911"/>
              <w:rPr>
                <w:b/>
                <w:lang w:val="pt-BR"/>
              </w:rPr>
            </w:pPr>
          </w:p>
          <w:p w14:paraId="445F2338" w14:textId="77777777" w:rsidR="0050099E" w:rsidRPr="00C35766" w:rsidRDefault="0050099E" w:rsidP="00933A6C">
            <w:pPr>
              <w:pStyle w:val="a3"/>
              <w:numPr>
                <w:ilvl w:val="0"/>
                <w:numId w:val="17"/>
              </w:numPr>
              <w:rPr>
                <w:rFonts w:eastAsia="Times New Roman"/>
                <w:b/>
                <w:bCs/>
                <w:lang w:val="it-IT"/>
              </w:rPr>
            </w:pPr>
            <w:r w:rsidRPr="00C35766">
              <w:rPr>
                <w:rFonts w:eastAsia="Times New Roman"/>
                <w:b/>
                <w:bCs/>
                <w:lang w:val="it-IT"/>
              </w:rPr>
              <w:t>Non</w:t>
            </w:r>
            <w:r w:rsidRPr="00C35766">
              <w:rPr>
                <w:rFonts w:eastAsia="Times New Roman"/>
                <w:lang w:val="it-IT"/>
              </w:rPr>
              <w:t xml:space="preserve"> riscaldi la penna pre-riempita utilizzando fonti di </w:t>
            </w:r>
            <w:r w:rsidRPr="00C35766">
              <w:rPr>
                <w:rFonts w:eastAsia="Times New Roman"/>
                <w:lang w:val="it-IT"/>
              </w:rPr>
              <w:br/>
              <w:t xml:space="preserve">            calore come acqua calda o microonde. </w:t>
            </w:r>
          </w:p>
          <w:p w14:paraId="10D6F915" w14:textId="77777777" w:rsidR="0050099E" w:rsidRPr="00C35766" w:rsidRDefault="0050099E" w:rsidP="00933A6C">
            <w:pPr>
              <w:pStyle w:val="a3"/>
              <w:rPr>
                <w:lang w:val="pt-BR"/>
              </w:rPr>
            </w:pPr>
          </w:p>
        </w:tc>
      </w:tr>
      <w:tr w:rsidR="0050099E" w:rsidRPr="00494E69" w14:paraId="251CEB0A" w14:textId="77777777" w:rsidTr="00933A6C">
        <w:trPr>
          <w:trHeight w:val="5025"/>
        </w:trPr>
        <w:tc>
          <w:tcPr>
            <w:tcW w:w="9550" w:type="dxa"/>
          </w:tcPr>
          <w:p w14:paraId="00FD4418" w14:textId="77777777" w:rsidR="0050099E" w:rsidRPr="00C35766" w:rsidRDefault="0050099E" w:rsidP="00933A6C">
            <w:pPr>
              <w:spacing w:line="260" w:lineRule="exact"/>
              <w:rPr>
                <w:rFonts w:ascii="Times New Roman" w:eastAsia="Times New Roman" w:hAnsi="Times New Roman" w:cs="Times New Roman"/>
                <w:b/>
                <w:bCs/>
                <w:spacing w:val="-1"/>
                <w:lang w:val="pt-BR"/>
              </w:rPr>
            </w:pPr>
          </w:p>
          <w:p w14:paraId="0F2A0811" w14:textId="77777777" w:rsidR="0050099E" w:rsidRPr="00C35766" w:rsidRDefault="0050099E" w:rsidP="00933A6C">
            <w:pPr>
              <w:pStyle w:val="a3"/>
              <w:rPr>
                <w:lang w:val="pt-BR"/>
              </w:rPr>
            </w:pPr>
          </w:p>
          <w:p w14:paraId="5A842242" w14:textId="77777777" w:rsidR="0050099E" w:rsidRPr="00C35766" w:rsidRDefault="0050099E" w:rsidP="00933A6C">
            <w:pPr>
              <w:pStyle w:val="a3"/>
              <w:rPr>
                <w:lang w:val="pt-BR"/>
              </w:rPr>
            </w:pPr>
            <w:r w:rsidRPr="00C35766">
              <w:rPr>
                <w:noProof/>
                <w:lang w:eastAsia="ko-KR"/>
              </w:rPr>
              <mc:AlternateContent>
                <mc:Choice Requires="wpg">
                  <w:drawing>
                    <wp:anchor distT="0" distB="0" distL="114300" distR="114300" simplePos="0" relativeHeight="251658348" behindDoc="0" locked="0" layoutInCell="1" allowOverlap="1" wp14:anchorId="2B912E8B" wp14:editId="72C35362">
                      <wp:simplePos x="0" y="0"/>
                      <wp:positionH relativeFrom="column">
                        <wp:posOffset>-4445</wp:posOffset>
                      </wp:positionH>
                      <wp:positionV relativeFrom="paragraph">
                        <wp:posOffset>95885</wp:posOffset>
                      </wp:positionV>
                      <wp:extent cx="2185670" cy="3902075"/>
                      <wp:effectExtent l="0" t="0" r="5080" b="3175"/>
                      <wp:wrapSquare wrapText="bothSides"/>
                      <wp:docPr id="3905" name="그룹 3905"/>
                      <wp:cNvGraphicFramePr/>
                      <a:graphic xmlns:a="http://schemas.openxmlformats.org/drawingml/2006/main">
                        <a:graphicData uri="http://schemas.microsoft.com/office/word/2010/wordprocessingGroup">
                          <wpg:wgp>
                            <wpg:cNvGrpSpPr/>
                            <wpg:grpSpPr>
                              <a:xfrm>
                                <a:off x="0" y="0"/>
                                <a:ext cx="2185670" cy="3902075"/>
                                <a:chOff x="0" y="0"/>
                                <a:chExt cx="1824658" cy="3219450"/>
                              </a:xfrm>
                            </wpg:grpSpPr>
                            <wpg:grpSp>
                              <wpg:cNvPr id="3906" name="그룹 3906"/>
                              <wpg:cNvGrpSpPr/>
                              <wpg:grpSpPr>
                                <a:xfrm>
                                  <a:off x="0" y="0"/>
                                  <a:ext cx="1824658" cy="3219450"/>
                                  <a:chOff x="0" y="0"/>
                                  <a:chExt cx="1824658" cy="3219450"/>
                                </a:xfrm>
                              </wpg:grpSpPr>
                              <pic:pic xmlns:pic="http://schemas.openxmlformats.org/drawingml/2006/picture">
                                <pic:nvPicPr>
                                  <pic:cNvPr id="3907" name="그림 390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908" name="Text Box 3908"/>
                                <wps:cNvSpPr txBox="1"/>
                                <wps:spPr>
                                  <a:xfrm>
                                    <a:off x="1104900" y="3073400"/>
                                    <a:ext cx="719758" cy="146050"/>
                                  </a:xfrm>
                                  <a:prstGeom prst="rect">
                                    <a:avLst/>
                                  </a:prstGeom>
                                  <a:solidFill>
                                    <a:prstClr val="white"/>
                                  </a:solidFill>
                                  <a:ln>
                                    <a:noFill/>
                                  </a:ln>
                                </wps:spPr>
                                <wps:txbx>
                                  <w:txbxContent>
                                    <w:p w14:paraId="7E998E14" w14:textId="3C1E2BE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09" name="Text Box 3909"/>
                              <wps:cNvSpPr txBox="1"/>
                              <wps:spPr>
                                <a:xfrm>
                                  <a:off x="518161" y="2247900"/>
                                  <a:ext cx="1247433" cy="708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913B9" w14:textId="77777777" w:rsidR="00D97785" w:rsidRPr="00824699" w:rsidRDefault="00D97785" w:rsidP="0050099E">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28364A52" w14:textId="77777777" w:rsidR="00D97785" w:rsidRPr="00824699" w:rsidRDefault="00D97785" w:rsidP="0050099E">
                                    <w:pPr>
                                      <w:rPr>
                                        <w:rFonts w:asciiTheme="majorBidi" w:hAnsiTheme="majorBidi"/>
                                        <w:b/>
                                        <w:sz w:val="8"/>
                                        <w:szCs w:val="8"/>
                                        <w:lang w:val="it-IT"/>
                                      </w:rPr>
                                    </w:pPr>
                                  </w:p>
                                  <w:p w14:paraId="45CDE269" w14:textId="77777777" w:rsidR="00D97785" w:rsidRPr="002062B2" w:rsidRDefault="00D97785" w:rsidP="0050099E">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912E8B" id="그룹 3905" o:spid="_x0000_s1299" style="position:absolute;margin-left:-.35pt;margin-top:7.55pt;width:172.1pt;height:307.25pt;z-index:251658348;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">
                      <v:group id="그룹 3906" o:spid="_x0000_s1300"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">
                        <v:shape id="그림 3907" o:spid="_x0000_s1301"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">
                          <v:imagedata r:id="rId44" o:title=""/>
                        </v:shape>
                        <v:shape id="Text Box 3908" o:spid="_x0000_s1302"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" stroked="f">
                          <v:textbox inset="0,0,0,0">
                            <w:txbxContent>
                              <w:p w14:paraId="7E998E14" w14:textId="3C1E2BE7"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v:textbox>
                        </v:shape>
                      </v:group>
                      <v:shape id="Text Box 3909" o:spid="_x0000_s1303" type="#_x0000_t202" style="position:absolute;left:5181;top:22479;width:12474;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" fillcolor="white [3212]" stroked="f" strokeweight=".5pt">
                        <v:textbox inset="0,0,0,0">
                          <w:txbxContent>
                            <w:p w14:paraId="05B913B9" w14:textId="77777777" w:rsidR="00D97785" w:rsidRPr="00824699" w:rsidRDefault="00D97785" w:rsidP="0050099E">
                              <w:pPr>
                                <w:rPr>
                                  <w:rFonts w:asciiTheme="majorBidi" w:hAnsiTheme="majorBidi"/>
                                  <w:b/>
                                  <w:sz w:val="18"/>
                                  <w:lang w:val="it-IT"/>
                                </w:rPr>
                              </w:pPr>
                              <w:r>
                                <w:rPr>
                                  <w:rFonts w:ascii="Times New Roman" w:eastAsia="Times New Roman" w:hAnsi="Times New Roman" w:cs="Times New Roman"/>
                                  <w:b/>
                                  <w:bCs/>
                                  <w:sz w:val="18"/>
                                  <w:szCs w:val="18"/>
                                  <w:lang w:val="it-IT"/>
                                </w:rPr>
                                <w:t xml:space="preserve">SOLO per la persona che assiste il paziente </w:t>
                              </w:r>
                            </w:p>
                            <w:p w14:paraId="28364A52" w14:textId="77777777" w:rsidR="00D97785" w:rsidRPr="00824699" w:rsidRDefault="00D97785" w:rsidP="0050099E">
                              <w:pPr>
                                <w:rPr>
                                  <w:rFonts w:asciiTheme="majorBidi" w:hAnsiTheme="majorBidi"/>
                                  <w:b/>
                                  <w:sz w:val="8"/>
                                  <w:szCs w:val="8"/>
                                  <w:lang w:val="it-IT"/>
                                </w:rPr>
                              </w:pPr>
                            </w:p>
                            <w:p w14:paraId="45CDE269" w14:textId="77777777" w:rsidR="00D97785" w:rsidRPr="002062B2" w:rsidRDefault="00D97785" w:rsidP="0050099E">
                              <w:pPr>
                                <w:rPr>
                                  <w:rFonts w:asciiTheme="majorBidi" w:hAnsiTheme="majorBidi"/>
                                  <w:b/>
                                  <w:sz w:val="18"/>
                                  <w:lang w:val="de-CH"/>
                                </w:rPr>
                              </w:pPr>
                              <w:r>
                                <w:rPr>
                                  <w:rFonts w:ascii="Times New Roman" w:eastAsia="Times New Roman" w:hAnsi="Times New Roman" w:cs="Times New Roman"/>
                                  <w:b/>
                                  <w:bCs/>
                                  <w:sz w:val="18"/>
                                  <w:szCs w:val="18"/>
                                  <w:lang w:val="it-IT"/>
                                </w:rPr>
                                <w:t>Autoiniezione e iniezione da parte di un assistente</w:t>
                              </w:r>
                            </w:p>
                          </w:txbxContent>
                        </v:textbox>
                      </v:shape>
                      <w10:wrap type="square"/>
                    </v:group>
                  </w:pict>
                </mc:Fallback>
              </mc:AlternateContent>
            </w:r>
            <w:r w:rsidRPr="00C35766">
              <w:rPr>
                <w:noProof/>
                <w:lang w:eastAsia="ko-KR"/>
              </w:rPr>
              <mc:AlternateContent>
                <mc:Choice Requires="wpg">
                  <w:drawing>
                    <wp:anchor distT="0" distB="0" distL="114300" distR="114300" simplePos="0" relativeHeight="251658305" behindDoc="0" locked="0" layoutInCell="1" allowOverlap="1" wp14:anchorId="291D8B72" wp14:editId="4A62DB26">
                      <wp:simplePos x="0" y="0"/>
                      <wp:positionH relativeFrom="column">
                        <wp:posOffset>55245</wp:posOffset>
                      </wp:positionH>
                      <wp:positionV relativeFrom="paragraph">
                        <wp:posOffset>144145</wp:posOffset>
                      </wp:positionV>
                      <wp:extent cx="1569085" cy="2832100"/>
                      <wp:effectExtent l="0" t="0" r="0" b="6350"/>
                      <wp:wrapSquare wrapText="bothSides"/>
                      <wp:docPr id="3910" name="그룹 3910"/>
                      <wp:cNvGraphicFramePr/>
                      <a:graphic xmlns:a="http://schemas.openxmlformats.org/drawingml/2006/main">
                        <a:graphicData uri="http://schemas.microsoft.com/office/word/2010/wordprocessingGroup">
                          <wpg:wgp>
                            <wpg:cNvGrpSpPr/>
                            <wpg:grpSpPr>
                              <a:xfrm>
                                <a:off x="0" y="0"/>
                                <a:ext cx="1569085" cy="2832100"/>
                                <a:chOff x="0" y="0"/>
                                <a:chExt cx="1569085" cy="2832100"/>
                              </a:xfrm>
                            </wpg:grpSpPr>
                            <pic:pic xmlns:pic="http://schemas.openxmlformats.org/drawingml/2006/picture">
                              <pic:nvPicPr>
                                <pic:cNvPr id="3911" name="그림 391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569085" cy="2654300"/>
                                </a:xfrm>
                                <a:prstGeom prst="rect">
                                  <a:avLst/>
                                </a:prstGeom>
                                <a:noFill/>
                                <a:ln>
                                  <a:noFill/>
                                </a:ln>
                              </pic:spPr>
                            </pic:pic>
                            <wps:wsp>
                              <wps:cNvPr id="3912" name="Text Box 3912"/>
                              <wps:cNvSpPr txBox="1"/>
                              <wps:spPr>
                                <a:xfrm>
                                  <a:off x="1060450" y="2654300"/>
                                  <a:ext cx="508000" cy="177800"/>
                                </a:xfrm>
                                <a:prstGeom prst="rect">
                                  <a:avLst/>
                                </a:prstGeom>
                                <a:solidFill>
                                  <a:prstClr val="white"/>
                                </a:solidFill>
                                <a:ln>
                                  <a:noFill/>
                                </a:ln>
                              </wps:spPr>
                              <wps:txbx>
                                <w:txbxContent>
                                  <w:p w14:paraId="21976CAD" w14:textId="46F8B8EE" w:rsidR="00D97785" w:rsidRDefault="00D97785" w:rsidP="0050099E">
                                    <w:pPr>
                                      <w:pStyle w:val="af0"/>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291D8B72" id="그룹 3910" o:spid="_x0000_s1304" style="position:absolute;margin-left:4.35pt;margin-top:11.35pt;width:123.55pt;height:223pt;z-index:251658305" coordsize="15690,28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">
                      <v:shape id="그림 3911" o:spid="_x0000_s1305" type="#_x0000_t75" style="position:absolute;width:15690;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">
                        <v:imagedata r:id="rId46" o:title=""/>
                      </v:shape>
                      <v:shape id="Text Box 3912" o:spid="_x0000_s1306" type="#_x0000_t202" style="position:absolute;left:10604;top:26543;width:50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" stroked="f">
                        <v:textbox inset="0,0,0,0">
                          <w:txbxContent>
                            <w:p w14:paraId="21976CAD" w14:textId="46F8B8EE" w:rsidR="00D97785" w:rsidRDefault="00D97785" w:rsidP="0050099E">
                              <w:pPr>
                                <w:pStyle w:val="af0"/>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B</w:t>
                              </w:r>
                              <w:r>
                                <w:rPr>
                                  <w:rFonts w:ascii="Times New Roman" w:hAnsi="Times New Roman" w:cs="Times New Roman"/>
                                </w:rPr>
                                <w:fldChar w:fldCharType="end"/>
                              </w:r>
                            </w:p>
                          </w:txbxContent>
                        </v:textbox>
                      </v:shape>
                      <w10:wrap type="square"/>
                    </v:group>
                  </w:pict>
                </mc:Fallback>
              </mc:AlternateContent>
            </w:r>
          </w:p>
          <w:p w14:paraId="1A231828" w14:textId="77777777" w:rsidR="0050099E" w:rsidRPr="00C35766" w:rsidRDefault="0050099E" w:rsidP="00933A6C">
            <w:pPr>
              <w:pStyle w:val="a3"/>
              <w:numPr>
                <w:ilvl w:val="0"/>
                <w:numId w:val="67"/>
              </w:numPr>
              <w:rPr>
                <w:b/>
              </w:rPr>
            </w:pPr>
            <w:r w:rsidRPr="00C35766">
              <w:rPr>
                <w:rFonts w:eastAsia="Times New Roman"/>
                <w:b/>
                <w:bCs/>
                <w:lang w:val="it-IT"/>
              </w:rPr>
              <w:t>Scelga un sito d’iniezione appropriato</w:t>
            </w:r>
          </w:p>
          <w:p w14:paraId="4F626DFA" w14:textId="77777777" w:rsidR="0050099E" w:rsidRPr="00C35766" w:rsidRDefault="0050099E" w:rsidP="00933A6C">
            <w:pPr>
              <w:pStyle w:val="a3"/>
            </w:pPr>
          </w:p>
          <w:p w14:paraId="0E21F98C" w14:textId="77777777" w:rsidR="0050099E" w:rsidRPr="00C35766" w:rsidRDefault="0050099E" w:rsidP="00933A6C">
            <w:pPr>
              <w:pStyle w:val="a3"/>
            </w:pPr>
            <w:r w:rsidRPr="00C35766">
              <w:rPr>
                <w:rFonts w:eastAsia="Times New Roman"/>
                <w:b/>
                <w:bCs/>
                <w:lang w:val="it-IT"/>
              </w:rPr>
              <w:t xml:space="preserve">          a.</w:t>
            </w:r>
            <w:r w:rsidRPr="00C35766">
              <w:rPr>
                <w:rFonts w:eastAsia="Times New Roman"/>
                <w:lang w:val="it-IT"/>
              </w:rPr>
              <w:t xml:space="preserve"> Può eseguire l’iniezione:</w:t>
            </w:r>
          </w:p>
          <w:p w14:paraId="486F2EA6" w14:textId="25BCDA93" w:rsidR="0050099E" w:rsidRPr="00C35766" w:rsidRDefault="0050099E" w:rsidP="00933A6C">
            <w:pPr>
              <w:pStyle w:val="a3"/>
              <w:rPr>
                <w:lang w:val="es-ES"/>
              </w:rPr>
            </w:pPr>
            <w:r w:rsidRPr="00C35766">
              <w:rPr>
                <w:rFonts w:eastAsia="Times New Roman"/>
                <w:lang w:val="it-IT"/>
              </w:rPr>
              <w:t xml:space="preserve">          - nella parte anteriore della coscia </w:t>
            </w:r>
          </w:p>
          <w:p w14:paraId="6C5D7862" w14:textId="77777777" w:rsidR="0050099E" w:rsidRPr="00C35766" w:rsidRDefault="0050099E" w:rsidP="00933A6C">
            <w:pPr>
              <w:pStyle w:val="a3"/>
              <w:ind w:left="3708" w:hanging="709"/>
              <w:rPr>
                <w:lang w:val="es-ES"/>
              </w:rPr>
            </w:pPr>
            <w:r w:rsidRPr="00C35766">
              <w:rPr>
                <w:rFonts w:eastAsia="Times New Roman"/>
                <w:lang w:val="it-IT"/>
              </w:rPr>
              <w:t xml:space="preserve">          - nell’addome, ad eccezione dell'area di 5 cm intorno all’ombelico  </w:t>
            </w:r>
          </w:p>
          <w:p w14:paraId="58E03EE3" w14:textId="77777777" w:rsidR="0050099E" w:rsidRPr="00C35766" w:rsidRDefault="0050099E" w:rsidP="00933A6C">
            <w:pPr>
              <w:pStyle w:val="a3"/>
              <w:tabs>
                <w:tab w:val="left" w:pos="2856"/>
                <w:tab w:val="left" w:pos="3861"/>
              </w:tabs>
              <w:rPr>
                <w:lang w:val="es-ES"/>
              </w:rPr>
            </w:pPr>
            <w:r w:rsidRPr="00C35766">
              <w:rPr>
                <w:rFonts w:eastAsia="Times New Roman"/>
                <w:lang w:val="it-IT"/>
              </w:rPr>
              <w:t xml:space="preserve">          - nella zona esterna della parte superiore del braccio (SOLO se Lei è una persona che assiste il paziente). </w:t>
            </w:r>
          </w:p>
          <w:p w14:paraId="2DD96AE6" w14:textId="77777777" w:rsidR="0050099E" w:rsidRPr="00C35766" w:rsidRDefault="0050099E" w:rsidP="00933A6C">
            <w:pPr>
              <w:pStyle w:val="a3"/>
              <w:rPr>
                <w:lang w:val="es-ES"/>
              </w:rPr>
            </w:pPr>
          </w:p>
          <w:p w14:paraId="08E6CAA1" w14:textId="77777777" w:rsidR="0050099E" w:rsidRPr="00824699" w:rsidRDefault="0050099E" w:rsidP="00933A6C">
            <w:pPr>
              <w:pStyle w:val="a3"/>
              <w:numPr>
                <w:ilvl w:val="0"/>
                <w:numId w:val="17"/>
              </w:numPr>
              <w:rPr>
                <w:lang w:val="it-IT"/>
              </w:rPr>
            </w:pPr>
            <w:r w:rsidRPr="00C35766">
              <w:rPr>
                <w:rFonts w:eastAsia="Times New Roman"/>
                <w:b/>
                <w:bCs/>
                <w:lang w:val="it-IT"/>
              </w:rPr>
              <w:t>Non</w:t>
            </w:r>
            <w:r w:rsidRPr="00C35766">
              <w:rPr>
                <w:rFonts w:eastAsia="Times New Roman"/>
                <w:lang w:val="it-IT"/>
              </w:rPr>
              <w:t xml:space="preserve"> esegua l’iniezione in aree cutanee entro 5 cm dal Suo ombelico o in un’area arrossata, dura, dolorante, danneggiata, livida, o con cicatrici. </w:t>
            </w:r>
          </w:p>
          <w:p w14:paraId="18F84A7F" w14:textId="77777777" w:rsidR="0050099E" w:rsidRPr="00C35766" w:rsidRDefault="0050099E" w:rsidP="00933A6C">
            <w:pPr>
              <w:pStyle w:val="a3"/>
              <w:numPr>
                <w:ilvl w:val="0"/>
                <w:numId w:val="17"/>
              </w:numPr>
              <w:rPr>
                <w:lang w:val="es-ES"/>
              </w:rPr>
            </w:pPr>
            <w:r w:rsidRPr="00C35766">
              <w:rPr>
                <w:rFonts w:eastAsia="Times New Roman"/>
                <w:lang w:val="it-IT"/>
              </w:rPr>
              <w:t xml:space="preserve">Se ha la psoriasi, non esegua l’iniezione in nessuna macchia rialzata, ispessita, arrossata o squamosa né su nessuna lesione cutanea. </w:t>
            </w:r>
          </w:p>
          <w:p w14:paraId="084EB2F9" w14:textId="77777777" w:rsidR="0050099E" w:rsidRPr="00C35766" w:rsidRDefault="0050099E" w:rsidP="00933A6C">
            <w:pPr>
              <w:pStyle w:val="a3"/>
              <w:numPr>
                <w:ilvl w:val="0"/>
                <w:numId w:val="17"/>
              </w:numPr>
              <w:rPr>
                <w:lang w:val="fr-FR"/>
              </w:rPr>
            </w:pPr>
            <w:r w:rsidRPr="00C35766">
              <w:rPr>
                <w:rFonts w:eastAsia="Times New Roman"/>
                <w:b/>
                <w:bCs/>
                <w:lang w:val="it-IT"/>
              </w:rPr>
              <w:t xml:space="preserve">Non </w:t>
            </w:r>
            <w:r w:rsidRPr="00C35766">
              <w:rPr>
                <w:rFonts w:eastAsia="Times New Roman"/>
                <w:lang w:val="it-IT"/>
              </w:rPr>
              <w:t>esegua l’iniezione attraverso gli indumenti.</w:t>
            </w:r>
          </w:p>
          <w:p w14:paraId="4E349CD9" w14:textId="77777777" w:rsidR="0050099E" w:rsidRPr="00C35766" w:rsidRDefault="0050099E" w:rsidP="00933A6C">
            <w:pPr>
              <w:pStyle w:val="a3"/>
              <w:rPr>
                <w:lang w:val="fr-FR"/>
              </w:rPr>
            </w:pPr>
          </w:p>
          <w:p w14:paraId="537218FB" w14:textId="77777777" w:rsidR="0050099E" w:rsidRPr="00C35766" w:rsidRDefault="0050099E" w:rsidP="00933A6C">
            <w:pPr>
              <w:pStyle w:val="a3"/>
              <w:rPr>
                <w:lang w:val="es-ES"/>
              </w:rPr>
            </w:pPr>
            <w:r w:rsidRPr="00C35766">
              <w:rPr>
                <w:rFonts w:eastAsia="Times New Roman"/>
                <w:b/>
                <w:bCs/>
                <w:lang w:val="it-IT"/>
              </w:rPr>
              <w:t xml:space="preserve">     b.</w:t>
            </w:r>
            <w:r w:rsidRPr="00C35766">
              <w:rPr>
                <w:rFonts w:eastAsia="Times New Roman"/>
                <w:lang w:val="it-IT"/>
              </w:rPr>
              <w:t xml:space="preserve"> Esegua una rotazione del sito d’iniezione ogni volta che somministra un’iniezione. Ogni nuovo sito d’iniezione deve essere ad almeno 3 cm di distanza dal punto utilizzato in precedenza. </w:t>
            </w:r>
          </w:p>
          <w:p w14:paraId="5B354174" w14:textId="77777777" w:rsidR="0050099E" w:rsidRPr="00C35766" w:rsidRDefault="0050099E" w:rsidP="00933A6C">
            <w:pPr>
              <w:pStyle w:val="a3"/>
              <w:rPr>
                <w:sz w:val="26"/>
                <w:szCs w:val="26"/>
                <w:lang w:val="es-ES" w:eastAsia="ko-KR"/>
              </w:rPr>
            </w:pPr>
          </w:p>
        </w:tc>
      </w:tr>
    </w:tbl>
    <w:p w14:paraId="6171A7B0" w14:textId="77777777" w:rsidR="0050099E" w:rsidRPr="00C35766" w:rsidRDefault="0050099E" w:rsidP="0050099E">
      <w:pPr>
        <w:ind w:left="224" w:right="1248"/>
        <w:rPr>
          <w:rFonts w:ascii="Times New Roman" w:eastAsia="Times New Roman" w:hAnsi="Times New Roman" w:cs="Times New Roman"/>
          <w:b/>
          <w:bCs/>
          <w:lang w:val="es-ES"/>
        </w:rPr>
      </w:pPr>
    </w:p>
    <w:p w14:paraId="603AE899" w14:textId="77777777" w:rsidR="0050099E" w:rsidRPr="00C35766" w:rsidRDefault="0050099E" w:rsidP="0050099E">
      <w:pPr>
        <w:ind w:left="224" w:right="1248"/>
        <w:rPr>
          <w:rFonts w:ascii="Times New Roman" w:eastAsia="Times New Roman" w:hAnsi="Times New Roman" w:cs="Times New Roman"/>
          <w:b/>
          <w:bCs/>
          <w:lang w:val="es-ES"/>
        </w:rPr>
      </w:pPr>
    </w:p>
    <w:p w14:paraId="4EFA115E" w14:textId="77777777" w:rsidR="0050099E" w:rsidRPr="00C35766" w:rsidRDefault="0050099E" w:rsidP="0050099E">
      <w:pPr>
        <w:ind w:left="224" w:right="1248"/>
        <w:rPr>
          <w:rFonts w:ascii="Times New Roman" w:eastAsia="Times New Roman" w:hAnsi="Times New Roman" w:cs="Times New Roman"/>
          <w:b/>
          <w:bCs/>
          <w:lang w:val="es-ES"/>
        </w:rPr>
      </w:pPr>
    </w:p>
    <w:tbl>
      <w:tblPr>
        <w:tblStyle w:val="ac"/>
        <w:tblW w:w="0" w:type="auto"/>
        <w:tblLook w:val="04A0" w:firstRow="1" w:lastRow="0" w:firstColumn="1" w:lastColumn="0" w:noHBand="0" w:noVBand="1"/>
      </w:tblPr>
      <w:tblGrid>
        <w:gridCol w:w="9581"/>
      </w:tblGrid>
      <w:tr w:rsidR="0050099E" w:rsidRPr="00C35766" w14:paraId="004CEE18" w14:textId="77777777" w:rsidTr="00933A6C">
        <w:trPr>
          <w:trHeight w:val="5805"/>
        </w:trPr>
        <w:tc>
          <w:tcPr>
            <w:tcW w:w="9581" w:type="dxa"/>
          </w:tcPr>
          <w:p w14:paraId="6A79308B" w14:textId="77777777" w:rsidR="0050099E" w:rsidRPr="00C35766" w:rsidRDefault="0050099E" w:rsidP="00933A6C">
            <w:pPr>
              <w:pStyle w:val="1"/>
              <w:spacing w:before="76"/>
              <w:ind w:left="0" w:right="2736"/>
              <w:rPr>
                <w:rFonts w:eastAsiaTheme="minorEastAsia" w:cs="Times New Roman"/>
                <w:lang w:val="es-ES" w:eastAsia="ko-KR"/>
              </w:rPr>
            </w:pPr>
          </w:p>
          <w:p w14:paraId="464825D4" w14:textId="77777777" w:rsidR="0050099E" w:rsidRPr="00C35766" w:rsidRDefault="0050099E" w:rsidP="00933A6C">
            <w:pPr>
              <w:pStyle w:val="1"/>
              <w:spacing w:before="76"/>
              <w:ind w:left="0" w:right="2736"/>
              <w:rPr>
                <w:rFonts w:eastAsiaTheme="minorEastAsia" w:cs="Times New Roman"/>
                <w:lang w:val="es-ES" w:eastAsia="ko-KR"/>
              </w:rPr>
            </w:pPr>
            <w:r w:rsidRPr="00C35766">
              <w:rPr>
                <w:rFonts w:eastAsiaTheme="minorEastAsia" w:cs="Times New Roman"/>
                <w:noProof/>
                <w:lang w:eastAsia="ko-KR"/>
              </w:rPr>
              <mc:AlternateContent>
                <mc:Choice Requires="wpg">
                  <w:drawing>
                    <wp:anchor distT="0" distB="0" distL="114300" distR="114300" simplePos="0" relativeHeight="251658306" behindDoc="0" locked="0" layoutInCell="1" allowOverlap="1" wp14:anchorId="315E9B03" wp14:editId="4D7E2715">
                      <wp:simplePos x="0" y="0"/>
                      <wp:positionH relativeFrom="column">
                        <wp:posOffset>-20955</wp:posOffset>
                      </wp:positionH>
                      <wp:positionV relativeFrom="paragraph">
                        <wp:posOffset>116205</wp:posOffset>
                      </wp:positionV>
                      <wp:extent cx="2408555" cy="3092450"/>
                      <wp:effectExtent l="0" t="0" r="0" b="0"/>
                      <wp:wrapSquare wrapText="bothSides"/>
                      <wp:docPr id="3913" name="그룹 3913"/>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3914" name="그림 391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915" name="Text Box 3915"/>
                              <wps:cNvSpPr txBox="1"/>
                              <wps:spPr>
                                <a:xfrm>
                                  <a:off x="1688465" y="2946400"/>
                                  <a:ext cx="720090" cy="146050"/>
                                </a:xfrm>
                                <a:prstGeom prst="rect">
                                  <a:avLst/>
                                </a:prstGeom>
                                <a:solidFill>
                                  <a:prstClr val="white"/>
                                </a:solidFill>
                                <a:ln>
                                  <a:noFill/>
                                </a:ln>
                              </wps:spPr>
                              <wps:txbx>
                                <w:txbxContent>
                                  <w:p w14:paraId="731F46B5" w14:textId="609CE995" w:rsidR="00D97785" w:rsidRDefault="00D97785" w:rsidP="0050099E">
                                    <w:pPr>
                                      <w:pStyle w:val="af0"/>
                                      <w:jc w:val="right"/>
                                      <w:rPr>
                                        <w:rFonts w:cs="Times New Roman"/>
                                        <w:noProof/>
                                      </w:rPr>
                                    </w:pPr>
                                    <w:r>
                                      <w:rPr>
                                        <w:rFonts w:ascii="Times New Roman" w:eastAsia="Times New Roman" w:hAnsi="Times New Roman" w:cs="Times New Roman"/>
                                        <w:lang w:val="it-IT"/>
                                      </w:rPr>
                                      <w:t>Figura</w:t>
                                    </w:r>
                                    <w:r>
                                      <w:rPr>
                                        <w:rFonts w:ascii="Times New Roman" w:hAnsi="Times New Roman" w:cs="Times New Roman"/>
                                      </w:rPr>
                                      <w:t xml:space="preserve">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5E9B03" id="그룹 3913" o:spid="_x0000_s1307" style="position:absolute;margin-left:-1.65pt;margin-top:9.15pt;width:189.65pt;height:243.5pt;z-index:251658306"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">
                      <v:shape id="그림 3914" o:spid="_x0000_s1308"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">
                        <v:imagedata r:id="rId46" o:title=""/>
                      </v:shape>
                      <v:shape id="_x0000_s1309"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" stroked="f">
                        <v:textbox style="mso-fit-shape-to-text:t" inset="0,0,0,0">
                          <w:txbxContent>
                            <w:p w14:paraId="731F46B5" w14:textId="609CE995" w:rsidR="00D97785" w:rsidRDefault="00D97785" w:rsidP="0050099E">
                              <w:pPr>
                                <w:pStyle w:val="af0"/>
                                <w:jc w:val="right"/>
                                <w:rPr>
                                  <w:rFonts w:cs="Times New Roman"/>
                                  <w:noProof/>
                                </w:rPr>
                              </w:pPr>
                              <w:r>
                                <w:rPr>
                                  <w:rFonts w:ascii="Times New Roman" w:eastAsia="Times New Roman" w:hAnsi="Times New Roman" w:cs="Times New Roman"/>
                                  <w:lang w:val="it-IT"/>
                                </w:rPr>
                                <w:t>Figura</w:t>
                              </w:r>
                              <w:r>
                                <w:rPr>
                                  <w:rFonts w:ascii="Times New Roman" w:hAnsi="Times New Roman" w:cs="Times New Roman"/>
                                </w:rPr>
                                <w:t xml:space="preserve"> F</w:t>
                              </w:r>
                            </w:p>
                          </w:txbxContent>
                        </v:textbox>
                      </v:shape>
                      <w10:wrap type="square"/>
                    </v:group>
                  </w:pict>
                </mc:Fallback>
              </mc:AlternateContent>
            </w:r>
          </w:p>
          <w:p w14:paraId="58E00DFB" w14:textId="77777777" w:rsidR="0050099E" w:rsidRPr="00C35766" w:rsidRDefault="0050099E" w:rsidP="00933A6C">
            <w:pPr>
              <w:pStyle w:val="a3"/>
              <w:numPr>
                <w:ilvl w:val="0"/>
                <w:numId w:val="67"/>
              </w:numPr>
              <w:rPr>
                <w:b/>
              </w:rPr>
            </w:pPr>
            <w:r w:rsidRPr="00C35766">
              <w:rPr>
                <w:rFonts w:eastAsia="Times New Roman"/>
                <w:b/>
                <w:bCs/>
                <w:lang w:val="it-IT"/>
              </w:rPr>
              <w:t>Si lavi le mani.</w:t>
            </w:r>
          </w:p>
          <w:p w14:paraId="26853977" w14:textId="77777777" w:rsidR="0050099E" w:rsidRPr="00C35766" w:rsidRDefault="0050099E" w:rsidP="00933A6C">
            <w:pPr>
              <w:pStyle w:val="a3"/>
              <w:rPr>
                <w:b/>
              </w:rPr>
            </w:pPr>
          </w:p>
          <w:p w14:paraId="5FFA578E" w14:textId="77777777" w:rsidR="0050099E" w:rsidRPr="00C35766" w:rsidRDefault="0050099E" w:rsidP="00933A6C">
            <w:pPr>
              <w:pStyle w:val="a3"/>
              <w:rPr>
                <w:lang w:val="it-IT"/>
              </w:rPr>
            </w:pPr>
            <w:r w:rsidRPr="00C35766">
              <w:rPr>
                <w:rFonts w:eastAsia="Times New Roman"/>
                <w:b/>
                <w:bCs/>
                <w:lang w:val="it-IT"/>
              </w:rPr>
              <w:t xml:space="preserve">     a.</w:t>
            </w:r>
            <w:r w:rsidRPr="00C35766">
              <w:rPr>
                <w:rFonts w:eastAsia="Times New Roman"/>
                <w:lang w:val="it-IT"/>
              </w:rPr>
              <w:t xml:space="preserve"> Si lavi le mani con acqua e sapone e le asciughi </w:t>
            </w:r>
          </w:p>
          <w:p w14:paraId="21FDCDCF" w14:textId="77777777" w:rsidR="0050099E" w:rsidRPr="00C35766" w:rsidRDefault="0050099E" w:rsidP="00933A6C">
            <w:pPr>
              <w:pStyle w:val="a3"/>
            </w:pPr>
            <w:r w:rsidRPr="00C35766">
              <w:rPr>
                <w:rFonts w:eastAsia="Times New Roman"/>
                <w:lang w:val="it-IT"/>
              </w:rPr>
              <w:t xml:space="preserve">          accuratamente. </w:t>
            </w:r>
          </w:p>
          <w:p w14:paraId="20CD5545" w14:textId="77777777" w:rsidR="0050099E" w:rsidRPr="00C35766" w:rsidRDefault="0050099E" w:rsidP="00933A6C">
            <w:pPr>
              <w:pStyle w:val="1"/>
              <w:spacing w:before="76"/>
              <w:ind w:left="0" w:right="2736"/>
              <w:rPr>
                <w:rFonts w:eastAsiaTheme="minorEastAsia" w:cs="Times New Roman"/>
                <w:lang w:eastAsia="ko-KR"/>
              </w:rPr>
            </w:pPr>
          </w:p>
        </w:tc>
      </w:tr>
      <w:tr w:rsidR="0050099E" w:rsidRPr="002A37A2" w14:paraId="3B4B8A57" w14:textId="77777777" w:rsidTr="00713ADC">
        <w:trPr>
          <w:trHeight w:val="5386"/>
        </w:trPr>
        <w:tc>
          <w:tcPr>
            <w:tcW w:w="9581" w:type="dxa"/>
          </w:tcPr>
          <w:p w14:paraId="2256C0C6" w14:textId="77777777" w:rsidR="0050099E" w:rsidRPr="00C35766" w:rsidRDefault="0050099E" w:rsidP="00933A6C">
            <w:pPr>
              <w:ind w:left="104"/>
              <w:rPr>
                <w:rFonts w:ascii="Times New Roman" w:eastAsia="Times New Roman" w:hAnsi="Times New Roman" w:cs="Times New Roman"/>
                <w:b/>
                <w:bCs/>
                <w:spacing w:val="-1"/>
              </w:rPr>
            </w:pPr>
          </w:p>
          <w:p w14:paraId="752E2C4B" w14:textId="77777777" w:rsidR="0050099E" w:rsidRPr="00C35766" w:rsidRDefault="0050099E" w:rsidP="00933A6C">
            <w:pPr>
              <w:ind w:left="104"/>
              <w:rPr>
                <w:rFonts w:ascii="Times New Roman" w:eastAsia="Times New Roman" w:hAnsi="Times New Roman" w:cs="Times New Roman"/>
                <w:b/>
                <w:bCs/>
                <w:spacing w:val="-1"/>
              </w:rPr>
            </w:pPr>
          </w:p>
          <w:p w14:paraId="07662299" w14:textId="77777777" w:rsidR="0050099E" w:rsidRPr="00C35766" w:rsidRDefault="0050099E" w:rsidP="00933A6C">
            <w:pPr>
              <w:pStyle w:val="a3"/>
              <w:numPr>
                <w:ilvl w:val="0"/>
                <w:numId w:val="67"/>
              </w:numPr>
            </w:pPr>
            <w:r w:rsidRPr="00C35766">
              <w:rPr>
                <w:noProof/>
                <w:lang w:eastAsia="ko-KR"/>
              </w:rPr>
              <mc:AlternateContent>
                <mc:Choice Requires="wpg">
                  <w:drawing>
                    <wp:anchor distT="0" distB="0" distL="114300" distR="114300" simplePos="0" relativeHeight="251658340" behindDoc="0" locked="0" layoutInCell="1" allowOverlap="1" wp14:anchorId="293D488C" wp14:editId="7BAE2824">
                      <wp:simplePos x="0" y="0"/>
                      <wp:positionH relativeFrom="column">
                        <wp:posOffset>56515</wp:posOffset>
                      </wp:positionH>
                      <wp:positionV relativeFrom="paragraph">
                        <wp:posOffset>100965</wp:posOffset>
                      </wp:positionV>
                      <wp:extent cx="2256458" cy="2921000"/>
                      <wp:effectExtent l="0" t="0" r="0" b="0"/>
                      <wp:wrapSquare wrapText="bothSides"/>
                      <wp:docPr id="3916" name="그룹 3916"/>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3917" name="그림 391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18" name="Text Box 3918"/>
                              <wps:cNvSpPr txBox="1"/>
                              <wps:spPr>
                                <a:xfrm>
                                  <a:off x="1536700" y="2774950"/>
                                  <a:ext cx="719758" cy="146050"/>
                                </a:xfrm>
                                <a:prstGeom prst="rect">
                                  <a:avLst/>
                                </a:prstGeom>
                                <a:solidFill>
                                  <a:prstClr val="white"/>
                                </a:solidFill>
                                <a:ln>
                                  <a:noFill/>
                                </a:ln>
                              </wps:spPr>
                              <wps:txbx>
                                <w:txbxContent>
                                  <w:p w14:paraId="22109C60" w14:textId="771D6432"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93D488C" id="그룹 3916" o:spid="_x0000_s1310" style="position:absolute;left:0;text-align:left;margin-left:4.45pt;margin-top:7.95pt;width:177.65pt;height:230pt;z-index:251658340"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">
                      <v:shape id="그림 3917" o:spid="_x0000_s1311"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">
                        <v:imagedata r:id="rId48" o:title=""/>
                      </v:shape>
                      <v:shape id="Text Box 3918" o:spid="_x0000_s1312"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" stroked="f">
                        <v:textbox style="mso-fit-shape-to-text:t" inset="0,0,0,0">
                          <w:txbxContent>
                            <w:p w14:paraId="22109C60" w14:textId="771D6432" w:rsidR="00D97785" w:rsidRDefault="00D97785" w:rsidP="0050099E">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v:textbox>
                      </v:shape>
                      <w10:wrap type="square"/>
                    </v:group>
                  </w:pict>
                </mc:Fallback>
              </mc:AlternateContent>
            </w:r>
            <w:r w:rsidRPr="00C35766">
              <w:rPr>
                <w:b/>
                <w:noProof/>
                <w:lang w:eastAsia="ko-KR"/>
              </w:rPr>
              <mc:AlternateContent>
                <mc:Choice Requires="wpg">
                  <w:drawing>
                    <wp:anchor distT="0" distB="0" distL="114300" distR="114300" simplePos="0" relativeHeight="251658307" behindDoc="0" locked="0" layoutInCell="1" allowOverlap="1" wp14:anchorId="52437B4E" wp14:editId="6346F346">
                      <wp:simplePos x="0" y="0"/>
                      <wp:positionH relativeFrom="column">
                        <wp:posOffset>48895</wp:posOffset>
                      </wp:positionH>
                      <wp:positionV relativeFrom="paragraph">
                        <wp:posOffset>110490</wp:posOffset>
                      </wp:positionV>
                      <wp:extent cx="2256155" cy="2889250"/>
                      <wp:effectExtent l="0" t="0" r="0" b="6350"/>
                      <wp:wrapSquare wrapText="bothSides"/>
                      <wp:docPr id="3919" name="그룹 3919"/>
                      <wp:cNvGraphicFramePr/>
                      <a:graphic xmlns:a="http://schemas.openxmlformats.org/drawingml/2006/main">
                        <a:graphicData uri="http://schemas.microsoft.com/office/word/2010/wordprocessingGroup">
                          <wpg:wgp>
                            <wpg:cNvGrpSpPr/>
                            <wpg:grpSpPr>
                              <a:xfrm>
                                <a:off x="0" y="0"/>
                                <a:ext cx="2256155" cy="2889250"/>
                                <a:chOff x="0" y="0"/>
                                <a:chExt cx="2256155" cy="2889250"/>
                              </a:xfrm>
                            </wpg:grpSpPr>
                            <pic:pic xmlns:pic="http://schemas.openxmlformats.org/drawingml/2006/picture">
                              <pic:nvPicPr>
                                <pic:cNvPr id="3920" name="그림 392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3921" name="Text Box 3921"/>
                              <wps:cNvSpPr txBox="1"/>
                              <wps:spPr>
                                <a:xfrm>
                                  <a:off x="1536065" y="2743200"/>
                                  <a:ext cx="720090" cy="146050"/>
                                </a:xfrm>
                                <a:prstGeom prst="rect">
                                  <a:avLst/>
                                </a:prstGeom>
                                <a:solidFill>
                                  <a:prstClr val="white"/>
                                </a:solidFill>
                                <a:ln>
                                  <a:noFill/>
                                </a:ln>
                              </wps:spPr>
                              <wps:txbx>
                                <w:txbxContent>
                                  <w:p w14:paraId="62C741B2" w14:textId="0C28A84F" w:rsidR="00D97785" w:rsidRDefault="00D97785" w:rsidP="0050099E">
                                    <w:pPr>
                                      <w:pStyle w:val="af0"/>
                                      <w:jc w:val="right"/>
                                      <w:rPr>
                                        <w:b w:val="0"/>
                                        <w:noProof/>
                                      </w:rPr>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C</w:t>
                                    </w:r>
                                    <w:r>
                                      <w:rPr>
                                        <w:rFonts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437B4E" id="그룹 3919" o:spid="_x0000_s1313" style="position:absolute;left:0;text-align:left;margin-left:3.85pt;margin-top:8.7pt;width:177.65pt;height:227.5pt;z-index:251658307" coordsize="22561,288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">
                      <v:shape id="그림 3920" o:spid="_x0000_s1314"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">
                        <v:imagedata r:id="rId50" o:title=""/>
                      </v:shape>
                      <v:shape id="Text Box 3921" o:spid="_x0000_s1315" type="#_x0000_t202" style="position:absolute;left:15360;top:2743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" stroked="f">
                        <v:textbox style="mso-fit-shape-to-text:t" inset="0,0,0,0">
                          <w:txbxContent>
                            <w:p w14:paraId="62C741B2" w14:textId="0C28A84F" w:rsidR="00D97785" w:rsidRDefault="00D97785" w:rsidP="0050099E">
                              <w:pPr>
                                <w:pStyle w:val="af0"/>
                                <w:jc w:val="right"/>
                                <w:rPr>
                                  <w:b w:val="0"/>
                                  <w:noProof/>
                                </w:rPr>
                              </w:pPr>
                              <w:r>
                                <w:rPr>
                                  <w:rFonts w:ascii="Times New Roman" w:eastAsia="Times New Roman" w:hAnsi="Times New Roman" w:cs="Times New Roman"/>
                                  <w:lang w:val="it-IT"/>
                                </w:rPr>
                                <w:t>Figura </w:t>
                              </w:r>
                              <w:r>
                                <w:rPr>
                                  <w:rFonts w:ascii="Times New Roman" w:hAnsi="Times New Roman" w:cs="Times New Roman"/>
                                </w:rPr>
                                <w:fldChar w:fldCharType="begin"/>
                              </w:r>
                              <w:r>
                                <w:rPr>
                                  <w:rFonts w:ascii="Times New Roman" w:hAnsi="Times New Roman" w:cs="Times New Roman"/>
                                  <w:bCs w:val="0"/>
                                </w:rPr>
                                <w:instrText xml:space="preserve"> SEQ Figure \* ALPHABETIC </w:instrText>
                              </w:r>
                              <w:r>
                                <w:rPr>
                                  <w:rFonts w:ascii="Times New Roman" w:hAnsi="Times New Roman" w:cs="Times New Roman"/>
                                </w:rPr>
                                <w:fldChar w:fldCharType="separate"/>
                              </w:r>
                              <w:r>
                                <w:rPr>
                                  <w:rFonts w:ascii="Times New Roman" w:hAnsi="Times New Roman" w:cs="Times New Roman"/>
                                  <w:bCs w:val="0"/>
                                  <w:noProof/>
                                </w:rPr>
                                <w:t>C</w:t>
                              </w:r>
                              <w:r>
                                <w:rPr>
                                  <w:rFonts w:ascii="Times New Roman" w:hAnsi="Times New Roman" w:cs="Times New Roman"/>
                                </w:rPr>
                                <w:fldChar w:fldCharType="end"/>
                              </w:r>
                            </w:p>
                          </w:txbxContent>
                        </v:textbox>
                      </v:shape>
                      <w10:wrap type="square"/>
                    </v:group>
                  </w:pict>
                </mc:Fallback>
              </mc:AlternateContent>
            </w:r>
            <w:r w:rsidRPr="00C35766">
              <w:rPr>
                <w:rFonts w:eastAsia="Times New Roman"/>
                <w:b/>
                <w:bCs/>
                <w:lang w:val="it-IT"/>
              </w:rPr>
              <w:t>Pulisca il sito d’iniezione</w:t>
            </w:r>
          </w:p>
          <w:p w14:paraId="744A0A0A" w14:textId="77777777" w:rsidR="0050099E" w:rsidRPr="00C35766" w:rsidRDefault="0050099E" w:rsidP="00933A6C">
            <w:pPr>
              <w:pStyle w:val="a3"/>
              <w:numPr>
                <w:ilvl w:val="0"/>
                <w:numId w:val="0"/>
              </w:numPr>
              <w:ind w:left="471"/>
            </w:pPr>
          </w:p>
          <w:p w14:paraId="57702641" w14:textId="77777777" w:rsidR="0050099E" w:rsidRPr="00C35766" w:rsidRDefault="0050099E" w:rsidP="00933A6C">
            <w:pPr>
              <w:pStyle w:val="a3"/>
              <w:rPr>
                <w:lang w:val="es-ES"/>
              </w:rPr>
            </w:pPr>
            <w:r w:rsidRPr="00C35766">
              <w:rPr>
                <w:rFonts w:eastAsia="Times New Roman"/>
                <w:lang w:val="it-IT"/>
              </w:rPr>
              <w:t xml:space="preserve">    </w:t>
            </w:r>
            <w:r w:rsidRPr="00C35766">
              <w:rPr>
                <w:rFonts w:eastAsia="Times New Roman"/>
                <w:b/>
                <w:bCs/>
                <w:lang w:val="it-IT"/>
              </w:rPr>
              <w:t xml:space="preserve"> a.</w:t>
            </w:r>
            <w:r w:rsidRPr="00C35766">
              <w:rPr>
                <w:rFonts w:eastAsia="Times New Roman"/>
                <w:lang w:val="it-IT"/>
              </w:rPr>
              <w:t xml:space="preserve"> Pulisca il sito d’iniezione con un tampone imbevuto di alcol eseguendo un movimento circolare.</w:t>
            </w:r>
          </w:p>
          <w:p w14:paraId="047878F0" w14:textId="77777777" w:rsidR="0050099E" w:rsidRPr="00C35766" w:rsidRDefault="0050099E" w:rsidP="00933A6C">
            <w:pPr>
              <w:pStyle w:val="a3"/>
              <w:rPr>
                <w:lang w:val="es-ES"/>
              </w:rPr>
            </w:pPr>
            <w:r w:rsidRPr="00C35766">
              <w:rPr>
                <w:rFonts w:eastAsia="Times New Roman"/>
                <w:lang w:val="it-IT"/>
              </w:rPr>
              <w:t xml:space="preserve">    </w:t>
            </w:r>
            <w:r w:rsidRPr="00C35766">
              <w:rPr>
                <w:rFonts w:eastAsia="Times New Roman"/>
                <w:b/>
                <w:bCs/>
                <w:lang w:val="it-IT"/>
              </w:rPr>
              <w:t>b.</w:t>
            </w:r>
            <w:r w:rsidRPr="00C35766">
              <w:rPr>
                <w:rFonts w:eastAsia="Times New Roman"/>
                <w:lang w:val="it-IT"/>
              </w:rPr>
              <w:t xml:space="preserve"> Lasci asciugare la pelle prima dell’iniezione.</w:t>
            </w:r>
          </w:p>
          <w:p w14:paraId="1CC44331" w14:textId="77777777" w:rsidR="0050099E" w:rsidRPr="00C35766" w:rsidRDefault="0050099E" w:rsidP="00933A6C">
            <w:pPr>
              <w:pStyle w:val="a3"/>
              <w:rPr>
                <w:lang w:val="es-ES"/>
              </w:rPr>
            </w:pPr>
          </w:p>
          <w:p w14:paraId="30526487" w14:textId="77777777" w:rsidR="0050099E" w:rsidRPr="00C35766" w:rsidRDefault="0050099E" w:rsidP="00933A6C">
            <w:pPr>
              <w:pStyle w:val="a3"/>
              <w:rPr>
                <w:lang w:val="es-ES"/>
              </w:rPr>
            </w:pPr>
          </w:p>
          <w:p w14:paraId="63E74B95" w14:textId="77777777" w:rsidR="0050099E" w:rsidRPr="00C35766" w:rsidRDefault="0050099E" w:rsidP="00933A6C">
            <w:pPr>
              <w:pStyle w:val="a3"/>
              <w:rPr>
                <w:lang w:val="it-IT"/>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soffi sul sito d’iniezione né lo tocchi nuovamente prima di eseguire l’iniezione.</w:t>
            </w:r>
          </w:p>
        </w:tc>
      </w:tr>
      <w:tr w:rsidR="0050099E" w:rsidRPr="00494E69" w14:paraId="4BBAC60E" w14:textId="77777777" w:rsidTr="00933A6C">
        <w:trPr>
          <w:trHeight w:val="5664"/>
        </w:trPr>
        <w:tc>
          <w:tcPr>
            <w:tcW w:w="9581" w:type="dxa"/>
          </w:tcPr>
          <w:p w14:paraId="690AEBED" w14:textId="77777777" w:rsidR="0050099E" w:rsidRPr="00C35766" w:rsidRDefault="0050099E" w:rsidP="00AF25F1">
            <w:pPr>
              <w:rPr>
                <w:rFonts w:ascii="Times New Roman" w:hAnsi="Times New Roman" w:cs="Times New Roman"/>
                <w:lang w:val="it-IT"/>
              </w:rPr>
            </w:pPr>
          </w:p>
          <w:p w14:paraId="0B5C69ED" w14:textId="39BC2CDB" w:rsidR="0050099E" w:rsidRPr="00C35766" w:rsidRDefault="0050099E" w:rsidP="00F3069E">
            <w:pPr>
              <w:pStyle w:val="a3"/>
              <w:numPr>
                <w:ilvl w:val="0"/>
                <w:numId w:val="67"/>
              </w:numPr>
              <w:rPr>
                <w:b/>
              </w:rPr>
            </w:pPr>
            <w:r w:rsidRPr="00C35766">
              <w:rPr>
                <w:noProof/>
                <w:color w:val="000000"/>
                <w:sz w:val="24"/>
                <w:szCs w:val="24"/>
                <w:lang w:eastAsia="ko-KR"/>
              </w:rPr>
              <mc:AlternateContent>
                <mc:Choice Requires="wpg">
                  <w:drawing>
                    <wp:anchor distT="0" distB="0" distL="114300" distR="114300" simplePos="0" relativeHeight="251658341" behindDoc="0" locked="0" layoutInCell="1" allowOverlap="1" wp14:anchorId="44195278" wp14:editId="33EFAA8F">
                      <wp:simplePos x="0" y="0"/>
                      <wp:positionH relativeFrom="column">
                        <wp:posOffset>-5715</wp:posOffset>
                      </wp:positionH>
                      <wp:positionV relativeFrom="paragraph">
                        <wp:posOffset>43815</wp:posOffset>
                      </wp:positionV>
                      <wp:extent cx="2294255" cy="2997200"/>
                      <wp:effectExtent l="19050" t="19050" r="10795" b="0"/>
                      <wp:wrapSquare wrapText="bothSides"/>
                      <wp:docPr id="3922" name="그룹 3922"/>
                      <wp:cNvGraphicFramePr/>
                      <a:graphic xmlns:a="http://schemas.openxmlformats.org/drawingml/2006/main">
                        <a:graphicData uri="http://schemas.microsoft.com/office/word/2010/wordprocessingGroup">
                          <wpg:wgp>
                            <wpg:cNvGrpSpPr/>
                            <wpg:grpSpPr>
                              <a:xfrm>
                                <a:off x="0" y="0"/>
                                <a:ext cx="2289264" cy="2997200"/>
                                <a:chOff x="4991" y="0"/>
                                <a:chExt cx="2289264" cy="2997200"/>
                              </a:xfrm>
                            </wpg:grpSpPr>
                            <wpg:grpSp>
                              <wpg:cNvPr id="3923" name="그룹 3923"/>
                              <wpg:cNvGrpSpPr/>
                              <wpg:grpSpPr>
                                <a:xfrm>
                                  <a:off x="4991" y="0"/>
                                  <a:ext cx="2289264" cy="2997200"/>
                                  <a:chOff x="4991" y="0"/>
                                  <a:chExt cx="2289264" cy="2997200"/>
                                </a:xfrm>
                              </wpg:grpSpPr>
                              <pic:pic xmlns:pic="http://schemas.openxmlformats.org/drawingml/2006/picture">
                                <pic:nvPicPr>
                                  <pic:cNvPr id="3924" name="그림 3924"/>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4991" y="0"/>
                                    <a:ext cx="2284272" cy="2819400"/>
                                  </a:xfrm>
                                  <a:prstGeom prst="rect">
                                    <a:avLst/>
                                  </a:prstGeom>
                                  <a:ln>
                                    <a:solidFill>
                                      <a:schemeClr val="tx1"/>
                                    </a:solidFill>
                                  </a:ln>
                                </pic:spPr>
                              </pic:pic>
                              <wps:wsp>
                                <wps:cNvPr id="3925" name="Text Box 3925"/>
                                <wps:cNvSpPr txBox="1"/>
                                <wps:spPr>
                                  <a:xfrm>
                                    <a:off x="1574165" y="2851150"/>
                                    <a:ext cx="720090" cy="146050"/>
                                  </a:xfrm>
                                  <a:prstGeom prst="rect">
                                    <a:avLst/>
                                  </a:prstGeom>
                                  <a:solidFill>
                                    <a:prstClr val="white"/>
                                  </a:solidFill>
                                  <a:ln>
                                    <a:noFill/>
                                  </a:ln>
                                </wps:spPr>
                                <wps:txbx>
                                  <w:txbxContent>
                                    <w:p w14:paraId="03D0E3DC" w14:textId="4122B33B" w:rsidR="00D97785" w:rsidRDefault="00D97785" w:rsidP="0050099E">
                                      <w:pPr>
                                        <w:pStyle w:val="af0"/>
                                        <w:jc w:val="right"/>
                                        <w:rPr>
                                          <w:rFonts w:ascii="Times New Roman" w:hAnsi="Times New Roman" w:cs="Times New Roman"/>
                                          <w:noProof/>
                                        </w:rPr>
                                      </w:pPr>
                                      <w:r>
                                        <w:rPr>
                                          <w:rFonts w:ascii="Times New Roman" w:eastAsia="Times New Roman" w:hAnsi="Times New Roman" w:cs="Times New Roman"/>
                                          <w:lang w:val="it-IT"/>
                                        </w:rPr>
                                        <w:t>Figura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26" name="Text Box 3926"/>
                              <wps:cNvSpPr txBox="1"/>
                              <wps:spPr>
                                <a:xfrm>
                                  <a:off x="1181100" y="784860"/>
                                  <a:ext cx="1103630" cy="69342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16F8D" w14:textId="77777777" w:rsidR="00D97785" w:rsidRDefault="00D97785" w:rsidP="0050099E">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4195278" id="그룹 3922" o:spid="_x0000_s1316" style="position:absolute;left:0;text-align:left;margin-left:-.45pt;margin-top:3.45pt;width:180.65pt;height:236pt;z-index:251658341"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">
                      <v:group id="그룹 3923" o:spid="_x0000_s1317"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">
                        <v:shape id="그림 3924" o:spid="_x0000_s1318"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" stroked="t" strokecolor="black [3213]">
                          <v:imagedata r:id="rId146" o:title=""/>
                          <v:path arrowok="t"/>
                        </v:shape>
                        <v:shape id="Text Box 3925" o:spid="_x0000_s1319"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" stroked="f">
                          <v:textbox style="mso-fit-shape-to-text:t" inset="0,0,0,0">
                            <w:txbxContent>
                              <w:p w14:paraId="03D0E3DC" w14:textId="4122B33B" w:rsidR="00D97785" w:rsidRDefault="00D97785" w:rsidP="0050099E">
                                <w:pPr>
                                  <w:pStyle w:val="af0"/>
                                  <w:jc w:val="right"/>
                                  <w:rPr>
                                    <w:rFonts w:ascii="Times New Roman" w:hAnsi="Times New Roman" w:cs="Times New Roman"/>
                                    <w:noProof/>
                                  </w:rPr>
                                </w:pPr>
                                <w:r>
                                  <w:rPr>
                                    <w:rFonts w:ascii="Times New Roman" w:eastAsia="Times New Roman" w:hAnsi="Times New Roman" w:cs="Times New Roman"/>
                                    <w:lang w:val="it-IT"/>
                                  </w:rPr>
                                  <w:t>Figura </w:t>
                                </w:r>
                                <w:r>
                                  <w:rPr>
                                    <w:rFonts w:ascii="Times New Roman" w:hAnsi="Times New Roman" w:cs="Times New Roman"/>
                                  </w:rPr>
                                  <w:t>H</w:t>
                                </w:r>
                              </w:p>
                            </w:txbxContent>
                          </v:textbox>
                        </v:shape>
                      </v:group>
                      <v:shape id="Text Box 3926" o:spid="_x0000_s1320" type="#_x0000_t202" style="position:absolute;left:11811;top:7848;width:1103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" fillcolor="white [3212]" stroked="f" strokeweight=".5pt">
                        <v:textbox inset="0,0,0,0">
                          <w:txbxContent>
                            <w:p w14:paraId="56216F8D" w14:textId="77777777" w:rsidR="00D97785" w:rsidRDefault="00D97785" w:rsidP="0050099E">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v:textbox>
                      </v:shape>
                      <w10:wrap type="square"/>
                    </v:group>
                  </w:pict>
                </mc:Fallback>
              </mc:AlternateContent>
            </w:r>
            <w:r w:rsidRPr="00C35766">
              <w:rPr>
                <w:rFonts w:eastAsia="Times New Roman"/>
                <w:b/>
                <w:bCs/>
                <w:lang w:val="it-IT"/>
              </w:rPr>
              <w:t>Rimuova il cappuccio</w:t>
            </w:r>
          </w:p>
          <w:p w14:paraId="73586902" w14:textId="77777777" w:rsidR="0050099E" w:rsidRPr="00C35766" w:rsidRDefault="0050099E" w:rsidP="00933A6C">
            <w:pPr>
              <w:pStyle w:val="a3"/>
            </w:pPr>
          </w:p>
          <w:p w14:paraId="21C16F9C" w14:textId="77777777" w:rsidR="0050099E" w:rsidRPr="00C35766" w:rsidRDefault="0050099E" w:rsidP="00933A6C">
            <w:pPr>
              <w:pStyle w:val="a3"/>
              <w:ind w:left="4404" w:hangingChars="2000" w:hanging="4404"/>
              <w:rPr>
                <w:rFonts w:eastAsia="Times New Roman"/>
                <w:lang w:val="it-IT"/>
              </w:rPr>
            </w:pPr>
            <w:r w:rsidRPr="00C35766">
              <w:rPr>
                <w:rFonts w:eastAsia="Times New Roman"/>
                <w:b/>
                <w:bCs/>
                <w:lang w:val="it-IT"/>
              </w:rPr>
              <w:t xml:space="preserve">     a.</w:t>
            </w:r>
            <w:r w:rsidRPr="00C35766">
              <w:rPr>
                <w:rFonts w:eastAsia="Times New Roman"/>
                <w:lang w:val="it-IT"/>
              </w:rPr>
              <w:t xml:space="preserve"> Tenga con una mano la penna pre-riempita dal corpo con </w:t>
            </w:r>
            <w:r w:rsidRPr="00C35766">
              <w:rPr>
                <w:rFonts w:eastAsia="Times New Roman"/>
                <w:lang w:val="it-IT"/>
              </w:rPr>
              <w:br/>
              <w:t xml:space="preserve">il cappuccio inserito. Tiri delicatamente il cappuccio con l'altra mano.    </w:t>
            </w:r>
          </w:p>
          <w:p w14:paraId="14E36D25" w14:textId="77777777" w:rsidR="0050099E" w:rsidRPr="00C35766" w:rsidRDefault="0050099E" w:rsidP="00933A6C">
            <w:pPr>
              <w:pStyle w:val="a3"/>
              <w:rPr>
                <w:lang w:val="it-IT"/>
              </w:rPr>
            </w:pPr>
          </w:p>
          <w:p w14:paraId="73DEE421" w14:textId="77777777" w:rsidR="0050099E" w:rsidRPr="00C35766" w:rsidRDefault="0050099E" w:rsidP="00933A6C">
            <w:pPr>
              <w:pStyle w:val="a3"/>
              <w:rPr>
                <w:lang w:val="it-IT"/>
              </w:rPr>
            </w:pPr>
          </w:p>
          <w:p w14:paraId="48E2AEF6" w14:textId="77777777" w:rsidR="0050099E" w:rsidRPr="00C35766" w:rsidRDefault="0050099E" w:rsidP="00933A6C">
            <w:pPr>
              <w:pStyle w:val="a3"/>
              <w:numPr>
                <w:ilvl w:val="0"/>
                <w:numId w:val="18"/>
              </w:numPr>
              <w:rPr>
                <w:lang w:val="fr-FR"/>
              </w:rPr>
            </w:pPr>
            <w:r w:rsidRPr="00C35766">
              <w:rPr>
                <w:rFonts w:eastAsia="Times New Roman"/>
                <w:b/>
                <w:bCs/>
                <w:lang w:val="it-IT"/>
              </w:rPr>
              <w:t>Non</w:t>
            </w:r>
            <w:r w:rsidRPr="00C35766">
              <w:rPr>
                <w:rFonts w:eastAsia="Times New Roman"/>
                <w:lang w:val="it-IT"/>
              </w:rPr>
              <w:t xml:space="preserve"> rimuova il cappuccio fino a quando non è pronto </w:t>
            </w:r>
            <w:r w:rsidRPr="00C35766">
              <w:rPr>
                <w:rFonts w:eastAsia="Times New Roman"/>
                <w:lang w:val="it-IT"/>
              </w:rPr>
              <w:br/>
              <w:t xml:space="preserve">          per effettuare l'iniezione. </w:t>
            </w:r>
          </w:p>
          <w:p w14:paraId="3B5EFFA4" w14:textId="77777777" w:rsidR="0050099E" w:rsidRPr="00C35766" w:rsidRDefault="0050099E" w:rsidP="00933A6C">
            <w:pPr>
              <w:pStyle w:val="a3"/>
              <w:numPr>
                <w:ilvl w:val="0"/>
                <w:numId w:val="0"/>
              </w:numPr>
              <w:ind w:left="1384"/>
              <w:rPr>
                <w:lang w:val="fr-FR"/>
              </w:rPr>
            </w:pPr>
          </w:p>
          <w:p w14:paraId="4681FC1D" w14:textId="77777777" w:rsidR="0050099E" w:rsidRPr="00C35766" w:rsidRDefault="0050099E" w:rsidP="00933A6C">
            <w:pPr>
              <w:pStyle w:val="a3"/>
              <w:numPr>
                <w:ilvl w:val="0"/>
                <w:numId w:val="18"/>
              </w:numPr>
            </w:pPr>
            <w:r w:rsidRPr="00C35766">
              <w:rPr>
                <w:rFonts w:eastAsia="Times New Roman"/>
                <w:b/>
                <w:bCs/>
                <w:lang w:val="it-IT"/>
              </w:rPr>
              <w:t>Non</w:t>
            </w:r>
            <w:r w:rsidRPr="00C35766">
              <w:rPr>
                <w:rFonts w:eastAsia="Times New Roman"/>
                <w:lang w:val="it-IT"/>
              </w:rPr>
              <w:t xml:space="preserve"> tocchi l'ago né il cappuccio dell'ago. Farlo  </w:t>
            </w:r>
          </w:p>
          <w:p w14:paraId="03B1AD98" w14:textId="77777777" w:rsidR="0050099E" w:rsidRPr="00C35766" w:rsidRDefault="0050099E" w:rsidP="00933A6C">
            <w:pPr>
              <w:pStyle w:val="a3"/>
              <w:numPr>
                <w:ilvl w:val="0"/>
                <w:numId w:val="0"/>
              </w:numPr>
              <w:ind w:left="1384" w:firstLineChars="250" w:firstLine="550"/>
              <w:rPr>
                <w:lang w:val="it-IT"/>
              </w:rPr>
            </w:pPr>
            <w:r w:rsidRPr="00C35766">
              <w:rPr>
                <w:rFonts w:eastAsia="Times New Roman"/>
                <w:lang w:val="it-IT"/>
              </w:rPr>
              <w:t>potrebbe comportare una lesione da puntura da ago.</w:t>
            </w:r>
            <w:r w:rsidRPr="00C35766">
              <w:rPr>
                <w:rFonts w:eastAsia="Times New Roman"/>
                <w:b/>
                <w:bCs/>
                <w:lang w:val="it-IT"/>
              </w:rPr>
              <w:t xml:space="preserve"> </w:t>
            </w:r>
          </w:p>
          <w:p w14:paraId="525D5784" w14:textId="77777777" w:rsidR="0050099E" w:rsidRPr="00C35766" w:rsidRDefault="0050099E" w:rsidP="00933A6C">
            <w:pPr>
              <w:pStyle w:val="a3"/>
              <w:numPr>
                <w:ilvl w:val="0"/>
                <w:numId w:val="0"/>
              </w:numPr>
              <w:ind w:left="1384"/>
              <w:rPr>
                <w:lang w:val="it-IT"/>
              </w:rPr>
            </w:pPr>
          </w:p>
          <w:p w14:paraId="2F056996" w14:textId="6F0CB7A8" w:rsidR="0050099E" w:rsidRPr="00AF25F1" w:rsidRDefault="0050099E" w:rsidP="00933A6C">
            <w:pPr>
              <w:pStyle w:val="a3"/>
              <w:numPr>
                <w:ilvl w:val="0"/>
                <w:numId w:val="18"/>
              </w:numPr>
              <w:rPr>
                <w:lang w:val="it-IT"/>
              </w:rPr>
            </w:pPr>
            <w:r w:rsidRPr="00C35766">
              <w:rPr>
                <w:rFonts w:eastAsia="Times New Roman"/>
                <w:b/>
                <w:bCs/>
                <w:lang w:val="it-IT"/>
              </w:rPr>
              <w:t>Non</w:t>
            </w:r>
            <w:r w:rsidRPr="00C35766">
              <w:rPr>
                <w:rFonts w:eastAsia="Times New Roman"/>
                <w:lang w:val="it-IT"/>
              </w:rPr>
              <w:t xml:space="preserve"> rimetta il cappuccio alla penna pre-riempita. </w:t>
            </w:r>
            <w:r w:rsidRPr="00C35766">
              <w:rPr>
                <w:rFonts w:eastAsia="Times New Roman"/>
                <w:lang w:val="it-IT"/>
              </w:rPr>
              <w:br/>
              <w:t xml:space="preserve">         Smaltisca immediatamente il cappuccio nel contenitore </w:t>
            </w:r>
            <w:r w:rsidRPr="00C35766">
              <w:rPr>
                <w:rFonts w:eastAsia="Times New Roman"/>
                <w:lang w:val="it-IT"/>
              </w:rPr>
              <w:br/>
              <w:t xml:space="preserve">         per lo smaltimento di oggetti taglienti.</w:t>
            </w:r>
          </w:p>
          <w:p w14:paraId="55EEA1F0" w14:textId="77777777" w:rsidR="00F3069E" w:rsidRPr="00AF25F1" w:rsidRDefault="00F3069E" w:rsidP="00AF25F1">
            <w:pPr>
              <w:pStyle w:val="a3"/>
              <w:numPr>
                <w:ilvl w:val="0"/>
                <w:numId w:val="0"/>
              </w:numPr>
              <w:ind w:left="984"/>
              <w:rPr>
                <w:lang w:val="it-IT"/>
              </w:rPr>
            </w:pPr>
          </w:p>
          <w:p w14:paraId="61F33EBD" w14:textId="12B41BB9" w:rsidR="00F3069E" w:rsidRPr="00C35766" w:rsidRDefault="00F3069E" w:rsidP="00933A6C">
            <w:pPr>
              <w:pStyle w:val="a3"/>
              <w:numPr>
                <w:ilvl w:val="0"/>
                <w:numId w:val="18"/>
              </w:numPr>
              <w:rPr>
                <w:lang w:val="it-IT"/>
              </w:rPr>
            </w:pPr>
            <w:r w:rsidRPr="00F3069E">
              <w:rPr>
                <w:lang w:val="it-IT"/>
              </w:rPr>
              <w:t>È normale vedere fuoriuscire alcune gocce di liquido dall'ago</w:t>
            </w:r>
          </w:p>
        </w:tc>
      </w:tr>
      <w:tr w:rsidR="0050099E" w:rsidRPr="002A37A2" w14:paraId="7A47503B" w14:textId="77777777" w:rsidTr="00933A6C">
        <w:trPr>
          <w:trHeight w:val="7028"/>
        </w:trPr>
        <w:tc>
          <w:tcPr>
            <w:tcW w:w="9581" w:type="dxa"/>
          </w:tcPr>
          <w:p w14:paraId="574CE86B" w14:textId="77777777" w:rsidR="0050099E" w:rsidRPr="00C35766" w:rsidRDefault="0050099E" w:rsidP="00933A6C">
            <w:pPr>
              <w:ind w:left="104"/>
              <w:rPr>
                <w:rFonts w:ascii="Times New Roman" w:hAnsi="Times New Roman" w:cs="Times New Roman"/>
                <w:b/>
                <w:spacing w:val="-1"/>
                <w:lang w:val="it-IT"/>
              </w:rPr>
            </w:pPr>
          </w:p>
          <w:p w14:paraId="3C7D28D6" w14:textId="77777777" w:rsidR="0050099E" w:rsidRPr="00824699" w:rsidRDefault="0050099E" w:rsidP="00933A6C">
            <w:pPr>
              <w:pStyle w:val="1"/>
              <w:spacing w:before="76"/>
              <w:ind w:left="0" w:right="2736"/>
              <w:rPr>
                <w:rFonts w:eastAsiaTheme="minorEastAsia" w:cs="Times New Roman"/>
                <w:lang w:val="it-IT" w:eastAsia="ko-KR"/>
              </w:rPr>
            </w:pPr>
            <w:r w:rsidRPr="00C35766">
              <w:rPr>
                <w:rFonts w:cs="Times New Roman"/>
                <w:noProof/>
                <w:lang w:eastAsia="ko-KR"/>
              </w:rPr>
              <mc:AlternateContent>
                <mc:Choice Requires="wpg">
                  <w:drawing>
                    <wp:anchor distT="0" distB="0" distL="114300" distR="114300" simplePos="0" relativeHeight="251658342" behindDoc="0" locked="0" layoutInCell="1" allowOverlap="1" wp14:anchorId="61460365" wp14:editId="0C6EF988">
                      <wp:simplePos x="0" y="0"/>
                      <wp:positionH relativeFrom="column">
                        <wp:posOffset>40005</wp:posOffset>
                      </wp:positionH>
                      <wp:positionV relativeFrom="paragraph">
                        <wp:posOffset>144145</wp:posOffset>
                      </wp:positionV>
                      <wp:extent cx="2255520" cy="3975100"/>
                      <wp:effectExtent l="0" t="19050" r="11430" b="6350"/>
                      <wp:wrapSquare wrapText="bothSides"/>
                      <wp:docPr id="3927" name="그룹 3927"/>
                      <wp:cNvGraphicFramePr/>
                      <a:graphic xmlns:a="http://schemas.openxmlformats.org/drawingml/2006/main">
                        <a:graphicData uri="http://schemas.microsoft.com/office/word/2010/wordprocessingGroup">
                          <wpg:wgp>
                            <wpg:cNvGrpSpPr/>
                            <wpg:grpSpPr>
                              <a:xfrm>
                                <a:off x="0" y="0"/>
                                <a:ext cx="2253413" cy="3975100"/>
                                <a:chOff x="0" y="0"/>
                                <a:chExt cx="2253413" cy="3975100"/>
                              </a:xfrm>
                            </wpg:grpSpPr>
                            <wpg:grpSp>
                              <wpg:cNvPr id="3928" name="그룹 3928"/>
                              <wpg:cNvGrpSpPr/>
                              <wpg:grpSpPr>
                                <a:xfrm>
                                  <a:off x="17346" y="0"/>
                                  <a:ext cx="2236067" cy="3975100"/>
                                  <a:chOff x="2106" y="0"/>
                                  <a:chExt cx="2236067" cy="3975100"/>
                                </a:xfrm>
                              </wpg:grpSpPr>
                              <pic:pic xmlns:pic="http://schemas.openxmlformats.org/drawingml/2006/picture">
                                <pic:nvPicPr>
                                  <pic:cNvPr id="3929" name="그림 3929"/>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bwMode="auto">
                                  <a:xfrm>
                                    <a:off x="2106" y="0"/>
                                    <a:ext cx="2236067" cy="3794760"/>
                                  </a:xfrm>
                                  <a:prstGeom prst="rect">
                                    <a:avLst/>
                                  </a:prstGeom>
                                  <a:noFill/>
                                  <a:ln>
                                    <a:solidFill>
                                      <a:schemeClr val="tx1"/>
                                    </a:solidFill>
                                  </a:ln>
                                </pic:spPr>
                              </pic:pic>
                              <wps:wsp>
                                <wps:cNvPr id="3930" name="Text Box 3930"/>
                                <wps:cNvSpPr txBox="1"/>
                                <wps:spPr>
                                  <a:xfrm>
                                    <a:off x="1517650" y="3829050"/>
                                    <a:ext cx="719455" cy="146050"/>
                                  </a:xfrm>
                                  <a:prstGeom prst="rect">
                                    <a:avLst/>
                                  </a:prstGeom>
                                  <a:solidFill>
                                    <a:prstClr val="white"/>
                                  </a:solidFill>
                                  <a:ln>
                                    <a:noFill/>
                                  </a:ln>
                                </wps:spPr>
                                <wps:txbx>
                                  <w:txbxContent>
                                    <w:p w14:paraId="25DBDF72" w14:textId="3A5156AE" w:rsidR="00D97785" w:rsidRDefault="00D97785" w:rsidP="0050099E">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31" name="Text Box 3931"/>
                              <wps:cNvSpPr txBox="1"/>
                              <wps:spPr>
                                <a:xfrm>
                                  <a:off x="0" y="176022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FCA19"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1460365" id="그룹 3927" o:spid="_x0000_s1321" style="position:absolute;margin-left:3.15pt;margin-top:11.35pt;width:177.6pt;height:313pt;z-index:251658342" coordsize="22534,39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">
                      <v:group id="그룹 3928" o:spid="_x0000_s1322" style="position:absolute;left:173;width:22361;height:39751" coordorigin="21" coordsize="2236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">
                        <v:shape id="그림 3929" o:spid="_x0000_s1323" type="#_x0000_t75" style="position:absolute;left:21;width:22360;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" stroked="t" strokecolor="black [3213]">
                          <v:imagedata r:id="rId148" o:title=""/>
                          <v:path arrowok="t"/>
                        </v:shape>
                        <v:shape id="Text Box 3930" o:spid="_x0000_s1324"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" stroked="f">
                          <v:textbox style="mso-fit-shape-to-text:t" inset="0,0,0,0">
                            <w:txbxContent>
                              <w:p w14:paraId="25DBDF72" w14:textId="3A5156AE" w:rsidR="00D97785" w:rsidRDefault="00D97785" w:rsidP="0050099E">
                                <w:pPr>
                                  <w:pStyle w:val="af0"/>
                                  <w:jc w:val="right"/>
                                  <w:rPr>
                                    <w:rFonts w:cs="Times New Roman"/>
                                    <w:noProof/>
                                  </w:rPr>
                                </w:pPr>
                                <w:r>
                                  <w:rPr>
                                    <w:rFonts w:ascii="Times New Roman" w:eastAsia="Times New Roman" w:hAnsi="Times New Roman" w:cs="Times New Roman"/>
                                    <w:lang w:val="it-IT"/>
                                  </w:rPr>
                                  <w:t>Figura </w:t>
                                </w:r>
                                <w:r>
                                  <w:rPr>
                                    <w:rFonts w:ascii="Times New Roman" w:hAnsi="Times New Roman" w:cs="Times New Roman"/>
                                  </w:rPr>
                                  <w:t>I</w:t>
                                </w:r>
                              </w:p>
                            </w:txbxContent>
                          </v:textbox>
                        </v:shape>
                      </v:group>
                      <v:shape id="Text Box 3931" o:spid="_x0000_s1325" type="#_x0000_t202" style="position:absolute;top:17602;width:2237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" fillcolor="black [3213]" stroked="f" strokeweight=".5pt">
                        <v:textbox inset="0,0,0,0">
                          <w:txbxContent>
                            <w:p w14:paraId="533FCA19" w14:textId="77777777" w:rsidR="00D97785" w:rsidRDefault="00D97785" w:rsidP="0050099E">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it-IT"/>
                                </w:rPr>
                                <w:t>OPPURE</w:t>
                              </w:r>
                            </w:p>
                          </w:txbxContent>
                        </v:textbox>
                      </v:shape>
                      <w10:wrap type="square"/>
                    </v:group>
                  </w:pict>
                </mc:Fallback>
              </mc:AlternateContent>
            </w:r>
          </w:p>
          <w:p w14:paraId="28947D06" w14:textId="77777777" w:rsidR="0050099E" w:rsidRPr="00C35766" w:rsidRDefault="0050099E" w:rsidP="00933A6C">
            <w:pPr>
              <w:pStyle w:val="a3"/>
              <w:numPr>
                <w:ilvl w:val="0"/>
                <w:numId w:val="67"/>
              </w:numPr>
              <w:rPr>
                <w:b/>
                <w:lang w:val="es-ES"/>
              </w:rPr>
            </w:pPr>
            <w:r w:rsidRPr="00C35766">
              <w:rPr>
                <w:rFonts w:eastAsia="Times New Roman"/>
                <w:b/>
                <w:bCs/>
                <w:lang w:val="it-IT"/>
              </w:rPr>
              <w:t>Posizioni la penna pre-riempita sul sito d’iniezione.</w:t>
            </w:r>
          </w:p>
          <w:p w14:paraId="638D1C81" w14:textId="77777777" w:rsidR="0050099E" w:rsidRPr="00C35766" w:rsidRDefault="0050099E" w:rsidP="00933A6C">
            <w:pPr>
              <w:pStyle w:val="a3"/>
              <w:rPr>
                <w:lang w:val="es-ES"/>
              </w:rPr>
            </w:pPr>
          </w:p>
          <w:p w14:paraId="378B6C16" w14:textId="77777777" w:rsidR="0050099E" w:rsidRPr="00C35766" w:rsidRDefault="0050099E" w:rsidP="00933A6C">
            <w:pPr>
              <w:pStyle w:val="a3"/>
              <w:rPr>
                <w:lang w:val="es-ES"/>
              </w:rPr>
            </w:pPr>
            <w:r w:rsidRPr="00C35766">
              <w:rPr>
                <w:rFonts w:eastAsia="Times New Roman"/>
                <w:lang w:val="it-IT"/>
              </w:rPr>
              <w:t xml:space="preserve">    </w:t>
            </w:r>
            <w:r w:rsidRPr="00C35766">
              <w:rPr>
                <w:rFonts w:eastAsia="Times New Roman"/>
                <w:b/>
                <w:bCs/>
                <w:lang w:val="it-IT"/>
              </w:rPr>
              <w:t>a.</w:t>
            </w:r>
            <w:r w:rsidRPr="00C35766">
              <w:rPr>
                <w:rFonts w:eastAsia="Times New Roman"/>
                <w:lang w:val="it-IT"/>
              </w:rPr>
              <w:t xml:space="preserve"> Tenga la penna pre-riempita in modo da poter vedere   </w:t>
            </w:r>
          </w:p>
          <w:p w14:paraId="7ABE5F0E" w14:textId="77777777" w:rsidR="0050099E" w:rsidRPr="00C35766" w:rsidRDefault="0050099E" w:rsidP="00933A6C">
            <w:pPr>
              <w:pStyle w:val="a3"/>
              <w:rPr>
                <w:lang w:val="fr-FR"/>
              </w:rPr>
            </w:pPr>
            <w:r w:rsidRPr="00C35766">
              <w:rPr>
                <w:rFonts w:eastAsia="Times New Roman"/>
                <w:lang w:val="it-IT"/>
              </w:rPr>
              <w:t xml:space="preserve">        la finestra.</w:t>
            </w:r>
          </w:p>
          <w:p w14:paraId="74519ED5" w14:textId="77777777" w:rsidR="0050099E" w:rsidRPr="00C35766" w:rsidRDefault="0050099E" w:rsidP="00933A6C">
            <w:pPr>
              <w:pStyle w:val="a3"/>
              <w:ind w:left="4180" w:hangingChars="1900" w:hanging="4180"/>
              <w:rPr>
                <w:lang w:val="it-IT"/>
              </w:rPr>
            </w:pPr>
            <w:r w:rsidRPr="00C35766">
              <w:rPr>
                <w:rFonts w:eastAsia="Times New Roman"/>
                <w:lang w:val="it-IT"/>
              </w:rPr>
              <w:t xml:space="preserve">    </w:t>
            </w:r>
            <w:r w:rsidRPr="00C35766">
              <w:rPr>
                <w:rFonts w:eastAsia="Times New Roman"/>
                <w:b/>
                <w:bCs/>
                <w:lang w:val="it-IT"/>
              </w:rPr>
              <w:t>b.</w:t>
            </w:r>
            <w:r w:rsidRPr="00C35766">
              <w:rPr>
                <w:rFonts w:eastAsia="Times New Roman"/>
                <w:lang w:val="it-IT"/>
              </w:rPr>
              <w:t xml:space="preserve"> Senza stringere né tirare la pelle, posizioni la penna</w:t>
            </w:r>
            <w:r w:rsidRPr="00C35766">
              <w:rPr>
                <w:rFonts w:eastAsia="Times New Roman"/>
                <w:lang w:val="it-IT"/>
              </w:rPr>
              <w:br/>
              <w:t xml:space="preserve"> pre-riempita sul sito d’iniezione a un’angolatura di 90 gradi. </w:t>
            </w:r>
          </w:p>
        </w:tc>
      </w:tr>
      <w:tr w:rsidR="0050099E" w:rsidRPr="002A37A2" w14:paraId="72897C3D" w14:textId="77777777" w:rsidTr="00933A6C">
        <w:trPr>
          <w:trHeight w:val="8391"/>
        </w:trPr>
        <w:tc>
          <w:tcPr>
            <w:tcW w:w="9581" w:type="dxa"/>
          </w:tcPr>
          <w:p w14:paraId="1CDDD535" w14:textId="77777777" w:rsidR="0050099E" w:rsidRPr="00C35766" w:rsidRDefault="0050099E" w:rsidP="00933A6C">
            <w:pPr>
              <w:ind w:left="104"/>
              <w:rPr>
                <w:rFonts w:ascii="Times New Roman" w:hAnsi="Times New Roman" w:cs="Times New Roman"/>
                <w:b/>
                <w:spacing w:val="-1"/>
                <w:lang w:val="it-IT"/>
              </w:rPr>
            </w:pPr>
          </w:p>
          <w:p w14:paraId="15C471CC" w14:textId="3C0708BF" w:rsidR="0050099E" w:rsidRPr="00C35766" w:rsidRDefault="0050099E" w:rsidP="00713ADC">
            <w:pPr>
              <w:pStyle w:val="1"/>
              <w:spacing w:before="76"/>
              <w:ind w:left="0" w:right="2736"/>
              <w:rPr>
                <w:rFonts w:cs="Times New Roman"/>
                <w:lang w:val="it-IT"/>
              </w:rPr>
            </w:pPr>
            <w:r w:rsidRPr="00C35766">
              <w:rPr>
                <w:rFonts w:cs="Times New Roman"/>
                <w:noProof/>
                <w:lang w:eastAsia="ko-KR"/>
              </w:rPr>
              <mc:AlternateContent>
                <mc:Choice Requires="wpg">
                  <w:drawing>
                    <wp:anchor distT="0" distB="0" distL="114300" distR="114300" simplePos="0" relativeHeight="251658343" behindDoc="0" locked="0" layoutInCell="1" allowOverlap="1" wp14:anchorId="688FBDD4" wp14:editId="1867981F">
                      <wp:simplePos x="0" y="0"/>
                      <wp:positionH relativeFrom="column">
                        <wp:posOffset>24765</wp:posOffset>
                      </wp:positionH>
                      <wp:positionV relativeFrom="paragraph">
                        <wp:posOffset>188595</wp:posOffset>
                      </wp:positionV>
                      <wp:extent cx="2052955" cy="4870450"/>
                      <wp:effectExtent l="19050" t="19050" r="23495" b="6350"/>
                      <wp:wrapSquare wrapText="bothSides"/>
                      <wp:docPr id="3932" name="그룹 3932"/>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3933" name="그룹 3933"/>
                              <wpg:cNvGrpSpPr/>
                              <wpg:grpSpPr>
                                <a:xfrm>
                                  <a:off x="248" y="0"/>
                                  <a:ext cx="2052707" cy="4870450"/>
                                  <a:chOff x="248" y="0"/>
                                  <a:chExt cx="2052707" cy="4870450"/>
                                </a:xfrm>
                              </wpg:grpSpPr>
                              <wpg:grpSp>
                                <wpg:cNvPr id="3934" name="그룹 3934"/>
                                <wpg:cNvGrpSpPr/>
                                <wpg:grpSpPr>
                                  <a:xfrm>
                                    <a:off x="248" y="0"/>
                                    <a:ext cx="2052707" cy="4870450"/>
                                    <a:chOff x="248" y="0"/>
                                    <a:chExt cx="2052707" cy="4870450"/>
                                  </a:xfrm>
                                </wpg:grpSpPr>
                                <pic:pic xmlns:pic="http://schemas.openxmlformats.org/drawingml/2006/picture">
                                  <pic:nvPicPr>
                                    <pic:cNvPr id="3935" name="그림 3935"/>
                                    <pic:cNvPicPr>
                                      <a:picLocks noChangeAspect="1"/>
                                    </pic:cNvPicPr>
                                  </pic:nvPicPr>
                                  <pic:blipFill>
                                    <a:blip r:embed="rId149">
                                      <a:extLst>
                                        <a:ext uri="{28A0092B-C50C-407E-A947-70E740481C1C}">
                                          <a14:useLocalDpi xmlns:a14="http://schemas.microsoft.com/office/drawing/2010/main" val="0"/>
                                        </a:ext>
                                      </a:extLst>
                                    </a:blip>
                                    <a:srcRect/>
                                    <a:stretch/>
                                  </pic:blipFill>
                                  <pic:spPr bwMode="auto">
                                    <a:xfrm>
                                      <a:off x="248" y="0"/>
                                      <a:ext cx="2049918" cy="4697730"/>
                                    </a:xfrm>
                                    <a:prstGeom prst="rect">
                                      <a:avLst/>
                                    </a:prstGeom>
                                    <a:noFill/>
                                    <a:ln>
                                      <a:solidFill>
                                        <a:schemeClr val="tx1"/>
                                      </a:solidFill>
                                    </a:ln>
                                  </pic:spPr>
                                </pic:pic>
                                <wps:wsp>
                                  <wps:cNvPr id="3936" name="Text Box 3936"/>
                                  <wps:cNvSpPr txBox="1"/>
                                  <wps:spPr>
                                    <a:xfrm>
                                      <a:off x="1333500" y="4724400"/>
                                      <a:ext cx="719455" cy="146050"/>
                                    </a:xfrm>
                                    <a:prstGeom prst="rect">
                                      <a:avLst/>
                                    </a:prstGeom>
                                    <a:solidFill>
                                      <a:prstClr val="white"/>
                                    </a:solidFill>
                                    <a:ln>
                                      <a:noFill/>
                                    </a:ln>
                                  </wps:spPr>
                                  <wps:txbx>
                                    <w:txbxContent>
                                      <w:p w14:paraId="11BA0483" w14:textId="000D71A2" w:rsidR="00D97785" w:rsidRDefault="00D97785" w:rsidP="0050099E">
                                        <w:pPr>
                                          <w:pStyle w:val="af0"/>
                                          <w:jc w:val="right"/>
                                          <w:rPr>
                                            <w:rFonts w:cs="Times New Roman"/>
                                            <w:noProof/>
                                          </w:rPr>
                                        </w:pPr>
                                        <w:r>
                                          <w:rPr>
                                            <w:rFonts w:ascii="Times New Roman" w:eastAsia="Times New Roman" w:hAnsi="Times New Roman" w:cs="Times New Roman"/>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937" name="그룹 3937"/>
                                <wpg:cNvGrpSpPr/>
                                <wpg:grpSpPr>
                                  <a:xfrm>
                                    <a:off x="129540" y="708660"/>
                                    <a:ext cx="681990" cy="2752090"/>
                                    <a:chOff x="0" y="0"/>
                                    <a:chExt cx="681990" cy="2752090"/>
                                  </a:xfrm>
                                </wpg:grpSpPr>
                                <wps:wsp>
                                  <wps:cNvPr id="3938" name="12-Point Star 1038"/>
                                  <wps:cNvSpPr/>
                                  <wps:spPr>
                                    <a:xfrm>
                                      <a:off x="0" y="0"/>
                                      <a:ext cx="681990" cy="68580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AEFD59" w14:textId="77777777" w:rsidR="00D97785" w:rsidRPr="004F566E" w:rsidRDefault="00D97785" w:rsidP="0050099E">
                                        <w:pPr>
                                          <w:jc w:val="center"/>
                                          <w:rPr>
                                            <w:rFonts w:asciiTheme="majorBidi" w:hAnsiTheme="majorBidi" w:cstheme="majorBidi"/>
                                            <w:b/>
                                            <w:sz w:val="24"/>
                                          </w:rPr>
                                        </w:pPr>
                                        <w:r w:rsidRPr="004F566E">
                                          <w:rPr>
                                            <w:rFonts w:ascii="Times New Roman" w:eastAsia="Times New Roman" w:hAnsi="Times New Roman" w:cs="Times New Roman"/>
                                            <w:b/>
                                            <w:sz w:val="24"/>
                                            <w:lang w:val="it-IT"/>
                                          </w:rPr>
                                          <w:t>1</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939" name="12-Point Star 1040"/>
                                  <wps:cNvSpPr/>
                                  <wps:spPr>
                                    <a:xfrm>
                                      <a:off x="30480" y="2042160"/>
                                      <a:ext cx="646430" cy="70993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34BBD" w14:textId="77777777" w:rsidR="00D97785" w:rsidRPr="004F566E" w:rsidRDefault="00D97785" w:rsidP="0050099E">
                                        <w:pPr>
                                          <w:jc w:val="center"/>
                                          <w:rPr>
                                            <w:rFonts w:asciiTheme="majorBidi" w:hAnsiTheme="majorBidi" w:cstheme="majorBidi"/>
                                            <w:b/>
                                            <w:sz w:val="24"/>
                                          </w:rPr>
                                        </w:pPr>
                                        <w:r w:rsidRPr="004F566E">
                                          <w:rPr>
                                            <w:rFonts w:ascii="Times New Roman" w:eastAsia="Times New Roman" w:hAnsi="Times New Roman" w:cs="Times New Roman"/>
                                            <w:b/>
                                            <w:sz w:val="24"/>
                                            <w:lang w:val="it-IT"/>
                                          </w:rPr>
                                          <w:t>2</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3940" name="Text Box 3940"/>
                              <wps:cNvSpPr txBox="1"/>
                              <wps:spPr>
                                <a:xfrm>
                                  <a:off x="0" y="4107180"/>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5D8E8" w14:textId="77777777" w:rsidR="00D97785" w:rsidRDefault="00D97785" w:rsidP="0050099E">
                                    <w:pPr>
                                      <w:jc w:val="center"/>
                                      <w:rPr>
                                        <w:rFonts w:asciiTheme="majorBidi" w:hAnsiTheme="majorBidi" w:cstheme="majorBidi"/>
                                        <w:b/>
                                        <w:bCs/>
                                        <w:color w:val="FFFFFF" w:themeColor="background1"/>
                                        <w:sz w:val="28"/>
                                        <w:szCs w:val="28"/>
                                        <w:lang w:val="pt-BR"/>
                                      </w:rPr>
                                    </w:pPr>
                                    <w:r>
                                      <w:rPr>
                                        <w:rFonts w:ascii="Times New Roman" w:eastAsia="Times New Roman" w:hAnsi="Times New Roman" w:cs="Times New Roman"/>
                                        <w:b/>
                                        <w:bCs/>
                                        <w:color w:val="FFFFFF"/>
                                        <w:sz w:val="28"/>
                                        <w:szCs w:val="28"/>
                                        <w:lang w:val="it-IT"/>
                                      </w:rPr>
                                      <w:t>Quindi, conti lentamente fino a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88FBDD4" id="그룹 3932" o:spid="_x0000_s1326" style="position:absolute;margin-left:1.95pt;margin-top:14.85pt;width:161.65pt;height:383.5pt;z-index:251658343" coordsize="20529,48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">
                      <v:group id="그룹 3933" o:spid="_x0000_s1327" style="position:absolute;left:2;width:20527;height:48704" coordorigin="2" coordsize="20527,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">
                        <v:group id="그룹 3934" o:spid="_x0000_s1328" style="position:absolute;left:2;width:20527;height:48704" coordorigin="2" coordsize="20527,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">
                          <v:shape id="그림 3935" o:spid="_x0000_s1329" type="#_x0000_t75" style="position:absolute;left:2;width:20499;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" stroked="t" strokecolor="black [3213]">
                            <v:imagedata r:id="rId150" o:title=""/>
                            <v:path arrowok="t"/>
                          </v:shape>
                          <v:shape id="Text Box 3936" o:spid="_x0000_s1330"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" stroked="f">
                            <v:textbox style="mso-fit-shape-to-text:t" inset="0,0,0,0">
                              <w:txbxContent>
                                <w:p w14:paraId="11BA0483" w14:textId="000D71A2" w:rsidR="00D97785" w:rsidRDefault="00D97785" w:rsidP="0050099E">
                                  <w:pPr>
                                    <w:pStyle w:val="af0"/>
                                    <w:jc w:val="right"/>
                                    <w:rPr>
                                      <w:rFonts w:cs="Times New Roman"/>
                                      <w:noProof/>
                                    </w:rPr>
                                  </w:pPr>
                                  <w:r>
                                    <w:rPr>
                                      <w:rFonts w:ascii="Times New Roman" w:eastAsia="Times New Roman" w:hAnsi="Times New Roman" w:cs="Times New Roman"/>
                                      <w:lang w:val="it-IT"/>
                                    </w:rPr>
                                    <w:t>Figura J</w:t>
                                  </w:r>
                                </w:p>
                              </w:txbxContent>
                            </v:textbox>
                          </v:shape>
                        </v:group>
                        <v:group id="그룹 3937" o:spid="_x0000_s1331" style="position:absolute;left:1295;top:7086;width:6820;height:27521" coordsize="6819,2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">
                          <v:shape id="12-Point Star 1038" o:spid="_x0000_s1332" style="position:absolute;width:6819;height:6858;visibility:visible;mso-wrap-style:square;v-text-anchor:middle" coordsize="681990,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" adj="-11796480,,5400" path="m,342900l93963,276338,45685,171450,160155,161050,170498,45940,274803,94488,340995,r66192,94488l511493,45940r10342,115110l636305,171450,588027,276338r93963,66562l588027,409462r48278,104888l521835,524750,511493,639860,407187,591312r-66192,94488l274803,591312,170498,639860,160155,524750,45685,514350,93963,409462,,342900xe" fillcolor="black [3213]" strokecolor="black [3213]" strokeweight="2pt">
                            <v:stroke joinstyle="miter"/>
                            <v:formulas/>
                            <v:path arrowok="t" o:connecttype="custom" o:connectlocs="0,342900;93963,276338;45685,171450;160155,161050;170498,45940;274803,94488;340995,0;407187,94488;511493,45940;521835,161050;636305,171450;588027,276338;681990,342900;588027,409462;636305,514350;521835,524750;511493,639860;407187,591312;340995,685800;274803,591312;170498,639860;160155,524750;45685,514350;93963,409462;0,342900" o:connectangles="0,0,0,0,0,0,0,0,0,0,0,0,0,0,0,0,0,0,0,0,0,0,0,0,0" textboxrect="0,0,681990,685800"/>
                            <v:textbox inset="0,0,0,0">
                              <w:txbxContent>
                                <w:p w14:paraId="01AEFD59" w14:textId="77777777" w:rsidR="00D97785" w:rsidRPr="004F566E" w:rsidRDefault="00D97785" w:rsidP="0050099E">
                                  <w:pPr>
                                    <w:jc w:val="center"/>
                                    <w:rPr>
                                      <w:rFonts w:asciiTheme="majorBidi" w:hAnsiTheme="majorBidi" w:cstheme="majorBidi"/>
                                      <w:b/>
                                      <w:sz w:val="24"/>
                                    </w:rPr>
                                  </w:pPr>
                                  <w:r w:rsidRPr="004F566E">
                                    <w:rPr>
                                      <w:rFonts w:ascii="Times New Roman" w:eastAsia="Times New Roman" w:hAnsi="Times New Roman" w:cs="Times New Roman"/>
                                      <w:b/>
                                      <w:sz w:val="24"/>
                                      <w:lang w:val="it-IT"/>
                                    </w:rPr>
                                    <w:t>1</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v:textbox>
                          </v:shape>
                          <v:shape id="_x0000_s1333" style="position:absolute;left:304;top:20421;width:6465;height:7099;visibility:visible;mso-wrap-style:square;v-text-anchor:middle" coordsize="646430,7099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" adj="-11796480,,5400" path="m,354965l89064,286061,43303,177483,151804,166716,161608,47556r98866,50257l323215,r62741,97813l484823,47556r9803,119160l603127,177483,557366,286061r89064,68904l557366,423869r45761,108579l494626,543214r-9803,119160l385956,612117r-62741,97813l260474,612117r-98866,50257l151804,543214,43303,532448,89064,423869,,354965xe" fillcolor="black [3213]" strokecolor="black [3213]" strokeweight="2pt">
                            <v:stroke joinstyle="miter"/>
                            <v:formulas/>
                            <v:path arrowok="t" o:connecttype="custom" o:connectlocs="0,354965;89064,286061;43303,177483;151804,166716;161608,47556;260474,97813;323215,0;385956,97813;484823,47556;494626,166716;603127,177483;557366,286061;646430,354965;557366,423869;603127,532448;494626,543214;484823,662374;385956,612117;323215,709930;260474,612117;161608,662374;151804,543214;43303,532448;89064,423869;0,354965" o:connectangles="0,0,0,0,0,0,0,0,0,0,0,0,0,0,0,0,0,0,0,0,0,0,0,0,0" textboxrect="0,0,646430,709930"/>
                            <v:textbox inset="0,0,0,0">
                              <w:txbxContent>
                                <w:p w14:paraId="16334BBD" w14:textId="77777777" w:rsidR="00D97785" w:rsidRPr="004F566E" w:rsidRDefault="00D97785" w:rsidP="0050099E">
                                  <w:pPr>
                                    <w:jc w:val="center"/>
                                    <w:rPr>
                                      <w:rFonts w:asciiTheme="majorBidi" w:hAnsiTheme="majorBidi" w:cstheme="majorBidi"/>
                                      <w:b/>
                                      <w:sz w:val="24"/>
                                    </w:rPr>
                                  </w:pPr>
                                  <w:r w:rsidRPr="004F566E">
                                    <w:rPr>
                                      <w:rFonts w:ascii="Times New Roman" w:eastAsia="Times New Roman" w:hAnsi="Times New Roman" w:cs="Times New Roman"/>
                                      <w:b/>
                                      <w:sz w:val="24"/>
                                      <w:lang w:val="it-IT"/>
                                    </w:rPr>
                                    <w:t>2</w:t>
                                  </w:r>
                                  <w:r w:rsidRPr="004F566E">
                                    <w:rPr>
                                      <w:rFonts w:ascii="Times New Roman" w:eastAsia="Times New Roman" w:hAnsi="Times New Roman" w:cs="Times New Roman"/>
                                      <w:b/>
                                      <w:sz w:val="24"/>
                                      <w:vertAlign w:val="superscript"/>
                                      <w:lang w:val="it-IT"/>
                                    </w:rPr>
                                    <w:t>°</w:t>
                                  </w:r>
                                  <w:r w:rsidRPr="004F566E">
                                    <w:rPr>
                                      <w:rFonts w:ascii="Times New Roman" w:eastAsia="Times New Roman" w:hAnsi="Times New Roman" w:cs="Times New Roman"/>
                                      <w:b/>
                                      <w:sz w:val="24"/>
                                      <w:lang w:val="it-IT"/>
                                    </w:rPr>
                                    <w:t xml:space="preserve"> clic </w:t>
                                  </w:r>
                                </w:p>
                              </w:txbxContent>
                            </v:textbox>
                          </v:shape>
                        </v:group>
                      </v:group>
                      <v:shape id="Text Box 3940" o:spid="_x0000_s1334" type="#_x0000_t202" style="position:absolute;top:41071;width:20529;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" fillcolor="black [3213]" stroked="f" strokeweight=".5pt">
                        <v:textbox inset="0,0,0,0">
                          <w:txbxContent>
                            <w:p w14:paraId="5505D8E8" w14:textId="77777777" w:rsidR="00D97785" w:rsidRDefault="00D97785" w:rsidP="0050099E">
                              <w:pPr>
                                <w:jc w:val="center"/>
                                <w:rPr>
                                  <w:rFonts w:asciiTheme="majorBidi" w:hAnsiTheme="majorBidi" w:cstheme="majorBidi"/>
                                  <w:b/>
                                  <w:bCs/>
                                  <w:color w:val="FFFFFF" w:themeColor="background1"/>
                                  <w:sz w:val="28"/>
                                  <w:szCs w:val="28"/>
                                  <w:lang w:val="pt-BR"/>
                                </w:rPr>
                              </w:pPr>
                              <w:r>
                                <w:rPr>
                                  <w:rFonts w:ascii="Times New Roman" w:eastAsia="Times New Roman" w:hAnsi="Times New Roman" w:cs="Times New Roman"/>
                                  <w:b/>
                                  <w:bCs/>
                                  <w:color w:val="FFFFFF"/>
                                  <w:sz w:val="28"/>
                                  <w:szCs w:val="28"/>
                                  <w:lang w:val="it-IT"/>
                                </w:rPr>
                                <w:t>Quindi, conti lentamente fino a 5</w:t>
                              </w:r>
                            </w:p>
                          </w:txbxContent>
                        </v:textbox>
                      </v:shape>
                      <w10:wrap type="square"/>
                    </v:group>
                  </w:pict>
                </mc:Fallback>
              </mc:AlternateContent>
            </w:r>
          </w:p>
          <w:p w14:paraId="2C4E5B34" w14:textId="77777777" w:rsidR="0050099E" w:rsidRPr="00C35766" w:rsidRDefault="0050099E" w:rsidP="00933A6C">
            <w:pPr>
              <w:pStyle w:val="Default"/>
              <w:rPr>
                <w:rFonts w:ascii="Times New Roman" w:hAnsi="Times New Roman" w:cs="Times New Roman"/>
                <w:lang w:val="it-IT"/>
              </w:rPr>
            </w:pPr>
            <w:r w:rsidRPr="00C35766">
              <w:rPr>
                <w:rFonts w:ascii="Times New Roman" w:hAnsi="Times New Roman" w:cs="Times New Roman"/>
                <w:lang w:val="it-IT"/>
              </w:rPr>
              <w:t xml:space="preserve"> </w:t>
            </w:r>
          </w:p>
          <w:p w14:paraId="550DA74A" w14:textId="77777777" w:rsidR="0050099E" w:rsidRPr="00C35766" w:rsidRDefault="0050099E" w:rsidP="00933A6C">
            <w:pPr>
              <w:pStyle w:val="a3"/>
              <w:numPr>
                <w:ilvl w:val="0"/>
                <w:numId w:val="67"/>
              </w:numPr>
              <w:rPr>
                <w:b/>
              </w:rPr>
            </w:pPr>
            <w:r w:rsidRPr="00C35766">
              <w:rPr>
                <w:rFonts w:eastAsia="Times New Roman"/>
                <w:b/>
                <w:bCs/>
                <w:lang w:val="it-IT"/>
              </w:rPr>
              <w:t>Esegua l’iniezione</w:t>
            </w:r>
          </w:p>
          <w:p w14:paraId="07D7B414" w14:textId="77777777" w:rsidR="0050099E" w:rsidRPr="00C35766" w:rsidRDefault="0050099E" w:rsidP="00933A6C">
            <w:pPr>
              <w:pStyle w:val="a3"/>
            </w:pPr>
          </w:p>
          <w:p w14:paraId="79240FD8" w14:textId="77777777" w:rsidR="0050099E" w:rsidRPr="00C35766" w:rsidRDefault="0050099E" w:rsidP="00933A6C">
            <w:pPr>
              <w:pStyle w:val="a3"/>
              <w:rPr>
                <w:lang w:val="es-ES"/>
              </w:rPr>
            </w:pPr>
            <w:r w:rsidRPr="00C35766">
              <w:rPr>
                <w:rFonts w:eastAsia="Times New Roman"/>
                <w:b/>
                <w:bCs/>
                <w:lang w:val="it-IT"/>
              </w:rPr>
              <w:t>a.</w:t>
            </w:r>
            <w:r w:rsidRPr="00C35766">
              <w:rPr>
                <w:rFonts w:eastAsia="Times New Roman"/>
                <w:lang w:val="it-IT"/>
              </w:rPr>
              <w:t xml:space="preserve"> Prema con decisione la penna pre-riempita contro la pelle. Quando l’iniezione inizia sentirà un primo clic forte e chiaro, e lo stantuffo blu inizierà a riempire la finestra.</w:t>
            </w:r>
          </w:p>
          <w:p w14:paraId="7780D497" w14:textId="77777777" w:rsidR="0050099E" w:rsidRPr="00C35766" w:rsidRDefault="0050099E" w:rsidP="00933A6C">
            <w:pPr>
              <w:pStyle w:val="a3"/>
              <w:rPr>
                <w:lang w:val="es-ES"/>
              </w:rPr>
            </w:pPr>
            <w:r w:rsidRPr="00C35766">
              <w:rPr>
                <w:lang w:val="es-ES"/>
              </w:rPr>
              <w:t xml:space="preserve"> </w:t>
            </w:r>
          </w:p>
          <w:p w14:paraId="2468A044" w14:textId="77777777" w:rsidR="0050099E" w:rsidRPr="00C35766" w:rsidRDefault="0050099E" w:rsidP="00933A6C">
            <w:pPr>
              <w:pStyle w:val="a3"/>
              <w:numPr>
                <w:ilvl w:val="0"/>
                <w:numId w:val="0"/>
              </w:numPr>
              <w:ind w:left="1024"/>
              <w:rPr>
                <w:lang w:val="it-IT"/>
              </w:rPr>
            </w:pPr>
            <w:r w:rsidRPr="00C35766">
              <w:rPr>
                <w:rFonts w:eastAsia="Times New Roman"/>
                <w:b/>
                <w:bCs/>
                <w:lang w:val="it-IT"/>
              </w:rPr>
              <w:t>b.</w:t>
            </w:r>
            <w:r w:rsidRPr="00C35766">
              <w:rPr>
                <w:rFonts w:eastAsia="Times New Roman"/>
                <w:lang w:val="it-IT"/>
              </w:rPr>
              <w:t xml:space="preserve"> Continui a premere con decisione la penna pre-riempita contro la pelle</w:t>
            </w:r>
            <w:r w:rsidRPr="00C35766">
              <w:rPr>
                <w:lang w:val="it-IT"/>
              </w:rPr>
              <w:t xml:space="preserve"> </w:t>
            </w:r>
            <w:r w:rsidRPr="00C35766">
              <w:rPr>
                <w:rFonts w:eastAsia="Times New Roman"/>
                <w:lang w:val="it-IT"/>
              </w:rPr>
              <w:t xml:space="preserve">fino a sentire un secondo clic forte e chiaro </w:t>
            </w:r>
          </w:p>
          <w:p w14:paraId="5CD90A79" w14:textId="77777777" w:rsidR="0050099E" w:rsidRPr="00C35766" w:rsidRDefault="0050099E" w:rsidP="00933A6C">
            <w:pPr>
              <w:pStyle w:val="a3"/>
              <w:numPr>
                <w:ilvl w:val="0"/>
                <w:numId w:val="0"/>
              </w:numPr>
              <w:rPr>
                <w:lang w:val="it-IT"/>
              </w:rPr>
            </w:pPr>
          </w:p>
          <w:p w14:paraId="0D739F86" w14:textId="77777777" w:rsidR="0050099E" w:rsidRPr="00C35766" w:rsidRDefault="0050099E" w:rsidP="00933A6C">
            <w:pPr>
              <w:pStyle w:val="a3"/>
              <w:rPr>
                <w:lang w:val="es-ES"/>
              </w:rPr>
            </w:pPr>
            <w:r w:rsidRPr="00C35766">
              <w:rPr>
                <w:rFonts w:eastAsia="Times New Roman"/>
                <w:b/>
                <w:bCs/>
                <w:lang w:val="it-IT"/>
              </w:rPr>
              <w:t>c.</w:t>
            </w:r>
            <w:r w:rsidRPr="00C35766">
              <w:rPr>
                <w:rFonts w:eastAsia="Times New Roman"/>
                <w:lang w:val="it-IT"/>
              </w:rPr>
              <w:t xml:space="preserve"> Dopo aver sentito il secondo clic continui a tenere la penna pre-riempita ben salda contro la pelle e conti lentamente fino a 5 per avere la certezza di iniettare la dose completa.</w:t>
            </w:r>
            <w:r w:rsidRPr="00C35766">
              <w:rPr>
                <w:rFonts w:eastAsia="Times New Roman"/>
                <w:color w:val="211D1E"/>
                <w:sz w:val="20"/>
                <w:szCs w:val="20"/>
                <w:lang w:val="it-IT"/>
              </w:rPr>
              <w:t xml:space="preserve"> </w:t>
            </w:r>
          </w:p>
          <w:p w14:paraId="27BB89CF" w14:textId="77777777" w:rsidR="0050099E" w:rsidRPr="00C35766" w:rsidRDefault="0050099E" w:rsidP="00933A6C">
            <w:pPr>
              <w:pStyle w:val="a3"/>
              <w:ind w:left="3709"/>
              <w:rPr>
                <w:color w:val="211D1E"/>
                <w:sz w:val="20"/>
                <w:szCs w:val="20"/>
                <w:lang w:val="es-ES"/>
              </w:rPr>
            </w:pPr>
          </w:p>
          <w:p w14:paraId="60A29187" w14:textId="77777777" w:rsidR="0050099E" w:rsidRPr="00C35766" w:rsidRDefault="0050099E" w:rsidP="00933A6C">
            <w:pPr>
              <w:pStyle w:val="a3"/>
              <w:ind w:left="3709"/>
              <w:rPr>
                <w:color w:val="211D1E"/>
                <w:sz w:val="20"/>
                <w:szCs w:val="20"/>
                <w:lang w:val="es-ES"/>
              </w:rPr>
            </w:pPr>
          </w:p>
          <w:p w14:paraId="57B5E53F" w14:textId="77777777" w:rsidR="0050099E" w:rsidRPr="00C35766" w:rsidRDefault="0050099E" w:rsidP="00933A6C">
            <w:pPr>
              <w:pStyle w:val="a3"/>
              <w:rPr>
                <w:color w:val="211D1E"/>
                <w:sz w:val="20"/>
                <w:szCs w:val="20"/>
                <w:lang w:val="es-ES"/>
              </w:rPr>
            </w:pPr>
            <w:r w:rsidRPr="00C35766">
              <w:rPr>
                <w:noProof/>
                <w:lang w:eastAsia="ko-KR"/>
              </w:rPr>
              <mc:AlternateContent>
                <mc:Choice Requires="wps">
                  <w:drawing>
                    <wp:anchor distT="0" distB="0" distL="114300" distR="114300" simplePos="0" relativeHeight="251658336" behindDoc="0" locked="0" layoutInCell="1" allowOverlap="1" wp14:anchorId="54D3C760" wp14:editId="59439C33">
                      <wp:simplePos x="0" y="0"/>
                      <wp:positionH relativeFrom="column">
                        <wp:posOffset>180975</wp:posOffset>
                      </wp:positionH>
                      <wp:positionV relativeFrom="paragraph">
                        <wp:posOffset>96520</wp:posOffset>
                      </wp:positionV>
                      <wp:extent cx="646430" cy="709930"/>
                      <wp:effectExtent l="19050" t="19050" r="20320" b="33020"/>
                      <wp:wrapNone/>
                      <wp:docPr id="3941" name="12-Point Star 1040"/>
                      <wp:cNvGraphicFramePr/>
                      <a:graphic xmlns:a="http://schemas.openxmlformats.org/drawingml/2006/main">
                        <a:graphicData uri="http://schemas.microsoft.com/office/word/2010/wordprocessingShape">
                          <wps:wsp>
                            <wps:cNvSpPr/>
                            <wps:spPr>
                              <a:xfrm>
                                <a:off x="0" y="0"/>
                                <a:ext cx="646430" cy="709930"/>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9FCC0" w14:textId="77777777" w:rsidR="00D97785" w:rsidRPr="00D84998" w:rsidRDefault="00D97785" w:rsidP="0050099E">
                                  <w:pPr>
                                    <w:jc w:val="center"/>
                                    <w:rPr>
                                      <w:rFonts w:asciiTheme="majorBidi" w:hAnsiTheme="majorBidi" w:cstheme="majorBidi"/>
                                    </w:rPr>
                                  </w:pPr>
                                  <w:r w:rsidRPr="00D84998">
                                    <w:rPr>
                                      <w:rFonts w:ascii="Times New Roman" w:eastAsia="Times New Roman" w:hAnsi="Times New Roman" w:cs="Times New Roman"/>
                                      <w:lang w:val="it-IT"/>
                                    </w:rPr>
                                    <w:t>2</w:t>
                                  </w:r>
                                  <w:r w:rsidRPr="00D84998">
                                    <w:rPr>
                                      <w:rFonts w:ascii="Times New Roman" w:eastAsia="Times New Roman" w:hAnsi="Times New Roman" w:cs="Times New Roman"/>
                                      <w:vertAlign w:val="superscript"/>
                                      <w:lang w:val="it-IT"/>
                                    </w:rPr>
                                    <w:t>°</w:t>
                                  </w:r>
                                  <w:r w:rsidRPr="00D84998">
                                    <w:rPr>
                                      <w:rFonts w:ascii="Times New Roman" w:eastAsia="Times New Roman" w:hAnsi="Times New Roman" w:cs="Times New Roman"/>
                                      <w:lang w:val="it-IT"/>
                                    </w:rPr>
                                    <w:t xml:space="preserve">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3C760" id="_x0000_s1335" style="position:absolute;margin-left:14.25pt;margin-top:7.6pt;width:50.9pt;height:55.9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6430,709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" adj="-11796480,,5400" path="m,354965l89064,286061,43303,177483,151804,166716,161608,47556r98866,50257l323215,r62741,97813l484823,47556r9803,119160l603127,177483,557366,286061r89064,68904l557366,423869r45761,108579l494626,543214r-9803,119160l385956,612117r-62741,97813l260474,612117r-98866,50257l151804,543214,43303,532448,89064,423869,,354965xe" fillcolor="black [3213]" strokecolor="black [3213]" strokeweight="2pt">
                      <v:stroke joinstyle="miter"/>
                      <v:formulas/>
                      <v:path arrowok="t" o:connecttype="custom" o:connectlocs="0,354965;89064,286061;43303,177483;151804,166716;161608,47556;260474,97813;323215,0;385956,97813;484823,47556;494626,166716;603127,177483;557366,286061;646430,354965;557366,423869;603127,532448;494626,543214;484823,662374;385956,612117;323215,709930;260474,612117;161608,662374;151804,543214;43303,532448;89064,423869;0,354965" o:connectangles="0,0,0,0,0,0,0,0,0,0,0,0,0,0,0,0,0,0,0,0,0,0,0,0,0" textboxrect="0,0,646430,709930"/>
                      <v:textbox inset="0,0,0,0">
                        <w:txbxContent>
                          <w:p w14:paraId="48F9FCC0" w14:textId="77777777" w:rsidR="00D97785" w:rsidRPr="00D84998" w:rsidRDefault="00D97785" w:rsidP="0050099E">
                            <w:pPr>
                              <w:jc w:val="center"/>
                              <w:rPr>
                                <w:rFonts w:asciiTheme="majorBidi" w:hAnsiTheme="majorBidi" w:cstheme="majorBidi"/>
                              </w:rPr>
                            </w:pPr>
                            <w:r w:rsidRPr="00D84998">
                              <w:rPr>
                                <w:rFonts w:ascii="Times New Roman" w:eastAsia="Times New Roman" w:hAnsi="Times New Roman" w:cs="Times New Roman"/>
                                <w:lang w:val="it-IT"/>
                              </w:rPr>
                              <w:t>2</w:t>
                            </w:r>
                            <w:r w:rsidRPr="00D84998">
                              <w:rPr>
                                <w:rFonts w:ascii="Times New Roman" w:eastAsia="Times New Roman" w:hAnsi="Times New Roman" w:cs="Times New Roman"/>
                                <w:vertAlign w:val="superscript"/>
                                <w:lang w:val="it-IT"/>
                              </w:rPr>
                              <w:t>°</w:t>
                            </w:r>
                            <w:r w:rsidRPr="00D84998">
                              <w:rPr>
                                <w:rFonts w:ascii="Times New Roman" w:eastAsia="Times New Roman" w:hAnsi="Times New Roman" w:cs="Times New Roman"/>
                                <w:lang w:val="it-IT"/>
                              </w:rPr>
                              <w:t xml:space="preserve"> clic </w:t>
                            </w:r>
                          </w:p>
                        </w:txbxContent>
                      </v:textbox>
                    </v:shape>
                  </w:pict>
                </mc:Fallback>
              </mc:AlternateContent>
            </w:r>
          </w:p>
          <w:p w14:paraId="78288FBA" w14:textId="77777777" w:rsidR="0050099E" w:rsidRPr="00C35766" w:rsidRDefault="0050099E" w:rsidP="00933A6C">
            <w:pPr>
              <w:pStyle w:val="a3"/>
              <w:rPr>
                <w:color w:val="211D1E"/>
                <w:sz w:val="20"/>
                <w:szCs w:val="20"/>
                <w:lang w:val="es-ES"/>
              </w:rPr>
            </w:pPr>
          </w:p>
          <w:p w14:paraId="471EDDB6" w14:textId="77777777" w:rsidR="0050099E" w:rsidRPr="00C35766" w:rsidRDefault="0050099E" w:rsidP="00933A6C">
            <w:pPr>
              <w:pStyle w:val="a3"/>
              <w:numPr>
                <w:ilvl w:val="0"/>
                <w:numId w:val="19"/>
              </w:numPr>
              <w:rPr>
                <w:color w:val="211D1E"/>
                <w:sz w:val="20"/>
                <w:szCs w:val="20"/>
                <w:lang w:val="es-ES"/>
              </w:rPr>
            </w:pPr>
            <w:r w:rsidRPr="00C35766">
              <w:rPr>
                <w:rFonts w:eastAsia="Times New Roman"/>
                <w:b/>
                <w:bCs/>
                <w:lang w:val="it-IT"/>
              </w:rPr>
              <w:t>Non</w:t>
            </w:r>
            <w:r w:rsidRPr="00C35766">
              <w:rPr>
                <w:rFonts w:eastAsia="Times New Roman"/>
                <w:lang w:val="it-IT"/>
              </w:rPr>
              <w:t xml:space="preserve"> cambi la posizione della penna pre-riempita una volta iniziata l’iniezione.</w:t>
            </w:r>
          </w:p>
          <w:p w14:paraId="062C74CC" w14:textId="77777777" w:rsidR="0050099E" w:rsidRPr="00C35766" w:rsidRDefault="0050099E" w:rsidP="00933A6C">
            <w:pPr>
              <w:pStyle w:val="a3"/>
              <w:rPr>
                <w:color w:val="211D1E"/>
                <w:sz w:val="20"/>
                <w:szCs w:val="20"/>
                <w:lang w:val="es-ES"/>
              </w:rPr>
            </w:pPr>
          </w:p>
        </w:tc>
      </w:tr>
      <w:tr w:rsidR="0050099E" w:rsidRPr="002A37A2" w14:paraId="585BC32E" w14:textId="77777777" w:rsidTr="00933A6C">
        <w:trPr>
          <w:trHeight w:val="6463"/>
        </w:trPr>
        <w:tc>
          <w:tcPr>
            <w:tcW w:w="9581" w:type="dxa"/>
          </w:tcPr>
          <w:p w14:paraId="1F7030F7" w14:textId="77777777" w:rsidR="0050099E" w:rsidRPr="00C35766" w:rsidRDefault="0050099E" w:rsidP="00933A6C">
            <w:pPr>
              <w:pStyle w:val="a3"/>
              <w:numPr>
                <w:ilvl w:val="0"/>
                <w:numId w:val="0"/>
              </w:numPr>
              <w:rPr>
                <w:rFonts w:eastAsia="Times New Roman"/>
                <w:lang w:val="es-ES"/>
              </w:rPr>
            </w:pPr>
          </w:p>
          <w:p w14:paraId="2E133080" w14:textId="0A53873F" w:rsidR="0050099E" w:rsidRPr="00C35766" w:rsidRDefault="0050099E" w:rsidP="00933A6C">
            <w:pPr>
              <w:pStyle w:val="a3"/>
              <w:numPr>
                <w:ilvl w:val="0"/>
                <w:numId w:val="67"/>
              </w:numPr>
              <w:rPr>
                <w:rFonts w:eastAsia="Times New Roman"/>
                <w:b/>
                <w:bCs/>
                <w:lang w:val="it-IT"/>
              </w:rPr>
            </w:pPr>
            <w:r w:rsidRPr="00C35766">
              <w:rPr>
                <w:rFonts w:eastAsia="Times New Roman"/>
                <w:b/>
                <w:bCs/>
                <w:noProof/>
                <w:lang w:eastAsia="ko-KR"/>
              </w:rPr>
              <mc:AlternateContent>
                <mc:Choice Requires="wpg">
                  <w:drawing>
                    <wp:anchor distT="0" distB="0" distL="114300" distR="114300" simplePos="0" relativeHeight="251658308" behindDoc="0" locked="0" layoutInCell="1" allowOverlap="1" wp14:anchorId="6DDC357E" wp14:editId="11CC408C">
                      <wp:simplePos x="0" y="0"/>
                      <wp:positionH relativeFrom="column">
                        <wp:posOffset>23495</wp:posOffset>
                      </wp:positionH>
                      <wp:positionV relativeFrom="paragraph">
                        <wp:posOffset>59690</wp:posOffset>
                      </wp:positionV>
                      <wp:extent cx="1905000" cy="2247900"/>
                      <wp:effectExtent l="19050" t="0" r="19050" b="0"/>
                      <wp:wrapSquare wrapText="bothSides"/>
                      <wp:docPr id="3942" name="그룹 3942"/>
                      <wp:cNvGraphicFramePr/>
                      <a:graphic xmlns:a="http://schemas.openxmlformats.org/drawingml/2006/main">
                        <a:graphicData uri="http://schemas.microsoft.com/office/word/2010/wordprocessingGroup">
                          <wpg:wgp>
                            <wpg:cNvGrpSpPr/>
                            <wpg:grpSpPr>
                              <a:xfrm>
                                <a:off x="0" y="0"/>
                                <a:ext cx="1905000" cy="2223109"/>
                                <a:chOff x="0" y="24791"/>
                                <a:chExt cx="1905000" cy="2223109"/>
                              </a:xfrm>
                            </wpg:grpSpPr>
                            <pic:pic xmlns:pic="http://schemas.openxmlformats.org/drawingml/2006/picture">
                              <pic:nvPicPr>
                                <pic:cNvPr id="3943" name="그림 3943"/>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bwMode="auto">
                                <a:xfrm>
                                  <a:off x="0" y="24791"/>
                                  <a:ext cx="1905000" cy="2042742"/>
                                </a:xfrm>
                                <a:prstGeom prst="rect">
                                  <a:avLst/>
                                </a:prstGeom>
                                <a:noFill/>
                                <a:ln>
                                  <a:solidFill>
                                    <a:schemeClr val="tx1"/>
                                  </a:solidFill>
                                </a:ln>
                              </pic:spPr>
                            </pic:pic>
                            <wps:wsp>
                              <wps:cNvPr id="3944" name="Text Box 3944"/>
                              <wps:cNvSpPr txBox="1"/>
                              <wps:spPr>
                                <a:xfrm>
                                  <a:off x="1333500" y="2108200"/>
                                  <a:ext cx="571500" cy="139700"/>
                                </a:xfrm>
                                <a:prstGeom prst="rect">
                                  <a:avLst/>
                                </a:prstGeom>
                                <a:solidFill>
                                  <a:prstClr val="white"/>
                                </a:solidFill>
                                <a:ln>
                                  <a:noFill/>
                                </a:ln>
                              </wps:spPr>
                              <wps:txbx>
                                <w:txbxContent>
                                  <w:p w14:paraId="059C7820" w14:textId="5C26C657" w:rsidR="00D97785" w:rsidRDefault="00D97785" w:rsidP="0050099E">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6DDC357E" id="그룹 3942" o:spid="_x0000_s1336" style="position:absolute;left:0;text-align:left;margin-left:1.85pt;margin-top:4.7pt;width:150pt;height:177pt;z-index:251658308" coordorigin=",247" coordsize="19050,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">
                      <v:shape id="그림 3943" o:spid="_x0000_s1337" type="#_x0000_t75" style="position:absolute;top:247;width:19050;height:2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" stroked="t" strokecolor="black [3213]">
                        <v:imagedata r:id="rId152" o:title=""/>
                        <v:path arrowok="t"/>
                      </v:shape>
                      <v:shape id="Text Box 3944" o:spid="_x0000_s1338"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" stroked="f">
                        <v:textbox inset="0,0,0,0">
                          <w:txbxContent>
                            <w:p w14:paraId="059C7820" w14:textId="5C26C657" w:rsidR="00D97785" w:rsidRDefault="00D97785" w:rsidP="0050099E">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K</w:t>
                              </w:r>
                            </w:p>
                          </w:txbxContent>
                        </v:textbox>
                      </v:shape>
                      <w10:wrap type="square"/>
                    </v:group>
                  </w:pict>
                </mc:Fallback>
              </mc:AlternateContent>
            </w:r>
            <w:r w:rsidRPr="00C35766">
              <w:rPr>
                <w:rFonts w:eastAsia="Times New Roman"/>
                <w:b/>
                <w:bCs/>
                <w:lang w:val="it-IT"/>
              </w:rPr>
              <w:t xml:space="preserve">Rimuova la penna pre-riempita dal sito d’iniezione e si </w:t>
            </w:r>
            <w:r w:rsidR="00924552">
              <w:rPr>
                <w:rFonts w:eastAsia="Times New Roman"/>
                <w:b/>
                <w:bCs/>
                <w:lang w:val="it-IT"/>
              </w:rPr>
              <w:t>occupi</w:t>
            </w:r>
            <w:r w:rsidRPr="00C35766">
              <w:rPr>
                <w:rFonts w:eastAsia="Times New Roman"/>
                <w:b/>
                <w:bCs/>
                <w:lang w:val="it-IT"/>
              </w:rPr>
              <w:t xml:space="preserve"> del sito di iniezione</w:t>
            </w:r>
          </w:p>
          <w:p w14:paraId="31385DE4" w14:textId="77777777" w:rsidR="0050099E" w:rsidRPr="00824699" w:rsidRDefault="0050099E" w:rsidP="00933A6C">
            <w:pPr>
              <w:pStyle w:val="a3"/>
              <w:numPr>
                <w:ilvl w:val="0"/>
                <w:numId w:val="0"/>
              </w:numPr>
              <w:ind w:left="471"/>
              <w:rPr>
                <w:b/>
                <w:lang w:val="it-IT"/>
              </w:rPr>
            </w:pPr>
            <w:r w:rsidRPr="00C35766">
              <w:rPr>
                <w:rFonts w:eastAsia="Times New Roman"/>
                <w:b/>
                <w:bCs/>
                <w:lang w:val="it-IT"/>
              </w:rPr>
              <w:t xml:space="preserve">     </w:t>
            </w:r>
          </w:p>
          <w:p w14:paraId="5A76C0EE" w14:textId="77777777" w:rsidR="0050099E" w:rsidRPr="00C35766" w:rsidRDefault="0050099E" w:rsidP="00933A6C">
            <w:pPr>
              <w:pStyle w:val="a3"/>
              <w:rPr>
                <w:lang w:val="es-ES"/>
              </w:rPr>
            </w:pPr>
            <w:r w:rsidRPr="00C35766">
              <w:rPr>
                <w:rFonts w:eastAsia="Times New Roman"/>
                <w:b/>
                <w:bCs/>
                <w:lang w:val="it-IT"/>
              </w:rPr>
              <w:t xml:space="preserve">        a.</w:t>
            </w:r>
            <w:r w:rsidRPr="00C35766">
              <w:rPr>
                <w:rFonts w:eastAsia="Times New Roman"/>
                <w:lang w:val="it-IT"/>
              </w:rPr>
              <w:t xml:space="preserve"> Guardi la penna pre-riempita e si assicuri che l’asta dello stantuffo blu con il tappo grigio riempia completamente la finestra.</w:t>
            </w:r>
          </w:p>
          <w:p w14:paraId="18D440C8" w14:textId="77777777" w:rsidR="0050099E" w:rsidRPr="00C35766" w:rsidRDefault="0050099E" w:rsidP="00933A6C">
            <w:pPr>
              <w:pStyle w:val="a3"/>
              <w:rPr>
                <w:rFonts w:eastAsia="Times New Roman"/>
                <w:b/>
                <w:bCs/>
                <w:lang w:val="it-IT"/>
              </w:rPr>
            </w:pPr>
            <w:r w:rsidRPr="00C35766">
              <w:rPr>
                <w:rFonts w:eastAsia="Times New Roman"/>
                <w:b/>
                <w:bCs/>
                <w:lang w:val="it-IT"/>
              </w:rPr>
              <w:t xml:space="preserve">         </w:t>
            </w:r>
          </w:p>
          <w:p w14:paraId="21C5F5BA" w14:textId="77777777" w:rsidR="0050099E" w:rsidRPr="00C35766" w:rsidRDefault="0050099E" w:rsidP="00933A6C">
            <w:pPr>
              <w:pStyle w:val="a3"/>
              <w:rPr>
                <w:lang w:val="es-ES"/>
              </w:rPr>
            </w:pPr>
            <w:r w:rsidRPr="00C35766">
              <w:rPr>
                <w:rFonts w:eastAsia="Times New Roman"/>
                <w:b/>
                <w:bCs/>
                <w:lang w:val="it-IT"/>
              </w:rPr>
              <w:t xml:space="preserve">        b.</w:t>
            </w:r>
            <w:r w:rsidRPr="00C35766">
              <w:rPr>
                <w:rFonts w:eastAsia="Times New Roman"/>
                <w:lang w:val="it-IT"/>
              </w:rPr>
              <w:t xml:space="preserve"> Rimuova la penna pre-riempita dalla pelle.</w:t>
            </w:r>
          </w:p>
          <w:p w14:paraId="42709578" w14:textId="77777777" w:rsidR="0050099E" w:rsidRPr="00C35766" w:rsidRDefault="0050099E" w:rsidP="00933A6C">
            <w:pPr>
              <w:pStyle w:val="a3"/>
              <w:rPr>
                <w:lang w:val="es-ES"/>
              </w:rPr>
            </w:pPr>
          </w:p>
          <w:p w14:paraId="7422FF92" w14:textId="77777777" w:rsidR="0050099E" w:rsidRPr="00C35766" w:rsidRDefault="0050099E" w:rsidP="00933A6C">
            <w:pPr>
              <w:pStyle w:val="a3"/>
              <w:numPr>
                <w:ilvl w:val="0"/>
                <w:numId w:val="0"/>
              </w:numPr>
              <w:tabs>
                <w:tab w:val="left" w:pos="3153"/>
                <w:tab w:val="left" w:pos="3294"/>
              </w:tabs>
              <w:rPr>
                <w:lang w:val="es-ES"/>
              </w:rPr>
            </w:pPr>
            <w:r w:rsidRPr="00C35766">
              <w:rPr>
                <w:rFonts w:eastAsia="맑은 고딕"/>
                <w:lang w:val="it-IT"/>
              </w:rPr>
              <w:t>•</w:t>
            </w:r>
            <w:r w:rsidRPr="00C35766">
              <w:rPr>
                <w:rFonts w:eastAsia="Times New Roman"/>
                <w:lang w:val="it-IT"/>
              </w:rPr>
              <w:t xml:space="preserve"> Dopo che avrà rimosso la penna pre-riempita dal sito di iniezione, l’ago si coprirà automaticamente.</w:t>
            </w:r>
            <w:r w:rsidRPr="00C35766">
              <w:rPr>
                <w:rFonts w:eastAsia="Times New Roman"/>
                <w:b/>
                <w:bCs/>
                <w:lang w:val="it-IT"/>
              </w:rPr>
              <w:t xml:space="preserve"> Non</w:t>
            </w:r>
            <w:r w:rsidRPr="00C35766">
              <w:rPr>
                <w:rFonts w:eastAsia="Times New Roman"/>
                <w:lang w:val="it-IT"/>
              </w:rPr>
              <w:t xml:space="preserve"> rimetta il tappo alla penna.</w:t>
            </w:r>
          </w:p>
          <w:p w14:paraId="7DB38237" w14:textId="77777777" w:rsidR="0050099E" w:rsidRPr="00C35766" w:rsidRDefault="0050099E" w:rsidP="00933A6C">
            <w:pPr>
              <w:pStyle w:val="a3"/>
              <w:rPr>
                <w:lang w:val="es-ES"/>
              </w:rPr>
            </w:pPr>
          </w:p>
          <w:p w14:paraId="6A9773AF" w14:textId="77777777" w:rsidR="0050099E" w:rsidRPr="00C35766" w:rsidRDefault="0050099E" w:rsidP="00933A6C">
            <w:pPr>
              <w:pStyle w:val="a3"/>
              <w:rPr>
                <w:lang w:val="it-IT"/>
              </w:rPr>
            </w:pPr>
            <w:r w:rsidRPr="00C35766">
              <w:rPr>
                <w:noProof/>
                <w:lang w:eastAsia="ko-KR"/>
              </w:rPr>
              <mc:AlternateContent>
                <mc:Choice Requires="wpg">
                  <w:drawing>
                    <wp:anchor distT="0" distB="0" distL="114300" distR="114300" simplePos="0" relativeHeight="251658335" behindDoc="0" locked="0" layoutInCell="1" allowOverlap="1" wp14:anchorId="0F3F7913" wp14:editId="63D5038A">
                      <wp:simplePos x="0" y="0"/>
                      <wp:positionH relativeFrom="column">
                        <wp:posOffset>24765</wp:posOffset>
                      </wp:positionH>
                      <wp:positionV relativeFrom="paragraph">
                        <wp:posOffset>564515</wp:posOffset>
                      </wp:positionV>
                      <wp:extent cx="1889760" cy="1805940"/>
                      <wp:effectExtent l="19050" t="0" r="15240" b="3810"/>
                      <wp:wrapSquare wrapText="bothSides"/>
                      <wp:docPr id="3945" name="그룹 3945"/>
                      <wp:cNvGraphicFramePr/>
                      <a:graphic xmlns:a="http://schemas.openxmlformats.org/drawingml/2006/main">
                        <a:graphicData uri="http://schemas.microsoft.com/office/word/2010/wordprocessingGroup">
                          <wpg:wgp>
                            <wpg:cNvGrpSpPr/>
                            <wpg:grpSpPr>
                              <a:xfrm>
                                <a:off x="0" y="0"/>
                                <a:ext cx="1889760" cy="1786345"/>
                                <a:chOff x="0" y="19595"/>
                                <a:chExt cx="1889760" cy="1786345"/>
                              </a:xfrm>
                            </wpg:grpSpPr>
                            <wpg:grpSp>
                              <wpg:cNvPr id="3946" name="그룹 3946"/>
                              <wpg:cNvGrpSpPr/>
                              <wpg:grpSpPr>
                                <a:xfrm>
                                  <a:off x="0" y="19595"/>
                                  <a:ext cx="1889760" cy="1786345"/>
                                  <a:chOff x="8890" y="19595"/>
                                  <a:chExt cx="1889760" cy="1786345"/>
                                </a:xfrm>
                              </wpg:grpSpPr>
                              <pic:pic xmlns:pic="http://schemas.openxmlformats.org/drawingml/2006/picture">
                                <pic:nvPicPr>
                                  <pic:cNvPr id="3947" name="그림 3947"/>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bwMode="auto">
                                  <a:xfrm>
                                    <a:off x="8890" y="19595"/>
                                    <a:ext cx="1889760" cy="1511480"/>
                                  </a:xfrm>
                                  <a:prstGeom prst="rect">
                                    <a:avLst/>
                                  </a:prstGeom>
                                  <a:noFill/>
                                  <a:ln>
                                    <a:solidFill>
                                      <a:schemeClr val="tx1"/>
                                    </a:solidFill>
                                  </a:ln>
                                </pic:spPr>
                              </pic:pic>
                              <wps:wsp>
                                <wps:cNvPr id="3948" name="Text Box 3948"/>
                                <wps:cNvSpPr txBox="1"/>
                                <wps:spPr>
                                  <a:xfrm>
                                    <a:off x="1352550" y="1574800"/>
                                    <a:ext cx="546100" cy="231140"/>
                                  </a:xfrm>
                                  <a:prstGeom prst="rect">
                                    <a:avLst/>
                                  </a:prstGeom>
                                  <a:solidFill>
                                    <a:prstClr val="white"/>
                                  </a:solidFill>
                                  <a:ln>
                                    <a:noFill/>
                                  </a:ln>
                                </wps:spPr>
                                <wps:txbx>
                                  <w:txbxContent>
                                    <w:p w14:paraId="00671336" w14:textId="6E4321BD" w:rsidR="00D97785" w:rsidRDefault="00D97785" w:rsidP="0050099E">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949" name="Text Box 3949"/>
                              <wps:cNvSpPr txBox="1"/>
                              <wps:spPr>
                                <a:xfrm>
                                  <a:off x="1036320" y="746760"/>
                                  <a:ext cx="828136" cy="6324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3DF93" w14:textId="77777777" w:rsidR="00D97785" w:rsidRDefault="00D97785" w:rsidP="0050099E">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F3F7913" id="그룹 3945" o:spid="_x0000_s1339" style="position:absolute;margin-left:1.95pt;margin-top:44.45pt;width:148.8pt;height:142.2pt;z-index:251658335" coordorigin=",195" coordsize="18897,17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">
                      <v:group id="그룹 3946" o:spid="_x0000_s1340" style="position:absolute;top:195;width:18897;height:17864" coordorigin="88,195" coordsize="18897,1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">
                        <v:shape id="그림 3947" o:spid="_x0000_s1341" type="#_x0000_t75" style="position:absolute;left:88;top:195;width:18898;height:1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" stroked="t" strokecolor="black [3213]">
                          <v:imagedata r:id="rId154" o:title=""/>
                          <v:path arrowok="t"/>
                        </v:shape>
                        <v:shape id="Text Box 3948" o:spid="_x0000_s1342"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" stroked="f">
                          <v:textbox inset="0,0,0,0">
                            <w:txbxContent>
                              <w:p w14:paraId="00671336" w14:textId="6E4321BD" w:rsidR="00D97785" w:rsidRDefault="00D97785" w:rsidP="0050099E">
                                <w:pPr>
                                  <w:pStyle w:val="af0"/>
                                  <w:jc w:val="right"/>
                                  <w:rPr>
                                    <w:noProof/>
                                  </w:rPr>
                                </w:pPr>
                                <w:r>
                                  <w:rPr>
                                    <w:rFonts w:ascii="Times New Roman" w:eastAsia="Times New Roman" w:hAnsi="Times New Roman" w:cs="Times New Roman"/>
                                    <w:lang w:val="it-IT"/>
                                  </w:rPr>
                                  <w:t>Figura </w:t>
                                </w:r>
                                <w:r>
                                  <w:rPr>
                                    <w:rFonts w:ascii="Times New Roman" w:hAnsi="Times New Roman" w:cs="Times New Roman"/>
                                  </w:rPr>
                                  <w:t>L</w:t>
                                </w:r>
                              </w:p>
                            </w:txbxContent>
                          </v:textbox>
                        </v:shape>
                      </v:group>
                      <v:shape id="Text Box 3949" o:spid="_x0000_s1343" type="#_x0000_t202" style="position:absolute;left:10363;top:7467;width:8281;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" fillcolor="white [3212]" stroked="f" strokeweight=".5pt">
                        <v:textbox inset="0,0,0,0">
                          <w:txbxContent>
                            <w:p w14:paraId="2083DF93" w14:textId="77777777" w:rsidR="00D97785" w:rsidRDefault="00D97785" w:rsidP="0050099E">
                              <w:pPr>
                                <w:rPr>
                                  <w:rFonts w:asciiTheme="majorBidi" w:hAnsiTheme="majorBidi" w:cstheme="majorBidi"/>
                                  <w:b/>
                                  <w:bCs/>
                                  <w:sz w:val="28"/>
                                  <w:szCs w:val="28"/>
                                </w:rPr>
                              </w:pPr>
                              <w:r>
                                <w:rPr>
                                  <w:rFonts w:ascii="Times New Roman" w:eastAsia="Times New Roman" w:hAnsi="Times New Roman" w:cs="Times New Roman"/>
                                  <w:b/>
                                  <w:bCs/>
                                  <w:sz w:val="28"/>
                                  <w:szCs w:val="28"/>
                                  <w:lang w:val="it-IT"/>
                                </w:rPr>
                                <w:t>Cappuccio copriago</w:t>
                              </w:r>
                            </w:p>
                          </w:txbxContent>
                        </v:textbox>
                      </v:shape>
                      <w10:wrap type="square"/>
                    </v:group>
                  </w:pict>
                </mc:Fallback>
              </mc:AlternateContent>
            </w:r>
            <w:r w:rsidRPr="00C35766">
              <w:rPr>
                <w:rFonts w:eastAsia="맑은 고딕"/>
                <w:lang w:val="it-IT"/>
              </w:rPr>
              <w:t>•</w:t>
            </w:r>
            <w:r w:rsidRPr="00C35766">
              <w:rPr>
                <w:rFonts w:eastAsia="Times New Roman"/>
                <w:lang w:val="it-IT"/>
              </w:rPr>
              <w:t xml:space="preserve"> Se la finestra non è diventata completamente blu o se il farmaco viene ancora iniettato, significa che Lei non ha ricevuto una dose completa. Chiami immediatamente il Suo medico</w:t>
            </w:r>
          </w:p>
          <w:p w14:paraId="4F3DFC94" w14:textId="77777777" w:rsidR="0050099E" w:rsidRPr="00C35766" w:rsidRDefault="0050099E" w:rsidP="00933A6C">
            <w:pPr>
              <w:pStyle w:val="a3"/>
              <w:rPr>
                <w:lang w:val="it-IT"/>
              </w:rPr>
            </w:pPr>
          </w:p>
          <w:p w14:paraId="180FAB36" w14:textId="77777777" w:rsidR="0050099E" w:rsidRPr="00C35766" w:rsidRDefault="0050099E" w:rsidP="00933A6C">
            <w:pPr>
              <w:pStyle w:val="a3"/>
              <w:rPr>
                <w:lang w:val="it-IT"/>
              </w:rPr>
            </w:pPr>
            <w:r w:rsidRPr="00C35766">
              <w:rPr>
                <w:rFonts w:eastAsia="Times New Roman"/>
                <w:b/>
                <w:bCs/>
                <w:lang w:val="it-IT"/>
              </w:rPr>
              <w:t xml:space="preserve">         c. </w:t>
            </w:r>
            <w:r w:rsidRPr="00C35766">
              <w:rPr>
                <w:rFonts w:eastAsia="Times New Roman"/>
                <w:lang w:val="it-IT"/>
              </w:rPr>
              <w:t xml:space="preserve">Medichi il sito d’iniezione premendovi delicatamente sopra, senza strofinare,  un batuffolo di cotone o una garza e, se necessario   </w:t>
            </w:r>
          </w:p>
          <w:p w14:paraId="2C27EA3F" w14:textId="77777777" w:rsidR="0050099E" w:rsidRPr="00C35766" w:rsidRDefault="0050099E" w:rsidP="00933A6C">
            <w:pPr>
              <w:pStyle w:val="a3"/>
              <w:rPr>
                <w:lang w:val="es-ES"/>
              </w:rPr>
            </w:pPr>
            <w:r w:rsidRPr="00C35766">
              <w:rPr>
                <w:rFonts w:eastAsia="Times New Roman"/>
                <w:lang w:val="it-IT"/>
              </w:rPr>
              <w:t>applicando una benda adesiva. Può verificarsi un sanguinamento.</w:t>
            </w:r>
          </w:p>
          <w:p w14:paraId="12522C23" w14:textId="77777777" w:rsidR="0050099E" w:rsidRPr="00C35766" w:rsidRDefault="0050099E" w:rsidP="00933A6C">
            <w:pPr>
              <w:pStyle w:val="a3"/>
              <w:rPr>
                <w:lang w:val="es-ES"/>
              </w:rPr>
            </w:pPr>
          </w:p>
          <w:p w14:paraId="7573E57F" w14:textId="77777777" w:rsidR="0050099E" w:rsidRPr="00C35766" w:rsidRDefault="0050099E" w:rsidP="00933A6C">
            <w:pPr>
              <w:pStyle w:val="a3"/>
              <w:rPr>
                <w:lang w:val="fr-FR"/>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riusi la penna pre-riempita.</w:t>
            </w:r>
          </w:p>
          <w:p w14:paraId="7A382E79" w14:textId="77777777" w:rsidR="0050099E" w:rsidRPr="00C35766" w:rsidRDefault="0050099E" w:rsidP="00933A6C">
            <w:pPr>
              <w:pStyle w:val="a3"/>
              <w:numPr>
                <w:ilvl w:val="0"/>
                <w:numId w:val="0"/>
              </w:numPr>
              <w:ind w:left="1024"/>
              <w:rPr>
                <w:lang w:val="fr-FR" w:eastAsia="ko-KR"/>
              </w:rPr>
            </w:pPr>
            <w:r w:rsidRPr="00C35766">
              <w:rPr>
                <w:rFonts w:eastAsia="맑은 고딕"/>
                <w:b/>
                <w:bCs/>
                <w:lang w:val="it-IT"/>
              </w:rPr>
              <w:t>•</w:t>
            </w:r>
            <w:r w:rsidRPr="00C35766">
              <w:rPr>
                <w:rFonts w:eastAsia="Times New Roman"/>
                <w:b/>
                <w:bCs/>
                <w:lang w:val="it-IT"/>
              </w:rPr>
              <w:t xml:space="preserve"> Non</w:t>
            </w:r>
            <w:r w:rsidRPr="00C35766">
              <w:rPr>
                <w:rFonts w:eastAsia="Times New Roman"/>
                <w:lang w:val="it-IT"/>
              </w:rPr>
              <w:t xml:space="preserve"> strofini il sito di iniezione.</w:t>
            </w:r>
          </w:p>
        </w:tc>
      </w:tr>
      <w:tr w:rsidR="0050099E" w:rsidRPr="002A37A2" w14:paraId="62448D0B" w14:textId="77777777" w:rsidTr="00933A6C">
        <w:trPr>
          <w:trHeight w:val="5329"/>
        </w:trPr>
        <w:tc>
          <w:tcPr>
            <w:tcW w:w="9581" w:type="dxa"/>
          </w:tcPr>
          <w:p w14:paraId="535B92DA" w14:textId="77777777" w:rsidR="0050099E" w:rsidRPr="00C35766" w:rsidRDefault="0050099E" w:rsidP="00933A6C">
            <w:pPr>
              <w:ind w:left="104"/>
              <w:rPr>
                <w:rFonts w:ascii="Times New Roman" w:eastAsia="Times New Roman" w:hAnsi="Times New Roman" w:cs="Times New Roman"/>
                <w:b/>
                <w:bCs/>
                <w:spacing w:val="-1"/>
                <w:lang w:val="fr-FR"/>
              </w:rPr>
            </w:pPr>
          </w:p>
          <w:p w14:paraId="7B1D988C" w14:textId="77777777" w:rsidR="0050099E" w:rsidRPr="00C35766" w:rsidRDefault="0050099E" w:rsidP="00933A6C">
            <w:pPr>
              <w:pStyle w:val="a3"/>
              <w:numPr>
                <w:ilvl w:val="0"/>
                <w:numId w:val="0"/>
              </w:numPr>
              <w:ind w:left="471"/>
              <w:rPr>
                <w:lang w:val="fr-FR"/>
              </w:rPr>
            </w:pPr>
          </w:p>
          <w:p w14:paraId="39722D85" w14:textId="77777777" w:rsidR="0050099E" w:rsidRPr="00C35766" w:rsidRDefault="0050099E" w:rsidP="00933A6C">
            <w:pPr>
              <w:pStyle w:val="a3"/>
              <w:numPr>
                <w:ilvl w:val="0"/>
                <w:numId w:val="67"/>
              </w:numPr>
            </w:pPr>
            <w:r w:rsidRPr="00C35766">
              <w:rPr>
                <w:b/>
                <w:noProof/>
                <w:lang w:eastAsia="ko-KR"/>
              </w:rPr>
              <mc:AlternateContent>
                <mc:Choice Requires="wpg">
                  <w:drawing>
                    <wp:anchor distT="0" distB="0" distL="114300" distR="114300" simplePos="0" relativeHeight="251658309" behindDoc="0" locked="0" layoutInCell="1" allowOverlap="1" wp14:anchorId="59E82117" wp14:editId="7DF5A650">
                      <wp:simplePos x="0" y="0"/>
                      <wp:positionH relativeFrom="column">
                        <wp:posOffset>112395</wp:posOffset>
                      </wp:positionH>
                      <wp:positionV relativeFrom="paragraph">
                        <wp:posOffset>36830</wp:posOffset>
                      </wp:positionV>
                      <wp:extent cx="2225675" cy="2937510"/>
                      <wp:effectExtent l="19050" t="19050" r="22225" b="0"/>
                      <wp:wrapSquare wrapText="bothSides"/>
                      <wp:docPr id="3950" name="그룹 3950"/>
                      <wp:cNvGraphicFramePr/>
                      <a:graphic xmlns:a="http://schemas.openxmlformats.org/drawingml/2006/main">
                        <a:graphicData uri="http://schemas.microsoft.com/office/word/2010/wordprocessingGroup">
                          <wpg:wgp>
                            <wpg:cNvGrpSpPr/>
                            <wpg:grpSpPr>
                              <a:xfrm>
                                <a:off x="0" y="0"/>
                                <a:ext cx="2221582" cy="2937510"/>
                                <a:chOff x="4093" y="0"/>
                                <a:chExt cx="2221582" cy="2937510"/>
                              </a:xfrm>
                            </wpg:grpSpPr>
                            <pic:pic xmlns:pic="http://schemas.openxmlformats.org/drawingml/2006/picture">
                              <pic:nvPicPr>
                                <pic:cNvPr id="3951" name="그림 3951"/>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a:xfrm>
                                  <a:off x="4093" y="0"/>
                                  <a:ext cx="2217489" cy="2735580"/>
                                </a:xfrm>
                                <a:prstGeom prst="rect">
                                  <a:avLst/>
                                </a:prstGeom>
                                <a:ln>
                                  <a:solidFill>
                                    <a:schemeClr val="tx1"/>
                                  </a:solidFill>
                                </a:ln>
                              </pic:spPr>
                            </pic:pic>
                            <wps:wsp>
                              <wps:cNvPr id="3952" name="Text Box 3952"/>
                              <wps:cNvSpPr txBox="1"/>
                              <wps:spPr>
                                <a:xfrm>
                                  <a:off x="1549400" y="2762250"/>
                                  <a:ext cx="676275" cy="175260"/>
                                </a:xfrm>
                                <a:prstGeom prst="rect">
                                  <a:avLst/>
                                </a:prstGeom>
                                <a:solidFill>
                                  <a:prstClr val="white"/>
                                </a:solidFill>
                                <a:ln>
                                  <a:noFill/>
                                </a:ln>
                              </wps:spPr>
                              <wps:txbx>
                                <w:txbxContent>
                                  <w:p w14:paraId="62F915EF" w14:textId="109ADAF9" w:rsidR="00D97785" w:rsidRDefault="00D97785" w:rsidP="0050099E">
                                    <w:pPr>
                                      <w:pStyle w:val="af0"/>
                                      <w:jc w:val="right"/>
                                      <w:rPr>
                                        <w:b w:val="0"/>
                                        <w:noProof/>
                                        <w:lang w:eastAsia="ko-KR"/>
                                      </w:rPr>
                                    </w:pPr>
                                    <w:r>
                                      <w:rPr>
                                        <w:rFonts w:ascii="Times New Roman" w:eastAsia="Times New Roman" w:hAnsi="Times New Roman" w:cs="Times New Roman"/>
                                        <w:lang w:val="it-IT"/>
                                      </w:rPr>
                                      <w:t>Figura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59E82117" id="그룹 3950" o:spid="_x0000_s1344" style="position:absolute;left:0;text-align:left;margin-left:8.85pt;margin-top:2.9pt;width:175.25pt;height:231.3pt;z-index:251658309" coordorigin="40" coordsize="22215,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">
                      <v:shape id="그림 3951" o:spid="_x0000_s1345" type="#_x0000_t75" style="position:absolute;left:40;width:22175;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" stroked="t" strokecolor="black [3213]">
                        <v:imagedata r:id="rId156" o:title=""/>
                        <v:path arrowok="t"/>
                      </v:shape>
                      <v:shape id="Text Box 3952" o:spid="_x0000_s1346"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" stroked="f">
                        <v:textbox inset="0,0,0,0">
                          <w:txbxContent>
                            <w:p w14:paraId="62F915EF" w14:textId="109ADAF9" w:rsidR="00D97785" w:rsidRDefault="00D97785" w:rsidP="0050099E">
                              <w:pPr>
                                <w:pStyle w:val="af0"/>
                                <w:jc w:val="right"/>
                                <w:rPr>
                                  <w:b w:val="0"/>
                                  <w:noProof/>
                                  <w:lang w:eastAsia="ko-KR"/>
                                </w:rPr>
                              </w:pPr>
                              <w:r>
                                <w:rPr>
                                  <w:rFonts w:ascii="Times New Roman" w:eastAsia="Times New Roman" w:hAnsi="Times New Roman" w:cs="Times New Roman"/>
                                  <w:lang w:val="it-IT"/>
                                </w:rPr>
                                <w:t>Figura </w:t>
                              </w:r>
                              <w:r>
                                <w:rPr>
                                  <w:rFonts w:ascii="Times New Roman" w:hAnsi="Times New Roman" w:cs="Times New Roman"/>
                                </w:rPr>
                                <w:t>M</w:t>
                              </w:r>
                            </w:p>
                          </w:txbxContent>
                        </v:textbox>
                      </v:shape>
                      <w10:wrap type="square"/>
                    </v:group>
                  </w:pict>
                </mc:Fallback>
              </mc:AlternateContent>
            </w:r>
            <w:r w:rsidRPr="00C35766">
              <w:rPr>
                <w:rFonts w:eastAsia="Times New Roman"/>
                <w:b/>
                <w:bCs/>
                <w:lang w:val="it-IT"/>
              </w:rPr>
              <w:t>Smaltisca la penna pre-riempita</w:t>
            </w:r>
          </w:p>
          <w:p w14:paraId="6C490821" w14:textId="77777777" w:rsidR="0050099E" w:rsidRPr="00C35766" w:rsidRDefault="0050099E" w:rsidP="00933A6C">
            <w:pPr>
              <w:pStyle w:val="a3"/>
            </w:pPr>
          </w:p>
          <w:p w14:paraId="48C9B866" w14:textId="77777777" w:rsidR="0050099E" w:rsidRPr="00C35766" w:rsidRDefault="0050099E" w:rsidP="00933A6C">
            <w:pPr>
              <w:pStyle w:val="a3"/>
              <w:rPr>
                <w:lang w:val="it-IT"/>
              </w:rPr>
            </w:pPr>
            <w:r w:rsidRPr="00C35766">
              <w:rPr>
                <w:rFonts w:eastAsia="Times New Roman"/>
                <w:b/>
                <w:bCs/>
                <w:lang w:val="it-IT"/>
              </w:rPr>
              <w:t xml:space="preserve">    a.</w:t>
            </w:r>
            <w:r w:rsidRPr="00C35766">
              <w:rPr>
                <w:rFonts w:eastAsia="Times New Roman"/>
                <w:lang w:val="it-IT"/>
              </w:rPr>
              <w:t xml:space="preserve"> Getti via immediatamente la penna pre-riempita usata in un contenitore speciale per lo smaltimento di oggetti taglienti, come da istruzioni del Suo medico, dell’infermiere o del farmacista. </w:t>
            </w:r>
          </w:p>
          <w:p w14:paraId="7DB3F5CC" w14:textId="77777777" w:rsidR="0050099E" w:rsidRPr="00C35766" w:rsidRDefault="0050099E" w:rsidP="00933A6C">
            <w:pPr>
              <w:pStyle w:val="a3"/>
              <w:rPr>
                <w:lang w:val="it-IT"/>
              </w:rPr>
            </w:pPr>
          </w:p>
          <w:p w14:paraId="7BE97DA7" w14:textId="77777777" w:rsidR="0050099E" w:rsidRPr="00C35766" w:rsidRDefault="0050099E" w:rsidP="00933A6C">
            <w:pPr>
              <w:pStyle w:val="a3"/>
              <w:rPr>
                <w:lang w:val="pt-BR"/>
              </w:rPr>
            </w:pPr>
            <w:r w:rsidRPr="00C35766">
              <w:rPr>
                <w:rFonts w:eastAsia="Times New Roman"/>
                <w:lang w:val="it-IT"/>
              </w:rPr>
              <w:t xml:space="preserve"> </w:t>
            </w:r>
            <w:r w:rsidRPr="00C35766">
              <w:rPr>
                <w:rFonts w:eastAsia="Times New Roman"/>
                <w:b/>
                <w:bCs/>
                <w:lang w:val="it-IT"/>
              </w:rPr>
              <w:t xml:space="preserve">   b.</w:t>
            </w:r>
            <w:r w:rsidRPr="00C35766">
              <w:rPr>
                <w:rFonts w:eastAsia="Times New Roman"/>
                <w:lang w:val="it-IT"/>
              </w:rPr>
              <w:t>Il tampone imbevuto di alcol e l’imballaggio possono essere messi nei rifiuti domestici.</w:t>
            </w:r>
          </w:p>
          <w:p w14:paraId="47867B42" w14:textId="77777777" w:rsidR="0050099E" w:rsidRPr="00BD232C" w:rsidRDefault="0050099E" w:rsidP="00933A6C">
            <w:pPr>
              <w:pStyle w:val="a3"/>
              <w:rPr>
                <w:b/>
                <w:lang w:val="it-IT"/>
              </w:rPr>
            </w:pPr>
          </w:p>
          <w:p w14:paraId="0D337C1B" w14:textId="77777777" w:rsidR="0050099E" w:rsidRPr="00BD232C" w:rsidRDefault="0050099E" w:rsidP="00933A6C">
            <w:pPr>
              <w:pStyle w:val="a3"/>
              <w:rPr>
                <w:lang w:val="it-IT"/>
              </w:rPr>
            </w:pPr>
            <w:r w:rsidRPr="00C35766">
              <w:rPr>
                <w:rFonts w:eastAsia="맑은 고딕"/>
                <w:lang w:val="it-IT"/>
              </w:rPr>
              <w:t>•</w:t>
            </w:r>
            <w:r w:rsidRPr="00C35766">
              <w:rPr>
                <w:rFonts w:eastAsia="Times New Roman"/>
                <w:lang w:val="it-IT"/>
              </w:rPr>
              <w:tab/>
              <w:t>Tenga sempre le penna pre-riempita e il contenitore speciale per oggetti taglienti lontano dalla vista e dalla portata dei bambini.</w:t>
            </w:r>
          </w:p>
          <w:p w14:paraId="0B2CC538" w14:textId="77777777" w:rsidR="0050099E" w:rsidRPr="00BD232C" w:rsidRDefault="0050099E" w:rsidP="00933A6C">
            <w:pPr>
              <w:pStyle w:val="a3"/>
              <w:rPr>
                <w:lang w:val="it-IT"/>
              </w:rPr>
            </w:pPr>
          </w:p>
          <w:p w14:paraId="4F96ABAB" w14:textId="77777777" w:rsidR="0050099E" w:rsidRPr="00BD232C" w:rsidRDefault="0050099E" w:rsidP="00933A6C">
            <w:pPr>
              <w:pStyle w:val="a3"/>
              <w:rPr>
                <w:lang w:val="it-IT" w:eastAsia="ko-KR"/>
              </w:rPr>
            </w:pPr>
          </w:p>
        </w:tc>
      </w:tr>
    </w:tbl>
    <w:p w14:paraId="7AE3DB99" w14:textId="77777777" w:rsidR="0050099E" w:rsidRPr="00BD232C" w:rsidRDefault="0050099E" w:rsidP="0050099E">
      <w:pPr>
        <w:pStyle w:val="a3"/>
        <w:rPr>
          <w:lang w:val="it-IT" w:eastAsia="ko-KR"/>
        </w:rPr>
      </w:pPr>
    </w:p>
    <w:p w14:paraId="38BC73A0" w14:textId="45446F10" w:rsidR="00BE1C70" w:rsidRPr="00BD232C" w:rsidRDefault="00BE1C70">
      <w:pPr>
        <w:rPr>
          <w:rFonts w:ascii="Times New Roman" w:hAnsi="Times New Roman" w:cs="Times New Roman"/>
          <w:lang w:val="it-IT" w:eastAsia="ko-KR"/>
        </w:rPr>
      </w:pPr>
      <w:r w:rsidRPr="00BD232C">
        <w:rPr>
          <w:lang w:val="it-IT" w:eastAsia="ko-KR"/>
        </w:rPr>
        <w:br w:type="page"/>
      </w:r>
    </w:p>
    <w:p w14:paraId="1D2514A8" w14:textId="77777777" w:rsidR="00BE1C70" w:rsidRPr="00C35766" w:rsidRDefault="00BE1C70" w:rsidP="00BE1C70">
      <w:pPr>
        <w:spacing w:before="76"/>
        <w:ind w:left="39"/>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lastRenderedPageBreak/>
        <w:t>Foglio illustrativo: informazioni per il paziente</w:t>
      </w:r>
    </w:p>
    <w:p w14:paraId="3296428E" w14:textId="77777777" w:rsidR="00BE1C70" w:rsidRPr="00C35766" w:rsidRDefault="00BE1C70" w:rsidP="00BE1C70">
      <w:pPr>
        <w:spacing w:before="13" w:line="240" w:lineRule="exact"/>
        <w:rPr>
          <w:rFonts w:ascii="Times New Roman" w:hAnsi="Times New Roman" w:cs="Times New Roman"/>
          <w:sz w:val="24"/>
          <w:lang w:val="it-IT"/>
        </w:rPr>
      </w:pPr>
    </w:p>
    <w:p w14:paraId="49840D0A" w14:textId="707CCD1A" w:rsidR="00BE1C70" w:rsidRPr="00C35766" w:rsidRDefault="00BE1C70" w:rsidP="00BE1C70">
      <w:pPr>
        <w:ind w:left="818" w:right="776"/>
        <w:jc w:val="center"/>
        <w:rPr>
          <w:rFonts w:ascii="Times New Roman" w:hAnsi="Times New Roman" w:cs="Times New Roman"/>
          <w:lang w:val="it-IT"/>
        </w:rPr>
      </w:pPr>
      <w:r w:rsidRPr="00C35766">
        <w:rPr>
          <w:rFonts w:ascii="Times New Roman" w:eastAsia="Times New Roman" w:hAnsi="Times New Roman" w:cs="Times New Roman"/>
          <w:b/>
          <w:bCs/>
          <w:spacing w:val="-1"/>
          <w:lang w:val="it-IT"/>
        </w:rPr>
        <w:t xml:space="preserve">Yuflyma </w:t>
      </w:r>
      <w:r w:rsidR="00930CAF">
        <w:rPr>
          <w:rFonts w:ascii="Times New Roman" w:eastAsia="Times New Roman" w:hAnsi="Times New Roman" w:cs="Times New Roman"/>
          <w:b/>
          <w:bCs/>
          <w:spacing w:val="-1"/>
          <w:lang w:val="it-IT"/>
        </w:rPr>
        <w:t>20</w:t>
      </w:r>
      <w:r>
        <w:rPr>
          <w:rFonts w:ascii="Times New Roman" w:eastAsia="Times New Roman" w:hAnsi="Times New Roman" w:cs="Times New Roman"/>
          <w:b/>
          <w:bCs/>
          <w:spacing w:val="-1"/>
          <w:lang w:val="it-IT"/>
        </w:rPr>
        <w:t xml:space="preserve"> mg</w:t>
      </w:r>
      <w:r w:rsidRPr="00C35766">
        <w:rPr>
          <w:rFonts w:ascii="Times New Roman" w:eastAsia="Times New Roman" w:hAnsi="Times New Roman" w:cs="Times New Roman"/>
          <w:b/>
          <w:bCs/>
          <w:spacing w:val="-1"/>
          <w:lang w:val="it-IT"/>
        </w:rPr>
        <w:t xml:space="preserve"> soluzione iniettabile in siringa pre-riempita</w:t>
      </w:r>
    </w:p>
    <w:p w14:paraId="69F50F19" w14:textId="77777777" w:rsidR="00BE1C70" w:rsidRPr="00C35766" w:rsidRDefault="00BE1C70" w:rsidP="00BE1C70">
      <w:pPr>
        <w:pStyle w:val="a3"/>
        <w:jc w:val="center"/>
        <w:rPr>
          <w:lang w:val="it-IT"/>
        </w:rPr>
      </w:pPr>
      <w:r w:rsidRPr="00C35766">
        <w:rPr>
          <w:rFonts w:eastAsia="Times New Roman"/>
          <w:lang w:val="it-IT"/>
        </w:rPr>
        <w:t>adalimumab</w:t>
      </w:r>
    </w:p>
    <w:p w14:paraId="79512372" w14:textId="77777777" w:rsidR="00BE1C70" w:rsidRPr="00C35766" w:rsidRDefault="00BE1C70" w:rsidP="00BE1C70">
      <w:pPr>
        <w:spacing w:before="18" w:line="240" w:lineRule="exact"/>
        <w:rPr>
          <w:rFonts w:ascii="Times New Roman" w:hAnsi="Times New Roman" w:cs="Times New Roman"/>
          <w:sz w:val="24"/>
          <w:lang w:val="it-IT"/>
        </w:rPr>
      </w:pPr>
    </w:p>
    <w:p w14:paraId="38C9C5CC" w14:textId="77777777" w:rsidR="00BE1C70" w:rsidRPr="00C35766" w:rsidRDefault="00BE1C70" w:rsidP="00BE1C70">
      <w:pPr>
        <w:spacing w:before="18" w:line="240" w:lineRule="exact"/>
        <w:rPr>
          <w:rFonts w:ascii="Times New Roman" w:hAnsi="Times New Roman" w:cs="Times New Roman"/>
          <w:sz w:val="24"/>
          <w:szCs w:val="24"/>
          <w:lang w:val="es-ES"/>
        </w:rPr>
      </w:pPr>
      <w:r w:rsidRPr="00C35766">
        <w:rPr>
          <w:rFonts w:ascii="Times New Roman" w:hAnsi="Times New Roman" w:cs="Times New Roman"/>
          <w:noProof/>
          <w:lang w:eastAsia="ko-KR"/>
        </w:rPr>
        <w:drawing>
          <wp:inline distT="0" distB="0" distL="0" distR="0" wp14:anchorId="351774B1" wp14:editId="5FE488EF">
            <wp:extent cx="203200" cy="169545"/>
            <wp:effectExtent l="0" t="0" r="6350" b="1905"/>
            <wp:docPr id="4133" name="그림 413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C35766">
        <w:rPr>
          <w:rFonts w:ascii="Times New Roman" w:eastAsia="Times New Roman" w:hAnsi="Times New Roman" w:cs="Times New Roman"/>
          <w:lang w:val="it-IT"/>
        </w:rPr>
        <w:t>Medicinale sottoposto a monitoraggio addizionale. Ciò permetterà la rapida identificazione di nuove informazioni sulla sicurezza. Lei può contribuire segnalando qualsiasi effetto indesiderato riscontrato durante l’assunzione di questo medicinale. Vedere la fine del paragrafo 4 per le informazioni su come segnalare gli effetti indesiderati.</w:t>
      </w:r>
    </w:p>
    <w:p w14:paraId="2FB606D7" w14:textId="77777777" w:rsidR="00BE1C70" w:rsidRPr="00C35766" w:rsidRDefault="00BE1C70" w:rsidP="00BE1C70">
      <w:pPr>
        <w:spacing w:before="18" w:line="240" w:lineRule="exact"/>
        <w:rPr>
          <w:rFonts w:ascii="Times New Roman" w:hAnsi="Times New Roman" w:cs="Times New Roman"/>
          <w:sz w:val="24"/>
          <w:szCs w:val="24"/>
          <w:lang w:val="es-ES"/>
        </w:rPr>
      </w:pPr>
    </w:p>
    <w:p w14:paraId="753136E0" w14:textId="28963AAC" w:rsidR="00BE1C70" w:rsidRPr="005C2D5B" w:rsidRDefault="00930CAF" w:rsidP="00BE1C70">
      <w:pPr>
        <w:spacing w:before="18" w:line="240" w:lineRule="exact"/>
        <w:rPr>
          <w:rFonts w:ascii="Times New Roman" w:eastAsia="Times New Roman" w:hAnsi="Times New Roman" w:cs="Times New Roman"/>
          <w:b/>
          <w:bCs/>
          <w:lang w:val="it-IT"/>
        </w:rPr>
      </w:pPr>
      <w:r w:rsidRPr="005C2D5B">
        <w:rPr>
          <w:rFonts w:ascii="Times New Roman" w:eastAsia="Times New Roman" w:hAnsi="Times New Roman" w:cs="Times New Roman"/>
          <w:b/>
          <w:bCs/>
          <w:lang w:val="it-IT"/>
        </w:rPr>
        <w:t>Legga attentamente questo foglio prima che il bambino inizi ad usare questo medicinale perché contiene informazioni importanti.</w:t>
      </w:r>
    </w:p>
    <w:p w14:paraId="7C13283B" w14:textId="77777777" w:rsidR="00BE1C70" w:rsidRPr="00C35766" w:rsidRDefault="00BE1C70" w:rsidP="00BE1C70">
      <w:pPr>
        <w:pStyle w:val="a3"/>
        <w:numPr>
          <w:ilvl w:val="0"/>
          <w:numId w:val="5"/>
        </w:numPr>
        <w:ind w:left="660" w:hanging="660"/>
        <w:rPr>
          <w:lang w:val="pt-BR"/>
        </w:rPr>
      </w:pPr>
      <w:r w:rsidRPr="00C35766">
        <w:rPr>
          <w:rFonts w:eastAsia="Times New Roman"/>
          <w:lang w:val="it-IT"/>
        </w:rPr>
        <w:t>Conservi questo foglio. Potrebbe aver bisogno di leggerlo di nuovo.</w:t>
      </w:r>
    </w:p>
    <w:p w14:paraId="05FB5F31" w14:textId="5CF9DC40" w:rsidR="00BE1C70" w:rsidRPr="00C35766" w:rsidRDefault="00930CAF" w:rsidP="00BE1C70">
      <w:pPr>
        <w:pStyle w:val="a3"/>
        <w:numPr>
          <w:ilvl w:val="0"/>
          <w:numId w:val="5"/>
        </w:numPr>
        <w:ind w:left="660" w:hanging="660"/>
        <w:rPr>
          <w:lang w:val="es-ES"/>
        </w:rPr>
      </w:pPr>
      <w:r w:rsidRPr="00824699">
        <w:rPr>
          <w:lang w:val="it-IT"/>
        </w:rPr>
        <w:t xml:space="preserve">Il medico le consegnerà una </w:t>
      </w:r>
      <w:r w:rsidRPr="00824699">
        <w:rPr>
          <w:b/>
          <w:lang w:val="it-IT"/>
        </w:rPr>
        <w:t>Scheda Promemoria per il Paziente</w:t>
      </w:r>
      <w:r w:rsidRPr="00824699">
        <w:rPr>
          <w:lang w:val="it-IT"/>
        </w:rPr>
        <w:t xml:space="preserve">, che contiene importanti informazioni sulla sicurezza, che ha bisogno di sapere prima che il bambino inizi ad assumere </w:t>
      </w:r>
      <w:r w:rsidR="005C2D5B" w:rsidRPr="00824699">
        <w:rPr>
          <w:lang w:val="it-IT"/>
        </w:rPr>
        <w:t>Yuflyma</w:t>
      </w:r>
      <w:r w:rsidRPr="00824699">
        <w:rPr>
          <w:lang w:val="it-IT"/>
        </w:rPr>
        <w:t xml:space="preserve"> e durante il trattamento con </w:t>
      </w:r>
      <w:r w:rsidR="005C2D5B" w:rsidRPr="00824699">
        <w:rPr>
          <w:lang w:val="it-IT"/>
        </w:rPr>
        <w:t>Yuflyma</w:t>
      </w:r>
      <w:r w:rsidRPr="00824699">
        <w:rPr>
          <w:lang w:val="it-IT"/>
        </w:rPr>
        <w:t xml:space="preserve">. Lei o il bambino conservate questa </w:t>
      </w:r>
      <w:r w:rsidRPr="00824699">
        <w:rPr>
          <w:b/>
          <w:lang w:val="it-IT"/>
        </w:rPr>
        <w:t>Scheda Promemoria per il Paziente</w:t>
      </w:r>
      <w:r w:rsidR="00BE1C70" w:rsidRPr="00C35766">
        <w:rPr>
          <w:rFonts w:eastAsia="Times New Roman"/>
          <w:lang w:val="it-IT"/>
        </w:rPr>
        <w:t>.</w:t>
      </w:r>
    </w:p>
    <w:p w14:paraId="177F82BE" w14:textId="77777777" w:rsidR="00BE1C70" w:rsidRPr="00C35766" w:rsidRDefault="00BE1C70" w:rsidP="00BE1C70">
      <w:pPr>
        <w:pStyle w:val="a3"/>
        <w:numPr>
          <w:ilvl w:val="0"/>
          <w:numId w:val="5"/>
        </w:numPr>
        <w:ind w:left="660" w:hanging="660"/>
        <w:rPr>
          <w:lang w:val="es-ES"/>
        </w:rPr>
      </w:pPr>
      <w:r w:rsidRPr="00C35766">
        <w:rPr>
          <w:rFonts w:eastAsia="Times New Roman"/>
          <w:lang w:val="it-IT"/>
        </w:rPr>
        <w:t>Se ha qualsiasi dubbio, si rivolga al medico o al farmacista.</w:t>
      </w:r>
    </w:p>
    <w:p w14:paraId="11C75F62" w14:textId="20F8E1CF" w:rsidR="00BE1C70" w:rsidRPr="00C35766" w:rsidRDefault="00930CAF" w:rsidP="00BE1C70">
      <w:pPr>
        <w:pStyle w:val="a3"/>
        <w:numPr>
          <w:ilvl w:val="0"/>
          <w:numId w:val="5"/>
        </w:numPr>
        <w:ind w:left="660" w:hanging="660"/>
        <w:rPr>
          <w:lang w:val="it-IT"/>
        </w:rPr>
      </w:pPr>
      <w:r w:rsidRPr="00824699">
        <w:rPr>
          <w:lang w:val="it-IT"/>
        </w:rPr>
        <w:t>Questo medicinale è stato prescritto soltanto per il bambino. Non lo dia ad altre persone, anche se i sintomi della malattia sono uguali a quelli del bambino, perchè potrebbe essere pericoloso</w:t>
      </w:r>
      <w:r w:rsidR="00BE1C70" w:rsidRPr="00C35766">
        <w:rPr>
          <w:rFonts w:eastAsia="Times New Roman"/>
          <w:lang w:val="it-IT"/>
        </w:rPr>
        <w:t>.</w:t>
      </w:r>
    </w:p>
    <w:p w14:paraId="28A2FA76" w14:textId="742BC24B" w:rsidR="00BE1C70" w:rsidRPr="00C35766" w:rsidRDefault="00930CAF" w:rsidP="00BE1C70">
      <w:pPr>
        <w:pStyle w:val="a3"/>
        <w:numPr>
          <w:ilvl w:val="0"/>
          <w:numId w:val="5"/>
        </w:numPr>
        <w:ind w:left="660" w:hanging="660"/>
        <w:rPr>
          <w:lang w:val="es-ES"/>
        </w:rPr>
      </w:pPr>
      <w:r w:rsidRPr="004F0B2E">
        <w:rPr>
          <w:lang w:val="it-IT"/>
        </w:rPr>
        <w:t>Se il bambino manifesta un qualsiasi effetto indesiderato, compresi quelli non elencati in questo foglio, si rivolga al pediatra o al farmacista.Vedere paragrafo 4</w:t>
      </w:r>
      <w:r w:rsidR="00BE1C70" w:rsidRPr="00C35766">
        <w:rPr>
          <w:rFonts w:eastAsia="Times New Roman"/>
          <w:lang w:val="it-IT"/>
        </w:rPr>
        <w:t>.</w:t>
      </w:r>
    </w:p>
    <w:p w14:paraId="0F6F3BC4" w14:textId="77777777" w:rsidR="00BE1C70" w:rsidRPr="00C35766" w:rsidRDefault="00BE1C70" w:rsidP="00BE1C70">
      <w:pPr>
        <w:pStyle w:val="a3"/>
        <w:rPr>
          <w:lang w:val="es-ES"/>
        </w:rPr>
      </w:pPr>
    </w:p>
    <w:p w14:paraId="395478D7" w14:textId="77777777" w:rsidR="00BE1C70" w:rsidRPr="00C35766" w:rsidRDefault="00BE1C70" w:rsidP="00BE1C70">
      <w:pPr>
        <w:pStyle w:val="a3"/>
        <w:rPr>
          <w:b/>
        </w:rPr>
      </w:pPr>
      <w:r w:rsidRPr="00C35766">
        <w:rPr>
          <w:rFonts w:eastAsia="Times New Roman"/>
          <w:b/>
          <w:bCs/>
          <w:lang w:val="it-IT"/>
        </w:rPr>
        <w:t>Contenuto di questo foglio</w:t>
      </w:r>
    </w:p>
    <w:p w14:paraId="78AC9124" w14:textId="77777777" w:rsidR="00BE1C70" w:rsidRPr="00C35766" w:rsidRDefault="00BE1C70" w:rsidP="005C2D5B">
      <w:pPr>
        <w:pStyle w:val="a3"/>
        <w:numPr>
          <w:ilvl w:val="0"/>
          <w:numId w:val="76"/>
        </w:numPr>
        <w:ind w:left="567" w:hanging="567"/>
        <w:rPr>
          <w:lang w:val="it-IT"/>
        </w:rPr>
      </w:pPr>
      <w:r w:rsidRPr="00C35766">
        <w:rPr>
          <w:rFonts w:eastAsia="Times New Roman"/>
          <w:lang w:val="it-IT"/>
        </w:rPr>
        <w:t>Cos’è Yuflyma e a cosa serve</w:t>
      </w:r>
    </w:p>
    <w:p w14:paraId="0F490565" w14:textId="13BE803D" w:rsidR="00BE1C70" w:rsidRPr="00C35766" w:rsidRDefault="00930CAF" w:rsidP="005C2D5B">
      <w:pPr>
        <w:pStyle w:val="a3"/>
        <w:numPr>
          <w:ilvl w:val="0"/>
          <w:numId w:val="76"/>
        </w:numPr>
        <w:ind w:left="567" w:hanging="567"/>
        <w:rPr>
          <w:lang w:val="it-IT"/>
        </w:rPr>
      </w:pPr>
      <w:r w:rsidRPr="00824699">
        <w:rPr>
          <w:lang w:val="it-IT"/>
        </w:rPr>
        <w:t xml:space="preserve">Cosa deve sapere prima che il bambino usi </w:t>
      </w:r>
      <w:r w:rsidR="005C2D5B" w:rsidRPr="00824699">
        <w:rPr>
          <w:lang w:val="it-IT"/>
        </w:rPr>
        <w:t>Yuflyma</w:t>
      </w:r>
    </w:p>
    <w:p w14:paraId="7F60BC25" w14:textId="77777777" w:rsidR="00BE1C70" w:rsidRPr="00C35766" w:rsidRDefault="00BE1C70" w:rsidP="005C2D5B">
      <w:pPr>
        <w:pStyle w:val="a3"/>
        <w:numPr>
          <w:ilvl w:val="0"/>
          <w:numId w:val="76"/>
        </w:numPr>
        <w:ind w:left="567" w:hanging="567"/>
      </w:pPr>
      <w:r w:rsidRPr="00C35766">
        <w:rPr>
          <w:rFonts w:eastAsia="Times New Roman"/>
          <w:lang w:val="it-IT"/>
        </w:rPr>
        <w:t>Come usare Yuflyma</w:t>
      </w:r>
    </w:p>
    <w:p w14:paraId="3D1ECA15" w14:textId="77777777" w:rsidR="00BE1C70" w:rsidRPr="00C35766" w:rsidRDefault="00BE1C70" w:rsidP="005C2D5B">
      <w:pPr>
        <w:pStyle w:val="a3"/>
        <w:numPr>
          <w:ilvl w:val="0"/>
          <w:numId w:val="76"/>
        </w:numPr>
        <w:ind w:left="567" w:hanging="567"/>
      </w:pPr>
      <w:r w:rsidRPr="00C35766">
        <w:rPr>
          <w:rFonts w:eastAsia="Times New Roman"/>
          <w:lang w:val="it-IT"/>
        </w:rPr>
        <w:t>Possibili effetti indesiderati</w:t>
      </w:r>
    </w:p>
    <w:p w14:paraId="613B5E2B" w14:textId="77777777" w:rsidR="00BE1C70" w:rsidRPr="00C35766" w:rsidRDefault="00BE1C70" w:rsidP="005C2D5B">
      <w:pPr>
        <w:pStyle w:val="a3"/>
        <w:numPr>
          <w:ilvl w:val="0"/>
          <w:numId w:val="76"/>
        </w:numPr>
        <w:ind w:left="567" w:hanging="567"/>
      </w:pPr>
      <w:r w:rsidRPr="00C35766">
        <w:rPr>
          <w:rFonts w:eastAsia="Times New Roman"/>
          <w:lang w:val="it-IT"/>
        </w:rPr>
        <w:t>Come conservare Yuflyma</w:t>
      </w:r>
    </w:p>
    <w:p w14:paraId="3D988FF5" w14:textId="77777777" w:rsidR="00BE1C70" w:rsidRPr="00C35766" w:rsidRDefault="00BE1C70" w:rsidP="005C2D5B">
      <w:pPr>
        <w:pStyle w:val="a3"/>
        <w:numPr>
          <w:ilvl w:val="0"/>
          <w:numId w:val="76"/>
        </w:numPr>
        <w:ind w:left="567" w:hanging="567"/>
        <w:rPr>
          <w:lang w:val="it-IT"/>
        </w:rPr>
      </w:pPr>
      <w:r w:rsidRPr="00C35766">
        <w:rPr>
          <w:rFonts w:eastAsia="Times New Roman"/>
          <w:lang w:val="it-IT"/>
        </w:rPr>
        <w:t>Contenuto della confezione e altre informazioni</w:t>
      </w:r>
    </w:p>
    <w:p w14:paraId="20D778E8" w14:textId="77777777" w:rsidR="00BE1C70" w:rsidRPr="00C35766" w:rsidRDefault="00BE1C70" w:rsidP="005C2D5B">
      <w:pPr>
        <w:pStyle w:val="a3"/>
        <w:numPr>
          <w:ilvl w:val="0"/>
          <w:numId w:val="76"/>
        </w:numPr>
        <w:ind w:left="567" w:hanging="567"/>
      </w:pPr>
      <w:r w:rsidRPr="00C35766">
        <w:rPr>
          <w:rFonts w:eastAsia="Times New Roman"/>
          <w:lang w:val="it-IT"/>
        </w:rPr>
        <w:t>Istruzioni per l’uso</w:t>
      </w:r>
    </w:p>
    <w:p w14:paraId="05461A07" w14:textId="77777777" w:rsidR="00BE1C70" w:rsidRPr="00C35766" w:rsidRDefault="00BE1C70" w:rsidP="00BE1C70">
      <w:pPr>
        <w:spacing w:line="200" w:lineRule="exact"/>
        <w:ind w:left="567" w:hanging="567"/>
        <w:rPr>
          <w:rFonts w:ascii="Times New Roman" w:hAnsi="Times New Roman" w:cs="Times New Roman"/>
          <w:sz w:val="20"/>
          <w:szCs w:val="20"/>
        </w:rPr>
      </w:pPr>
    </w:p>
    <w:p w14:paraId="6D61256E" w14:textId="77777777" w:rsidR="00BE1C70" w:rsidRPr="00C35766" w:rsidRDefault="00BE1C70" w:rsidP="00BE1C70">
      <w:pPr>
        <w:spacing w:line="200" w:lineRule="exact"/>
        <w:rPr>
          <w:rFonts w:ascii="Times New Roman" w:hAnsi="Times New Roman" w:cs="Times New Roman"/>
          <w:sz w:val="20"/>
          <w:szCs w:val="20"/>
        </w:rPr>
      </w:pPr>
    </w:p>
    <w:p w14:paraId="42E5D137" w14:textId="77777777" w:rsidR="00BE1C70" w:rsidRPr="00C35766" w:rsidRDefault="00BE1C70" w:rsidP="005C2D5B">
      <w:pPr>
        <w:pStyle w:val="a4"/>
        <w:numPr>
          <w:ilvl w:val="0"/>
          <w:numId w:val="77"/>
        </w:numPr>
        <w:spacing w:before="18" w:line="240" w:lineRule="exact"/>
        <w:ind w:left="357" w:hanging="357"/>
        <w:rPr>
          <w:rFonts w:ascii="Times New Roman" w:hAnsi="Times New Roman" w:cs="Times New Roman"/>
          <w:b/>
          <w:lang w:val="it-IT"/>
        </w:rPr>
      </w:pPr>
      <w:r w:rsidRPr="00C35766">
        <w:rPr>
          <w:rFonts w:ascii="Times New Roman" w:eastAsia="Times New Roman" w:hAnsi="Times New Roman" w:cs="Times New Roman"/>
          <w:b/>
          <w:bCs/>
          <w:lang w:val="it-IT"/>
        </w:rPr>
        <w:t>Cos’è Yuflyma e a cosa serve</w:t>
      </w:r>
    </w:p>
    <w:p w14:paraId="05980652" w14:textId="77777777" w:rsidR="00BE1C70" w:rsidRPr="00C35766" w:rsidRDefault="00BE1C70" w:rsidP="00BE1C70">
      <w:pPr>
        <w:spacing w:line="240" w:lineRule="exact"/>
        <w:rPr>
          <w:rFonts w:ascii="Times New Roman" w:hAnsi="Times New Roman" w:cs="Times New Roman"/>
          <w:b/>
          <w:lang w:val="it-IT"/>
        </w:rPr>
      </w:pPr>
    </w:p>
    <w:p w14:paraId="34373B60" w14:textId="22D31F4D" w:rsidR="00BE1C70" w:rsidRPr="00C35766" w:rsidRDefault="00BE1C70" w:rsidP="00BE1C70">
      <w:pPr>
        <w:pStyle w:val="a3"/>
        <w:rPr>
          <w:lang w:val="es-ES"/>
        </w:rPr>
      </w:pPr>
      <w:r w:rsidRPr="00C35766">
        <w:rPr>
          <w:rFonts w:eastAsia="Times New Roman"/>
          <w:lang w:val="it-IT"/>
        </w:rPr>
        <w:t>Yuflyma contiene il principio attivo adalimumab</w:t>
      </w:r>
      <w:r w:rsidR="00930CAF">
        <w:rPr>
          <w:rFonts w:eastAsia="Times New Roman"/>
          <w:lang w:val="it-IT"/>
        </w:rPr>
        <w:t>.</w:t>
      </w:r>
    </w:p>
    <w:p w14:paraId="45EDA592" w14:textId="77777777" w:rsidR="00BE1C70" w:rsidRPr="00C35766" w:rsidRDefault="00BE1C70" w:rsidP="00BE1C70">
      <w:pPr>
        <w:pStyle w:val="a3"/>
        <w:rPr>
          <w:lang w:val="es-ES"/>
        </w:rPr>
      </w:pPr>
    </w:p>
    <w:p w14:paraId="48F5A7C2" w14:textId="77777777" w:rsidR="00BE1C70" w:rsidRPr="00C35766" w:rsidRDefault="00BE1C70" w:rsidP="00BE1C70">
      <w:pPr>
        <w:pStyle w:val="a3"/>
        <w:rPr>
          <w:lang w:val="it-IT"/>
        </w:rPr>
      </w:pPr>
      <w:r w:rsidRPr="00C35766">
        <w:rPr>
          <w:rFonts w:eastAsia="Times New Roman"/>
          <w:lang w:val="it-IT"/>
        </w:rPr>
        <w:t>Yuflyma è indicato per il trattamento delle seguenti malattie infiammatorie:</w:t>
      </w:r>
    </w:p>
    <w:p w14:paraId="6F5BDD8C" w14:textId="77777777" w:rsidR="00BE1C70" w:rsidRPr="00C35766" w:rsidRDefault="00BE1C70" w:rsidP="00BE1C70">
      <w:pPr>
        <w:pStyle w:val="a3"/>
        <w:numPr>
          <w:ilvl w:val="0"/>
          <w:numId w:val="5"/>
        </w:numPr>
        <w:ind w:left="660" w:hanging="660"/>
      </w:pPr>
      <w:r w:rsidRPr="00C35766">
        <w:rPr>
          <w:rFonts w:eastAsia="Times New Roman"/>
          <w:lang w:val="it-IT"/>
        </w:rPr>
        <w:t>Artrite idiopatica giovanile poliarticolare</w:t>
      </w:r>
    </w:p>
    <w:p w14:paraId="324F23D8" w14:textId="77777777" w:rsidR="00BE1C70" w:rsidRPr="00C35766" w:rsidRDefault="00BE1C70" w:rsidP="00BE1C70">
      <w:pPr>
        <w:pStyle w:val="a3"/>
        <w:numPr>
          <w:ilvl w:val="0"/>
          <w:numId w:val="5"/>
        </w:numPr>
        <w:ind w:left="660" w:hanging="660"/>
      </w:pPr>
      <w:r w:rsidRPr="00C35766">
        <w:rPr>
          <w:rFonts w:eastAsia="Times New Roman"/>
          <w:lang w:val="it-IT"/>
        </w:rPr>
        <w:t>Artrite associata ad entesite</w:t>
      </w:r>
    </w:p>
    <w:p w14:paraId="028FDF4D" w14:textId="64A1704F" w:rsidR="00BE1C70" w:rsidRPr="00C35766" w:rsidRDefault="00930CAF" w:rsidP="00BE1C70">
      <w:pPr>
        <w:pStyle w:val="a3"/>
        <w:numPr>
          <w:ilvl w:val="0"/>
          <w:numId w:val="5"/>
        </w:numPr>
        <w:ind w:left="660" w:hanging="660"/>
      </w:pPr>
      <w:r>
        <w:t>Psoriasi a placche pediatrica</w:t>
      </w:r>
    </w:p>
    <w:p w14:paraId="24BEEE0B" w14:textId="0337E184" w:rsidR="00BE1C70" w:rsidRPr="00824699" w:rsidRDefault="00930CAF" w:rsidP="005C2D5B">
      <w:pPr>
        <w:pStyle w:val="a3"/>
        <w:numPr>
          <w:ilvl w:val="0"/>
          <w:numId w:val="5"/>
        </w:numPr>
        <w:ind w:left="660" w:hanging="660"/>
        <w:rPr>
          <w:lang w:val="it-IT"/>
        </w:rPr>
      </w:pPr>
      <w:r w:rsidRPr="00824699">
        <w:rPr>
          <w:lang w:val="it-IT"/>
        </w:rPr>
        <w:t>Malattia di Crohn in pazienti pediatrici</w:t>
      </w:r>
    </w:p>
    <w:p w14:paraId="75F2DB0B" w14:textId="0BB56CFA" w:rsidR="00BE1C70" w:rsidRPr="00C35766" w:rsidRDefault="00930CAF" w:rsidP="005C2D5B">
      <w:pPr>
        <w:pStyle w:val="a3"/>
        <w:numPr>
          <w:ilvl w:val="0"/>
          <w:numId w:val="5"/>
        </w:numPr>
        <w:ind w:left="660" w:hanging="660"/>
      </w:pPr>
      <w:r>
        <w:t>Uveite pediatrica</w:t>
      </w:r>
    </w:p>
    <w:p w14:paraId="00CA2D09" w14:textId="77777777" w:rsidR="00BE1C70" w:rsidRPr="00C35766" w:rsidRDefault="00BE1C70" w:rsidP="00BE1C70">
      <w:pPr>
        <w:spacing w:before="10" w:line="240" w:lineRule="exact"/>
        <w:rPr>
          <w:rFonts w:ascii="Times New Roman" w:hAnsi="Times New Roman" w:cs="Times New Roman"/>
          <w:sz w:val="24"/>
          <w:szCs w:val="24"/>
        </w:rPr>
      </w:pPr>
    </w:p>
    <w:p w14:paraId="672E6572" w14:textId="77777777" w:rsidR="00BE1C70" w:rsidRPr="00C35766" w:rsidRDefault="00BE1C70" w:rsidP="00BE1C70">
      <w:pPr>
        <w:pStyle w:val="a3"/>
        <w:rPr>
          <w:lang w:val="it-IT"/>
        </w:rPr>
      </w:pPr>
      <w:r w:rsidRPr="00C35766">
        <w:rPr>
          <w:rFonts w:eastAsia="Times New Roman"/>
          <w:lang w:val="it-IT"/>
        </w:rPr>
        <w:t>Il principio attivo di Yuflyma, adalimumab, è un anticorpo monoclonale umano. Gli anticorpi monoclonali sono proteine che si legano a un bersaglio specifico nel corpo.</w:t>
      </w:r>
    </w:p>
    <w:p w14:paraId="79F6A293" w14:textId="77777777" w:rsidR="00BE1C70" w:rsidRPr="00C35766" w:rsidRDefault="00BE1C70" w:rsidP="00BE1C70">
      <w:pPr>
        <w:spacing w:before="16" w:line="240" w:lineRule="exact"/>
        <w:rPr>
          <w:rFonts w:ascii="Times New Roman" w:hAnsi="Times New Roman" w:cs="Times New Roman"/>
          <w:sz w:val="24"/>
          <w:szCs w:val="24"/>
          <w:lang w:val="it-IT"/>
        </w:rPr>
      </w:pPr>
    </w:p>
    <w:p w14:paraId="05C7D6BE" w14:textId="77777777" w:rsidR="00BE1C70" w:rsidRPr="00C35766" w:rsidRDefault="00BE1C70" w:rsidP="00BE1C70">
      <w:pPr>
        <w:pStyle w:val="a3"/>
        <w:rPr>
          <w:lang w:val="it-IT"/>
        </w:rPr>
      </w:pPr>
      <w:r w:rsidRPr="00C35766">
        <w:rPr>
          <w:rFonts w:eastAsia="Times New Roman"/>
          <w:lang w:val="it-IT"/>
        </w:rPr>
        <w:t>Il bersaglio di adalimumab è una proteina denominata fattore di necrosi tumorale (TNFα), che è coinvolto nel sistema immunitario (di difesa) ed è presente a concentrazioni maggiori nelle malattie infiammatorie elencate sopra.  Attraverso il legame al TNFα, Yuflyma diminuisce il processo infiammatorio di queste malattie.</w:t>
      </w:r>
    </w:p>
    <w:p w14:paraId="2D75DA3B" w14:textId="77777777" w:rsidR="00BE1C70" w:rsidRPr="00C35766" w:rsidRDefault="00BE1C70" w:rsidP="00BE1C70">
      <w:pPr>
        <w:spacing w:before="18" w:line="240" w:lineRule="exact"/>
        <w:rPr>
          <w:rFonts w:ascii="Times New Roman" w:hAnsi="Times New Roman" w:cs="Times New Roman"/>
          <w:sz w:val="24"/>
          <w:szCs w:val="24"/>
          <w:lang w:val="pt-BR"/>
        </w:rPr>
      </w:pPr>
    </w:p>
    <w:p w14:paraId="1D41C59A" w14:textId="77777777" w:rsidR="00BE1C70" w:rsidRPr="00C35766" w:rsidRDefault="00BE1C70" w:rsidP="00BE1C70">
      <w:pPr>
        <w:pStyle w:val="a3"/>
        <w:rPr>
          <w:b/>
          <w:lang w:val="pt-BR"/>
        </w:rPr>
      </w:pPr>
      <w:r w:rsidRPr="00C35766">
        <w:rPr>
          <w:rFonts w:eastAsia="Times New Roman"/>
          <w:b/>
          <w:bCs/>
          <w:lang w:val="it-IT"/>
        </w:rPr>
        <w:t>Artrite idiopatica giovanile poliarticolare</w:t>
      </w:r>
    </w:p>
    <w:p w14:paraId="7F467950" w14:textId="77777777" w:rsidR="00BE1C70" w:rsidRPr="00C35766" w:rsidRDefault="00BE1C70" w:rsidP="00BE1C70">
      <w:pPr>
        <w:spacing w:before="9" w:line="240" w:lineRule="exact"/>
        <w:rPr>
          <w:rFonts w:ascii="Times New Roman" w:hAnsi="Times New Roman" w:cs="Times New Roman"/>
          <w:sz w:val="24"/>
          <w:szCs w:val="24"/>
          <w:lang w:val="pt-BR"/>
        </w:rPr>
      </w:pPr>
    </w:p>
    <w:p w14:paraId="4DA8E022" w14:textId="06454E4F" w:rsidR="00BE1C70" w:rsidRPr="00C35766" w:rsidRDefault="00930CAF" w:rsidP="00BE1C70">
      <w:pPr>
        <w:pStyle w:val="a3"/>
        <w:rPr>
          <w:lang w:val="pt-BR"/>
        </w:rPr>
      </w:pPr>
      <w:r w:rsidRPr="00824699">
        <w:rPr>
          <w:lang w:val="it-IT"/>
        </w:rPr>
        <w:lastRenderedPageBreak/>
        <w:t>L’artrite idiopatica giovanile poliarticolare è una malattia infiammatoria delle articolazioni che di solito inizia a manifestarsi durante l’infanzia</w:t>
      </w:r>
      <w:r w:rsidR="00BE1C70" w:rsidRPr="00C35766">
        <w:rPr>
          <w:rFonts w:eastAsia="Times New Roman"/>
          <w:lang w:val="it-IT"/>
        </w:rPr>
        <w:t>.</w:t>
      </w:r>
    </w:p>
    <w:p w14:paraId="62AB4BBF" w14:textId="77777777" w:rsidR="00BE1C70" w:rsidRPr="00C35766" w:rsidRDefault="00BE1C70" w:rsidP="00BE1C70">
      <w:pPr>
        <w:spacing w:before="13" w:line="240" w:lineRule="exact"/>
        <w:rPr>
          <w:rFonts w:ascii="Times New Roman" w:hAnsi="Times New Roman" w:cs="Times New Roman"/>
          <w:sz w:val="24"/>
          <w:szCs w:val="24"/>
          <w:lang w:val="pt-BR"/>
        </w:rPr>
      </w:pPr>
    </w:p>
    <w:p w14:paraId="6085BE98" w14:textId="30293EF0" w:rsidR="00BE1C70" w:rsidRPr="00C35766" w:rsidRDefault="005C2D5B" w:rsidP="00BE1C70">
      <w:pPr>
        <w:pStyle w:val="a3"/>
        <w:rPr>
          <w:lang w:val="it-IT"/>
        </w:rPr>
      </w:pPr>
      <w:r w:rsidRPr="00824699">
        <w:rPr>
          <w:lang w:val="it-IT"/>
        </w:rPr>
        <w:t>Yuflyma</w:t>
      </w:r>
      <w:r w:rsidR="00930CAF" w:rsidRPr="00824699">
        <w:rPr>
          <w:lang w:val="it-IT"/>
        </w:rPr>
        <w:t xml:space="preserve"> è usato per trattare l’artrite idiopatica giovanile poliarticolare in pazienti di età pari o superiore a 2 anni. Inizialmente possono essere somministrati al bambino altri farmaci modificanti la malattia, come il metotressato. Se questi medicinali non funzionano bene abbastanza, al bambino sarà somministrato </w:t>
      </w:r>
      <w:r w:rsidRPr="00824699">
        <w:rPr>
          <w:lang w:val="it-IT"/>
        </w:rPr>
        <w:t>Yuflyma</w:t>
      </w:r>
      <w:r w:rsidR="00930CAF" w:rsidRPr="00824699">
        <w:rPr>
          <w:lang w:val="it-IT"/>
        </w:rPr>
        <w:t xml:space="preserve"> per trattare l’artrite idiopatica giovanile poliarticolare.</w:t>
      </w:r>
    </w:p>
    <w:p w14:paraId="05EDAFC1" w14:textId="77777777" w:rsidR="00BE1C70" w:rsidRPr="005C2D5B" w:rsidRDefault="00BE1C70" w:rsidP="00BE1C70">
      <w:pPr>
        <w:spacing w:before="13" w:line="240" w:lineRule="exact"/>
        <w:rPr>
          <w:rFonts w:ascii="Times New Roman" w:hAnsi="Times New Roman" w:cs="Times New Roman"/>
          <w:sz w:val="24"/>
          <w:szCs w:val="24"/>
          <w:lang w:val="it-IT"/>
        </w:rPr>
      </w:pPr>
    </w:p>
    <w:p w14:paraId="0A7C2D1F" w14:textId="77777777" w:rsidR="00BE1C70" w:rsidRPr="00C35766" w:rsidRDefault="00BE1C70" w:rsidP="00BE1C70">
      <w:pPr>
        <w:pStyle w:val="a3"/>
        <w:rPr>
          <w:lang w:val="pt-BR"/>
        </w:rPr>
      </w:pPr>
      <w:r w:rsidRPr="00C35766">
        <w:rPr>
          <w:rFonts w:eastAsia="Times New Roman"/>
          <w:lang w:val="it-IT"/>
        </w:rPr>
        <w:t>Il medico deciderà se Yuflyma deve essere usato con il metotressato o da solo.</w:t>
      </w:r>
    </w:p>
    <w:p w14:paraId="58DBC5F8" w14:textId="77777777" w:rsidR="00BE1C70" w:rsidRPr="00C35766" w:rsidRDefault="00BE1C70" w:rsidP="00BE1C70">
      <w:pPr>
        <w:spacing w:before="16" w:line="240" w:lineRule="exact"/>
        <w:rPr>
          <w:rFonts w:ascii="Times New Roman" w:hAnsi="Times New Roman" w:cs="Times New Roman"/>
          <w:sz w:val="24"/>
          <w:szCs w:val="24"/>
          <w:lang w:val="pt-BR"/>
        </w:rPr>
      </w:pPr>
    </w:p>
    <w:p w14:paraId="02468E6B" w14:textId="77777777" w:rsidR="00BE1C70" w:rsidRPr="00C35766" w:rsidRDefault="00BE1C70" w:rsidP="00BE1C70">
      <w:pPr>
        <w:pStyle w:val="a3"/>
        <w:rPr>
          <w:b/>
          <w:lang w:val="pt-BR"/>
        </w:rPr>
      </w:pPr>
      <w:r w:rsidRPr="00C35766">
        <w:rPr>
          <w:rFonts w:eastAsia="Times New Roman"/>
          <w:b/>
          <w:bCs/>
          <w:lang w:val="it-IT"/>
        </w:rPr>
        <w:t>Artrite associata ad entesite</w:t>
      </w:r>
    </w:p>
    <w:p w14:paraId="67D251BF" w14:textId="77777777" w:rsidR="00BE1C70" w:rsidRPr="00C35766" w:rsidRDefault="00BE1C70" w:rsidP="00BE1C70">
      <w:pPr>
        <w:spacing w:before="9" w:line="240" w:lineRule="exact"/>
        <w:rPr>
          <w:rFonts w:ascii="Times New Roman" w:hAnsi="Times New Roman" w:cs="Times New Roman"/>
          <w:sz w:val="24"/>
          <w:szCs w:val="24"/>
          <w:lang w:val="pt-BR"/>
        </w:rPr>
      </w:pPr>
    </w:p>
    <w:p w14:paraId="0A96F30B" w14:textId="77777777" w:rsidR="00BE1C70" w:rsidRPr="00C35766" w:rsidRDefault="00BE1C70" w:rsidP="00BE1C70">
      <w:pPr>
        <w:pStyle w:val="a3"/>
        <w:rPr>
          <w:lang w:val="pt-BR"/>
        </w:rPr>
      </w:pPr>
      <w:r w:rsidRPr="00C35766">
        <w:rPr>
          <w:rFonts w:eastAsia="Times New Roman"/>
          <w:lang w:val="it-IT"/>
        </w:rPr>
        <w:t>L’artrite associata ad entesite è una malattia infiammatoria delle articolazioni e delle zone nelle quali i tendini si legano alle ossa.</w:t>
      </w:r>
    </w:p>
    <w:p w14:paraId="5BF6B1A1" w14:textId="77777777" w:rsidR="00BE1C70" w:rsidRPr="00C35766" w:rsidRDefault="00BE1C70" w:rsidP="00BE1C70">
      <w:pPr>
        <w:spacing w:before="10" w:line="240" w:lineRule="exact"/>
        <w:rPr>
          <w:rFonts w:ascii="Times New Roman" w:hAnsi="Times New Roman" w:cs="Times New Roman"/>
          <w:sz w:val="24"/>
          <w:szCs w:val="24"/>
          <w:lang w:val="pt-BR"/>
        </w:rPr>
      </w:pPr>
    </w:p>
    <w:p w14:paraId="22095604" w14:textId="0A037670" w:rsidR="00BE1C70" w:rsidRPr="00C35766" w:rsidRDefault="005C2D5B" w:rsidP="00BE1C70">
      <w:pPr>
        <w:pStyle w:val="a3"/>
        <w:rPr>
          <w:lang w:val="it-IT"/>
        </w:rPr>
      </w:pPr>
      <w:r w:rsidRPr="00824699">
        <w:rPr>
          <w:lang w:val="it-IT"/>
        </w:rPr>
        <w:t>Yuflyma</w:t>
      </w:r>
      <w:r w:rsidR="00930CAF" w:rsidRPr="00824699">
        <w:rPr>
          <w:lang w:val="it-IT"/>
        </w:rPr>
        <w:t xml:space="preserve"> è usato per trattare l’artrite associata ad entesite in pazienti di età pari o superiore a 6 anni. Inizialmente possono essere somministrati al bambino altri medicinali modificanti la malattia, come il metotressato. Se questi medicinali non funzionano bene abbastanza, al bambino sarà somministrato </w:t>
      </w:r>
      <w:r w:rsidRPr="00824699">
        <w:rPr>
          <w:lang w:val="it-IT"/>
        </w:rPr>
        <w:t>Yuflyma</w:t>
      </w:r>
      <w:r w:rsidR="00930CAF" w:rsidRPr="00824699">
        <w:rPr>
          <w:lang w:val="it-IT"/>
        </w:rPr>
        <w:t xml:space="preserve"> per trattare l’artrite associata ad entesite</w:t>
      </w:r>
      <w:r w:rsidR="00BE1C70" w:rsidRPr="00C35766">
        <w:rPr>
          <w:rFonts w:eastAsia="Times New Roman"/>
          <w:lang w:val="it-IT"/>
        </w:rPr>
        <w:t>.</w:t>
      </w:r>
    </w:p>
    <w:p w14:paraId="7F0ACD77" w14:textId="77777777" w:rsidR="00BE1C70" w:rsidRPr="00C35766" w:rsidRDefault="00BE1C70" w:rsidP="00BE1C70">
      <w:pPr>
        <w:pStyle w:val="a3"/>
        <w:rPr>
          <w:lang w:val="pt-BR"/>
        </w:rPr>
      </w:pPr>
    </w:p>
    <w:p w14:paraId="5C7948A9" w14:textId="7D44F45D" w:rsidR="00BE1C70" w:rsidRPr="005C2D5B" w:rsidRDefault="00930CAF" w:rsidP="00BE1C70">
      <w:pPr>
        <w:pStyle w:val="a3"/>
        <w:rPr>
          <w:b/>
          <w:lang w:val="pt-BR"/>
        </w:rPr>
      </w:pPr>
      <w:r w:rsidRPr="00824699">
        <w:rPr>
          <w:b/>
          <w:lang w:val="it-IT"/>
        </w:rPr>
        <w:t>Psoriasi a placche pediatrica</w:t>
      </w:r>
    </w:p>
    <w:p w14:paraId="33E5741B" w14:textId="77777777" w:rsidR="00BE1C70" w:rsidRPr="00C35766" w:rsidRDefault="00BE1C70" w:rsidP="00BE1C70">
      <w:pPr>
        <w:spacing w:before="9" w:line="240" w:lineRule="exact"/>
        <w:rPr>
          <w:rFonts w:ascii="Times New Roman" w:hAnsi="Times New Roman" w:cs="Times New Roman"/>
          <w:sz w:val="24"/>
          <w:szCs w:val="24"/>
          <w:lang w:val="pt-BR"/>
        </w:rPr>
      </w:pPr>
    </w:p>
    <w:p w14:paraId="04A3FB31" w14:textId="62064714" w:rsidR="00BE1C70" w:rsidRPr="00C35766" w:rsidRDefault="00BE1C70" w:rsidP="00BE1C70">
      <w:pPr>
        <w:pStyle w:val="a3"/>
        <w:rPr>
          <w:lang w:val="it-IT"/>
        </w:rPr>
      </w:pPr>
      <w:r w:rsidRPr="00C35766">
        <w:rPr>
          <w:rFonts w:eastAsia="Times New Roman"/>
          <w:lang w:val="it-IT"/>
        </w:rPr>
        <w:t>La psoriasi a placche è una condizione della pelle che causa chiazze rossastre, squamose e indurite di pelle ricoperta da squame argentee. La psoriasi a placche può anche colpire le unghie, provocandone la rottura, l’ispessimento e il sollevamento dal letto dell’unghia, che può essere doloroso.</w:t>
      </w:r>
      <w:r w:rsidR="00930CAF" w:rsidRPr="00824699">
        <w:rPr>
          <w:lang w:val="it-IT"/>
        </w:rPr>
        <w:t xml:space="preserve"> Si ritiene che la psoriasi sia dovuta ad un problema del sistema immunitario che determina una produzione aumentata di cellule della pelle.</w:t>
      </w:r>
    </w:p>
    <w:p w14:paraId="21E82FF0" w14:textId="77777777" w:rsidR="00BE1C70" w:rsidRPr="00C35766" w:rsidRDefault="00BE1C70" w:rsidP="00BE1C70">
      <w:pPr>
        <w:spacing w:before="13" w:line="240" w:lineRule="exact"/>
        <w:rPr>
          <w:rFonts w:ascii="Times New Roman" w:hAnsi="Times New Roman" w:cs="Times New Roman"/>
          <w:sz w:val="24"/>
          <w:szCs w:val="24"/>
          <w:lang w:val="it-IT"/>
        </w:rPr>
      </w:pPr>
    </w:p>
    <w:p w14:paraId="029F9B02" w14:textId="401CDCDC" w:rsidR="00BE1C70" w:rsidRPr="00C35766" w:rsidRDefault="00BE1C70" w:rsidP="005C2D5B">
      <w:pPr>
        <w:pStyle w:val="a3"/>
        <w:rPr>
          <w:lang w:val="it-IT"/>
        </w:rPr>
      </w:pPr>
      <w:r w:rsidRPr="00C35766">
        <w:rPr>
          <w:rFonts w:eastAsia="Times New Roman"/>
          <w:lang w:val="it-IT"/>
        </w:rPr>
        <w:t>Yuflyma è usato per trattare</w:t>
      </w:r>
      <w:r w:rsidR="00930CAF">
        <w:rPr>
          <w:rFonts w:eastAsia="Times New Roman"/>
          <w:lang w:val="it-IT"/>
        </w:rPr>
        <w:t xml:space="preserve"> </w:t>
      </w:r>
      <w:r w:rsidRPr="00C35766">
        <w:rPr>
          <w:rFonts w:eastAsia="Times New Roman"/>
          <w:lang w:val="it-IT"/>
        </w:rPr>
        <w:t>la psoriasi a placche cronica di grado severo in bambini e adolescenti dai 4 ai 17 anni nei quali la terapia topica e le fototerapie non abbiano funzionato in modo ottimale o non siano indicate.</w:t>
      </w:r>
    </w:p>
    <w:p w14:paraId="400A5ABE" w14:textId="77777777" w:rsidR="00BE1C70" w:rsidRPr="00C35766" w:rsidRDefault="00BE1C70" w:rsidP="00BE1C70">
      <w:pPr>
        <w:spacing w:before="15" w:line="240" w:lineRule="exact"/>
        <w:rPr>
          <w:rFonts w:ascii="Times New Roman" w:hAnsi="Times New Roman" w:cs="Times New Roman"/>
          <w:sz w:val="24"/>
          <w:lang w:val="it-IT"/>
        </w:rPr>
      </w:pPr>
    </w:p>
    <w:p w14:paraId="255E6CDE" w14:textId="77777777" w:rsidR="00930CAF" w:rsidRDefault="00930CAF" w:rsidP="005C2D5B">
      <w:pPr>
        <w:pStyle w:val="a3"/>
        <w:rPr>
          <w:rFonts w:eastAsia="Times New Roman"/>
          <w:b/>
          <w:bCs/>
          <w:lang w:val="it-IT"/>
        </w:rPr>
      </w:pPr>
      <w:r w:rsidRPr="005C2D5B">
        <w:rPr>
          <w:rFonts w:eastAsia="Times New Roman"/>
          <w:b/>
          <w:bCs/>
          <w:lang w:val="it-IT"/>
        </w:rPr>
        <w:t>Malattia di Crohn in pazienti pediatrici</w:t>
      </w:r>
    </w:p>
    <w:p w14:paraId="2C01730C" w14:textId="77777777" w:rsidR="00BE1C70" w:rsidRPr="00C35766" w:rsidRDefault="00BE1C70" w:rsidP="005C2D5B">
      <w:pPr>
        <w:pStyle w:val="a3"/>
        <w:rPr>
          <w:u w:val="single"/>
          <w:lang w:val="it-IT"/>
        </w:rPr>
      </w:pPr>
    </w:p>
    <w:p w14:paraId="318368DC" w14:textId="39424202" w:rsidR="00BE1C70" w:rsidRPr="00C35766" w:rsidRDefault="00BE1C70" w:rsidP="005C2D5B">
      <w:pPr>
        <w:pStyle w:val="a3"/>
        <w:rPr>
          <w:lang w:val="pt-BR"/>
        </w:rPr>
      </w:pPr>
      <w:r w:rsidRPr="00C35766">
        <w:rPr>
          <w:rFonts w:eastAsia="Times New Roman"/>
          <w:lang w:val="it-IT"/>
        </w:rPr>
        <w:t>La malattia di Cro</w:t>
      </w:r>
      <w:r>
        <w:rPr>
          <w:rFonts w:eastAsia="Times New Roman"/>
          <w:lang w:val="it-IT"/>
        </w:rPr>
        <w:t>h</w:t>
      </w:r>
      <w:r w:rsidRPr="00C35766">
        <w:rPr>
          <w:rFonts w:eastAsia="Times New Roman"/>
          <w:lang w:val="it-IT"/>
        </w:rPr>
        <w:t>n è una malattia infiammatoria del tratto digerente. Yuflyma è usato per trattare</w:t>
      </w:r>
      <w:r w:rsidR="00930CAF">
        <w:rPr>
          <w:rFonts w:eastAsia="Times New Roman"/>
          <w:lang w:val="it-IT"/>
        </w:rPr>
        <w:t xml:space="preserve"> </w:t>
      </w:r>
      <w:r w:rsidRPr="00C35766">
        <w:rPr>
          <w:rFonts w:eastAsia="Times New Roman"/>
          <w:lang w:val="it-IT"/>
        </w:rPr>
        <w:t>malattia di Crohn di grado da moderato a severo nei bambini e negli adolescenti di età compresa tra 6 e 17 anni.</w:t>
      </w:r>
    </w:p>
    <w:p w14:paraId="195A7F3D" w14:textId="77777777" w:rsidR="00BE1C70" w:rsidRPr="00C35766" w:rsidRDefault="00BE1C70" w:rsidP="00BE1C70">
      <w:pPr>
        <w:spacing w:before="16" w:line="240" w:lineRule="exact"/>
        <w:rPr>
          <w:rFonts w:ascii="Times New Roman" w:hAnsi="Times New Roman" w:cs="Times New Roman"/>
          <w:sz w:val="24"/>
          <w:szCs w:val="24"/>
          <w:lang w:val="pt-BR"/>
        </w:rPr>
      </w:pPr>
    </w:p>
    <w:p w14:paraId="3FD00D4B" w14:textId="45B68892" w:rsidR="00BE1C70" w:rsidRPr="00C35766" w:rsidRDefault="00930CAF" w:rsidP="00BE1C70">
      <w:pPr>
        <w:pStyle w:val="a3"/>
        <w:rPr>
          <w:lang w:val="it-IT"/>
        </w:rPr>
      </w:pPr>
      <w:r w:rsidRPr="00824699">
        <w:rPr>
          <w:lang w:val="it-IT"/>
        </w:rPr>
        <w:t xml:space="preserve">Al bambino possono essere somministrati inizialmente altri medicinali. Se questi medicinali non funzionano bene abbastanza, al bambino sarà somministrato </w:t>
      </w:r>
      <w:r w:rsidR="005C2D5B" w:rsidRPr="00824699">
        <w:rPr>
          <w:lang w:val="it-IT"/>
        </w:rPr>
        <w:t>Yuflyma</w:t>
      </w:r>
      <w:r w:rsidRPr="00824699">
        <w:rPr>
          <w:lang w:val="it-IT"/>
        </w:rPr>
        <w:t xml:space="preserve"> per ridurre i segni ed i sintomi della malattia</w:t>
      </w:r>
      <w:r w:rsidR="00BE1C70" w:rsidRPr="00C35766">
        <w:rPr>
          <w:rFonts w:eastAsia="Times New Roman"/>
          <w:lang w:val="it-IT"/>
        </w:rPr>
        <w:t>.</w:t>
      </w:r>
    </w:p>
    <w:p w14:paraId="7976BAFC" w14:textId="77777777" w:rsidR="00BE1C70" w:rsidRPr="00C35766" w:rsidRDefault="00BE1C70" w:rsidP="00BE1C70">
      <w:pPr>
        <w:spacing w:before="15" w:line="240" w:lineRule="exact"/>
        <w:rPr>
          <w:rFonts w:ascii="Times New Roman" w:hAnsi="Times New Roman" w:cs="Times New Roman"/>
          <w:sz w:val="24"/>
          <w:szCs w:val="24"/>
          <w:lang w:val="pt-BR"/>
        </w:rPr>
      </w:pPr>
    </w:p>
    <w:p w14:paraId="5AF045CA" w14:textId="3E3904F2" w:rsidR="00BE1C70" w:rsidRPr="005C2D5B" w:rsidRDefault="00930CAF" w:rsidP="00BE1C70">
      <w:pPr>
        <w:pStyle w:val="a3"/>
        <w:rPr>
          <w:rFonts w:eastAsia="Times New Roman"/>
          <w:b/>
          <w:bCs/>
          <w:lang w:val="it-IT"/>
        </w:rPr>
      </w:pPr>
      <w:r w:rsidRPr="005C2D5B">
        <w:rPr>
          <w:rFonts w:eastAsia="Times New Roman"/>
          <w:b/>
          <w:bCs/>
          <w:lang w:val="it-IT"/>
        </w:rPr>
        <w:t>Uveite pediatrica</w:t>
      </w:r>
    </w:p>
    <w:p w14:paraId="4EB2341E" w14:textId="77777777" w:rsidR="00BE1C70" w:rsidRPr="00C35766" w:rsidRDefault="00BE1C70" w:rsidP="00BE1C70">
      <w:pPr>
        <w:pStyle w:val="a3"/>
        <w:rPr>
          <w:lang w:val="pt-BR"/>
        </w:rPr>
      </w:pPr>
    </w:p>
    <w:p w14:paraId="2BCFFF42" w14:textId="05D85B8B" w:rsidR="00BE1C70" w:rsidRPr="00C35766" w:rsidRDefault="00BE1C70" w:rsidP="005C2D5B">
      <w:pPr>
        <w:pStyle w:val="a3"/>
        <w:rPr>
          <w:lang w:val="it-IT"/>
        </w:rPr>
      </w:pPr>
      <w:r w:rsidRPr="00C35766">
        <w:rPr>
          <w:rFonts w:eastAsia="Times New Roman"/>
          <w:lang w:val="it-IT"/>
        </w:rPr>
        <w:t>L’uveite non infettiva è una malattia infiammatoria che colpisce alcune parti dell'occhio. Yuflyma è usato per trattare</w:t>
      </w:r>
      <w:r w:rsidR="00930CAF">
        <w:rPr>
          <w:rFonts w:eastAsia="Times New Roman"/>
          <w:lang w:val="it-IT"/>
        </w:rPr>
        <w:t xml:space="preserve"> </w:t>
      </w:r>
      <w:r w:rsidRPr="00C35766">
        <w:rPr>
          <w:rFonts w:eastAsia="Times New Roman"/>
          <w:lang w:val="it-IT"/>
        </w:rPr>
        <w:t>bambini dai 2 anni di età con uveite cronica non infettiva con infiammazione che interessa la parte anteriore dell’occhio.</w:t>
      </w:r>
    </w:p>
    <w:p w14:paraId="65805B6B" w14:textId="77777777" w:rsidR="00BE1C70" w:rsidRPr="00C35766" w:rsidRDefault="00BE1C70" w:rsidP="00BE1C70">
      <w:pPr>
        <w:pStyle w:val="a3"/>
        <w:rPr>
          <w:lang w:val="it-IT"/>
        </w:rPr>
      </w:pPr>
    </w:p>
    <w:p w14:paraId="08400CEA" w14:textId="77777777" w:rsidR="00BE1C70" w:rsidRPr="00C35766" w:rsidRDefault="00BE1C70" w:rsidP="00BE1C70">
      <w:pPr>
        <w:pStyle w:val="a3"/>
        <w:rPr>
          <w:lang w:val="pt-BR"/>
        </w:rPr>
      </w:pPr>
      <w:r w:rsidRPr="00C35766">
        <w:rPr>
          <w:rFonts w:eastAsia="Times New Roman"/>
          <w:lang w:val="it-IT"/>
        </w:rPr>
        <w:t>Questa infiammazione può portare a una diminuzione della visione e/o alla presenza di corpi mobili nell’occhio (punti neri o linee sottili che si muovono attraverso il campo visivo). Yuflyma agisce riducendo questa infiammazione.</w:t>
      </w:r>
    </w:p>
    <w:p w14:paraId="1C3C15D9" w14:textId="77777777" w:rsidR="00BE1C70" w:rsidRPr="00C35766" w:rsidRDefault="00BE1C70" w:rsidP="00BE1C70">
      <w:pPr>
        <w:spacing w:before="10" w:line="240" w:lineRule="exact"/>
        <w:rPr>
          <w:rFonts w:ascii="Times New Roman" w:hAnsi="Times New Roman" w:cs="Times New Roman"/>
          <w:sz w:val="24"/>
          <w:szCs w:val="24"/>
          <w:lang w:val="pt-BR"/>
        </w:rPr>
      </w:pPr>
    </w:p>
    <w:p w14:paraId="481ED915" w14:textId="6A0782C9" w:rsidR="00BE1C70" w:rsidRPr="00C35766" w:rsidRDefault="00930CAF" w:rsidP="00BE1C70">
      <w:pPr>
        <w:pStyle w:val="a3"/>
        <w:rPr>
          <w:lang w:val="it-IT"/>
        </w:rPr>
      </w:pPr>
      <w:r w:rsidRPr="00824699">
        <w:rPr>
          <w:lang w:val="it-IT"/>
        </w:rPr>
        <w:t xml:space="preserve">Al bambino possono essere somministrati inizialmente altri medicinali. Se questi medicinali non funzionano bene abbastanza, al bambino sarà somministrato </w:t>
      </w:r>
      <w:r w:rsidR="005C2D5B" w:rsidRPr="00824699">
        <w:rPr>
          <w:lang w:val="it-IT"/>
        </w:rPr>
        <w:t>Yuflyma</w:t>
      </w:r>
      <w:r w:rsidRPr="00824699">
        <w:rPr>
          <w:lang w:val="it-IT"/>
        </w:rPr>
        <w:t xml:space="preserve"> per ridurre i segni ed i sintomi della malattia</w:t>
      </w:r>
      <w:r w:rsidR="00BE1C70" w:rsidRPr="00C35766">
        <w:rPr>
          <w:rFonts w:eastAsia="Times New Roman"/>
          <w:lang w:val="it-IT"/>
        </w:rPr>
        <w:t>.</w:t>
      </w:r>
    </w:p>
    <w:p w14:paraId="627ADDC2" w14:textId="77777777" w:rsidR="00BE1C70" w:rsidRPr="00C35766" w:rsidRDefault="00BE1C70" w:rsidP="00BE1C70">
      <w:pPr>
        <w:spacing w:before="18" w:line="240" w:lineRule="exact"/>
        <w:rPr>
          <w:rFonts w:ascii="Times New Roman" w:hAnsi="Times New Roman" w:cs="Times New Roman"/>
          <w:b/>
          <w:lang w:val="it-IT"/>
        </w:rPr>
      </w:pPr>
    </w:p>
    <w:p w14:paraId="1E9A413B" w14:textId="77777777" w:rsidR="00BE1C70" w:rsidRPr="00C35766" w:rsidRDefault="00BE1C70" w:rsidP="00BE1C70">
      <w:pPr>
        <w:spacing w:before="18" w:line="240" w:lineRule="exact"/>
        <w:ind w:left="108"/>
        <w:rPr>
          <w:rFonts w:ascii="Times New Roman" w:hAnsi="Times New Roman" w:cs="Times New Roman"/>
          <w:b/>
          <w:lang w:val="it-IT"/>
        </w:rPr>
      </w:pPr>
    </w:p>
    <w:p w14:paraId="1EC5418A" w14:textId="012D9365" w:rsidR="00BE1C70" w:rsidRPr="005C2D5B" w:rsidRDefault="00930CAF" w:rsidP="005C2D5B">
      <w:pPr>
        <w:pStyle w:val="a4"/>
        <w:numPr>
          <w:ilvl w:val="0"/>
          <w:numId w:val="77"/>
        </w:numPr>
        <w:spacing w:before="18" w:line="240" w:lineRule="exact"/>
        <w:ind w:left="357" w:hanging="357"/>
        <w:rPr>
          <w:rFonts w:ascii="Times New Roman" w:eastAsia="Times New Roman" w:hAnsi="Times New Roman" w:cs="Times New Roman"/>
          <w:b/>
          <w:bCs/>
          <w:lang w:val="it-IT"/>
        </w:rPr>
      </w:pPr>
      <w:r w:rsidRPr="005C2D5B">
        <w:rPr>
          <w:rFonts w:ascii="Times New Roman" w:eastAsia="Times New Roman" w:hAnsi="Times New Roman" w:cs="Times New Roman"/>
          <w:b/>
          <w:bCs/>
          <w:lang w:val="it-IT"/>
        </w:rPr>
        <w:t xml:space="preserve">Cosa deve sapere prima che il bambino usi </w:t>
      </w:r>
      <w:r w:rsidR="00BE1C70" w:rsidRPr="00C35766">
        <w:rPr>
          <w:rFonts w:ascii="Times New Roman" w:eastAsia="Times New Roman" w:hAnsi="Times New Roman" w:cs="Times New Roman"/>
          <w:b/>
          <w:bCs/>
          <w:lang w:val="it-IT"/>
        </w:rPr>
        <w:t>Yuflyma</w:t>
      </w:r>
      <w:r w:rsidR="00BE1C70" w:rsidRPr="005C2D5B">
        <w:rPr>
          <w:rFonts w:ascii="Times New Roman" w:eastAsia="Times New Roman" w:hAnsi="Times New Roman" w:cs="Times New Roman"/>
          <w:b/>
          <w:bCs/>
          <w:lang w:val="it-IT"/>
        </w:rPr>
        <w:t xml:space="preserve"> </w:t>
      </w:r>
    </w:p>
    <w:p w14:paraId="106FFB17" w14:textId="77777777" w:rsidR="00BE1C70" w:rsidRPr="00C35766" w:rsidRDefault="00BE1C70" w:rsidP="00BE1C70">
      <w:pPr>
        <w:spacing w:before="18" w:line="240" w:lineRule="exact"/>
        <w:ind w:left="108"/>
        <w:rPr>
          <w:rFonts w:ascii="Times New Roman" w:hAnsi="Times New Roman" w:cs="Times New Roman"/>
          <w:b/>
          <w:lang w:val="it-IT"/>
        </w:rPr>
      </w:pPr>
    </w:p>
    <w:p w14:paraId="33005E6C" w14:textId="77777777" w:rsidR="00BE1C70" w:rsidRPr="00C35766" w:rsidRDefault="00BE1C70" w:rsidP="00BE1C70">
      <w:pPr>
        <w:pStyle w:val="a3"/>
        <w:rPr>
          <w:b/>
        </w:rPr>
      </w:pPr>
      <w:r w:rsidRPr="00C35766">
        <w:rPr>
          <w:rFonts w:eastAsia="Times New Roman"/>
          <w:b/>
          <w:bCs/>
          <w:lang w:val="it-IT"/>
        </w:rPr>
        <w:t>Non usi Yuflyma:</w:t>
      </w:r>
    </w:p>
    <w:p w14:paraId="30333080" w14:textId="77777777" w:rsidR="00BE1C70" w:rsidRPr="00C35766" w:rsidRDefault="00BE1C70" w:rsidP="00BE1C70">
      <w:pPr>
        <w:pStyle w:val="a3"/>
        <w:rPr>
          <w:b/>
        </w:rPr>
      </w:pPr>
    </w:p>
    <w:p w14:paraId="36D85B1E" w14:textId="3D5CCF36" w:rsidR="00BE1C70" w:rsidRPr="00C35766" w:rsidRDefault="00930CAF" w:rsidP="00BE1C70">
      <w:pPr>
        <w:pStyle w:val="a3"/>
        <w:numPr>
          <w:ilvl w:val="1"/>
          <w:numId w:val="4"/>
        </w:numPr>
        <w:ind w:left="660" w:hanging="660"/>
        <w:rPr>
          <w:lang w:val="es-ES"/>
        </w:rPr>
      </w:pPr>
      <w:r w:rsidRPr="00824699">
        <w:rPr>
          <w:lang w:val="it-IT"/>
        </w:rPr>
        <w:t>Se il bambino è allergico ad adalimumab o ad uno qualsiasi degli altri componenti di questo medicinale (elencati al paragrafo 6</w:t>
      </w:r>
      <w:r w:rsidR="00BE1C70" w:rsidRPr="00C35766">
        <w:rPr>
          <w:rFonts w:eastAsia="Times New Roman"/>
          <w:lang w:val="it-IT"/>
        </w:rPr>
        <w:t>).</w:t>
      </w:r>
    </w:p>
    <w:p w14:paraId="252C65B7" w14:textId="77777777" w:rsidR="00BE1C70" w:rsidRPr="00C35766" w:rsidRDefault="00BE1C70" w:rsidP="00BE1C70">
      <w:pPr>
        <w:pStyle w:val="a3"/>
        <w:numPr>
          <w:ilvl w:val="0"/>
          <w:numId w:val="0"/>
        </w:numPr>
        <w:ind w:left="660"/>
        <w:rPr>
          <w:lang w:val="es-ES"/>
        </w:rPr>
      </w:pPr>
    </w:p>
    <w:p w14:paraId="3346F2D3" w14:textId="6204FF75" w:rsidR="00BE1C70" w:rsidRPr="00C35766" w:rsidRDefault="00930CAF" w:rsidP="00BE1C70">
      <w:pPr>
        <w:pStyle w:val="a3"/>
        <w:numPr>
          <w:ilvl w:val="1"/>
          <w:numId w:val="4"/>
        </w:numPr>
        <w:ind w:left="660" w:hanging="660"/>
        <w:rPr>
          <w:lang w:val="it-IT"/>
        </w:rPr>
      </w:pPr>
      <w:r w:rsidRPr="00824699">
        <w:rPr>
          <w:lang w:val="it-IT"/>
        </w:rPr>
        <w:t>In presenza di tubercolosi attiva o altre infezioni gravi (vedere “Avvertenze e precauzioni”). È importante comunicare al medico se il bambino ha sintomi di infezione, ad esempio, febbre, ferite, sensazione di stanchezza, problemi dentali</w:t>
      </w:r>
      <w:r w:rsidR="00BE1C70" w:rsidRPr="00C35766">
        <w:rPr>
          <w:rFonts w:eastAsia="Times New Roman"/>
          <w:lang w:val="it-IT"/>
        </w:rPr>
        <w:t>.</w:t>
      </w:r>
    </w:p>
    <w:p w14:paraId="43DE5E38" w14:textId="77777777" w:rsidR="00BE1C70" w:rsidRPr="00C35766" w:rsidRDefault="00BE1C70" w:rsidP="00BE1C70">
      <w:pPr>
        <w:pStyle w:val="a3"/>
        <w:numPr>
          <w:ilvl w:val="0"/>
          <w:numId w:val="0"/>
        </w:numPr>
        <w:ind w:left="660"/>
        <w:rPr>
          <w:lang w:val="it-IT"/>
        </w:rPr>
      </w:pPr>
    </w:p>
    <w:p w14:paraId="44D174D1" w14:textId="6F97F48C" w:rsidR="00BE1C70" w:rsidRPr="00C35766" w:rsidRDefault="00930CAF" w:rsidP="00BE1C70">
      <w:pPr>
        <w:pStyle w:val="a3"/>
        <w:numPr>
          <w:ilvl w:val="1"/>
          <w:numId w:val="4"/>
        </w:numPr>
        <w:ind w:left="660" w:hanging="660"/>
        <w:rPr>
          <w:lang w:val="it-IT"/>
        </w:rPr>
      </w:pPr>
      <w:r w:rsidRPr="00824699">
        <w:rPr>
          <w:lang w:val="it-IT"/>
        </w:rPr>
        <w:t>In presenza di insufficienza cardiaca moderata o grave. È importante riferire al medico se c’è stata o è presente una condizione cardiaca grave (vedere “Avvertenze e precauzioni”)</w:t>
      </w:r>
      <w:r w:rsidR="00BE1C70" w:rsidRPr="00C35766">
        <w:rPr>
          <w:rFonts w:eastAsia="Times New Roman"/>
          <w:lang w:val="it-IT"/>
        </w:rPr>
        <w:t>.</w:t>
      </w:r>
    </w:p>
    <w:p w14:paraId="327B5409" w14:textId="77777777" w:rsidR="00BE1C70" w:rsidRPr="00C35766" w:rsidRDefault="00BE1C70" w:rsidP="00BE1C70">
      <w:pPr>
        <w:spacing w:before="13" w:line="240" w:lineRule="exact"/>
        <w:rPr>
          <w:rFonts w:ascii="Times New Roman" w:hAnsi="Times New Roman" w:cs="Times New Roman"/>
          <w:sz w:val="24"/>
          <w:szCs w:val="24"/>
          <w:lang w:val="it-IT"/>
        </w:rPr>
      </w:pPr>
    </w:p>
    <w:p w14:paraId="4053BC81" w14:textId="77777777" w:rsidR="00BE1C70" w:rsidRPr="00C35766" w:rsidRDefault="00BE1C70" w:rsidP="00BE1C70">
      <w:pPr>
        <w:pStyle w:val="a3"/>
        <w:rPr>
          <w:b/>
          <w:lang w:val="es-ES"/>
        </w:rPr>
      </w:pPr>
      <w:r w:rsidRPr="00C35766">
        <w:rPr>
          <w:rFonts w:eastAsia="Times New Roman"/>
          <w:b/>
          <w:bCs/>
          <w:lang w:val="it-IT"/>
        </w:rPr>
        <w:t>Avvertenze e precauzioni</w:t>
      </w:r>
    </w:p>
    <w:p w14:paraId="67737588" w14:textId="77777777" w:rsidR="00BE1C70" w:rsidRPr="00C35766" w:rsidRDefault="00BE1C70" w:rsidP="00BE1C70">
      <w:pPr>
        <w:spacing w:before="9" w:line="240" w:lineRule="exact"/>
        <w:rPr>
          <w:rFonts w:ascii="Times New Roman" w:hAnsi="Times New Roman" w:cs="Times New Roman"/>
          <w:sz w:val="24"/>
          <w:szCs w:val="24"/>
          <w:lang w:val="es-ES"/>
        </w:rPr>
      </w:pPr>
    </w:p>
    <w:p w14:paraId="5370C5FC" w14:textId="77777777" w:rsidR="00BE1C70" w:rsidRPr="00C35766" w:rsidRDefault="00BE1C70" w:rsidP="00BE1C70">
      <w:pPr>
        <w:pStyle w:val="a3"/>
        <w:rPr>
          <w:lang w:val="es-ES"/>
        </w:rPr>
      </w:pPr>
      <w:r w:rsidRPr="00C35766">
        <w:rPr>
          <w:rFonts w:eastAsia="Times New Roman"/>
          <w:lang w:val="it-IT"/>
        </w:rPr>
        <w:t>Si rivolga al medico o al farmacista prima di usare Yuflyma.</w:t>
      </w:r>
    </w:p>
    <w:p w14:paraId="28683DBF" w14:textId="77777777" w:rsidR="00BE1C70" w:rsidRPr="00C35766" w:rsidRDefault="00BE1C70" w:rsidP="00BE1C70">
      <w:pPr>
        <w:pStyle w:val="a3"/>
        <w:rPr>
          <w:lang w:val="es-ES"/>
        </w:rPr>
      </w:pPr>
    </w:p>
    <w:p w14:paraId="4215A320" w14:textId="77777777" w:rsidR="00BE1C70" w:rsidRPr="00C35766" w:rsidRDefault="00BE1C70" w:rsidP="00BE1C70">
      <w:pPr>
        <w:pStyle w:val="a3"/>
        <w:rPr>
          <w:u w:val="single" w:color="000000"/>
        </w:rPr>
      </w:pPr>
      <w:r w:rsidRPr="00C35766">
        <w:rPr>
          <w:rFonts w:eastAsia="Times New Roman"/>
          <w:u w:val="single" w:color="000000"/>
          <w:lang w:val="it-IT"/>
        </w:rPr>
        <w:t>Reazioni allergiche</w:t>
      </w:r>
    </w:p>
    <w:p w14:paraId="531FDB30" w14:textId="77777777" w:rsidR="00BE1C70" w:rsidRPr="00C35766" w:rsidRDefault="00BE1C70" w:rsidP="00BE1C70">
      <w:pPr>
        <w:pStyle w:val="a3"/>
        <w:rPr>
          <w:u w:val="single"/>
        </w:rPr>
      </w:pPr>
    </w:p>
    <w:p w14:paraId="0828B51B" w14:textId="72B54B9E" w:rsidR="00BE1C70" w:rsidRPr="00C35766" w:rsidRDefault="00D777F9" w:rsidP="00BE1C70">
      <w:pPr>
        <w:pStyle w:val="a3"/>
        <w:numPr>
          <w:ilvl w:val="1"/>
          <w:numId w:val="4"/>
        </w:numPr>
        <w:ind w:left="660" w:hanging="660"/>
        <w:rPr>
          <w:lang w:val="it-IT"/>
        </w:rPr>
      </w:pPr>
      <w:r w:rsidRPr="00824699">
        <w:rPr>
          <w:lang w:val="it-IT"/>
        </w:rPr>
        <w:t xml:space="preserve">Se si verificano nel bambino reazioni allegiche con sintomi quali senso d’oppressione toracica, respiro sibilante, capogiro, gonfiore o eruzione cutanea, non somministri più </w:t>
      </w:r>
      <w:r w:rsidR="005C2D5B" w:rsidRPr="00824699">
        <w:rPr>
          <w:lang w:val="it-IT"/>
        </w:rPr>
        <w:t>Yuflyma</w:t>
      </w:r>
      <w:r w:rsidRPr="00824699">
        <w:rPr>
          <w:lang w:val="it-IT"/>
        </w:rPr>
        <w:t xml:space="preserve"> e contatti immediatamente il medico considerato che, in rari casi, queste reazioni possono essere pericolose per la vita</w:t>
      </w:r>
      <w:r w:rsidR="00BE1C70" w:rsidRPr="00C35766">
        <w:rPr>
          <w:rFonts w:eastAsia="Times New Roman"/>
          <w:lang w:val="it-IT"/>
        </w:rPr>
        <w:t>.</w:t>
      </w:r>
    </w:p>
    <w:p w14:paraId="1CB8792B" w14:textId="77777777" w:rsidR="00BE1C70" w:rsidRPr="00C35766" w:rsidRDefault="00BE1C70" w:rsidP="00BE1C70">
      <w:pPr>
        <w:pStyle w:val="a3"/>
        <w:rPr>
          <w:b/>
          <w:lang w:val="it-IT"/>
        </w:rPr>
      </w:pPr>
    </w:p>
    <w:p w14:paraId="6C0D2E7A" w14:textId="77777777" w:rsidR="00BE1C70" w:rsidRPr="00C35766" w:rsidRDefault="00BE1C70" w:rsidP="00BE1C70">
      <w:pPr>
        <w:pStyle w:val="a3"/>
        <w:rPr>
          <w:u w:val="single"/>
        </w:rPr>
      </w:pPr>
      <w:r w:rsidRPr="00C35766">
        <w:rPr>
          <w:rFonts w:eastAsia="Times New Roman"/>
          <w:u w:val="single"/>
          <w:lang w:val="it-IT"/>
        </w:rPr>
        <w:t>Infezioni</w:t>
      </w:r>
    </w:p>
    <w:p w14:paraId="50BCDF94" w14:textId="77777777" w:rsidR="00BE1C70" w:rsidRPr="00C35766" w:rsidRDefault="00BE1C70" w:rsidP="00BE1C70">
      <w:pPr>
        <w:pStyle w:val="a3"/>
        <w:rPr>
          <w:b/>
        </w:rPr>
      </w:pPr>
    </w:p>
    <w:p w14:paraId="78DA01E9" w14:textId="6EAA65A8" w:rsidR="00BE1C70" w:rsidRPr="00C35766" w:rsidRDefault="00D777F9" w:rsidP="00BE1C70">
      <w:pPr>
        <w:pStyle w:val="a3"/>
        <w:numPr>
          <w:ilvl w:val="1"/>
          <w:numId w:val="4"/>
        </w:numPr>
        <w:ind w:left="660" w:hanging="660"/>
      </w:pPr>
      <w:r w:rsidRPr="00824699">
        <w:rPr>
          <w:lang w:val="it-IT"/>
        </w:rPr>
        <w:t xml:space="preserve">Se il bambino ha un’infezione, comprese infezioni a lungo termine o infezioni in una parte del corpo (per esempio, ulcere alle gambe) consulti il medico prima di iniziare il trattamento con </w:t>
      </w:r>
      <w:r w:rsidR="005C2D5B" w:rsidRPr="00824699">
        <w:rPr>
          <w:lang w:val="it-IT"/>
        </w:rPr>
        <w:t>Yuflyma</w:t>
      </w:r>
      <w:r w:rsidRPr="00824699">
        <w:rPr>
          <w:lang w:val="it-IT"/>
        </w:rPr>
        <w:t xml:space="preserve">. </w:t>
      </w:r>
      <w:r>
        <w:t>Se ha dubbi, contatti il medico</w:t>
      </w:r>
      <w:r w:rsidR="00BE1C70" w:rsidRPr="00C35766">
        <w:rPr>
          <w:rFonts w:eastAsia="Times New Roman"/>
          <w:lang w:val="it-IT"/>
        </w:rPr>
        <w:t>.</w:t>
      </w:r>
    </w:p>
    <w:p w14:paraId="5E883CFB" w14:textId="77777777" w:rsidR="00BE1C70" w:rsidRPr="00C35766" w:rsidRDefault="00BE1C70" w:rsidP="00BE1C70">
      <w:pPr>
        <w:pStyle w:val="a3"/>
      </w:pPr>
    </w:p>
    <w:p w14:paraId="2B985468" w14:textId="6FD25E76" w:rsidR="00BE1C70" w:rsidRPr="00C35766" w:rsidRDefault="00D777F9" w:rsidP="00BE1C70">
      <w:pPr>
        <w:pStyle w:val="a3"/>
        <w:numPr>
          <w:ilvl w:val="1"/>
          <w:numId w:val="4"/>
        </w:numPr>
        <w:ind w:left="660" w:hanging="660"/>
        <w:rPr>
          <w:lang w:val="it-IT"/>
        </w:rPr>
      </w:pPr>
      <w:r w:rsidRPr="00824699">
        <w:rPr>
          <w:lang w:val="it-IT"/>
        </w:rPr>
        <w:t xml:space="preserve">È possibile che il bambino contragga più facilmente infezioni durante il trattamento con </w:t>
      </w:r>
      <w:r w:rsidR="005C2D5B" w:rsidRPr="00824699">
        <w:rPr>
          <w:lang w:val="it-IT"/>
        </w:rPr>
        <w:t>Yuflyma</w:t>
      </w:r>
      <w:r w:rsidRPr="00824699">
        <w:rPr>
          <w:lang w:val="it-IT"/>
        </w:rPr>
        <w:t xml:space="preserve">. Questo rischio può aumentare se il bambino ha problemi con i suoi polmoni. </w:t>
      </w:r>
      <w:r>
        <w:t>Queste infezioni possono essere gravi ed includere</w:t>
      </w:r>
      <w:r w:rsidR="00BE1C70" w:rsidRPr="00C35766">
        <w:rPr>
          <w:rFonts w:eastAsia="Times New Roman"/>
          <w:lang w:val="it-IT"/>
        </w:rPr>
        <w:t>:</w:t>
      </w:r>
    </w:p>
    <w:p w14:paraId="0DEAF0DA" w14:textId="77777777" w:rsidR="00BE1C70" w:rsidRPr="00C35766" w:rsidRDefault="00BE1C70" w:rsidP="00BE1C70">
      <w:pPr>
        <w:pStyle w:val="a3"/>
        <w:numPr>
          <w:ilvl w:val="1"/>
          <w:numId w:val="4"/>
        </w:numPr>
        <w:ind w:left="660" w:firstLine="49"/>
      </w:pPr>
      <w:r w:rsidRPr="00C35766">
        <w:rPr>
          <w:rFonts w:eastAsia="Times New Roman"/>
          <w:lang w:val="it-IT"/>
        </w:rPr>
        <w:t>tubercolosi</w:t>
      </w:r>
    </w:p>
    <w:p w14:paraId="09269139" w14:textId="77777777" w:rsidR="00BE1C70" w:rsidRPr="00C35766" w:rsidRDefault="00BE1C70" w:rsidP="00BE1C70">
      <w:pPr>
        <w:pStyle w:val="a3"/>
        <w:numPr>
          <w:ilvl w:val="1"/>
          <w:numId w:val="4"/>
        </w:numPr>
        <w:ind w:left="660" w:firstLine="49"/>
        <w:rPr>
          <w:lang w:val="pt-BR"/>
        </w:rPr>
      </w:pPr>
      <w:r w:rsidRPr="00C35766">
        <w:rPr>
          <w:rFonts w:eastAsia="Times New Roman"/>
          <w:lang w:val="it-IT"/>
        </w:rPr>
        <w:t>infezioni causate da virus, funghi, parassiti o batteri</w:t>
      </w:r>
    </w:p>
    <w:p w14:paraId="279DE9C3" w14:textId="77777777" w:rsidR="00BE1C70" w:rsidRPr="00C35766" w:rsidRDefault="00BE1C70" w:rsidP="00BE1C70">
      <w:pPr>
        <w:pStyle w:val="a3"/>
        <w:numPr>
          <w:ilvl w:val="1"/>
          <w:numId w:val="4"/>
        </w:numPr>
        <w:ind w:left="660" w:firstLine="49"/>
        <w:rPr>
          <w:lang w:val="es-ES"/>
        </w:rPr>
      </w:pPr>
      <w:r w:rsidRPr="00C35766">
        <w:rPr>
          <w:rFonts w:eastAsia="Times New Roman"/>
          <w:lang w:val="it-IT"/>
        </w:rPr>
        <w:t>grave infezione del sangue (sepsi)</w:t>
      </w:r>
    </w:p>
    <w:p w14:paraId="701D9E33" w14:textId="77777777" w:rsidR="00BE1C70" w:rsidRPr="00C35766" w:rsidRDefault="00BE1C70" w:rsidP="00BE1C70">
      <w:pPr>
        <w:pStyle w:val="a3"/>
        <w:rPr>
          <w:lang w:val="es-ES"/>
        </w:rPr>
      </w:pPr>
    </w:p>
    <w:p w14:paraId="3B4B0BDB" w14:textId="7C021CF2" w:rsidR="00BE1C70" w:rsidRPr="00C35766" w:rsidRDefault="00D777F9" w:rsidP="00BE1C70">
      <w:pPr>
        <w:pStyle w:val="a3"/>
        <w:numPr>
          <w:ilvl w:val="0"/>
          <w:numId w:val="0"/>
        </w:numPr>
        <w:ind w:left="660"/>
        <w:rPr>
          <w:lang w:val="it-IT"/>
        </w:rPr>
      </w:pPr>
      <w:r w:rsidRPr="00824699">
        <w:rPr>
          <w:lang w:val="it-IT"/>
        </w:rPr>
        <w:t xml:space="preserve">In rari casi, queste infezioni possono essere rischiose per la vita del paziente. È importante comunicare al medico se il bambino presenta sintomi quali febbre, ferite, sensazione di stanchezza o problemi dentali. Il medico potrebbe dirle di interrompere </w:t>
      </w:r>
      <w:r w:rsidR="005C2D5B" w:rsidRPr="00824699">
        <w:rPr>
          <w:lang w:val="it-IT"/>
        </w:rPr>
        <w:t>Yuflyma</w:t>
      </w:r>
      <w:r w:rsidRPr="00824699">
        <w:rPr>
          <w:lang w:val="it-IT"/>
        </w:rPr>
        <w:t xml:space="preserve"> per un periodo di tempo</w:t>
      </w:r>
      <w:r w:rsidR="00BE1C70" w:rsidRPr="00C35766">
        <w:rPr>
          <w:rFonts w:eastAsia="Times New Roman"/>
          <w:lang w:val="it-IT"/>
        </w:rPr>
        <w:t>.</w:t>
      </w:r>
    </w:p>
    <w:p w14:paraId="491297D1" w14:textId="77777777" w:rsidR="00BE1C70" w:rsidRPr="00C35766" w:rsidRDefault="00BE1C70" w:rsidP="00BE1C70">
      <w:pPr>
        <w:pStyle w:val="a3"/>
        <w:rPr>
          <w:lang w:val="it-IT"/>
        </w:rPr>
      </w:pPr>
    </w:p>
    <w:p w14:paraId="6956FCCC" w14:textId="1DC5A435" w:rsidR="00BE1C70" w:rsidRPr="00C35766" w:rsidRDefault="00D777F9" w:rsidP="00BE1C70">
      <w:pPr>
        <w:pStyle w:val="a3"/>
        <w:numPr>
          <w:ilvl w:val="1"/>
          <w:numId w:val="4"/>
        </w:numPr>
        <w:ind w:left="660" w:hanging="660"/>
        <w:rPr>
          <w:lang w:val="it-IT"/>
        </w:rPr>
      </w:pPr>
      <w:r w:rsidRPr="00824699">
        <w:rPr>
          <w:lang w:val="it-IT"/>
        </w:rPr>
        <w:t>Avvisi il medico se il bambino risiede o viaggia in regioni dove le infezioni fungine, come l’istoplasmosi, la coccidioidomicosi o la blastomicosi, sono endemiche</w:t>
      </w:r>
      <w:r w:rsidR="00BE1C70" w:rsidRPr="00C35766">
        <w:rPr>
          <w:rFonts w:eastAsia="Times New Roman"/>
          <w:lang w:val="it-IT"/>
        </w:rPr>
        <w:t>.</w:t>
      </w:r>
    </w:p>
    <w:p w14:paraId="492D1013" w14:textId="77777777" w:rsidR="00BE1C70" w:rsidRPr="00C35766" w:rsidRDefault="00BE1C70" w:rsidP="00BE1C70">
      <w:pPr>
        <w:pStyle w:val="a3"/>
        <w:rPr>
          <w:lang w:val="it-IT"/>
        </w:rPr>
      </w:pPr>
    </w:p>
    <w:p w14:paraId="60CE8D4E" w14:textId="6DA5C483" w:rsidR="00BE1C70" w:rsidRPr="00C35766" w:rsidRDefault="00D777F9" w:rsidP="00BE1C70">
      <w:pPr>
        <w:pStyle w:val="a3"/>
        <w:numPr>
          <w:ilvl w:val="1"/>
          <w:numId w:val="4"/>
        </w:numPr>
        <w:ind w:left="660" w:hanging="660"/>
        <w:rPr>
          <w:lang w:val="it-IT"/>
        </w:rPr>
      </w:pPr>
      <w:r w:rsidRPr="00824699">
        <w:rPr>
          <w:lang w:val="it-IT"/>
        </w:rPr>
        <w:t>Avvisi il medico se il bambino ha avuto infezioni recidivanti o se presenta condizioni che aumentano il rischio di infezione</w:t>
      </w:r>
      <w:r w:rsidR="00BE1C70" w:rsidRPr="00C35766">
        <w:rPr>
          <w:rFonts w:eastAsia="Times New Roman"/>
          <w:lang w:val="it-IT"/>
        </w:rPr>
        <w:t>.</w:t>
      </w:r>
    </w:p>
    <w:p w14:paraId="6F0FD275" w14:textId="77777777" w:rsidR="00BE1C70" w:rsidRPr="00C35766" w:rsidRDefault="00BE1C70" w:rsidP="00BE1C70">
      <w:pPr>
        <w:pStyle w:val="a3"/>
        <w:numPr>
          <w:ilvl w:val="0"/>
          <w:numId w:val="0"/>
        </w:numPr>
        <w:rPr>
          <w:lang w:val="it-IT"/>
        </w:rPr>
      </w:pPr>
    </w:p>
    <w:p w14:paraId="4D09CCA3" w14:textId="2E7AF7DB" w:rsidR="00BE1C70" w:rsidRPr="00C35766" w:rsidRDefault="00D777F9" w:rsidP="00BE1C70">
      <w:pPr>
        <w:pStyle w:val="a3"/>
        <w:numPr>
          <w:ilvl w:val="1"/>
          <w:numId w:val="4"/>
        </w:numPr>
        <w:ind w:left="660" w:hanging="660"/>
        <w:rPr>
          <w:lang w:val="it-IT"/>
        </w:rPr>
      </w:pPr>
      <w:r w:rsidRPr="00824699">
        <w:rPr>
          <w:lang w:val="it-IT"/>
        </w:rPr>
        <w:t>Il bambino e il pediatra d</w:t>
      </w:r>
      <w:r w:rsidR="001A10F9">
        <w:rPr>
          <w:lang w:val="it-IT"/>
        </w:rPr>
        <w:t xml:space="preserve">evono </w:t>
      </w:r>
      <w:r w:rsidRPr="00824699">
        <w:rPr>
          <w:lang w:val="it-IT"/>
        </w:rPr>
        <w:t xml:space="preserve">prestare paricolare attenzione ai segni di infezione mentre il bambino è in trattamento con </w:t>
      </w:r>
      <w:r w:rsidR="005C2D5B" w:rsidRPr="00824699">
        <w:rPr>
          <w:lang w:val="it-IT"/>
        </w:rPr>
        <w:t>Yuflyma</w:t>
      </w:r>
      <w:r w:rsidRPr="00824699">
        <w:rPr>
          <w:lang w:val="it-IT"/>
        </w:rPr>
        <w:t>. È importante informare il pediatra se compaiono i sintomi di infezioni quali febbre, ferite, sensazione di stanchezza o problemi dentali</w:t>
      </w:r>
      <w:r w:rsidR="00BE1C70" w:rsidRPr="00C35766">
        <w:rPr>
          <w:rFonts w:eastAsia="Times New Roman"/>
          <w:lang w:val="it-IT"/>
        </w:rPr>
        <w:t>.</w:t>
      </w:r>
    </w:p>
    <w:p w14:paraId="0BFC660E" w14:textId="77777777" w:rsidR="00BE1C70" w:rsidRPr="00C35766" w:rsidRDefault="00BE1C70" w:rsidP="00BE1C70">
      <w:pPr>
        <w:spacing w:before="11" w:line="240" w:lineRule="exact"/>
        <w:rPr>
          <w:rFonts w:ascii="Times New Roman" w:hAnsi="Times New Roman" w:cs="Times New Roman"/>
          <w:sz w:val="24"/>
          <w:lang w:val="it-IT"/>
        </w:rPr>
      </w:pPr>
    </w:p>
    <w:p w14:paraId="6CE3DC95" w14:textId="77777777" w:rsidR="00BE1C70" w:rsidRPr="00C35766" w:rsidRDefault="00BE1C70" w:rsidP="00BE1C70">
      <w:pPr>
        <w:pStyle w:val="a3"/>
        <w:rPr>
          <w:u w:val="single"/>
        </w:rPr>
      </w:pPr>
      <w:r w:rsidRPr="00C35766">
        <w:rPr>
          <w:rFonts w:eastAsia="Times New Roman"/>
          <w:u w:val="single" w:color="000000"/>
          <w:lang w:val="it-IT"/>
        </w:rPr>
        <w:t>Tubercolosi</w:t>
      </w:r>
    </w:p>
    <w:p w14:paraId="7C92347D" w14:textId="77777777" w:rsidR="00BE1C70" w:rsidRPr="00C35766" w:rsidRDefault="00BE1C70" w:rsidP="00BE1C70">
      <w:pPr>
        <w:spacing w:before="4" w:line="190" w:lineRule="exact"/>
        <w:rPr>
          <w:rFonts w:ascii="Times New Roman" w:hAnsi="Times New Roman" w:cs="Times New Roman"/>
          <w:sz w:val="19"/>
          <w:szCs w:val="19"/>
        </w:rPr>
      </w:pPr>
    </w:p>
    <w:p w14:paraId="372055D5" w14:textId="5C17EAA5" w:rsidR="00BE1C70" w:rsidRPr="005C2D5B" w:rsidRDefault="00D777F9" w:rsidP="005C2D5B">
      <w:pPr>
        <w:pStyle w:val="a3"/>
        <w:numPr>
          <w:ilvl w:val="1"/>
          <w:numId w:val="4"/>
        </w:numPr>
        <w:ind w:left="660" w:hanging="660"/>
        <w:rPr>
          <w:rFonts w:eastAsia="Times New Roman"/>
          <w:lang w:val="it-IT"/>
        </w:rPr>
      </w:pPr>
      <w:r w:rsidRPr="00824699">
        <w:rPr>
          <w:lang w:val="it-IT"/>
        </w:rPr>
        <w:t xml:space="preserve">Poiché si sono verificati dei casi di tubercolosi in pazienti sottoposti a trattamento con </w:t>
      </w:r>
      <w:r w:rsidR="005C2D5B" w:rsidRPr="00824699">
        <w:rPr>
          <w:lang w:val="it-IT"/>
        </w:rPr>
        <w:t>Yuflyma</w:t>
      </w:r>
      <w:r w:rsidRPr="00824699">
        <w:rPr>
          <w:lang w:val="it-IT"/>
        </w:rPr>
        <w:t xml:space="preserve">, il </w:t>
      </w:r>
      <w:r w:rsidRPr="00824699">
        <w:rPr>
          <w:lang w:val="it-IT"/>
        </w:rPr>
        <w:lastRenderedPageBreak/>
        <w:t xml:space="preserve">medico dovrà controllare se il bambino presenta segni o sintomi tipici della tubercolosi prima di iniziare la terapia con </w:t>
      </w:r>
      <w:r w:rsidR="005C2D5B" w:rsidRPr="00824699">
        <w:rPr>
          <w:lang w:val="it-IT"/>
        </w:rPr>
        <w:t>Yuflyma</w:t>
      </w:r>
      <w:r w:rsidRPr="00824699">
        <w:rPr>
          <w:lang w:val="it-IT"/>
        </w:rPr>
        <w:t xml:space="preserve">. Questo comporterà una valutazione medica approfondita dell’anamnesi del bambino e appropriati esami clinici (ad esempio una radiografia del torace e il test alla tubercolina). L’esecuzione e i risultati di tali esami devono essere registrati nella </w:t>
      </w:r>
      <w:r w:rsidRPr="00824699">
        <w:rPr>
          <w:b/>
          <w:lang w:val="it-IT"/>
        </w:rPr>
        <w:t xml:space="preserve">Scheda Promemoria per il Paziente </w:t>
      </w:r>
      <w:r w:rsidRPr="00824699">
        <w:rPr>
          <w:lang w:val="it-IT"/>
        </w:rPr>
        <w:t>del bambino</w:t>
      </w:r>
      <w:r w:rsidR="00BE1C70" w:rsidRPr="005C2D5B">
        <w:rPr>
          <w:rFonts w:eastAsia="Times New Roman"/>
          <w:lang w:val="it-IT"/>
        </w:rPr>
        <w:t>.</w:t>
      </w:r>
    </w:p>
    <w:p w14:paraId="307ED787" w14:textId="1436E063" w:rsidR="00D777F9" w:rsidRPr="005C2D5B" w:rsidRDefault="00D777F9" w:rsidP="00BE1C70">
      <w:pPr>
        <w:pStyle w:val="a3"/>
        <w:numPr>
          <w:ilvl w:val="1"/>
          <w:numId w:val="4"/>
        </w:numPr>
        <w:ind w:left="998" w:hanging="340"/>
        <w:rPr>
          <w:lang w:val="es-ES"/>
        </w:rPr>
      </w:pPr>
      <w:r w:rsidRPr="00C35766">
        <w:rPr>
          <w:rFonts w:eastAsia="Times New Roman"/>
          <w:lang w:val="it-IT"/>
        </w:rPr>
        <w:t>È molto importante comunicare al medico se ha mai avuto la tubercolosi, o se è stato a contatto con qualcuno che ha avuto la tubercolosi. Non deve assumere Yuflyma se è affetto da tubercolosi attiva</w:t>
      </w:r>
      <w:r>
        <w:rPr>
          <w:rFonts w:eastAsia="Times New Roman"/>
          <w:lang w:val="it-IT"/>
        </w:rPr>
        <w:t>.</w:t>
      </w:r>
    </w:p>
    <w:p w14:paraId="6E89AEFB" w14:textId="142DCD9D" w:rsidR="00BE1C70" w:rsidRPr="00C35766" w:rsidRDefault="00D777F9" w:rsidP="00BE1C70">
      <w:pPr>
        <w:pStyle w:val="a3"/>
        <w:numPr>
          <w:ilvl w:val="1"/>
          <w:numId w:val="4"/>
        </w:numPr>
        <w:ind w:left="998" w:hanging="340"/>
        <w:rPr>
          <w:lang w:val="es-ES"/>
        </w:rPr>
      </w:pPr>
      <w:r w:rsidRPr="00824699">
        <w:rPr>
          <w:lang w:val="it-IT"/>
        </w:rPr>
        <w:t>La tubercolosi si può manifestare durante la terapia nonostante il bambino abbia ricevuto un trattamento per la prevenzione della tubercolosi</w:t>
      </w:r>
      <w:r w:rsidR="00BE1C70" w:rsidRPr="00C35766">
        <w:rPr>
          <w:rFonts w:eastAsia="Times New Roman"/>
          <w:lang w:val="it-IT"/>
        </w:rPr>
        <w:t>.</w:t>
      </w:r>
    </w:p>
    <w:p w14:paraId="330AD4E3" w14:textId="77777777" w:rsidR="00BE1C70" w:rsidRPr="00C35766" w:rsidRDefault="00BE1C70" w:rsidP="00BE1C70">
      <w:pPr>
        <w:pStyle w:val="a3"/>
        <w:numPr>
          <w:ilvl w:val="1"/>
          <w:numId w:val="4"/>
        </w:numPr>
        <w:ind w:left="998" w:hanging="340"/>
        <w:rPr>
          <w:lang w:val="es-ES"/>
        </w:rPr>
      </w:pPr>
      <w:r w:rsidRPr="00C35766">
        <w:rPr>
          <w:rFonts w:eastAsia="Times New Roman"/>
          <w:lang w:val="it-IT"/>
        </w:rPr>
        <w:t>Contatti immediatamente il medico se durante o dopo la terapia compaiono sintomi di tubercolosi (ad esempio tosse che non scompare, perdita di peso, mancanza di energia, febbre leggera) o di altre infezioni.</w:t>
      </w:r>
    </w:p>
    <w:p w14:paraId="4195CC20" w14:textId="77777777" w:rsidR="00BE1C70" w:rsidRPr="00C35766" w:rsidRDefault="00BE1C70" w:rsidP="00BE1C70">
      <w:pPr>
        <w:spacing w:before="11" w:line="240" w:lineRule="exact"/>
        <w:rPr>
          <w:rFonts w:ascii="Times New Roman" w:hAnsi="Times New Roman" w:cs="Times New Roman"/>
          <w:sz w:val="24"/>
          <w:szCs w:val="24"/>
          <w:lang w:val="es-ES"/>
        </w:rPr>
      </w:pPr>
    </w:p>
    <w:p w14:paraId="2AC4C24A" w14:textId="77777777" w:rsidR="00BE1C70" w:rsidRPr="00C35766" w:rsidRDefault="00BE1C70" w:rsidP="00BE1C70">
      <w:pPr>
        <w:pStyle w:val="a3"/>
        <w:rPr>
          <w:u w:val="single"/>
        </w:rPr>
      </w:pPr>
      <w:r w:rsidRPr="00C35766">
        <w:rPr>
          <w:rFonts w:eastAsia="Times New Roman"/>
          <w:u w:val="single" w:color="000000"/>
          <w:lang w:val="it-IT"/>
        </w:rPr>
        <w:t>Epatite B</w:t>
      </w:r>
    </w:p>
    <w:p w14:paraId="595E627A" w14:textId="77777777" w:rsidR="00BE1C70" w:rsidRPr="00C35766" w:rsidRDefault="00BE1C70" w:rsidP="00BE1C70">
      <w:pPr>
        <w:spacing w:before="4" w:line="190" w:lineRule="exact"/>
        <w:rPr>
          <w:rFonts w:ascii="Times New Roman" w:hAnsi="Times New Roman" w:cs="Times New Roman"/>
          <w:sz w:val="19"/>
          <w:szCs w:val="19"/>
        </w:rPr>
      </w:pPr>
    </w:p>
    <w:p w14:paraId="14F4DB1C" w14:textId="11C19A3D" w:rsidR="00BE1C70" w:rsidRPr="00C35766" w:rsidRDefault="00D777F9" w:rsidP="00BE1C70">
      <w:pPr>
        <w:pStyle w:val="a3"/>
        <w:numPr>
          <w:ilvl w:val="1"/>
          <w:numId w:val="4"/>
        </w:numPr>
        <w:ind w:left="660" w:hanging="660"/>
        <w:rPr>
          <w:lang w:val="it-IT"/>
        </w:rPr>
      </w:pPr>
      <w:r w:rsidRPr="00824699">
        <w:rPr>
          <w:lang w:val="it-IT"/>
        </w:rPr>
        <w:t>È molto importante comunicare al medico se il bambino è portatore del virus dell’epatite B (HBV), se ha un’infezione in fase attiva da virus dell’epatite B o se pensa che possa essere a rischio di contrarre il virus dell’epatite B</w:t>
      </w:r>
      <w:r w:rsidR="00BE1C70" w:rsidRPr="00C35766">
        <w:rPr>
          <w:rFonts w:eastAsia="Times New Roman"/>
          <w:lang w:val="it-IT"/>
        </w:rPr>
        <w:t>.</w:t>
      </w:r>
    </w:p>
    <w:p w14:paraId="10866D28" w14:textId="77777777" w:rsidR="00BE1C70" w:rsidRPr="00C35766" w:rsidRDefault="00BE1C70" w:rsidP="00BE1C70">
      <w:pPr>
        <w:pStyle w:val="a3"/>
        <w:numPr>
          <w:ilvl w:val="1"/>
          <w:numId w:val="4"/>
        </w:numPr>
        <w:ind w:left="998" w:hanging="340"/>
        <w:rPr>
          <w:lang w:val="it-IT"/>
        </w:rPr>
      </w:pPr>
      <w:r w:rsidRPr="00C35766">
        <w:rPr>
          <w:rFonts w:eastAsia="Times New Roman"/>
          <w:lang w:val="it-IT"/>
        </w:rPr>
        <w:t>Il medico La deve testare per l’infezione da virus dell’epatite B. Nei portatori di HBV, l’assunzione di Yuflyma può indurre il virus ad attivarsi nuovamente.</w:t>
      </w:r>
    </w:p>
    <w:p w14:paraId="101662EA" w14:textId="60F64CD5" w:rsidR="00BE1C70" w:rsidRPr="00C35766" w:rsidRDefault="00D777F9" w:rsidP="00BE1C70">
      <w:pPr>
        <w:pStyle w:val="a3"/>
        <w:numPr>
          <w:ilvl w:val="1"/>
          <w:numId w:val="4"/>
        </w:numPr>
        <w:ind w:left="998" w:hanging="340"/>
        <w:rPr>
          <w:lang w:val="it-IT"/>
        </w:rPr>
      </w:pPr>
      <w:r w:rsidRPr="00824699">
        <w:rPr>
          <w:lang w:val="it-IT"/>
        </w:rPr>
        <w:t>In alcuni rari casi, soprattutto se il paziente è sottoposto a terapia con altri farmaci che sopprimono il sistema immunitario, la riattivazione del virus dell’epatite B può mettere a repentaglio la vita del paziente</w:t>
      </w:r>
      <w:r w:rsidR="00BE1C70" w:rsidRPr="00C35766">
        <w:rPr>
          <w:rFonts w:eastAsia="Times New Roman"/>
          <w:lang w:val="it-IT"/>
        </w:rPr>
        <w:t>.</w:t>
      </w:r>
    </w:p>
    <w:p w14:paraId="45DD5425" w14:textId="77777777" w:rsidR="00BE1C70" w:rsidRPr="00C35766" w:rsidRDefault="00BE1C70" w:rsidP="00BE1C70">
      <w:pPr>
        <w:spacing w:before="11" w:line="240" w:lineRule="exact"/>
        <w:rPr>
          <w:rFonts w:ascii="Times New Roman" w:hAnsi="Times New Roman" w:cs="Times New Roman"/>
          <w:sz w:val="24"/>
          <w:lang w:val="it-IT"/>
        </w:rPr>
      </w:pPr>
    </w:p>
    <w:p w14:paraId="56F1DE91" w14:textId="77777777" w:rsidR="00BE1C70" w:rsidRPr="00C35766" w:rsidRDefault="00BE1C70" w:rsidP="00BE1C70">
      <w:pPr>
        <w:pStyle w:val="a3"/>
        <w:rPr>
          <w:u w:val="single"/>
        </w:rPr>
      </w:pPr>
      <w:r w:rsidRPr="00C35766">
        <w:rPr>
          <w:rFonts w:eastAsia="Times New Roman"/>
          <w:u w:val="single" w:color="000000"/>
          <w:lang w:val="it-IT"/>
        </w:rPr>
        <w:t>Interventi chirurgici o procedure dentistiche</w:t>
      </w:r>
    </w:p>
    <w:p w14:paraId="17F43353" w14:textId="77777777" w:rsidR="00BE1C70" w:rsidRPr="00C35766" w:rsidRDefault="00BE1C70" w:rsidP="00BE1C70">
      <w:pPr>
        <w:spacing w:before="4" w:line="190" w:lineRule="exact"/>
        <w:rPr>
          <w:rFonts w:ascii="Times New Roman" w:hAnsi="Times New Roman" w:cs="Times New Roman"/>
          <w:sz w:val="19"/>
          <w:szCs w:val="19"/>
        </w:rPr>
      </w:pPr>
    </w:p>
    <w:p w14:paraId="0E61B80B" w14:textId="496D0843" w:rsidR="00BE1C70" w:rsidRPr="00C35766" w:rsidRDefault="00D777F9" w:rsidP="00BE1C70">
      <w:pPr>
        <w:pStyle w:val="a3"/>
        <w:numPr>
          <w:ilvl w:val="1"/>
          <w:numId w:val="4"/>
        </w:numPr>
        <w:ind w:left="660" w:hanging="660"/>
      </w:pPr>
      <w:r w:rsidRPr="00824699">
        <w:rPr>
          <w:lang w:val="it-IT"/>
        </w:rPr>
        <w:t xml:space="preserve">Se il bambino deve essere sottoposto ad un intervento chirurgico o a procedure dentistiche, informi il medico che il bambino sta prendendo </w:t>
      </w:r>
      <w:r w:rsidR="005C2D5B" w:rsidRPr="00824699">
        <w:rPr>
          <w:lang w:val="it-IT"/>
        </w:rPr>
        <w:t>Yuflyma</w:t>
      </w:r>
      <w:r w:rsidRPr="00824699">
        <w:rPr>
          <w:lang w:val="it-IT"/>
        </w:rPr>
        <w:t xml:space="preserve">. </w:t>
      </w:r>
      <w:r>
        <w:t xml:space="preserve">Il medico potrebbe consigliare la sospensione temporanea di </w:t>
      </w:r>
      <w:r w:rsidR="005C2D5B">
        <w:t>Yuflyma</w:t>
      </w:r>
      <w:r w:rsidR="00BE1C70" w:rsidRPr="00C35766">
        <w:rPr>
          <w:rFonts w:eastAsia="Times New Roman"/>
          <w:lang w:val="it-IT"/>
        </w:rPr>
        <w:t>.</w:t>
      </w:r>
    </w:p>
    <w:p w14:paraId="55DE3D03" w14:textId="77777777" w:rsidR="00BE1C70" w:rsidRPr="00C35766" w:rsidRDefault="00BE1C70" w:rsidP="00BE1C70">
      <w:pPr>
        <w:spacing w:before="8" w:line="240" w:lineRule="exact"/>
        <w:rPr>
          <w:rFonts w:ascii="Times New Roman" w:hAnsi="Times New Roman" w:cs="Times New Roman"/>
          <w:sz w:val="24"/>
          <w:szCs w:val="24"/>
        </w:rPr>
      </w:pPr>
    </w:p>
    <w:p w14:paraId="49D76CB6" w14:textId="77777777" w:rsidR="00BE1C70" w:rsidRPr="00C35766" w:rsidRDefault="00BE1C70" w:rsidP="00BE1C70">
      <w:pPr>
        <w:pStyle w:val="a3"/>
        <w:rPr>
          <w:u w:val="single"/>
        </w:rPr>
      </w:pPr>
      <w:r w:rsidRPr="00C35766">
        <w:rPr>
          <w:rFonts w:eastAsia="Times New Roman"/>
          <w:u w:val="single" w:color="000000"/>
          <w:lang w:val="it-IT"/>
        </w:rPr>
        <w:t>Malattie demielinizzanti</w:t>
      </w:r>
    </w:p>
    <w:p w14:paraId="68726D0A" w14:textId="77777777" w:rsidR="00BE1C70" w:rsidRPr="00C35766" w:rsidRDefault="00BE1C70" w:rsidP="00BE1C70">
      <w:pPr>
        <w:spacing w:before="4" w:line="190" w:lineRule="exact"/>
        <w:rPr>
          <w:rFonts w:ascii="Times New Roman" w:hAnsi="Times New Roman" w:cs="Times New Roman"/>
          <w:sz w:val="19"/>
          <w:szCs w:val="19"/>
        </w:rPr>
      </w:pPr>
    </w:p>
    <w:p w14:paraId="08CDFA31" w14:textId="5BF62EED" w:rsidR="00BE1C70" w:rsidRPr="00C35766" w:rsidRDefault="00D777F9" w:rsidP="00BE1C70">
      <w:pPr>
        <w:pStyle w:val="a3"/>
        <w:numPr>
          <w:ilvl w:val="1"/>
          <w:numId w:val="4"/>
        </w:numPr>
        <w:ind w:left="660" w:hanging="660"/>
        <w:rPr>
          <w:lang w:val="pt-BR"/>
        </w:rPr>
      </w:pPr>
      <w:r w:rsidRPr="00824699">
        <w:rPr>
          <w:lang w:val="it-IT"/>
        </w:rPr>
        <w:t xml:space="preserve">Se il bambino è affetto da o sviluppa una malattia demielinizzante (malattia che colpisce lo strato isolante attorno ai nervi, come la sclerosi multipla), il medico deciderà se per lui è il caso di iniziare o continuare il trattamento con </w:t>
      </w:r>
      <w:r w:rsidR="005C2D5B" w:rsidRPr="00824699">
        <w:rPr>
          <w:lang w:val="it-IT"/>
        </w:rPr>
        <w:t>Yuflyma</w:t>
      </w:r>
      <w:r w:rsidRPr="00824699">
        <w:rPr>
          <w:lang w:val="it-IT"/>
        </w:rPr>
        <w:t>. Informi il medico immediatamente nel caso in cui il bambino manifesti sintomi quali variazioni nella visione, debolezza di braccia o gambe o intorpidimento o formicolio che interessi qualsiasi parte del corpo</w:t>
      </w:r>
      <w:r w:rsidR="00BE1C70" w:rsidRPr="00C35766">
        <w:rPr>
          <w:rFonts w:eastAsia="Times New Roman"/>
          <w:lang w:val="it-IT"/>
        </w:rPr>
        <w:t>.</w:t>
      </w:r>
    </w:p>
    <w:p w14:paraId="6103F04E" w14:textId="77777777" w:rsidR="00BE1C70" w:rsidRPr="00C35766" w:rsidRDefault="00BE1C70" w:rsidP="00BE1C70">
      <w:pPr>
        <w:spacing w:before="14" w:line="240" w:lineRule="exact"/>
        <w:rPr>
          <w:rFonts w:ascii="Times New Roman" w:hAnsi="Times New Roman" w:cs="Times New Roman"/>
          <w:sz w:val="24"/>
          <w:szCs w:val="24"/>
          <w:lang w:val="pt-BR"/>
        </w:rPr>
      </w:pPr>
    </w:p>
    <w:p w14:paraId="6F26DD9D" w14:textId="77777777" w:rsidR="00BE1C70" w:rsidRPr="00C35766" w:rsidRDefault="00BE1C70" w:rsidP="00BE1C70">
      <w:pPr>
        <w:pStyle w:val="a3"/>
        <w:rPr>
          <w:u w:val="single"/>
        </w:rPr>
      </w:pPr>
      <w:r w:rsidRPr="00C35766">
        <w:rPr>
          <w:rFonts w:eastAsia="Times New Roman"/>
          <w:u w:val="single" w:color="000000"/>
          <w:lang w:val="it-IT"/>
        </w:rPr>
        <w:t>Vaccinazioni</w:t>
      </w:r>
    </w:p>
    <w:p w14:paraId="4110C4D9" w14:textId="77777777" w:rsidR="00BE1C70" w:rsidRPr="00C35766" w:rsidRDefault="00BE1C70" w:rsidP="00BE1C70">
      <w:pPr>
        <w:spacing w:before="4" w:line="190" w:lineRule="exact"/>
        <w:rPr>
          <w:rFonts w:ascii="Times New Roman" w:hAnsi="Times New Roman" w:cs="Times New Roman"/>
          <w:sz w:val="19"/>
          <w:szCs w:val="19"/>
        </w:rPr>
      </w:pPr>
    </w:p>
    <w:p w14:paraId="3B5C9991"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Certi vaccini possono causare infezioni e non devono essere somministrati durante il trattamento con Yuflyma.</w:t>
      </w:r>
    </w:p>
    <w:p w14:paraId="6A7C1642" w14:textId="77777777" w:rsidR="00BE1C70" w:rsidRPr="00C35766" w:rsidRDefault="00BE1C70" w:rsidP="00BE1C70">
      <w:pPr>
        <w:spacing w:before="11" w:line="240" w:lineRule="exact"/>
        <w:rPr>
          <w:rFonts w:ascii="Times New Roman" w:hAnsi="Times New Roman" w:cs="Times New Roman"/>
          <w:sz w:val="24"/>
          <w:lang w:val="it-IT"/>
        </w:rPr>
      </w:pPr>
    </w:p>
    <w:p w14:paraId="356EBFDD" w14:textId="1249738D" w:rsidR="00BE1C70" w:rsidRPr="00C35766" w:rsidRDefault="00D777F9" w:rsidP="00BE1C70">
      <w:pPr>
        <w:pStyle w:val="a3"/>
        <w:numPr>
          <w:ilvl w:val="1"/>
          <w:numId w:val="4"/>
        </w:numPr>
        <w:ind w:left="998" w:hanging="340"/>
        <w:rPr>
          <w:lang w:val="it-IT"/>
        </w:rPr>
      </w:pPr>
      <w:r w:rsidRPr="00824699">
        <w:rPr>
          <w:lang w:val="it-IT"/>
        </w:rPr>
        <w:t>Consulti il medico prima di sottoporre il bambino a vaccinazioni</w:t>
      </w:r>
      <w:r w:rsidR="00BE1C70" w:rsidRPr="00C35766">
        <w:rPr>
          <w:rFonts w:eastAsia="Times New Roman"/>
          <w:lang w:val="it-IT"/>
        </w:rPr>
        <w:t>.</w:t>
      </w:r>
    </w:p>
    <w:p w14:paraId="74C34B9C" w14:textId="77777777" w:rsidR="00BE1C70" w:rsidRPr="00C35766" w:rsidRDefault="00BE1C70" w:rsidP="00BE1C70">
      <w:pPr>
        <w:pStyle w:val="a3"/>
        <w:numPr>
          <w:ilvl w:val="1"/>
          <w:numId w:val="4"/>
        </w:numPr>
        <w:ind w:left="998" w:hanging="340"/>
        <w:rPr>
          <w:lang w:val="it-IT"/>
        </w:rPr>
      </w:pPr>
      <w:r w:rsidRPr="00C35766">
        <w:rPr>
          <w:rFonts w:eastAsia="Times New Roman"/>
          <w:lang w:val="it-IT"/>
        </w:rPr>
        <w:t>Si raccomanda, se possibile, di sottoporre i bambini a tutte le vaccinazioni previste per la loro età prima di iniziare il trattamento con Yuflyma.</w:t>
      </w:r>
    </w:p>
    <w:p w14:paraId="0338A712" w14:textId="06EF703E" w:rsidR="00BE1C70" w:rsidRPr="00C35766" w:rsidRDefault="00D777F9" w:rsidP="00BE1C70">
      <w:pPr>
        <w:pStyle w:val="a3"/>
        <w:numPr>
          <w:ilvl w:val="1"/>
          <w:numId w:val="4"/>
        </w:numPr>
        <w:ind w:left="998" w:hanging="340"/>
        <w:rPr>
          <w:lang w:val="it-IT"/>
        </w:rPr>
      </w:pPr>
      <w:bookmarkStart w:id="184" w:name="_Hlk147420542"/>
      <w:r w:rsidRPr="00824699">
        <w:rPr>
          <w:lang w:val="it-IT"/>
        </w:rPr>
        <w:t xml:space="preserve">Se </w:t>
      </w:r>
      <w:r w:rsidR="00494E69">
        <w:rPr>
          <w:lang w:val="it-IT"/>
        </w:rPr>
        <w:t xml:space="preserve">il paziente è una </w:t>
      </w:r>
      <w:r w:rsidRPr="00824699">
        <w:rPr>
          <w:lang w:val="it-IT"/>
        </w:rPr>
        <w:t xml:space="preserve">ragazza </w:t>
      </w:r>
      <w:r w:rsidR="00494E69">
        <w:rPr>
          <w:lang w:val="it-IT"/>
        </w:rPr>
        <w:t xml:space="preserve">che </w:t>
      </w:r>
      <w:r w:rsidRPr="00824699">
        <w:rPr>
          <w:lang w:val="it-IT"/>
        </w:rPr>
        <w:t xml:space="preserve">ha assunto </w:t>
      </w:r>
      <w:r w:rsidR="005C2D5B" w:rsidRPr="00824699">
        <w:rPr>
          <w:lang w:val="it-IT"/>
        </w:rPr>
        <w:t>Yuflyma</w:t>
      </w:r>
      <w:r w:rsidRPr="00824699">
        <w:rPr>
          <w:lang w:val="it-IT"/>
        </w:rPr>
        <w:t xml:space="preserve"> durante la gravidanza, il figlio potrebbe avere un maggior rischio di contrarre tale infezione fino a circa 5 mesi dopo dall’ultima </w:t>
      </w:r>
      <w:r w:rsidR="00494E69">
        <w:rPr>
          <w:lang w:val="it-IT"/>
        </w:rPr>
        <w:t xml:space="preserve">dose assunta dalla ragazza </w:t>
      </w:r>
      <w:r w:rsidRPr="00824699">
        <w:rPr>
          <w:lang w:val="it-IT"/>
        </w:rPr>
        <w:t>durante la gravidanza. È importante riferi</w:t>
      </w:r>
      <w:r w:rsidR="00494E69">
        <w:rPr>
          <w:lang w:val="it-IT"/>
        </w:rPr>
        <w:t xml:space="preserve">re </w:t>
      </w:r>
      <w:r w:rsidRPr="00824699">
        <w:rPr>
          <w:lang w:val="it-IT"/>
        </w:rPr>
        <w:t xml:space="preserve">al pediatra o ad altro operatore sanitario </w:t>
      </w:r>
      <w:r w:rsidR="00494E69">
        <w:rPr>
          <w:lang w:val="it-IT"/>
        </w:rPr>
        <w:t xml:space="preserve">che la ragazza ha assunto </w:t>
      </w:r>
      <w:r w:rsidR="005C2D5B" w:rsidRPr="00824699">
        <w:rPr>
          <w:lang w:val="it-IT"/>
        </w:rPr>
        <w:t>Yuflyma</w:t>
      </w:r>
      <w:r w:rsidRPr="00824699">
        <w:rPr>
          <w:lang w:val="it-IT"/>
        </w:rPr>
        <w:t xml:space="preserve"> durante la gravidanza</w:t>
      </w:r>
      <w:r w:rsidR="00494E69">
        <w:rPr>
          <w:lang w:val="it-IT"/>
        </w:rPr>
        <w:t xml:space="preserve">, </w:t>
      </w:r>
      <w:r w:rsidRPr="00824699">
        <w:rPr>
          <w:lang w:val="it-IT"/>
        </w:rPr>
        <w:t>cosicché possano decidere quando il figlio debba ricevere qualsiasi tipo di vaccinazione</w:t>
      </w:r>
      <w:r w:rsidR="00BE1C70" w:rsidRPr="00C35766">
        <w:rPr>
          <w:rFonts w:eastAsia="Times New Roman"/>
          <w:lang w:val="it-IT"/>
        </w:rPr>
        <w:t>.</w:t>
      </w:r>
    </w:p>
    <w:bookmarkEnd w:id="184"/>
    <w:p w14:paraId="2F6E19B5" w14:textId="77777777" w:rsidR="00BE1C70" w:rsidRPr="00C35766" w:rsidRDefault="00BE1C70" w:rsidP="00BE1C70">
      <w:pPr>
        <w:spacing w:before="14" w:line="240" w:lineRule="exact"/>
        <w:rPr>
          <w:rFonts w:ascii="Times New Roman" w:hAnsi="Times New Roman" w:cs="Times New Roman"/>
          <w:sz w:val="24"/>
          <w:szCs w:val="24"/>
          <w:lang w:val="it-IT"/>
        </w:rPr>
      </w:pPr>
    </w:p>
    <w:p w14:paraId="2DDD0920" w14:textId="77777777" w:rsidR="00BE1C70" w:rsidRPr="00C35766" w:rsidRDefault="00BE1C70" w:rsidP="00BE1C70">
      <w:pPr>
        <w:pStyle w:val="a3"/>
        <w:rPr>
          <w:u w:val="single"/>
        </w:rPr>
      </w:pPr>
      <w:r w:rsidRPr="00C35766">
        <w:rPr>
          <w:rFonts w:eastAsia="Times New Roman"/>
          <w:u w:val="single" w:color="000000"/>
          <w:lang w:val="it-IT"/>
        </w:rPr>
        <w:t>Insufficienza cardiaca</w:t>
      </w:r>
    </w:p>
    <w:p w14:paraId="13B3EF56" w14:textId="77777777" w:rsidR="00BE1C70" w:rsidRPr="00C35766" w:rsidRDefault="00BE1C70" w:rsidP="00BE1C70">
      <w:pPr>
        <w:spacing w:before="4" w:line="190" w:lineRule="exact"/>
        <w:rPr>
          <w:rFonts w:ascii="Times New Roman" w:hAnsi="Times New Roman" w:cs="Times New Roman"/>
          <w:sz w:val="19"/>
          <w:szCs w:val="19"/>
        </w:rPr>
      </w:pPr>
    </w:p>
    <w:p w14:paraId="78F1807E" w14:textId="67050E63" w:rsidR="00BE1C70" w:rsidRPr="00C35766" w:rsidRDefault="00544990" w:rsidP="00BE1C70">
      <w:pPr>
        <w:pStyle w:val="a3"/>
        <w:numPr>
          <w:ilvl w:val="1"/>
          <w:numId w:val="4"/>
        </w:numPr>
        <w:ind w:left="660" w:hanging="660"/>
      </w:pPr>
      <w:r w:rsidRPr="004F0B2E">
        <w:rPr>
          <w:lang w:val="it-IT"/>
        </w:rPr>
        <w:lastRenderedPageBreak/>
        <w:t xml:space="preserve">In caso il bambino abbia una lieve insufficienza cardiaca e venga trattato con </w:t>
      </w:r>
      <w:r w:rsidR="005C2D5B" w:rsidRPr="004F0B2E">
        <w:rPr>
          <w:lang w:val="it-IT"/>
        </w:rPr>
        <w:t>Yuflyma</w:t>
      </w:r>
      <w:r w:rsidRPr="004F0B2E">
        <w:rPr>
          <w:lang w:val="it-IT"/>
        </w:rPr>
        <w:t xml:space="preserve">, lo stato della sua insufficienza cardiaca deve essere monitorato attentamente dal medico. È importante informare il medico in merito a eventuali problemi al cuore, sia passati che presenti. </w:t>
      </w:r>
      <w:r w:rsidRPr="00824699">
        <w:rPr>
          <w:lang w:val="it-IT"/>
        </w:rPr>
        <w:t xml:space="preserve">Se lui/lei sviluppa nuovi sintomi di insufficienza cardiaca o se i sintomi già esistenti dovessero peggiorare (ad es. respiro corto o gonfiore dei piedi), contatti immediatamente il medico. </w:t>
      </w:r>
      <w:r>
        <w:t xml:space="preserve">Il medico deciderà se il bambino può assumere </w:t>
      </w:r>
      <w:r w:rsidR="005C2D5B">
        <w:t>Yuflyma</w:t>
      </w:r>
      <w:r w:rsidR="00BE1C70" w:rsidRPr="00C35766">
        <w:rPr>
          <w:rFonts w:eastAsia="Times New Roman"/>
          <w:lang w:val="it-IT"/>
        </w:rPr>
        <w:t>.</w:t>
      </w:r>
    </w:p>
    <w:p w14:paraId="63DB6233" w14:textId="77777777" w:rsidR="00BE1C70" w:rsidRPr="00C35766" w:rsidRDefault="00BE1C70" w:rsidP="00BE1C70">
      <w:pPr>
        <w:spacing w:before="14" w:line="240" w:lineRule="exact"/>
        <w:rPr>
          <w:rFonts w:ascii="Times New Roman" w:hAnsi="Times New Roman" w:cs="Times New Roman"/>
          <w:sz w:val="24"/>
          <w:szCs w:val="24"/>
        </w:rPr>
      </w:pPr>
    </w:p>
    <w:p w14:paraId="72532540" w14:textId="77777777" w:rsidR="00BE1C70" w:rsidRPr="00C35766" w:rsidRDefault="00BE1C70" w:rsidP="00BE1C70">
      <w:pPr>
        <w:pStyle w:val="a3"/>
        <w:rPr>
          <w:u w:val="single"/>
        </w:rPr>
      </w:pPr>
      <w:r w:rsidRPr="00C35766">
        <w:rPr>
          <w:rFonts w:eastAsia="Times New Roman"/>
          <w:u w:val="single" w:color="000000"/>
          <w:lang w:val="it-IT"/>
        </w:rPr>
        <w:t>Febbre, lividi, sanguinamento o pallore</w:t>
      </w:r>
    </w:p>
    <w:p w14:paraId="7AC90993" w14:textId="77777777" w:rsidR="00BE1C70" w:rsidRPr="00C35766" w:rsidRDefault="00BE1C70" w:rsidP="00BE1C70">
      <w:pPr>
        <w:spacing w:before="4" w:line="190" w:lineRule="exact"/>
        <w:rPr>
          <w:rFonts w:ascii="Times New Roman" w:hAnsi="Times New Roman" w:cs="Times New Roman"/>
          <w:sz w:val="19"/>
          <w:szCs w:val="19"/>
        </w:rPr>
      </w:pPr>
    </w:p>
    <w:p w14:paraId="0D813A07" w14:textId="3D3A3D2B" w:rsidR="00BE1C70" w:rsidRPr="00C35766" w:rsidRDefault="00544990" w:rsidP="00BE1C70">
      <w:pPr>
        <w:pStyle w:val="a3"/>
        <w:numPr>
          <w:ilvl w:val="1"/>
          <w:numId w:val="4"/>
        </w:numPr>
        <w:ind w:left="660" w:hanging="660"/>
        <w:rPr>
          <w:lang w:val="it-IT"/>
        </w:rPr>
      </w:pPr>
      <w:r w:rsidRPr="00824699">
        <w:rPr>
          <w:lang w:val="it-IT"/>
        </w:rPr>
        <w:t>In alcuni pazienti l’organismo può non essere in grado di produrre un quantitativo di cellule ematiche sufficiente e tale da combattere le infezioni o ad arrestare un’emorragia. Il medico potrebbe decidere di interrompere la terapia. Nel caso in cui il bambino abbia febbre persistente, sviluppi lievi lividi o facilità di sanguinamento o pallore, si rivolga immediatamente al medico</w:t>
      </w:r>
      <w:r w:rsidR="00BE1C70" w:rsidRPr="00C35766">
        <w:rPr>
          <w:rFonts w:eastAsia="Times New Roman"/>
          <w:lang w:val="it-IT"/>
        </w:rPr>
        <w:t>.</w:t>
      </w:r>
    </w:p>
    <w:p w14:paraId="319BC821" w14:textId="77777777" w:rsidR="00BE1C70" w:rsidRPr="00C35766" w:rsidRDefault="00BE1C70" w:rsidP="00BE1C70">
      <w:pPr>
        <w:pStyle w:val="a3"/>
        <w:rPr>
          <w:u w:val="single"/>
          <w:lang w:val="it-IT"/>
        </w:rPr>
      </w:pPr>
    </w:p>
    <w:p w14:paraId="40596C8F" w14:textId="77777777" w:rsidR="00BE1C70" w:rsidRPr="00C35766" w:rsidRDefault="00BE1C70" w:rsidP="00BE1C70">
      <w:pPr>
        <w:pStyle w:val="a3"/>
        <w:rPr>
          <w:u w:val="single"/>
        </w:rPr>
      </w:pPr>
      <w:r w:rsidRPr="00C35766">
        <w:rPr>
          <w:rFonts w:eastAsia="Times New Roman"/>
          <w:u w:val="single"/>
          <w:lang w:val="it-IT"/>
        </w:rPr>
        <w:t>Tumore</w:t>
      </w:r>
    </w:p>
    <w:p w14:paraId="41A68A3B" w14:textId="77777777" w:rsidR="00BE1C70" w:rsidRPr="00C35766" w:rsidRDefault="00BE1C70" w:rsidP="00BE1C70">
      <w:pPr>
        <w:pStyle w:val="a3"/>
        <w:rPr>
          <w:u w:val="single"/>
        </w:rPr>
      </w:pPr>
    </w:p>
    <w:p w14:paraId="2D11E2EF"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Nei pazienti, sia bambini sia adulti, sottoposti a trattamento con Yuflyma o con altri farmaci anti-TNF, si sono manifestati molto raramente alcuni tipi di tumori.</w:t>
      </w:r>
    </w:p>
    <w:p w14:paraId="223BBB13" w14:textId="77777777" w:rsidR="00BE1C70" w:rsidRPr="00C35766" w:rsidRDefault="00BE1C70" w:rsidP="00BE1C70">
      <w:pPr>
        <w:pStyle w:val="a3"/>
        <w:rPr>
          <w:lang w:val="it-IT"/>
        </w:rPr>
      </w:pPr>
    </w:p>
    <w:p w14:paraId="68848FFB" w14:textId="77777777" w:rsidR="00BE1C70" w:rsidRPr="00C35766" w:rsidRDefault="00BE1C70" w:rsidP="00BE1C70">
      <w:pPr>
        <w:pStyle w:val="a3"/>
        <w:numPr>
          <w:ilvl w:val="1"/>
          <w:numId w:val="4"/>
        </w:numPr>
        <w:ind w:left="998" w:hanging="340"/>
        <w:rPr>
          <w:lang w:val="it-IT"/>
        </w:rPr>
      </w:pPr>
      <w:r w:rsidRPr="00C35766">
        <w:rPr>
          <w:rFonts w:eastAsia="Times New Roman"/>
          <w:lang w:val="it-IT"/>
        </w:rPr>
        <w:t>I pazienti con artrite reumatoide di grave entità da molto tempo possono presentare un rischio superiore alla media di sviluppare un linfoma (un tumore che colpisce il sistema linfatico) e leucemia (un tumore che colpisce il sangue e il midollo osseo).</w:t>
      </w:r>
    </w:p>
    <w:p w14:paraId="40948659" w14:textId="654A79C7" w:rsidR="00BE1C70" w:rsidRPr="00C35766" w:rsidRDefault="00544990" w:rsidP="00BE1C70">
      <w:pPr>
        <w:pStyle w:val="a3"/>
        <w:numPr>
          <w:ilvl w:val="1"/>
          <w:numId w:val="4"/>
        </w:numPr>
        <w:ind w:left="998" w:hanging="340"/>
        <w:rPr>
          <w:lang w:val="it-IT"/>
        </w:rPr>
      </w:pPr>
      <w:r w:rsidRPr="00824699">
        <w:rPr>
          <w:lang w:val="it-IT"/>
        </w:rPr>
        <w:t xml:space="preserve">Se il bambino assume </w:t>
      </w:r>
      <w:r w:rsidR="005C2D5B" w:rsidRPr="00824699">
        <w:rPr>
          <w:lang w:val="it-IT"/>
        </w:rPr>
        <w:t>Yuflyma</w:t>
      </w:r>
      <w:r w:rsidRPr="00824699">
        <w:rPr>
          <w:lang w:val="it-IT"/>
        </w:rPr>
        <w:t xml:space="preserve">, il rischio di contrarre linfomi, leucemia o altri tumori può aumentare. In rare circostanze, nei pazienti sottoposti a terapia con </w:t>
      </w:r>
      <w:r w:rsidR="005C2D5B" w:rsidRPr="00824699">
        <w:rPr>
          <w:lang w:val="it-IT"/>
        </w:rPr>
        <w:t>Yuflyma</w:t>
      </w:r>
      <w:r w:rsidRPr="00824699">
        <w:rPr>
          <w:lang w:val="it-IT"/>
        </w:rPr>
        <w:t>, è stato osservato un tipo specifico e grave di linfoma. Alcuni di questi pazienti erano anche in terapia con azatioprina o 6-mercaptopurina</w:t>
      </w:r>
      <w:r w:rsidR="00BE1C70" w:rsidRPr="00C35766">
        <w:rPr>
          <w:rFonts w:eastAsia="Times New Roman"/>
          <w:lang w:val="it-IT"/>
        </w:rPr>
        <w:t>.</w:t>
      </w:r>
    </w:p>
    <w:p w14:paraId="1CF2C8F8" w14:textId="40D80677" w:rsidR="00BE1C70" w:rsidRPr="00C35766" w:rsidRDefault="00544990" w:rsidP="00BE1C70">
      <w:pPr>
        <w:pStyle w:val="a3"/>
        <w:numPr>
          <w:ilvl w:val="1"/>
          <w:numId w:val="4"/>
        </w:numPr>
        <w:ind w:left="998" w:hanging="340"/>
        <w:rPr>
          <w:lang w:val="it-IT"/>
        </w:rPr>
      </w:pPr>
      <w:r w:rsidRPr="00824699">
        <w:rPr>
          <w:lang w:val="it-IT"/>
        </w:rPr>
        <w:t xml:space="preserve">Avvisi il medico se sta assumendo azatioprina o 6-mercaptopurina con </w:t>
      </w:r>
      <w:r w:rsidR="005C2D5B" w:rsidRPr="00824699">
        <w:rPr>
          <w:lang w:val="it-IT"/>
        </w:rPr>
        <w:t>Yuflyma</w:t>
      </w:r>
      <w:r w:rsidR="00BE1C70" w:rsidRPr="00C35766">
        <w:rPr>
          <w:rFonts w:eastAsia="Times New Roman"/>
          <w:lang w:val="it-IT"/>
        </w:rPr>
        <w:t>.</w:t>
      </w:r>
    </w:p>
    <w:p w14:paraId="29149442" w14:textId="77777777" w:rsidR="00BE1C70" w:rsidRPr="00C35766" w:rsidRDefault="00BE1C70" w:rsidP="00BE1C70">
      <w:pPr>
        <w:pStyle w:val="a3"/>
        <w:numPr>
          <w:ilvl w:val="1"/>
          <w:numId w:val="4"/>
        </w:numPr>
        <w:ind w:left="998" w:hanging="340"/>
        <w:rPr>
          <w:lang w:val="pt-BR"/>
        </w:rPr>
      </w:pPr>
      <w:r w:rsidRPr="00C35766">
        <w:rPr>
          <w:rFonts w:eastAsia="Times New Roman"/>
          <w:lang w:val="it-IT"/>
        </w:rPr>
        <w:t>Nei pazienti che assumono Yuflyma, sono stati osservati casi di carcinoma cutaneo non melanotico.</w:t>
      </w:r>
    </w:p>
    <w:p w14:paraId="15886A5E" w14:textId="77777777" w:rsidR="00BE1C70" w:rsidRPr="00C35766" w:rsidRDefault="00BE1C70" w:rsidP="00BE1C70">
      <w:pPr>
        <w:pStyle w:val="a3"/>
        <w:numPr>
          <w:ilvl w:val="1"/>
          <w:numId w:val="4"/>
        </w:numPr>
        <w:ind w:left="998" w:hanging="340"/>
        <w:rPr>
          <w:lang w:val="pt-BR"/>
        </w:rPr>
      </w:pPr>
      <w:r w:rsidRPr="00C35766">
        <w:rPr>
          <w:rFonts w:eastAsia="Times New Roman"/>
          <w:lang w:val="it-IT"/>
        </w:rPr>
        <w:t>Se dovessero comparire nuove lesioni cutanee nel corso della terapia o successivamente ad essa o se l’aspetto delle lesioni già esistenti si dovesse modificare, lo riferisca al medico.</w:t>
      </w:r>
    </w:p>
    <w:p w14:paraId="2D654914" w14:textId="77777777" w:rsidR="00BE1C70" w:rsidRPr="00C35766" w:rsidRDefault="00BE1C70" w:rsidP="00BE1C70">
      <w:pPr>
        <w:pStyle w:val="a3"/>
        <w:rPr>
          <w:lang w:val="pt-BR"/>
        </w:rPr>
      </w:pPr>
    </w:p>
    <w:p w14:paraId="21B14F32" w14:textId="78DC8B24" w:rsidR="00BE1C70" w:rsidRPr="00C35766" w:rsidRDefault="00544990" w:rsidP="00BE1C70">
      <w:pPr>
        <w:pStyle w:val="a3"/>
        <w:numPr>
          <w:ilvl w:val="1"/>
          <w:numId w:val="4"/>
        </w:numPr>
        <w:ind w:left="660" w:hanging="660"/>
        <w:rPr>
          <w:lang w:val="it-IT"/>
        </w:rPr>
      </w:pPr>
      <w:r w:rsidRPr="00824699">
        <w:rPr>
          <w:lang w:val="it-IT"/>
        </w:rPr>
        <w:t>Ci sono stati casi di neoplasie, oltre al linfoma, in pazienti con uno specifico tipo di malattia del polmone chiamata Malattia Polmonare Cronica Ostruttiva (COPD) trattati con un altro anti-TNF. Se il bambino soffre di COPD, o fuma molto, deve discutere con il medico se è appropriato il trattamento con un anti-TNF</w:t>
      </w:r>
      <w:r w:rsidR="00BE1C70" w:rsidRPr="00C35766">
        <w:rPr>
          <w:rFonts w:eastAsia="Times New Roman"/>
          <w:lang w:val="it-IT"/>
        </w:rPr>
        <w:t>.</w:t>
      </w:r>
    </w:p>
    <w:p w14:paraId="2A37FD38" w14:textId="77777777" w:rsidR="00BE1C70" w:rsidRPr="00C35766" w:rsidRDefault="00BE1C70" w:rsidP="00BE1C70">
      <w:pPr>
        <w:spacing w:before="11" w:line="240" w:lineRule="exact"/>
        <w:rPr>
          <w:rFonts w:ascii="Times New Roman" w:hAnsi="Times New Roman" w:cs="Times New Roman"/>
          <w:sz w:val="24"/>
          <w:szCs w:val="24"/>
          <w:lang w:val="it-IT"/>
        </w:rPr>
      </w:pPr>
    </w:p>
    <w:p w14:paraId="40FA0ED5" w14:textId="77777777" w:rsidR="00BE1C70" w:rsidRPr="00C35766" w:rsidRDefault="00BE1C70" w:rsidP="00BE1C70">
      <w:pPr>
        <w:pStyle w:val="a3"/>
        <w:rPr>
          <w:u w:val="single"/>
        </w:rPr>
      </w:pPr>
      <w:r w:rsidRPr="00C35766">
        <w:rPr>
          <w:rFonts w:eastAsia="Times New Roman"/>
          <w:u w:val="single" w:color="000000"/>
          <w:lang w:val="it-IT"/>
        </w:rPr>
        <w:t>Malattia autoimmune</w:t>
      </w:r>
    </w:p>
    <w:p w14:paraId="5417D1C7" w14:textId="77777777" w:rsidR="00BE1C70" w:rsidRPr="00C35766" w:rsidRDefault="00BE1C70" w:rsidP="00BE1C70">
      <w:pPr>
        <w:spacing w:before="4" w:line="190" w:lineRule="exact"/>
        <w:rPr>
          <w:rFonts w:ascii="Times New Roman" w:hAnsi="Times New Roman" w:cs="Times New Roman"/>
          <w:sz w:val="19"/>
          <w:szCs w:val="19"/>
        </w:rPr>
      </w:pPr>
    </w:p>
    <w:p w14:paraId="30D79550"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Raramente, il trattamento con Yuflyma può portare alla manifestazione di una sindrome simile al lupus. Informi il medico qualora si manifestino sintomi come eruzione cutanea persistente di natura inspiegabile, febbre, dolore alle articolazioni o stanchezza.</w:t>
      </w:r>
    </w:p>
    <w:p w14:paraId="5987E59E" w14:textId="77777777" w:rsidR="00BE1C70" w:rsidRPr="00C35766" w:rsidRDefault="00BE1C70" w:rsidP="00BE1C70">
      <w:pPr>
        <w:spacing w:before="15" w:line="240" w:lineRule="exact"/>
        <w:rPr>
          <w:rFonts w:ascii="Times New Roman" w:hAnsi="Times New Roman" w:cs="Times New Roman"/>
          <w:sz w:val="24"/>
          <w:szCs w:val="24"/>
          <w:lang w:val="it-IT"/>
        </w:rPr>
      </w:pPr>
    </w:p>
    <w:p w14:paraId="3ED454B0" w14:textId="77777777" w:rsidR="00BE1C70" w:rsidRPr="00C35766" w:rsidRDefault="00BE1C70" w:rsidP="00BE1C70">
      <w:pPr>
        <w:pStyle w:val="a3"/>
        <w:rPr>
          <w:b/>
          <w:lang w:val="pt-BR"/>
        </w:rPr>
      </w:pPr>
      <w:r w:rsidRPr="00C35766">
        <w:rPr>
          <w:rFonts w:eastAsia="Times New Roman"/>
          <w:b/>
          <w:bCs/>
          <w:lang w:val="it-IT"/>
        </w:rPr>
        <w:t>Altri medicinali e Yuflyma</w:t>
      </w:r>
    </w:p>
    <w:p w14:paraId="72C1C81D" w14:textId="77777777" w:rsidR="00BE1C70" w:rsidRPr="00C35766" w:rsidRDefault="00BE1C70" w:rsidP="00BE1C70">
      <w:pPr>
        <w:pStyle w:val="a3"/>
        <w:rPr>
          <w:b/>
          <w:lang w:val="pt-BR"/>
        </w:rPr>
      </w:pPr>
    </w:p>
    <w:p w14:paraId="7D0B01E7" w14:textId="20800209" w:rsidR="00544990" w:rsidRDefault="00544990" w:rsidP="00BE1C70">
      <w:pPr>
        <w:pStyle w:val="a3"/>
        <w:rPr>
          <w:rFonts w:eastAsia="Times New Roman"/>
          <w:lang w:val="it-IT"/>
        </w:rPr>
      </w:pPr>
      <w:r w:rsidRPr="00824699">
        <w:rPr>
          <w:lang w:val="it-IT"/>
        </w:rPr>
        <w:t>Informi il medico o il farmacista se il bambino sta assumendo, ha recentemente assunto o potrebbe assumere qualsiasi altro medicinale</w:t>
      </w:r>
      <w:r w:rsidR="00BE1C70" w:rsidRPr="00C35766">
        <w:rPr>
          <w:rFonts w:eastAsia="Times New Roman"/>
          <w:lang w:val="it-IT"/>
        </w:rPr>
        <w:t>.</w:t>
      </w:r>
    </w:p>
    <w:p w14:paraId="5F8EBFAE" w14:textId="77777777" w:rsidR="00544990" w:rsidRDefault="00544990" w:rsidP="00BE1C70">
      <w:pPr>
        <w:pStyle w:val="a3"/>
        <w:rPr>
          <w:rFonts w:eastAsia="Times New Roman"/>
          <w:lang w:val="it-IT"/>
        </w:rPr>
      </w:pPr>
    </w:p>
    <w:p w14:paraId="657C8E08" w14:textId="2086478C" w:rsidR="00BE1C70" w:rsidRPr="00C35766" w:rsidRDefault="00544990" w:rsidP="00BE1C70">
      <w:pPr>
        <w:pStyle w:val="a3"/>
        <w:rPr>
          <w:lang w:val="it-IT"/>
        </w:rPr>
      </w:pPr>
      <w:r w:rsidRPr="00824699">
        <w:rPr>
          <w:lang w:val="it-IT"/>
        </w:rPr>
        <w:t xml:space="preserve">Il bambino non deve usare </w:t>
      </w:r>
      <w:r w:rsidR="005C2D5B" w:rsidRPr="00824699">
        <w:rPr>
          <w:lang w:val="it-IT"/>
        </w:rPr>
        <w:t>Yuflyma</w:t>
      </w:r>
      <w:r w:rsidRPr="00824699">
        <w:rPr>
          <w:lang w:val="it-IT"/>
        </w:rPr>
        <w:t xml:space="preserve"> con medicinali che contengono i seguenti principi attivi a causa del rischio aumentato di avere infezioni gravi</w:t>
      </w:r>
      <w:r w:rsidR="00BE1C70" w:rsidRPr="00C35766">
        <w:rPr>
          <w:rFonts w:eastAsia="Times New Roman"/>
          <w:lang w:val="it-IT"/>
        </w:rPr>
        <w:t>:</w:t>
      </w:r>
    </w:p>
    <w:p w14:paraId="7661A477" w14:textId="77777777" w:rsidR="00BE1C70" w:rsidRPr="00C35766" w:rsidRDefault="00BE1C70" w:rsidP="00BE1C70">
      <w:pPr>
        <w:pStyle w:val="a3"/>
        <w:numPr>
          <w:ilvl w:val="1"/>
          <w:numId w:val="4"/>
        </w:numPr>
        <w:ind w:left="660" w:hanging="660"/>
      </w:pPr>
      <w:r w:rsidRPr="00C35766">
        <w:rPr>
          <w:rFonts w:eastAsia="Times New Roman"/>
          <w:lang w:val="it-IT"/>
        </w:rPr>
        <w:t>anakinra</w:t>
      </w:r>
    </w:p>
    <w:p w14:paraId="1AEF6816" w14:textId="77777777" w:rsidR="00BE1C70" w:rsidRPr="00C35766" w:rsidRDefault="00BE1C70" w:rsidP="00BE1C70">
      <w:pPr>
        <w:pStyle w:val="a3"/>
        <w:numPr>
          <w:ilvl w:val="1"/>
          <w:numId w:val="4"/>
        </w:numPr>
        <w:ind w:left="660" w:hanging="660"/>
      </w:pPr>
      <w:r w:rsidRPr="00C35766">
        <w:rPr>
          <w:rFonts w:eastAsia="Times New Roman"/>
          <w:lang w:val="it-IT"/>
        </w:rPr>
        <w:t>abatacept.</w:t>
      </w:r>
    </w:p>
    <w:p w14:paraId="6D78DB65" w14:textId="77777777" w:rsidR="00BE1C70" w:rsidRPr="00C35766" w:rsidRDefault="00BE1C70" w:rsidP="00BE1C70">
      <w:pPr>
        <w:pStyle w:val="a3"/>
      </w:pPr>
    </w:p>
    <w:p w14:paraId="5085B5DD" w14:textId="77777777" w:rsidR="00BE1C70" w:rsidRPr="00C35766" w:rsidRDefault="00BE1C70" w:rsidP="00BE1C70">
      <w:pPr>
        <w:pStyle w:val="a3"/>
        <w:rPr>
          <w:lang w:val="pt-BR"/>
        </w:rPr>
      </w:pPr>
      <w:r w:rsidRPr="00C35766">
        <w:rPr>
          <w:rFonts w:eastAsia="Times New Roman"/>
          <w:lang w:val="it-IT"/>
        </w:rPr>
        <w:t>Yuflyma può essere assunto con:</w:t>
      </w:r>
    </w:p>
    <w:p w14:paraId="349EC903" w14:textId="77777777" w:rsidR="00BE1C70" w:rsidRPr="00C35766" w:rsidRDefault="00BE1C70" w:rsidP="00BE1C70">
      <w:pPr>
        <w:pStyle w:val="a3"/>
        <w:numPr>
          <w:ilvl w:val="1"/>
          <w:numId w:val="4"/>
        </w:numPr>
        <w:ind w:left="660" w:hanging="660"/>
      </w:pPr>
      <w:r w:rsidRPr="00C35766">
        <w:rPr>
          <w:rFonts w:eastAsia="Times New Roman"/>
          <w:lang w:val="it-IT"/>
        </w:rPr>
        <w:lastRenderedPageBreak/>
        <w:t>metotressato</w:t>
      </w:r>
    </w:p>
    <w:p w14:paraId="4A9236E1" w14:textId="77777777" w:rsidR="00BE1C70" w:rsidRPr="00C35766" w:rsidRDefault="00BE1C70" w:rsidP="00BE1C70">
      <w:pPr>
        <w:pStyle w:val="a3"/>
        <w:numPr>
          <w:ilvl w:val="1"/>
          <w:numId w:val="4"/>
        </w:numPr>
        <w:ind w:left="660" w:hanging="660"/>
        <w:rPr>
          <w:lang w:val="pt-BR"/>
        </w:rPr>
      </w:pPr>
      <w:r w:rsidRPr="00C35766">
        <w:rPr>
          <w:rFonts w:eastAsia="Times New Roman"/>
          <w:lang w:val="it-IT"/>
        </w:rPr>
        <w:t>altri farmaci antireumatici modificanti la malattia (ad esempio sulfasalazina, idrossiclorochina, leflunomide e sali d’oro per via parenterale)</w:t>
      </w:r>
    </w:p>
    <w:p w14:paraId="665037D1"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steroidi o analgesici, compresi i farmaci anti-infiammatori non steroidei (FANS).</w:t>
      </w:r>
    </w:p>
    <w:p w14:paraId="2E7A4437" w14:textId="77777777" w:rsidR="00BE1C70" w:rsidRPr="00C35766" w:rsidRDefault="00BE1C70" w:rsidP="00BE1C70">
      <w:pPr>
        <w:pStyle w:val="a3"/>
        <w:rPr>
          <w:lang w:val="it-IT"/>
        </w:rPr>
      </w:pPr>
    </w:p>
    <w:p w14:paraId="2397AC0D" w14:textId="77777777" w:rsidR="00BE1C70" w:rsidRPr="00C35766" w:rsidRDefault="00BE1C70" w:rsidP="00BE1C70">
      <w:pPr>
        <w:pStyle w:val="a3"/>
        <w:rPr>
          <w:lang w:val="es-ES"/>
        </w:rPr>
      </w:pPr>
      <w:r w:rsidRPr="00C35766">
        <w:rPr>
          <w:rFonts w:eastAsia="Times New Roman"/>
          <w:lang w:val="it-IT"/>
        </w:rPr>
        <w:t>Se ha dubbi, si rivolga al medico.</w:t>
      </w:r>
    </w:p>
    <w:p w14:paraId="0CB03FCC" w14:textId="77777777" w:rsidR="00BE1C70" w:rsidRPr="00C35766" w:rsidRDefault="00BE1C70" w:rsidP="00BE1C70">
      <w:pPr>
        <w:spacing w:before="18" w:line="240" w:lineRule="exact"/>
        <w:rPr>
          <w:rFonts w:ascii="Times New Roman" w:hAnsi="Times New Roman" w:cs="Times New Roman"/>
          <w:sz w:val="24"/>
          <w:szCs w:val="24"/>
          <w:lang w:val="es-ES"/>
        </w:rPr>
      </w:pPr>
    </w:p>
    <w:p w14:paraId="608C3D1D" w14:textId="77777777" w:rsidR="00BE1C70" w:rsidRPr="00C35766" w:rsidRDefault="00BE1C70" w:rsidP="00BE1C70">
      <w:pPr>
        <w:pStyle w:val="a3"/>
        <w:rPr>
          <w:b/>
        </w:rPr>
      </w:pPr>
      <w:r w:rsidRPr="00C35766">
        <w:rPr>
          <w:rFonts w:eastAsia="Times New Roman"/>
          <w:b/>
          <w:bCs/>
          <w:lang w:val="it-IT"/>
        </w:rPr>
        <w:t>Gravidanza e allattamento</w:t>
      </w:r>
    </w:p>
    <w:p w14:paraId="7F1170BA" w14:textId="77777777" w:rsidR="00BE1C70" w:rsidRPr="00C35766" w:rsidRDefault="00BE1C70" w:rsidP="00BE1C70">
      <w:pPr>
        <w:spacing w:before="9" w:line="260" w:lineRule="exact"/>
        <w:rPr>
          <w:rFonts w:ascii="Times New Roman" w:hAnsi="Times New Roman" w:cs="Times New Roman"/>
          <w:sz w:val="26"/>
          <w:szCs w:val="26"/>
        </w:rPr>
      </w:pPr>
    </w:p>
    <w:p w14:paraId="5B1E7EB0" w14:textId="07F25500" w:rsidR="00BE1C70" w:rsidRPr="00C35766" w:rsidRDefault="00544990" w:rsidP="00BE1C70">
      <w:pPr>
        <w:pStyle w:val="a3"/>
        <w:numPr>
          <w:ilvl w:val="1"/>
          <w:numId w:val="4"/>
        </w:numPr>
        <w:ind w:left="660" w:hanging="660"/>
        <w:rPr>
          <w:lang w:val="it-IT"/>
        </w:rPr>
      </w:pPr>
      <w:r w:rsidRPr="00824699">
        <w:rPr>
          <w:lang w:val="it-IT"/>
        </w:rPr>
        <w:t>La ragazza deve considerare l’utilizzo di un’adeguata misura contraccettiva per prevenire una gravidanza e continuarne</w:t>
      </w:r>
      <w:r w:rsidR="00B34A6F">
        <w:rPr>
          <w:lang w:val="it-IT"/>
        </w:rPr>
        <w:t xml:space="preserve"> a utilizzarla p</w:t>
      </w:r>
      <w:r w:rsidRPr="00824699">
        <w:rPr>
          <w:lang w:val="it-IT"/>
        </w:rPr>
        <w:t xml:space="preserve">er almeno 5 mesi dopo l’ultima terapia con </w:t>
      </w:r>
      <w:r w:rsidR="005C2D5B" w:rsidRPr="00824699">
        <w:rPr>
          <w:lang w:val="it-IT"/>
        </w:rPr>
        <w:t>Yuflyma</w:t>
      </w:r>
      <w:r w:rsidR="00BE1C70" w:rsidRPr="00C35766">
        <w:rPr>
          <w:rFonts w:eastAsia="Times New Roman"/>
          <w:lang w:val="it-IT"/>
        </w:rPr>
        <w:t>.</w:t>
      </w:r>
    </w:p>
    <w:p w14:paraId="3BEF0E2A" w14:textId="5D23E81D" w:rsidR="00BE1C70" w:rsidRPr="00C35766" w:rsidRDefault="00544990" w:rsidP="00BE1C70">
      <w:pPr>
        <w:pStyle w:val="a3"/>
        <w:numPr>
          <w:ilvl w:val="1"/>
          <w:numId w:val="4"/>
        </w:numPr>
        <w:ind w:left="660" w:hanging="660"/>
        <w:rPr>
          <w:lang w:val="es-ES"/>
        </w:rPr>
      </w:pPr>
      <w:r w:rsidRPr="00824699">
        <w:rPr>
          <w:lang w:val="it-IT"/>
        </w:rPr>
        <w:t>Se la ragazza è in stato di gravidanza, se sospetta o sta pianificando una gravidanza</w:t>
      </w:r>
      <w:r w:rsidR="00B34A6F">
        <w:rPr>
          <w:lang w:val="it-IT"/>
        </w:rPr>
        <w:t>,</w:t>
      </w:r>
      <w:r w:rsidRPr="00824699">
        <w:rPr>
          <w:lang w:val="it-IT"/>
        </w:rPr>
        <w:t xml:space="preserve"> chieda consiglio al suo medico circa l’assunzione di questo medicinale</w:t>
      </w:r>
      <w:r w:rsidR="00BE1C70" w:rsidRPr="00C35766">
        <w:rPr>
          <w:rFonts w:eastAsia="Times New Roman"/>
          <w:lang w:val="it-IT"/>
        </w:rPr>
        <w:t>.</w:t>
      </w:r>
    </w:p>
    <w:p w14:paraId="5CFF2E22"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Yuflyma deve essere usato durante la gravidanza solo se necessario.</w:t>
      </w:r>
    </w:p>
    <w:p w14:paraId="4499B621"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Secondo uno studio sulla gravidanza, non è stato riscontrato un rischio maggiore di difetti alla nascita quando la madre aveva ricevuto Yuflyma durante la gravidanza, rispetto a madri che avevano la stessa patologia ma che non avevano ricevuto Yuflyma.</w:t>
      </w:r>
    </w:p>
    <w:p w14:paraId="57ECD96B" w14:textId="77777777" w:rsidR="00BE1C70" w:rsidRPr="00C35766" w:rsidRDefault="00BE1C70" w:rsidP="00BE1C70">
      <w:pPr>
        <w:pStyle w:val="a3"/>
        <w:numPr>
          <w:ilvl w:val="1"/>
          <w:numId w:val="4"/>
        </w:numPr>
        <w:ind w:left="660" w:hanging="660"/>
        <w:rPr>
          <w:lang w:val="it-IT"/>
        </w:rPr>
      </w:pPr>
      <w:r w:rsidRPr="00C35766">
        <w:rPr>
          <w:rFonts w:eastAsia="Times New Roman"/>
          <w:lang w:val="it-IT"/>
        </w:rPr>
        <w:t>Yuflyma può essere usato durante l’allattamento con latte materno.</w:t>
      </w:r>
    </w:p>
    <w:p w14:paraId="345DB803" w14:textId="5F2AE64F" w:rsidR="00BE1C70" w:rsidRPr="00C35766" w:rsidRDefault="00544990" w:rsidP="00BE1C70">
      <w:pPr>
        <w:pStyle w:val="a3"/>
        <w:numPr>
          <w:ilvl w:val="1"/>
          <w:numId w:val="4"/>
        </w:numPr>
        <w:ind w:left="660" w:hanging="660"/>
        <w:rPr>
          <w:lang w:val="it-IT"/>
        </w:rPr>
      </w:pPr>
      <w:r w:rsidRPr="00824699">
        <w:rPr>
          <w:lang w:val="it-IT"/>
        </w:rPr>
        <w:t xml:space="preserve">Se la ragazza ha assunto </w:t>
      </w:r>
      <w:r w:rsidR="005C2D5B" w:rsidRPr="00824699">
        <w:rPr>
          <w:lang w:val="it-IT"/>
        </w:rPr>
        <w:t>Yuflyma</w:t>
      </w:r>
      <w:r w:rsidRPr="00824699">
        <w:rPr>
          <w:lang w:val="it-IT"/>
        </w:rPr>
        <w:t xml:space="preserve"> durante la gravidanza, il suo bambino potrebbe avere un maggior rischio di contrarre un’infezione</w:t>
      </w:r>
      <w:r w:rsidR="00BE1C70" w:rsidRPr="00C35766">
        <w:rPr>
          <w:rFonts w:eastAsia="Times New Roman"/>
          <w:lang w:val="it-IT"/>
        </w:rPr>
        <w:t>.</w:t>
      </w:r>
    </w:p>
    <w:p w14:paraId="0A691246" w14:textId="2733AAFF" w:rsidR="00BE1C70" w:rsidRPr="00C35766" w:rsidRDefault="00544990" w:rsidP="00BE1C70">
      <w:pPr>
        <w:pStyle w:val="a3"/>
        <w:numPr>
          <w:ilvl w:val="1"/>
          <w:numId w:val="4"/>
        </w:numPr>
        <w:ind w:left="660" w:hanging="660"/>
        <w:rPr>
          <w:lang w:val="it-IT"/>
        </w:rPr>
      </w:pPr>
      <w:r w:rsidRPr="00824699">
        <w:rPr>
          <w:lang w:val="it-IT"/>
        </w:rPr>
        <w:t xml:space="preserve">È importante informare il pediatra e altri operatori sanitari dell’utilizzo di </w:t>
      </w:r>
      <w:r w:rsidR="005C2D5B" w:rsidRPr="00824699">
        <w:rPr>
          <w:lang w:val="it-IT"/>
        </w:rPr>
        <w:t>Yuflyma</w:t>
      </w:r>
      <w:r w:rsidRPr="00824699">
        <w:rPr>
          <w:lang w:val="it-IT"/>
        </w:rPr>
        <w:t xml:space="preserve"> durante la gravidanza, prima che il bambino riceva qualsiasi vaccinazione. Per maggiori </w:t>
      </w:r>
      <w:r w:rsidR="008D577F">
        <w:rPr>
          <w:rFonts w:hint="eastAsia"/>
          <w:lang w:val="it-IT" w:eastAsia="ko-KR"/>
        </w:rPr>
        <w:t>informazione</w:t>
      </w:r>
      <w:r w:rsidRPr="00824699">
        <w:rPr>
          <w:lang w:val="it-IT"/>
        </w:rPr>
        <w:t xml:space="preserve"> vaccinazioni consulti </w:t>
      </w:r>
      <w:r w:rsidR="00B34A6F">
        <w:rPr>
          <w:lang w:val="it-IT"/>
        </w:rPr>
        <w:t>il paragrafo</w:t>
      </w:r>
      <w:r w:rsidRPr="00824699">
        <w:rPr>
          <w:lang w:val="it-IT"/>
        </w:rPr>
        <w:t xml:space="preserve"> “Avvertenze e precauzioni”</w:t>
      </w:r>
      <w:r w:rsidR="00BE1C70" w:rsidRPr="00C35766">
        <w:rPr>
          <w:rFonts w:eastAsia="Times New Roman"/>
          <w:lang w:val="it-IT"/>
        </w:rPr>
        <w:t>.</w:t>
      </w:r>
    </w:p>
    <w:p w14:paraId="7BEED055" w14:textId="77777777" w:rsidR="00BE1C70" w:rsidRPr="00C35766" w:rsidRDefault="00BE1C70" w:rsidP="00BE1C70">
      <w:pPr>
        <w:spacing w:before="15" w:line="240" w:lineRule="exact"/>
        <w:rPr>
          <w:rFonts w:ascii="Times New Roman" w:hAnsi="Times New Roman" w:cs="Times New Roman"/>
          <w:b/>
          <w:sz w:val="24"/>
          <w:lang w:val="it-IT"/>
        </w:rPr>
      </w:pPr>
    </w:p>
    <w:p w14:paraId="13BB42F8" w14:textId="77777777" w:rsidR="00BE1C70" w:rsidRPr="00C35766" w:rsidRDefault="00BE1C70" w:rsidP="00BE1C70">
      <w:pPr>
        <w:pStyle w:val="a3"/>
        <w:rPr>
          <w:b/>
          <w:lang w:val="pt-BR"/>
        </w:rPr>
      </w:pPr>
      <w:r w:rsidRPr="00C35766">
        <w:rPr>
          <w:rFonts w:eastAsia="Times New Roman"/>
          <w:b/>
          <w:bCs/>
          <w:lang w:val="it-IT"/>
        </w:rPr>
        <w:t>Guida di veicoli e utilizzo di macchinari</w:t>
      </w:r>
    </w:p>
    <w:p w14:paraId="1204E1C3" w14:textId="77777777" w:rsidR="00BE1C70" w:rsidRPr="00C35766" w:rsidRDefault="00BE1C70" w:rsidP="00BE1C70">
      <w:pPr>
        <w:spacing w:before="12" w:line="240" w:lineRule="exact"/>
        <w:rPr>
          <w:rFonts w:ascii="Times New Roman" w:hAnsi="Times New Roman" w:cs="Times New Roman"/>
          <w:sz w:val="24"/>
          <w:szCs w:val="24"/>
          <w:lang w:val="pt-BR"/>
        </w:rPr>
      </w:pPr>
    </w:p>
    <w:p w14:paraId="6055BC1F" w14:textId="540E45DA" w:rsidR="00BE1C70" w:rsidRPr="00C35766" w:rsidRDefault="005C2D5B" w:rsidP="00BE1C70">
      <w:pPr>
        <w:pStyle w:val="a3"/>
        <w:rPr>
          <w:lang w:val="pt-BR"/>
        </w:rPr>
      </w:pPr>
      <w:r w:rsidRPr="00824699">
        <w:rPr>
          <w:lang w:val="it-IT"/>
        </w:rPr>
        <w:t>Yuflyma</w:t>
      </w:r>
      <w:r w:rsidR="00544990" w:rsidRPr="00824699">
        <w:rPr>
          <w:lang w:val="it-IT"/>
        </w:rPr>
        <w:t xml:space="preserve"> può influenzare, benché solo in maniera modesta, la capacità del bambino di guidare, andare in bicicletta o utilizzare macchinari. In seguito all’assunzione di </w:t>
      </w:r>
      <w:r w:rsidRPr="00824699">
        <w:rPr>
          <w:lang w:val="it-IT"/>
        </w:rPr>
        <w:t>Yuflyma</w:t>
      </w:r>
      <w:r w:rsidR="00544990" w:rsidRPr="00824699">
        <w:rPr>
          <w:lang w:val="it-IT"/>
        </w:rPr>
        <w:t>, si possono avere disturbi della vista e la sensazione che l’ambiente in cui ci si trova ruoti</w:t>
      </w:r>
      <w:r w:rsidR="00BE1C70" w:rsidRPr="00C35766">
        <w:rPr>
          <w:rFonts w:eastAsia="Times New Roman"/>
          <w:lang w:val="it-IT"/>
        </w:rPr>
        <w:t>.</w:t>
      </w:r>
    </w:p>
    <w:p w14:paraId="541ED9A3" w14:textId="77777777" w:rsidR="00BE1C70" w:rsidRPr="00C35766" w:rsidRDefault="00BE1C70" w:rsidP="00BE1C70">
      <w:pPr>
        <w:pStyle w:val="a3"/>
        <w:rPr>
          <w:lang w:val="pt-BR"/>
        </w:rPr>
      </w:pPr>
    </w:p>
    <w:p w14:paraId="3E901D07" w14:textId="0433B914" w:rsidR="00BE1C70" w:rsidRPr="00C35766" w:rsidRDefault="0039216C" w:rsidP="00BE1C70">
      <w:pPr>
        <w:pStyle w:val="a3"/>
        <w:rPr>
          <w:b/>
          <w:lang w:val="pt-BR"/>
        </w:rPr>
      </w:pPr>
      <w:r>
        <w:rPr>
          <w:rFonts w:hint="eastAsia"/>
          <w:b/>
          <w:bCs/>
          <w:lang w:val="it-IT" w:eastAsia="ko-KR"/>
        </w:rPr>
        <w:t>Yuflyma</w:t>
      </w:r>
      <w:r w:rsidRPr="00C35766">
        <w:rPr>
          <w:rFonts w:eastAsia="Times New Roman"/>
          <w:b/>
          <w:bCs/>
          <w:lang w:val="it-IT"/>
        </w:rPr>
        <w:t xml:space="preserve"> </w:t>
      </w:r>
      <w:r w:rsidR="00BE1C70" w:rsidRPr="00C35766">
        <w:rPr>
          <w:rFonts w:eastAsia="Times New Roman"/>
          <w:b/>
          <w:bCs/>
          <w:lang w:val="it-IT"/>
        </w:rPr>
        <w:t>contiene sodio</w:t>
      </w:r>
    </w:p>
    <w:p w14:paraId="39B67514" w14:textId="77777777" w:rsidR="00BE1C70" w:rsidRPr="00C35766" w:rsidRDefault="00BE1C70" w:rsidP="00BE1C70">
      <w:pPr>
        <w:spacing w:before="12" w:line="240" w:lineRule="exact"/>
        <w:rPr>
          <w:rFonts w:ascii="Times New Roman" w:hAnsi="Times New Roman" w:cs="Times New Roman"/>
          <w:sz w:val="24"/>
          <w:szCs w:val="24"/>
          <w:lang w:val="pt-BR"/>
        </w:rPr>
      </w:pPr>
    </w:p>
    <w:p w14:paraId="27B64A72" w14:textId="2D8822AB" w:rsidR="00BE1C70" w:rsidRPr="00C35766" w:rsidRDefault="00BE1C70" w:rsidP="00BE1C70">
      <w:pPr>
        <w:spacing w:line="200" w:lineRule="exact"/>
        <w:rPr>
          <w:rFonts w:ascii="Times New Roman" w:hAnsi="Times New Roman" w:cs="Times New Roman"/>
          <w:sz w:val="20"/>
          <w:szCs w:val="20"/>
          <w:lang w:val="pt-BR"/>
        </w:rPr>
      </w:pPr>
      <w:r w:rsidRPr="00C35766">
        <w:rPr>
          <w:rFonts w:ascii="Times New Roman" w:eastAsia="Times New Roman" w:hAnsi="Times New Roman" w:cs="Times New Roman"/>
          <w:lang w:val="it-IT"/>
        </w:rPr>
        <w:t xml:space="preserve">Questo </w:t>
      </w:r>
      <w:r>
        <w:rPr>
          <w:rFonts w:ascii="Times New Roman" w:eastAsia="Times New Roman" w:hAnsi="Times New Roman" w:cs="Times New Roman"/>
          <w:lang w:val="it-IT"/>
        </w:rPr>
        <w:t>medicinale</w:t>
      </w:r>
      <w:r w:rsidRPr="00C35766">
        <w:rPr>
          <w:rFonts w:ascii="Times New Roman" w:eastAsia="Times New Roman" w:hAnsi="Times New Roman" w:cs="Times New Roman"/>
          <w:lang w:val="it-IT"/>
        </w:rPr>
        <w:t xml:space="preserve"> contiene meno di 1 mmol di sodio (23</w:t>
      </w:r>
      <w:r w:rsidRPr="00C35766">
        <w:rPr>
          <w:rFonts w:ascii="Times New Roman" w:eastAsia="Calibri" w:hAnsi="Times New Roman" w:cs="Times New Roman"/>
          <w:lang w:val="it-IT"/>
        </w:rPr>
        <w:t> </w:t>
      </w:r>
      <w:r w:rsidRPr="00C35766">
        <w:rPr>
          <w:rFonts w:ascii="Times New Roman" w:eastAsia="Times New Roman" w:hAnsi="Times New Roman" w:cs="Times New Roman"/>
          <w:lang w:val="it-IT"/>
        </w:rPr>
        <w:t xml:space="preserve">mg) per dose da </w:t>
      </w:r>
      <w:r w:rsidR="00544990">
        <w:rPr>
          <w:rFonts w:ascii="Times New Roman" w:eastAsia="Times New Roman" w:hAnsi="Times New Roman" w:cs="Times New Roman"/>
          <w:lang w:val="it-IT"/>
        </w:rPr>
        <w:t>0,2</w:t>
      </w:r>
      <w:r w:rsidRPr="00C35766">
        <w:rPr>
          <w:rFonts w:ascii="Times New Roman" w:eastAsia="Times New Roman" w:hAnsi="Times New Roman" w:cs="Times New Roman"/>
          <w:lang w:val="it-IT"/>
        </w:rPr>
        <w:t xml:space="preserve"> mL, </w:t>
      </w:r>
      <w:r>
        <w:rPr>
          <w:rFonts w:ascii="Times New Roman" w:eastAsia="Times New Roman" w:hAnsi="Times New Roman" w:cs="Times New Roman"/>
          <w:lang w:val="it-IT"/>
        </w:rPr>
        <w:t>cioè</w:t>
      </w:r>
      <w:r w:rsidRPr="00C35766">
        <w:rPr>
          <w:rFonts w:ascii="Times New Roman" w:eastAsia="Times New Roman" w:hAnsi="Times New Roman" w:cs="Times New Roman"/>
          <w:lang w:val="it-IT"/>
        </w:rPr>
        <w:t xml:space="preserve"> essenzialmente “senza sodio”.</w:t>
      </w:r>
    </w:p>
    <w:p w14:paraId="1752CA83" w14:textId="77777777" w:rsidR="00BE1C70" w:rsidRPr="00C35766" w:rsidRDefault="00BE1C70" w:rsidP="00BE1C70">
      <w:pPr>
        <w:spacing w:line="200" w:lineRule="exact"/>
        <w:rPr>
          <w:rFonts w:ascii="Times New Roman" w:hAnsi="Times New Roman" w:cs="Times New Roman"/>
          <w:sz w:val="20"/>
          <w:szCs w:val="20"/>
          <w:lang w:val="pt-BR"/>
        </w:rPr>
      </w:pPr>
    </w:p>
    <w:p w14:paraId="5E2FC7EC" w14:textId="77777777" w:rsidR="00BE1C70" w:rsidRPr="00C35766" w:rsidRDefault="00BE1C70" w:rsidP="00BE1C70">
      <w:pPr>
        <w:spacing w:line="200" w:lineRule="exact"/>
        <w:rPr>
          <w:rFonts w:ascii="Times New Roman" w:hAnsi="Times New Roman" w:cs="Times New Roman"/>
          <w:sz w:val="20"/>
          <w:szCs w:val="20"/>
          <w:lang w:val="pt-BR"/>
        </w:rPr>
      </w:pPr>
    </w:p>
    <w:p w14:paraId="6A159BBF" w14:textId="77777777" w:rsidR="00BE1C70" w:rsidRPr="00C35766" w:rsidRDefault="00BE1C70" w:rsidP="005C2D5B">
      <w:pPr>
        <w:pStyle w:val="a4"/>
        <w:numPr>
          <w:ilvl w:val="0"/>
          <w:numId w:val="77"/>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t>Come usare Yuflyma</w:t>
      </w:r>
    </w:p>
    <w:p w14:paraId="5A04E79F" w14:textId="77777777" w:rsidR="00BE1C70" w:rsidRPr="00C35766" w:rsidRDefault="00BE1C70" w:rsidP="00BE1C70">
      <w:pPr>
        <w:spacing w:before="9" w:line="240" w:lineRule="exact"/>
        <w:rPr>
          <w:rFonts w:ascii="Times New Roman" w:hAnsi="Times New Roman" w:cs="Times New Roman"/>
          <w:sz w:val="24"/>
          <w:szCs w:val="24"/>
        </w:rPr>
      </w:pPr>
    </w:p>
    <w:p w14:paraId="0936948F" w14:textId="77777777" w:rsidR="00BE1C70" w:rsidRPr="00C35766" w:rsidRDefault="00BE1C70" w:rsidP="00BE1C70">
      <w:pPr>
        <w:pStyle w:val="a3"/>
        <w:rPr>
          <w:lang w:val="es-ES"/>
        </w:rPr>
      </w:pPr>
      <w:r w:rsidRPr="00C35766">
        <w:rPr>
          <w:rFonts w:eastAsia="Times New Roman"/>
          <w:lang w:val="it-IT"/>
        </w:rPr>
        <w:t>Usi questo medicinale seguendo sempre esattamente le istruzioni del medico o del farmacista. Se ha dubbi consulti il medico o il farmacista.</w:t>
      </w:r>
    </w:p>
    <w:p w14:paraId="0DEDE49B" w14:textId="77777777" w:rsidR="00BE1C70" w:rsidRPr="00C35766" w:rsidRDefault="00BE1C70" w:rsidP="00BE1C70">
      <w:pPr>
        <w:spacing w:before="10" w:line="240" w:lineRule="exact"/>
        <w:rPr>
          <w:rFonts w:ascii="Times New Roman" w:hAnsi="Times New Roman" w:cs="Times New Roman"/>
          <w:sz w:val="24"/>
          <w:szCs w:val="24"/>
          <w:lang w:val="es-ES"/>
        </w:rPr>
      </w:pPr>
    </w:p>
    <w:p w14:paraId="7A67B9B0" w14:textId="092432B3" w:rsidR="00BE1C70" w:rsidRPr="00C35766" w:rsidRDefault="00544990" w:rsidP="00BE1C70">
      <w:pPr>
        <w:pStyle w:val="a3"/>
        <w:rPr>
          <w:rFonts w:eastAsia="Times New Roman"/>
          <w:lang w:val="it-IT"/>
        </w:rPr>
      </w:pPr>
      <w:r w:rsidRPr="00824699">
        <w:rPr>
          <w:lang w:val="it-IT"/>
        </w:rPr>
        <w:t xml:space="preserve">Le dosi raccomandate di </w:t>
      </w:r>
      <w:r w:rsidR="005C2D5B" w:rsidRPr="00824699">
        <w:rPr>
          <w:lang w:val="it-IT"/>
        </w:rPr>
        <w:t>Yuflyma</w:t>
      </w:r>
      <w:r w:rsidRPr="00824699">
        <w:rPr>
          <w:lang w:val="it-IT"/>
        </w:rPr>
        <w:t xml:space="preserve"> in ciascuna indicazione approvata sono elencate nella seguente tabella. Il medico potrebbe prescrivere un’altra concentrazione di </w:t>
      </w:r>
      <w:r w:rsidR="005C2D5B" w:rsidRPr="00824699">
        <w:rPr>
          <w:lang w:val="it-IT"/>
        </w:rPr>
        <w:t>Yuflyma</w:t>
      </w:r>
      <w:r w:rsidRPr="00824699">
        <w:rPr>
          <w:lang w:val="it-IT"/>
        </w:rPr>
        <w:t xml:space="preserve"> se il bambino necessita di una dose differente</w:t>
      </w:r>
      <w:r w:rsidR="00BE1C70" w:rsidRPr="00C35766">
        <w:rPr>
          <w:rFonts w:eastAsia="Times New Roman"/>
          <w:lang w:val="it-IT"/>
        </w:rPr>
        <w:t>.</w:t>
      </w:r>
    </w:p>
    <w:p w14:paraId="215DAB1C" w14:textId="77777777" w:rsidR="00BE1C70" w:rsidRPr="00824699" w:rsidRDefault="00BE1C70" w:rsidP="00BE1C70">
      <w:pPr>
        <w:spacing w:before="12" w:line="240" w:lineRule="exact"/>
        <w:rPr>
          <w:rFonts w:ascii="Times New Roman" w:hAnsi="Times New Roman" w:cs="Times New Roman"/>
          <w:sz w:val="24"/>
          <w:szCs w:val="24"/>
          <w:lang w:val="it-IT"/>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BE1C70" w:rsidRPr="00C35766" w14:paraId="62BA92D6" w14:textId="77777777" w:rsidTr="00603A86">
        <w:tc>
          <w:tcPr>
            <w:tcW w:w="9288" w:type="dxa"/>
            <w:gridSpan w:val="3"/>
            <w:tcBorders>
              <w:top w:val="single" w:sz="5" w:space="0" w:color="000000"/>
              <w:left w:val="single" w:sz="5" w:space="0" w:color="000000"/>
              <w:bottom w:val="single" w:sz="5" w:space="0" w:color="000000"/>
              <w:right w:val="single" w:sz="5" w:space="0" w:color="000000"/>
            </w:tcBorders>
          </w:tcPr>
          <w:p w14:paraId="217A0FBD" w14:textId="77777777" w:rsidR="00BE1C70" w:rsidRPr="00C35766" w:rsidRDefault="00BE1C70" w:rsidP="00603A86">
            <w:pPr>
              <w:pStyle w:val="TableParagraph"/>
              <w:spacing w:line="250"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idiopatica giovanile poliarticolare</w:t>
            </w:r>
          </w:p>
        </w:tc>
      </w:tr>
      <w:tr w:rsidR="00BE1C70" w:rsidRPr="00C35766" w14:paraId="20AED8D7"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2A9FF908"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562160DA" w14:textId="77777777" w:rsidR="00BE1C70" w:rsidRPr="00824699" w:rsidRDefault="00BE1C70" w:rsidP="00603A86">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598D66D5"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BE1C70" w:rsidRPr="00C35766" w14:paraId="005839D6"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6EC17350" w14:textId="77777777" w:rsidR="00BE1C70" w:rsidRPr="00824699" w:rsidRDefault="00BE1C70" w:rsidP="00603A86">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0E71C1A5" w14:textId="77777777" w:rsidR="00BE1C70" w:rsidRPr="00824699" w:rsidRDefault="00BE1C70" w:rsidP="00603A86">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2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3D1E9AE7" w14:textId="77777777" w:rsidR="00BE1C70" w:rsidRPr="00C35766" w:rsidRDefault="00BE1C70" w:rsidP="00603A86">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5A296017" w14:textId="77777777" w:rsidR="00BE1C70" w:rsidRPr="00C35766" w:rsidRDefault="00BE1C70" w:rsidP="00603A86">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544990" w:rsidRPr="005C2D5B" w14:paraId="219F67FE"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51EB93F4" w14:textId="6CE3E270"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dai 2 anni di età e con peso compreso tra 10 kg e meno di 30 kg</w:t>
            </w:r>
          </w:p>
        </w:tc>
        <w:tc>
          <w:tcPr>
            <w:tcW w:w="3096" w:type="dxa"/>
            <w:tcBorders>
              <w:top w:val="single" w:sz="5" w:space="0" w:color="000000"/>
              <w:left w:val="single" w:sz="5" w:space="0" w:color="000000"/>
              <w:bottom w:val="single" w:sz="5" w:space="0" w:color="000000"/>
              <w:right w:val="single" w:sz="5" w:space="0" w:color="000000"/>
            </w:tcBorders>
          </w:tcPr>
          <w:p w14:paraId="5597E868" w14:textId="60B2ABD0"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FBBC5C8" w14:textId="2AB044B6"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53AF744C" w14:textId="77777777" w:rsidR="00BE1C70" w:rsidRPr="00C35766" w:rsidRDefault="00BE1C70" w:rsidP="00BE1C70">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BE1C70" w:rsidRPr="00C35766" w14:paraId="57E43BDE" w14:textId="77777777" w:rsidTr="00603A86">
        <w:tc>
          <w:tcPr>
            <w:tcW w:w="9288" w:type="dxa"/>
            <w:gridSpan w:val="3"/>
            <w:tcBorders>
              <w:top w:val="single" w:sz="5" w:space="0" w:color="000000"/>
              <w:left w:val="single" w:sz="5" w:space="0" w:color="000000"/>
              <w:bottom w:val="single" w:sz="5" w:space="0" w:color="000000"/>
              <w:right w:val="single" w:sz="5" w:space="0" w:color="000000"/>
            </w:tcBorders>
          </w:tcPr>
          <w:p w14:paraId="0D0D723D" w14:textId="77777777" w:rsidR="00BE1C70" w:rsidRPr="00C35766" w:rsidRDefault="00BE1C70" w:rsidP="00603A86">
            <w:pPr>
              <w:pStyle w:val="TableParagraph"/>
              <w:spacing w:line="252" w:lineRule="exact"/>
              <w:ind w:left="102"/>
              <w:rPr>
                <w:rFonts w:ascii="Times New Roman" w:eastAsia="Times New Roman" w:hAnsi="Times New Roman" w:cs="Times New Roman"/>
              </w:rPr>
            </w:pPr>
            <w:r w:rsidRPr="00C35766">
              <w:rPr>
                <w:rFonts w:ascii="Times New Roman" w:eastAsia="Times New Roman" w:hAnsi="Times New Roman" w:cs="Times New Roman"/>
                <w:b/>
                <w:bCs/>
                <w:spacing w:val="-1"/>
                <w:lang w:val="it-IT"/>
              </w:rPr>
              <w:t>Artrite associata ad entesite</w:t>
            </w:r>
          </w:p>
        </w:tc>
      </w:tr>
      <w:tr w:rsidR="00BE1C70" w:rsidRPr="00C35766" w14:paraId="0795B25D"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69D985D8"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58F09346" w14:textId="77777777" w:rsidR="00BE1C70" w:rsidRPr="00824699" w:rsidRDefault="00BE1C70" w:rsidP="00603A86">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204EBC2C"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BE1C70" w:rsidRPr="00C35766" w14:paraId="2DAFA8A9"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14E84D1D" w14:textId="77777777" w:rsidR="00BE1C70" w:rsidRPr="00824699" w:rsidRDefault="00BE1C70" w:rsidP="00603A86">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adolescenti e adulti</w:t>
            </w:r>
          </w:p>
          <w:p w14:paraId="2EE31546" w14:textId="77777777" w:rsidR="00BE1C70" w:rsidRPr="00824699" w:rsidRDefault="00BE1C70" w:rsidP="00603A86">
            <w:pPr>
              <w:pStyle w:val="TableParagraph"/>
              <w:spacing w:before="5"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 partire dai 6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58B3D9B2" w14:textId="77777777" w:rsidR="00BE1C70" w:rsidRPr="00C35766" w:rsidRDefault="00BE1C70" w:rsidP="00603A86">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06B37582" w14:textId="77777777" w:rsidR="00BE1C70" w:rsidRPr="00C35766" w:rsidRDefault="00BE1C70" w:rsidP="00603A86">
            <w:pPr>
              <w:pStyle w:val="TableParagraph"/>
              <w:spacing w:line="246" w:lineRule="exact"/>
              <w:ind w:left="102" w:right="57"/>
              <w:rPr>
                <w:rFonts w:ascii="Times New Roman" w:eastAsia="Times New Roman" w:hAnsi="Times New Roman" w:cs="Times New Roman"/>
              </w:rPr>
            </w:pPr>
            <w:r w:rsidRPr="00C35766">
              <w:rPr>
                <w:rFonts w:ascii="Times New Roman" w:eastAsia="Times New Roman" w:hAnsi="Times New Roman" w:cs="Times New Roman"/>
                <w:spacing w:val="-1"/>
                <w:lang w:val="it-IT"/>
              </w:rPr>
              <w:t>Non pertinente</w:t>
            </w:r>
          </w:p>
        </w:tc>
      </w:tr>
      <w:tr w:rsidR="00544990" w:rsidRPr="005C2D5B" w14:paraId="49A2B90D"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30637D57" w14:textId="626AFB8A"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dai 6 anni di età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73CC31FE" w14:textId="052C2DAA"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7BA6D0BC" w14:textId="6C236736" w:rsidR="00544990" w:rsidRPr="00C35766"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46E62A38" w14:textId="77777777" w:rsidR="00BE1C70" w:rsidRPr="00C35766" w:rsidRDefault="00BE1C70" w:rsidP="00BE1C70">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BE1C70" w:rsidRPr="005C2D5B" w14:paraId="0736D70F" w14:textId="77777777" w:rsidTr="005C2D5B">
        <w:tc>
          <w:tcPr>
            <w:tcW w:w="9288" w:type="dxa"/>
            <w:gridSpan w:val="3"/>
            <w:tcBorders>
              <w:top w:val="single" w:sz="5" w:space="0" w:color="000000"/>
              <w:left w:val="single" w:sz="5" w:space="0" w:color="000000"/>
              <w:bottom w:val="single" w:sz="5" w:space="0" w:color="000000"/>
              <w:right w:val="single" w:sz="5" w:space="0" w:color="000000"/>
            </w:tcBorders>
          </w:tcPr>
          <w:p w14:paraId="06EE837C" w14:textId="64F606E3" w:rsidR="00BE1C70" w:rsidRPr="005C2D5B" w:rsidRDefault="00544990" w:rsidP="00603A86">
            <w:pPr>
              <w:pStyle w:val="TableParagraph"/>
              <w:spacing w:line="252" w:lineRule="exact"/>
              <w:ind w:left="102"/>
              <w:rPr>
                <w:rFonts w:ascii="Times New Roman" w:eastAsia="Times New Roman" w:hAnsi="Times New Roman" w:cs="Times New Roman"/>
                <w:b/>
                <w:bCs/>
                <w:spacing w:val="-1"/>
                <w:lang w:val="it-IT"/>
              </w:rPr>
            </w:pPr>
            <w:r w:rsidRPr="005C2D5B">
              <w:rPr>
                <w:rFonts w:ascii="Times New Roman" w:eastAsia="Times New Roman" w:hAnsi="Times New Roman" w:cs="Times New Roman"/>
                <w:b/>
                <w:bCs/>
                <w:spacing w:val="-1"/>
                <w:lang w:val="it-IT"/>
              </w:rPr>
              <w:t>Psoriasi a placche pediatrica</w:t>
            </w:r>
          </w:p>
        </w:tc>
      </w:tr>
      <w:tr w:rsidR="00BE1C70" w:rsidRPr="00C35766" w14:paraId="6ED0A466" w14:textId="77777777" w:rsidTr="005C2D5B">
        <w:tc>
          <w:tcPr>
            <w:tcW w:w="3096" w:type="dxa"/>
            <w:tcBorders>
              <w:top w:val="single" w:sz="5" w:space="0" w:color="000000"/>
              <w:left w:val="single" w:sz="5" w:space="0" w:color="000000"/>
              <w:bottom w:val="single" w:sz="5" w:space="0" w:color="000000"/>
              <w:right w:val="single" w:sz="5" w:space="0" w:color="000000"/>
            </w:tcBorders>
          </w:tcPr>
          <w:p w14:paraId="5DE517F7"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38D53D71" w14:textId="77777777" w:rsidR="00BE1C70" w:rsidRPr="00824699" w:rsidRDefault="00BE1C70" w:rsidP="00603A86">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67A2E24D"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44990" w:rsidRPr="00C35766" w14:paraId="0D2A17AA" w14:textId="77777777" w:rsidTr="005C2D5B">
        <w:tc>
          <w:tcPr>
            <w:tcW w:w="3096" w:type="dxa"/>
            <w:tcBorders>
              <w:top w:val="single" w:sz="5" w:space="0" w:color="000000"/>
              <w:left w:val="single" w:sz="5" w:space="0" w:color="000000"/>
              <w:bottom w:val="single" w:sz="5" w:space="0" w:color="000000"/>
              <w:right w:val="single" w:sz="5" w:space="0" w:color="000000"/>
            </w:tcBorders>
          </w:tcPr>
          <w:p w14:paraId="22AEF52C" w14:textId="77777777" w:rsidR="00544990" w:rsidRPr="00824699" w:rsidRDefault="00544990" w:rsidP="00603A86">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Bambini e adolescenti dai 4</w:t>
            </w:r>
          </w:p>
          <w:p w14:paraId="553FC3A1" w14:textId="7C312A56" w:rsidR="00544990" w:rsidRPr="00824699" w:rsidRDefault="00544990" w:rsidP="00603A86">
            <w:pPr>
              <w:pStyle w:val="TableParagraph"/>
              <w:spacing w:line="246"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spacing w:val="-1"/>
                <w:lang w:val="it-IT"/>
              </w:rPr>
              <w:t>ai 17 anni di età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13103511" w14:textId="77777777" w:rsidR="00544990" w:rsidRPr="00C35766" w:rsidRDefault="00544990" w:rsidP="00603A86">
            <w:pPr>
              <w:pStyle w:val="TableParagraph"/>
              <w:spacing w:line="246" w:lineRule="exact"/>
              <w:ind w:left="102" w:right="57"/>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Prima dose di 40 mg, seguita da</w:t>
            </w:r>
          </w:p>
          <w:p w14:paraId="6FD0763C" w14:textId="6563285C" w:rsidR="00544990" w:rsidRDefault="00544990" w:rsidP="00603A86">
            <w:pPr>
              <w:pStyle w:val="TableParagraph"/>
              <w:spacing w:line="252"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40 mg una settimana più tardi.</w:t>
            </w:r>
          </w:p>
          <w:p w14:paraId="28103E98" w14:textId="77777777" w:rsidR="00544990" w:rsidRPr="00C35766" w:rsidRDefault="00544990" w:rsidP="00603A86">
            <w:pPr>
              <w:pStyle w:val="TableParagraph"/>
              <w:spacing w:line="252" w:lineRule="exact"/>
              <w:ind w:left="102" w:right="57"/>
              <w:rPr>
                <w:rFonts w:ascii="Times New Roman" w:eastAsia="Times New Roman" w:hAnsi="Times New Roman" w:cs="Times New Roman"/>
                <w:spacing w:val="-1"/>
                <w:lang w:val="es-ES"/>
              </w:rPr>
            </w:pPr>
          </w:p>
          <w:p w14:paraId="778268F4" w14:textId="65A5CBAE" w:rsidR="00544990" w:rsidRPr="00824699" w:rsidRDefault="00544990" w:rsidP="00603A86">
            <w:pPr>
              <w:pStyle w:val="TableParagraph"/>
              <w:spacing w:before="1" w:line="239" w:lineRule="auto"/>
              <w:ind w:left="102" w:right="51"/>
              <w:rPr>
                <w:rFonts w:ascii="Times New Roman" w:eastAsia="Times New Roman" w:hAnsi="Times New Roman" w:cs="Times New Roman"/>
                <w:lang w:val="it-IT"/>
              </w:rPr>
            </w:pPr>
            <w:r w:rsidRPr="00C35766">
              <w:rPr>
                <w:rFonts w:ascii="Times New Roman" w:eastAsia="Times New Roman" w:hAnsi="Times New Roman" w:cs="Times New Roman"/>
                <w:lang w:val="it-IT"/>
              </w:rPr>
              <w:t>Successivamente, la dose abituale è di 40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101626F" w14:textId="419CE458" w:rsidR="00544990" w:rsidRPr="00C35766" w:rsidRDefault="00544990" w:rsidP="00603A86">
            <w:pPr>
              <w:pStyle w:val="TableParagraph"/>
              <w:spacing w:before="1" w:line="239" w:lineRule="auto"/>
              <w:ind w:left="102" w:right="193"/>
              <w:rPr>
                <w:rFonts w:ascii="Times New Roman" w:eastAsia="Times New Roman" w:hAnsi="Times New Roman" w:cs="Times New Roman"/>
                <w:lang w:val="pt-BR"/>
              </w:rPr>
            </w:pPr>
            <w:r w:rsidRPr="00C35766">
              <w:rPr>
                <w:rFonts w:ascii="Times New Roman" w:eastAsia="Times New Roman" w:hAnsi="Times New Roman" w:cs="Times New Roman"/>
                <w:spacing w:val="-1"/>
                <w:lang w:val="it-IT"/>
              </w:rPr>
              <w:t>Non pertinente</w:t>
            </w:r>
          </w:p>
        </w:tc>
      </w:tr>
      <w:tr w:rsidR="00544990" w:rsidRPr="005C2D5B" w14:paraId="05BAE135" w14:textId="77777777" w:rsidTr="005C2D5B">
        <w:tc>
          <w:tcPr>
            <w:tcW w:w="3096" w:type="dxa"/>
            <w:tcBorders>
              <w:top w:val="single" w:sz="5" w:space="0" w:color="000000"/>
              <w:left w:val="single" w:sz="5" w:space="0" w:color="000000"/>
              <w:bottom w:val="single" w:sz="5" w:space="0" w:color="000000"/>
              <w:right w:val="single" w:sz="5" w:space="0" w:color="000000"/>
            </w:tcBorders>
          </w:tcPr>
          <w:p w14:paraId="37133BAA" w14:textId="6B5F2334" w:rsidR="0054499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di età compresa tra 4 e 17 anni e con peso compreso tra 15 kg e meno di 30 kg</w:t>
            </w:r>
          </w:p>
        </w:tc>
        <w:tc>
          <w:tcPr>
            <w:tcW w:w="3096" w:type="dxa"/>
            <w:tcBorders>
              <w:top w:val="single" w:sz="5" w:space="0" w:color="000000"/>
              <w:left w:val="single" w:sz="5" w:space="0" w:color="000000"/>
              <w:bottom w:val="single" w:sz="5" w:space="0" w:color="000000"/>
              <w:right w:val="single" w:sz="5" w:space="0" w:color="000000"/>
            </w:tcBorders>
          </w:tcPr>
          <w:p w14:paraId="0B995DA9" w14:textId="5F7ABC44"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Prima dose di </w:t>
            </w: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seguita da</w:t>
            </w:r>
          </w:p>
          <w:p w14:paraId="15AAC53C" w14:textId="7DB5B64B" w:rsidR="00544990" w:rsidRDefault="00544990" w:rsidP="005C2D5B">
            <w:pPr>
              <w:pStyle w:val="TableParagraph"/>
              <w:spacing w:line="246" w:lineRule="exact"/>
              <w:ind w:left="102" w:right="57"/>
              <w:rPr>
                <w:rFonts w:ascii="Times New Roman" w:eastAsia="Times New Roman" w:hAnsi="Times New Roman" w:cs="Times New Roman"/>
                <w:spacing w:val="-1"/>
                <w:lang w:val="it-IT"/>
              </w:rPr>
            </w:pPr>
            <w:r>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una settimana più tardi.</w:t>
            </w:r>
          </w:p>
          <w:p w14:paraId="535D420C" w14:textId="77777777" w:rsidR="0054499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p>
          <w:p w14:paraId="58228C17" w14:textId="06B2B55A"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Successivamente, la dose abituale è di 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4065354F" w14:textId="522EB256"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Non pertinente</w:t>
            </w:r>
          </w:p>
        </w:tc>
      </w:tr>
    </w:tbl>
    <w:p w14:paraId="68FB1D73" w14:textId="77777777" w:rsidR="00BE1C70" w:rsidRPr="00C35766" w:rsidRDefault="00BE1C70" w:rsidP="00BE1C70">
      <w:pPr>
        <w:spacing w:before="10" w:line="240" w:lineRule="exact"/>
        <w:rPr>
          <w:rFonts w:ascii="Times New Roman" w:hAnsi="Times New Roman" w:cs="Times New Roman"/>
          <w:sz w:val="24"/>
          <w:szCs w:val="24"/>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BE1C70" w:rsidRPr="00494E69" w14:paraId="61D9B886" w14:textId="77777777" w:rsidTr="00603A86">
        <w:tc>
          <w:tcPr>
            <w:tcW w:w="9288" w:type="dxa"/>
            <w:gridSpan w:val="3"/>
            <w:tcBorders>
              <w:top w:val="single" w:sz="5" w:space="0" w:color="000000"/>
              <w:left w:val="single" w:sz="5" w:space="0" w:color="000000"/>
              <w:bottom w:val="single" w:sz="5" w:space="0" w:color="000000"/>
              <w:right w:val="single" w:sz="5" w:space="0" w:color="000000"/>
            </w:tcBorders>
          </w:tcPr>
          <w:p w14:paraId="04A5A5E3" w14:textId="6B894188" w:rsidR="00BE1C70" w:rsidRPr="005C2D5B" w:rsidRDefault="00544990" w:rsidP="00603A86">
            <w:pPr>
              <w:pStyle w:val="TableParagraph"/>
              <w:spacing w:line="251" w:lineRule="exact"/>
              <w:ind w:left="102"/>
              <w:rPr>
                <w:rFonts w:ascii="Times New Roman" w:eastAsia="Times New Roman" w:hAnsi="Times New Roman" w:cs="Times New Roman"/>
                <w:b/>
                <w:bCs/>
                <w:spacing w:val="-1"/>
                <w:lang w:val="it-IT"/>
              </w:rPr>
            </w:pPr>
            <w:r w:rsidRPr="005C2D5B">
              <w:rPr>
                <w:rFonts w:ascii="Times New Roman" w:eastAsia="Times New Roman" w:hAnsi="Times New Roman" w:cs="Times New Roman"/>
                <w:b/>
                <w:bCs/>
                <w:spacing w:val="-1"/>
                <w:lang w:val="it-IT"/>
              </w:rPr>
              <w:t>Malattia di Crohn in pazienti pediatrici</w:t>
            </w:r>
          </w:p>
        </w:tc>
      </w:tr>
      <w:tr w:rsidR="00BE1C70" w:rsidRPr="00C35766" w14:paraId="27520F13"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7888DC52"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3579285B" w14:textId="77777777" w:rsidR="00BE1C70" w:rsidRPr="00824699" w:rsidRDefault="00BE1C70" w:rsidP="00603A86">
            <w:pPr>
              <w:pStyle w:val="TableParagraph"/>
              <w:spacing w:before="1" w:line="252" w:lineRule="exact"/>
              <w:ind w:left="102"/>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 quale frequenza?</w:t>
            </w:r>
          </w:p>
        </w:tc>
        <w:tc>
          <w:tcPr>
            <w:tcW w:w="3096" w:type="dxa"/>
            <w:tcBorders>
              <w:top w:val="single" w:sz="5" w:space="0" w:color="000000"/>
              <w:left w:val="single" w:sz="5" w:space="0" w:color="000000"/>
              <w:bottom w:val="single" w:sz="5" w:space="0" w:color="000000"/>
              <w:right w:val="single" w:sz="5" w:space="0" w:color="000000"/>
            </w:tcBorders>
          </w:tcPr>
          <w:p w14:paraId="040DFA90"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BE1C70" w:rsidRPr="00494E69" w14:paraId="42A48537"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68B5C81C" w14:textId="5413D056" w:rsidR="00BE1C7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di età compresa tra 6 e 17 anni con peso pari o superiore a 40 kg</w:t>
            </w:r>
          </w:p>
        </w:tc>
        <w:tc>
          <w:tcPr>
            <w:tcW w:w="3096" w:type="dxa"/>
            <w:tcBorders>
              <w:top w:val="single" w:sz="5" w:space="0" w:color="000000"/>
              <w:left w:val="single" w:sz="5" w:space="0" w:color="000000"/>
              <w:bottom w:val="single" w:sz="5" w:space="0" w:color="000000"/>
              <w:right w:val="single" w:sz="5" w:space="0" w:color="000000"/>
            </w:tcBorders>
          </w:tcPr>
          <w:p w14:paraId="20CABF8D" w14:textId="4D02D575" w:rsidR="00BE1C70" w:rsidRPr="005C2D5B" w:rsidRDefault="00BE1C70" w:rsidP="00603A86">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Prima dose di 80 mg seguita da 40 mg due settimane più tardi.</w:t>
            </w:r>
          </w:p>
          <w:p w14:paraId="1D2354D9" w14:textId="77777777" w:rsidR="00BE1C70" w:rsidRPr="005C2D5B" w:rsidRDefault="00BE1C70" w:rsidP="005C2D5B">
            <w:pPr>
              <w:pStyle w:val="TableParagraph"/>
              <w:spacing w:line="246" w:lineRule="exact"/>
              <w:ind w:left="102" w:right="57"/>
              <w:rPr>
                <w:rFonts w:ascii="Times New Roman" w:eastAsia="Times New Roman" w:hAnsi="Times New Roman" w:cs="Times New Roman"/>
                <w:spacing w:val="-1"/>
                <w:lang w:val="it-IT"/>
              </w:rPr>
            </w:pPr>
          </w:p>
          <w:p w14:paraId="6F7ACD64" w14:textId="4C8651D6" w:rsidR="00BE1C7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Se è necessario indurre una risposta più rapida, il pediatra potrebbe prescrivere una dose iniziale di 160 mg, seguita da 80 mg dopo due settimane</w:t>
            </w:r>
            <w:r w:rsidR="00BE1C70" w:rsidRPr="00C35766">
              <w:rPr>
                <w:rFonts w:ascii="Times New Roman" w:eastAsia="Times New Roman" w:hAnsi="Times New Roman" w:cs="Times New Roman"/>
                <w:spacing w:val="-1"/>
                <w:lang w:val="it-IT"/>
              </w:rPr>
              <w:t>.</w:t>
            </w:r>
          </w:p>
          <w:p w14:paraId="552656E2" w14:textId="77777777" w:rsidR="00BE1C70" w:rsidRPr="005C2D5B" w:rsidRDefault="00BE1C70" w:rsidP="005C2D5B">
            <w:pPr>
              <w:pStyle w:val="TableParagraph"/>
              <w:spacing w:line="246" w:lineRule="exact"/>
              <w:ind w:left="102" w:right="57"/>
              <w:rPr>
                <w:rFonts w:ascii="Times New Roman" w:eastAsia="Times New Roman" w:hAnsi="Times New Roman" w:cs="Times New Roman"/>
                <w:spacing w:val="-1"/>
                <w:lang w:val="it-IT"/>
              </w:rPr>
            </w:pPr>
          </w:p>
          <w:p w14:paraId="3AE0091F" w14:textId="77777777" w:rsidR="00BE1C70" w:rsidRPr="005C2D5B" w:rsidRDefault="00BE1C70" w:rsidP="005C2D5B">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Successivamente, la dose abituale è di 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278781B" w14:textId="595495E5" w:rsidR="00BE1C7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Il pediatra potrebbe aumentare il dosaggio a 40 mg ogni settimana o 80 mg a settimane alterne.</w:t>
            </w:r>
          </w:p>
        </w:tc>
      </w:tr>
      <w:tr w:rsidR="00544990" w:rsidRPr="002A37A2" w14:paraId="4C176AD9"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156D17A0" w14:textId="36650FBC"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di età compresa tra 6 e 17 anni e con peso inferiore a 40 kg</w:t>
            </w:r>
          </w:p>
        </w:tc>
        <w:tc>
          <w:tcPr>
            <w:tcW w:w="3096" w:type="dxa"/>
            <w:tcBorders>
              <w:top w:val="single" w:sz="5" w:space="0" w:color="000000"/>
              <w:left w:val="single" w:sz="5" w:space="0" w:color="000000"/>
              <w:bottom w:val="single" w:sz="5" w:space="0" w:color="000000"/>
              <w:right w:val="single" w:sz="5" w:space="0" w:color="000000"/>
            </w:tcBorders>
          </w:tcPr>
          <w:p w14:paraId="6BD314EB" w14:textId="0118670D" w:rsidR="00544990" w:rsidRPr="00005F57"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Prima dose di </w:t>
            </w:r>
            <w:r w:rsidR="00032D70">
              <w:rPr>
                <w:rFonts w:ascii="Times New Roman" w:eastAsia="Times New Roman" w:hAnsi="Times New Roman" w:cs="Times New Roman"/>
                <w:spacing w:val="-1"/>
                <w:lang w:val="it-IT"/>
              </w:rPr>
              <w:t>40</w:t>
            </w:r>
            <w:r w:rsidRPr="00C35766">
              <w:rPr>
                <w:rFonts w:ascii="Times New Roman" w:eastAsia="Times New Roman" w:hAnsi="Times New Roman" w:cs="Times New Roman"/>
                <w:spacing w:val="-1"/>
                <w:lang w:val="it-IT"/>
              </w:rPr>
              <w:t xml:space="preserve"> mg seguita da </w:t>
            </w:r>
            <w:r w:rsidR="00032D70">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due settimane più tardi.</w:t>
            </w:r>
          </w:p>
          <w:p w14:paraId="1BD67A4D" w14:textId="77777777" w:rsidR="00544990" w:rsidRPr="00005F57" w:rsidRDefault="00544990" w:rsidP="00544990">
            <w:pPr>
              <w:pStyle w:val="TableParagraph"/>
              <w:spacing w:line="246" w:lineRule="exact"/>
              <w:ind w:left="102" w:right="57"/>
              <w:rPr>
                <w:rFonts w:ascii="Times New Roman" w:eastAsia="Times New Roman" w:hAnsi="Times New Roman" w:cs="Times New Roman"/>
                <w:spacing w:val="-1"/>
                <w:lang w:val="it-IT"/>
              </w:rPr>
            </w:pPr>
          </w:p>
          <w:p w14:paraId="0E1EAA6D" w14:textId="6CD833AA" w:rsidR="00544990" w:rsidRPr="00005F57"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Se è necessario indurre una risposta più rapida, il pediatra potrebbe prescrivere una dose iniziale di 80 mg, seguita da 40 mg dopo due settimane.</w:t>
            </w:r>
          </w:p>
          <w:p w14:paraId="497CD1E4" w14:textId="77777777" w:rsidR="00544990" w:rsidRPr="00005F57" w:rsidRDefault="00544990" w:rsidP="00544990">
            <w:pPr>
              <w:pStyle w:val="TableParagraph"/>
              <w:spacing w:line="246" w:lineRule="exact"/>
              <w:ind w:left="102" w:right="57"/>
              <w:rPr>
                <w:rFonts w:ascii="Times New Roman" w:eastAsia="Times New Roman" w:hAnsi="Times New Roman" w:cs="Times New Roman"/>
                <w:spacing w:val="-1"/>
                <w:lang w:val="it-IT"/>
              </w:rPr>
            </w:pPr>
          </w:p>
          <w:p w14:paraId="15300681" w14:textId="50EB1A9A" w:rsidR="00544990" w:rsidRPr="00C35766"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Successivamente, la dose abituale è di </w:t>
            </w:r>
            <w:r w:rsidR="00032D70">
              <w:rPr>
                <w:rFonts w:ascii="Times New Roman" w:eastAsia="Times New Roman" w:hAnsi="Times New Roman" w:cs="Times New Roman"/>
                <w:spacing w:val="-1"/>
                <w:lang w:val="it-IT"/>
              </w:rPr>
              <w:t>20</w:t>
            </w:r>
            <w:r w:rsidRPr="00C35766">
              <w:rPr>
                <w:rFonts w:ascii="Times New Roman" w:eastAsia="Times New Roman" w:hAnsi="Times New Roman" w:cs="Times New Roman"/>
                <w:spacing w:val="-1"/>
                <w:lang w:val="it-IT"/>
              </w:rPr>
              <w:t xml:space="preserve">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6E76513C" w14:textId="572816AC" w:rsidR="00544990" w:rsidRPr="00C35766"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Il pediatra potrebbe aumentare la frequenza della dose a 20 mg ogni settimana.</w:t>
            </w:r>
          </w:p>
        </w:tc>
      </w:tr>
    </w:tbl>
    <w:p w14:paraId="26523428" w14:textId="77777777" w:rsidR="00BE1C70" w:rsidRPr="00C35766" w:rsidRDefault="00BE1C70" w:rsidP="00BE1C70">
      <w:pPr>
        <w:spacing w:before="10" w:line="240" w:lineRule="exact"/>
        <w:rPr>
          <w:rFonts w:ascii="Times New Roman" w:hAnsi="Times New Roman" w:cs="Times New Roman"/>
          <w:sz w:val="24"/>
          <w:szCs w:val="24"/>
          <w:lang w:val="pt-BR"/>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BE1C70" w:rsidRPr="005C2D5B" w14:paraId="4DE731B8" w14:textId="77777777" w:rsidTr="00603A86">
        <w:tc>
          <w:tcPr>
            <w:tcW w:w="9288" w:type="dxa"/>
            <w:gridSpan w:val="3"/>
            <w:tcBorders>
              <w:top w:val="single" w:sz="5" w:space="0" w:color="000000"/>
              <w:left w:val="single" w:sz="5" w:space="0" w:color="000000"/>
              <w:bottom w:val="single" w:sz="5" w:space="0" w:color="000000"/>
              <w:right w:val="single" w:sz="5" w:space="0" w:color="000000"/>
            </w:tcBorders>
          </w:tcPr>
          <w:p w14:paraId="3AA7AEBC" w14:textId="04B4EA33" w:rsidR="00BE1C70" w:rsidRPr="005C2D5B" w:rsidRDefault="00544990" w:rsidP="005C2D5B">
            <w:pPr>
              <w:pStyle w:val="TableParagraph"/>
              <w:spacing w:line="251" w:lineRule="exact"/>
              <w:ind w:left="102"/>
              <w:rPr>
                <w:rFonts w:ascii="Times New Roman" w:eastAsia="Times New Roman" w:hAnsi="Times New Roman" w:cs="Times New Roman"/>
                <w:b/>
                <w:bCs/>
                <w:spacing w:val="-1"/>
                <w:lang w:val="it-IT"/>
              </w:rPr>
            </w:pPr>
            <w:r w:rsidRPr="005C2D5B">
              <w:rPr>
                <w:rFonts w:ascii="Times New Roman" w:eastAsia="Times New Roman" w:hAnsi="Times New Roman" w:cs="Times New Roman"/>
                <w:b/>
                <w:bCs/>
                <w:spacing w:val="-1"/>
                <w:lang w:val="it-IT"/>
              </w:rPr>
              <w:lastRenderedPageBreak/>
              <w:t>Uveite pediatrica</w:t>
            </w:r>
          </w:p>
        </w:tc>
      </w:tr>
      <w:tr w:rsidR="00BE1C70" w:rsidRPr="00C35766" w14:paraId="07D98BFC"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396B4E5D"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spacing w:val="-1"/>
                <w:lang w:val="it-IT"/>
              </w:rPr>
              <w:t>Età o peso corporeo</w:t>
            </w:r>
          </w:p>
        </w:tc>
        <w:tc>
          <w:tcPr>
            <w:tcW w:w="3096" w:type="dxa"/>
            <w:tcBorders>
              <w:top w:val="single" w:sz="5" w:space="0" w:color="000000"/>
              <w:left w:val="single" w:sz="5" w:space="0" w:color="000000"/>
              <w:bottom w:val="single" w:sz="5" w:space="0" w:color="000000"/>
              <w:right w:val="single" w:sz="5" w:space="0" w:color="000000"/>
            </w:tcBorders>
          </w:tcPr>
          <w:p w14:paraId="64AA1C8D" w14:textId="77777777" w:rsidR="00BE1C70" w:rsidRPr="00824699" w:rsidRDefault="00BE1C70" w:rsidP="00603A86">
            <w:pPr>
              <w:pStyle w:val="TableParagraph"/>
              <w:spacing w:line="251" w:lineRule="exact"/>
              <w:ind w:left="102" w:right="57"/>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Che quantità ne va assunta e con</w:t>
            </w:r>
            <w:r w:rsidRPr="00C35766">
              <w:rPr>
                <w:rFonts w:ascii="Times New Roman" w:eastAsia="Times New Roman" w:hAnsi="Times New Roman" w:cs="Times New Roman"/>
                <w:b/>
                <w:bCs/>
                <w:lang w:val="it-IT"/>
              </w:rPr>
              <w:t xml:space="preserve"> che frequenza?</w:t>
            </w:r>
          </w:p>
        </w:tc>
        <w:tc>
          <w:tcPr>
            <w:tcW w:w="3096" w:type="dxa"/>
            <w:tcBorders>
              <w:top w:val="single" w:sz="5" w:space="0" w:color="000000"/>
              <w:left w:val="single" w:sz="5" w:space="0" w:color="000000"/>
              <w:bottom w:val="single" w:sz="5" w:space="0" w:color="000000"/>
              <w:right w:val="single" w:sz="5" w:space="0" w:color="000000"/>
            </w:tcBorders>
          </w:tcPr>
          <w:p w14:paraId="6D163419" w14:textId="77777777" w:rsidR="00BE1C70" w:rsidRPr="00C35766" w:rsidRDefault="00BE1C70" w:rsidP="00603A86">
            <w:pPr>
              <w:pStyle w:val="TableParagraph"/>
              <w:spacing w:line="251" w:lineRule="exact"/>
              <w:ind w:left="102" w:right="57"/>
              <w:rPr>
                <w:rFonts w:ascii="Times New Roman" w:eastAsia="Times New Roman" w:hAnsi="Times New Roman" w:cs="Times New Roman"/>
              </w:rPr>
            </w:pPr>
            <w:r w:rsidRPr="00C35766">
              <w:rPr>
                <w:rFonts w:ascii="Times New Roman" w:eastAsia="Times New Roman" w:hAnsi="Times New Roman" w:cs="Times New Roman"/>
                <w:b/>
                <w:bCs/>
                <w:lang w:val="it-IT"/>
              </w:rPr>
              <w:t>Note</w:t>
            </w:r>
          </w:p>
        </w:tc>
      </w:tr>
      <w:tr w:rsidR="00544990" w:rsidRPr="005C2D5B" w14:paraId="0627538F"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3FDC0169" w14:textId="3D37FEF7" w:rsidR="00544990" w:rsidRPr="005C2D5B" w:rsidRDefault="00FD3FDA"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dai 2 anni di età e con peso inferiore a 30 kg</w:t>
            </w:r>
          </w:p>
        </w:tc>
        <w:tc>
          <w:tcPr>
            <w:tcW w:w="3096" w:type="dxa"/>
            <w:tcBorders>
              <w:top w:val="single" w:sz="5" w:space="0" w:color="000000"/>
              <w:left w:val="single" w:sz="5" w:space="0" w:color="000000"/>
              <w:bottom w:val="single" w:sz="5" w:space="0" w:color="000000"/>
              <w:right w:val="single" w:sz="5" w:space="0" w:color="000000"/>
            </w:tcBorders>
          </w:tcPr>
          <w:p w14:paraId="762F0231" w14:textId="7ACBEA31"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20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71EF589C" w14:textId="717C2C60" w:rsidR="0054499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 xml:space="preserve">Il medico potrebbe prescrivere una dose iniziale da </w:t>
            </w:r>
            <w:r w:rsidR="00032D70">
              <w:rPr>
                <w:rFonts w:ascii="Times New Roman" w:eastAsia="Times New Roman" w:hAnsi="Times New Roman" w:cs="Times New Roman"/>
                <w:spacing w:val="-1"/>
                <w:lang w:val="it-IT"/>
              </w:rPr>
              <w:t>40</w:t>
            </w:r>
            <w:r w:rsidRPr="00C35766">
              <w:rPr>
                <w:rFonts w:ascii="Times New Roman" w:eastAsia="Times New Roman" w:hAnsi="Times New Roman" w:cs="Times New Roman"/>
                <w:spacing w:val="-1"/>
                <w:lang w:val="it-IT"/>
              </w:rPr>
              <w:t xml:space="preserve"> mg da somministrare una settimana prima dell’inizio della dose abituale da</w:t>
            </w:r>
            <w:r w:rsidR="00FD3FDA">
              <w:rPr>
                <w:rFonts w:ascii="Times New Roman" w:eastAsia="Times New Roman" w:hAnsi="Times New Roman" w:cs="Times New Roman"/>
                <w:spacing w:val="-1"/>
                <w:lang w:val="it-IT"/>
              </w:rPr>
              <w:t xml:space="preserve"> </w:t>
            </w:r>
            <w:r w:rsidR="00032D70" w:rsidRPr="005C2D5B">
              <w:rPr>
                <w:rFonts w:ascii="Times New Roman" w:eastAsia="Times New Roman" w:hAnsi="Times New Roman" w:cs="Times New Roman"/>
                <w:spacing w:val="-1"/>
                <w:lang w:val="it-IT"/>
              </w:rPr>
              <w:t>20</w:t>
            </w:r>
            <w:r w:rsidRPr="005C2D5B">
              <w:rPr>
                <w:rFonts w:ascii="Times New Roman" w:eastAsia="Times New Roman" w:hAnsi="Times New Roman" w:cs="Times New Roman"/>
                <w:spacing w:val="-1"/>
                <w:lang w:val="it-IT"/>
              </w:rPr>
              <w:t xml:space="preserve"> mg a settimane alterne. L’uso di Yuflyma è raccomandato in associazione al metotressato.</w:t>
            </w:r>
          </w:p>
        </w:tc>
      </w:tr>
      <w:tr w:rsidR="00544990" w:rsidRPr="005C2D5B" w14:paraId="28F12E06" w14:textId="77777777" w:rsidTr="00603A86">
        <w:tc>
          <w:tcPr>
            <w:tcW w:w="3096" w:type="dxa"/>
            <w:tcBorders>
              <w:top w:val="single" w:sz="5" w:space="0" w:color="000000"/>
              <w:left w:val="single" w:sz="5" w:space="0" w:color="000000"/>
              <w:bottom w:val="single" w:sz="5" w:space="0" w:color="000000"/>
              <w:right w:val="single" w:sz="5" w:space="0" w:color="000000"/>
            </w:tcBorders>
          </w:tcPr>
          <w:p w14:paraId="2DBD443B" w14:textId="5E55F605" w:rsidR="00544990" w:rsidRPr="005C2D5B" w:rsidRDefault="00FD3FDA"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Bambini e adolescenti dai 2 anni di età e con peso uguale o superiore a 30 kg</w:t>
            </w:r>
          </w:p>
        </w:tc>
        <w:tc>
          <w:tcPr>
            <w:tcW w:w="3096" w:type="dxa"/>
            <w:tcBorders>
              <w:top w:val="single" w:sz="5" w:space="0" w:color="000000"/>
              <w:left w:val="single" w:sz="5" w:space="0" w:color="000000"/>
              <w:bottom w:val="single" w:sz="5" w:space="0" w:color="000000"/>
              <w:right w:val="single" w:sz="5" w:space="0" w:color="000000"/>
            </w:tcBorders>
          </w:tcPr>
          <w:p w14:paraId="50EF5683" w14:textId="77777777" w:rsidR="00544990" w:rsidRPr="005C2D5B" w:rsidRDefault="00544990" w:rsidP="00544990">
            <w:pPr>
              <w:pStyle w:val="TableParagraph"/>
              <w:spacing w:line="246" w:lineRule="exact"/>
              <w:ind w:left="102" w:right="57"/>
              <w:rPr>
                <w:rFonts w:ascii="Times New Roman" w:eastAsia="Times New Roman" w:hAnsi="Times New Roman" w:cs="Times New Roman"/>
                <w:spacing w:val="-1"/>
                <w:lang w:val="it-IT"/>
              </w:rPr>
            </w:pPr>
            <w:r w:rsidRPr="005C2D5B">
              <w:rPr>
                <w:rFonts w:ascii="Times New Roman" w:eastAsia="Times New Roman" w:hAnsi="Times New Roman" w:cs="Times New Roman"/>
                <w:spacing w:val="-1"/>
                <w:lang w:val="it-IT"/>
              </w:rPr>
              <w:t>40 mg a settimane alterne</w:t>
            </w:r>
          </w:p>
        </w:tc>
        <w:tc>
          <w:tcPr>
            <w:tcW w:w="3096" w:type="dxa"/>
            <w:tcBorders>
              <w:top w:val="single" w:sz="5" w:space="0" w:color="000000"/>
              <w:left w:val="single" w:sz="5" w:space="0" w:color="000000"/>
              <w:bottom w:val="single" w:sz="5" w:space="0" w:color="000000"/>
              <w:right w:val="single" w:sz="5" w:space="0" w:color="000000"/>
            </w:tcBorders>
          </w:tcPr>
          <w:p w14:paraId="309A4260" w14:textId="5286269B" w:rsidR="00544990" w:rsidRPr="005C2D5B" w:rsidRDefault="00544990" w:rsidP="005C2D5B">
            <w:pPr>
              <w:pStyle w:val="TableParagraph"/>
              <w:spacing w:line="246" w:lineRule="exact"/>
              <w:ind w:left="102" w:right="57"/>
              <w:rPr>
                <w:rFonts w:ascii="Times New Roman" w:eastAsia="Times New Roman" w:hAnsi="Times New Roman" w:cs="Times New Roman"/>
                <w:spacing w:val="-1"/>
                <w:lang w:val="it-IT"/>
              </w:rPr>
            </w:pPr>
            <w:r w:rsidRPr="00C35766">
              <w:rPr>
                <w:rFonts w:ascii="Times New Roman" w:eastAsia="Times New Roman" w:hAnsi="Times New Roman" w:cs="Times New Roman"/>
                <w:spacing w:val="-1"/>
                <w:lang w:val="it-IT"/>
              </w:rPr>
              <w:t>Il medico potrebbe prescrivere una dose iniziale da 80 mg da somministrare una settimana prima dell’inizio della dose abituale da</w:t>
            </w:r>
            <w:r w:rsidR="00FD3FDA">
              <w:rPr>
                <w:rFonts w:ascii="Times New Roman" w:eastAsia="Times New Roman" w:hAnsi="Times New Roman" w:cs="Times New Roman"/>
                <w:spacing w:val="-1"/>
                <w:lang w:val="it-IT"/>
              </w:rPr>
              <w:t xml:space="preserve"> </w:t>
            </w:r>
            <w:r w:rsidRPr="005C2D5B">
              <w:rPr>
                <w:rFonts w:ascii="Times New Roman" w:eastAsia="Times New Roman" w:hAnsi="Times New Roman" w:cs="Times New Roman"/>
                <w:spacing w:val="-1"/>
                <w:lang w:val="it-IT"/>
              </w:rPr>
              <w:t>40 mg a settimane alterne. L’uso di Yuflyma è raccomandato in associazione al metotressato.</w:t>
            </w:r>
          </w:p>
        </w:tc>
      </w:tr>
    </w:tbl>
    <w:p w14:paraId="477F6B27" w14:textId="77777777" w:rsidR="00BE1C70" w:rsidRPr="00C35766" w:rsidRDefault="00BE1C70" w:rsidP="00BE1C70">
      <w:pPr>
        <w:pStyle w:val="a3"/>
      </w:pPr>
    </w:p>
    <w:p w14:paraId="7E3EA23D" w14:textId="77777777" w:rsidR="00BE1C70" w:rsidRPr="00C35766" w:rsidRDefault="00BE1C70" w:rsidP="00BE1C70">
      <w:pPr>
        <w:pStyle w:val="a3"/>
        <w:rPr>
          <w:b/>
          <w:lang w:val="it-IT"/>
        </w:rPr>
      </w:pPr>
      <w:r w:rsidRPr="00C35766">
        <w:rPr>
          <w:rFonts w:eastAsia="Times New Roman"/>
          <w:b/>
          <w:bCs/>
          <w:lang w:val="it-IT"/>
        </w:rPr>
        <w:t>Modo e via di somministrazione</w:t>
      </w:r>
    </w:p>
    <w:p w14:paraId="43E2EDA7" w14:textId="77777777" w:rsidR="00BE1C70" w:rsidRPr="00C35766" w:rsidRDefault="00BE1C70" w:rsidP="00BE1C70">
      <w:pPr>
        <w:spacing w:before="9" w:line="240" w:lineRule="exact"/>
        <w:rPr>
          <w:rFonts w:ascii="Times New Roman" w:hAnsi="Times New Roman" w:cs="Times New Roman"/>
          <w:sz w:val="24"/>
          <w:lang w:val="it-IT"/>
        </w:rPr>
      </w:pPr>
    </w:p>
    <w:p w14:paraId="73C4044B" w14:textId="77777777" w:rsidR="00BE1C70" w:rsidRPr="00C35766" w:rsidRDefault="00BE1C70" w:rsidP="00BE1C70">
      <w:pPr>
        <w:pStyle w:val="a3"/>
        <w:rPr>
          <w:lang w:val="it-IT"/>
        </w:rPr>
      </w:pPr>
      <w:r w:rsidRPr="00C35766">
        <w:rPr>
          <w:rFonts w:eastAsia="Times New Roman"/>
          <w:lang w:val="it-IT"/>
        </w:rPr>
        <w:t>Yuflyma è somministrato per iniezione sotto la pelle (per iniezione sottocutanea).</w:t>
      </w:r>
    </w:p>
    <w:p w14:paraId="41E5AF47" w14:textId="77777777" w:rsidR="00BE1C70" w:rsidRPr="00C35766" w:rsidRDefault="00BE1C70" w:rsidP="00BE1C70">
      <w:pPr>
        <w:spacing w:before="18" w:line="240" w:lineRule="exact"/>
        <w:rPr>
          <w:rFonts w:ascii="Times New Roman" w:hAnsi="Times New Roman" w:cs="Times New Roman"/>
          <w:sz w:val="24"/>
          <w:lang w:val="it-IT"/>
        </w:rPr>
      </w:pPr>
    </w:p>
    <w:p w14:paraId="2381FE5A" w14:textId="57330705" w:rsidR="00BE1C70" w:rsidRPr="00C35766" w:rsidRDefault="00BE1C70" w:rsidP="00BE1C70">
      <w:pPr>
        <w:pStyle w:val="a3"/>
        <w:rPr>
          <w:b/>
          <w:lang w:val="it-IT"/>
        </w:rPr>
      </w:pPr>
      <w:r w:rsidRPr="00C35766">
        <w:rPr>
          <w:rFonts w:eastAsia="Times New Roman"/>
          <w:b/>
          <w:bCs/>
          <w:lang w:val="it-IT"/>
        </w:rPr>
        <w:t xml:space="preserve">Istruzioni dettagliate su come somministrare Yuflyma sono descritte nel paragrafo 7 </w:t>
      </w:r>
      <w:r w:rsidR="00471BD2">
        <w:rPr>
          <w:rFonts w:eastAsia="Times New Roman"/>
          <w:b/>
          <w:bCs/>
          <w:lang w:val="it-IT"/>
        </w:rPr>
        <w:t>“</w:t>
      </w:r>
      <w:r w:rsidRPr="00C35766">
        <w:rPr>
          <w:rFonts w:eastAsia="Times New Roman"/>
          <w:b/>
          <w:bCs/>
          <w:lang w:val="it-IT"/>
        </w:rPr>
        <w:t>Istruzioni per l’uso</w:t>
      </w:r>
      <w:r w:rsidR="00471BD2">
        <w:rPr>
          <w:rFonts w:eastAsia="Times New Roman"/>
          <w:b/>
          <w:bCs/>
          <w:lang w:val="it-IT"/>
        </w:rPr>
        <w:t>”</w:t>
      </w:r>
      <w:r w:rsidRPr="00C35766">
        <w:rPr>
          <w:rFonts w:eastAsia="Times New Roman"/>
          <w:b/>
          <w:bCs/>
          <w:lang w:val="it-IT"/>
        </w:rPr>
        <w:t>.</w:t>
      </w:r>
    </w:p>
    <w:p w14:paraId="4D078814" w14:textId="77777777" w:rsidR="00BE1C70" w:rsidRPr="00C35766" w:rsidRDefault="00BE1C70" w:rsidP="00BE1C70">
      <w:pPr>
        <w:pStyle w:val="a3"/>
        <w:rPr>
          <w:b/>
          <w:lang w:val="it-IT"/>
        </w:rPr>
      </w:pPr>
    </w:p>
    <w:p w14:paraId="34FC48C0" w14:textId="77777777" w:rsidR="00BE1C70" w:rsidRPr="00C35766" w:rsidRDefault="00BE1C70" w:rsidP="00BE1C70">
      <w:pPr>
        <w:pStyle w:val="a3"/>
        <w:rPr>
          <w:b/>
          <w:lang w:val="pt-BR"/>
        </w:rPr>
      </w:pPr>
      <w:r w:rsidRPr="00C35766">
        <w:rPr>
          <w:rFonts w:eastAsia="Times New Roman"/>
          <w:b/>
          <w:bCs/>
          <w:lang w:val="it-IT"/>
        </w:rPr>
        <w:t>Se usa più Yuflyma di quanto deve</w:t>
      </w:r>
    </w:p>
    <w:p w14:paraId="4D7FAD4A" w14:textId="77777777" w:rsidR="00BE1C70" w:rsidRPr="00C35766" w:rsidRDefault="00BE1C70" w:rsidP="00BE1C70">
      <w:pPr>
        <w:pStyle w:val="a3"/>
        <w:rPr>
          <w:lang w:val="pt-BR"/>
        </w:rPr>
      </w:pPr>
    </w:p>
    <w:p w14:paraId="3627CAEC" w14:textId="416B8818" w:rsidR="00BE1C70" w:rsidRPr="00C35766" w:rsidRDefault="00A6415F" w:rsidP="00BE1C70">
      <w:pPr>
        <w:pStyle w:val="a3"/>
        <w:rPr>
          <w:lang w:val="it-IT"/>
        </w:rPr>
      </w:pPr>
      <w:r w:rsidRPr="00824699">
        <w:rPr>
          <w:lang w:val="it-IT"/>
        </w:rPr>
        <w:t xml:space="preserve">Se accidentalmente inietta </w:t>
      </w:r>
      <w:r w:rsidR="005C2D5B" w:rsidRPr="00824699">
        <w:rPr>
          <w:lang w:val="it-IT"/>
        </w:rPr>
        <w:t>Yuflyma</w:t>
      </w:r>
      <w:r w:rsidRPr="00824699">
        <w:rPr>
          <w:lang w:val="it-IT"/>
        </w:rPr>
        <w:t xml:space="preserve"> più frequentemente di quanto disposto dal medico o dal farmacista, contatti il medico o il farmacista informandoli che il bambino ha assunto più medicinale. Conservi sempre la scatola del medicinale, anche se vuota</w:t>
      </w:r>
      <w:r w:rsidR="00BE1C70" w:rsidRPr="00C35766">
        <w:rPr>
          <w:rFonts w:eastAsia="Times New Roman"/>
          <w:lang w:val="it-IT"/>
        </w:rPr>
        <w:t>.</w:t>
      </w:r>
    </w:p>
    <w:p w14:paraId="2FA08DD0" w14:textId="77777777" w:rsidR="00BE1C70" w:rsidRPr="00C35766" w:rsidRDefault="00BE1C70" w:rsidP="00BE1C70">
      <w:pPr>
        <w:spacing w:before="18" w:line="240" w:lineRule="exact"/>
        <w:rPr>
          <w:rFonts w:ascii="Times New Roman" w:hAnsi="Times New Roman" w:cs="Times New Roman"/>
          <w:b/>
          <w:sz w:val="24"/>
          <w:szCs w:val="24"/>
          <w:lang w:val="it-IT"/>
        </w:rPr>
      </w:pPr>
    </w:p>
    <w:p w14:paraId="3D6D2261" w14:textId="77777777" w:rsidR="00BE1C70" w:rsidRPr="00C35766" w:rsidRDefault="00BE1C70" w:rsidP="00BE1C70">
      <w:pPr>
        <w:pStyle w:val="a3"/>
        <w:rPr>
          <w:b/>
          <w:lang w:val="it-IT"/>
        </w:rPr>
      </w:pPr>
      <w:r w:rsidRPr="00C35766">
        <w:rPr>
          <w:rFonts w:eastAsia="Times New Roman"/>
          <w:b/>
          <w:bCs/>
          <w:lang w:val="it-IT"/>
        </w:rPr>
        <w:t>Se dimentica di usare Yuflyma</w:t>
      </w:r>
    </w:p>
    <w:p w14:paraId="1ECCB776" w14:textId="77777777" w:rsidR="00BE1C70" w:rsidRPr="00C35766" w:rsidRDefault="00BE1C70" w:rsidP="00BE1C70">
      <w:pPr>
        <w:spacing w:before="9" w:line="240" w:lineRule="exact"/>
        <w:rPr>
          <w:rFonts w:ascii="Times New Roman" w:hAnsi="Times New Roman" w:cs="Times New Roman"/>
          <w:sz w:val="24"/>
          <w:szCs w:val="24"/>
          <w:lang w:val="it-IT"/>
        </w:rPr>
      </w:pPr>
    </w:p>
    <w:p w14:paraId="2EA6E3A3" w14:textId="11613AC6" w:rsidR="00BE1C70" w:rsidRPr="00C35766" w:rsidRDefault="00A6415F" w:rsidP="00BE1C70">
      <w:pPr>
        <w:pStyle w:val="a3"/>
        <w:rPr>
          <w:lang w:val="it-IT"/>
        </w:rPr>
      </w:pPr>
      <w:r w:rsidRPr="00824699">
        <w:rPr>
          <w:lang w:val="it-IT"/>
        </w:rPr>
        <w:t>Se dimentica di fare un’iniezione al bambino, deve iniettare la dose successiva non appena se ne ricorda. Dopodiché dia al bambino la dose successiva regolarmente secondo lo schema posologico stabilito</w:t>
      </w:r>
      <w:r w:rsidR="00BE1C70" w:rsidRPr="00C35766">
        <w:rPr>
          <w:rFonts w:eastAsia="Times New Roman"/>
          <w:lang w:val="it-IT"/>
        </w:rPr>
        <w:t>.</w:t>
      </w:r>
    </w:p>
    <w:p w14:paraId="5377BFC7" w14:textId="77777777" w:rsidR="00BE1C70" w:rsidRPr="00C35766" w:rsidRDefault="00BE1C70" w:rsidP="00BE1C70">
      <w:pPr>
        <w:spacing w:before="18" w:line="240" w:lineRule="exact"/>
        <w:rPr>
          <w:rFonts w:ascii="Times New Roman" w:hAnsi="Times New Roman" w:cs="Times New Roman"/>
          <w:sz w:val="24"/>
          <w:szCs w:val="24"/>
          <w:lang w:val="it-IT"/>
        </w:rPr>
      </w:pPr>
    </w:p>
    <w:p w14:paraId="34050DC9" w14:textId="77777777" w:rsidR="00BE1C70" w:rsidRPr="00C35766" w:rsidRDefault="00BE1C70" w:rsidP="00BE1C70">
      <w:pPr>
        <w:pStyle w:val="a3"/>
        <w:rPr>
          <w:b/>
          <w:lang w:val="it-IT"/>
        </w:rPr>
      </w:pPr>
      <w:r w:rsidRPr="00C35766">
        <w:rPr>
          <w:rFonts w:eastAsia="Times New Roman"/>
          <w:b/>
          <w:bCs/>
          <w:lang w:val="it-IT"/>
        </w:rPr>
        <w:t>Se interrompe il trattamento con Yuflyma</w:t>
      </w:r>
    </w:p>
    <w:p w14:paraId="40EE9F5A" w14:textId="77777777" w:rsidR="00BE1C70" w:rsidRPr="00C35766" w:rsidRDefault="00BE1C70" w:rsidP="00BE1C70">
      <w:pPr>
        <w:spacing w:before="6" w:line="240" w:lineRule="exact"/>
        <w:rPr>
          <w:rFonts w:ascii="Times New Roman" w:hAnsi="Times New Roman" w:cs="Times New Roman"/>
          <w:sz w:val="24"/>
          <w:szCs w:val="24"/>
          <w:lang w:val="it-IT"/>
        </w:rPr>
      </w:pPr>
    </w:p>
    <w:p w14:paraId="1D64168A" w14:textId="03947928" w:rsidR="00BE1C70" w:rsidRPr="00C35766" w:rsidRDefault="00A6415F" w:rsidP="00BE1C70">
      <w:pPr>
        <w:pStyle w:val="a3"/>
        <w:rPr>
          <w:lang w:val="it-IT"/>
        </w:rPr>
      </w:pPr>
      <w:r w:rsidRPr="00824699">
        <w:rPr>
          <w:lang w:val="it-IT"/>
        </w:rPr>
        <w:t xml:space="preserve">La decisione di interrompere l’uso di </w:t>
      </w:r>
      <w:r w:rsidR="005C2D5B" w:rsidRPr="00824699">
        <w:rPr>
          <w:lang w:val="it-IT"/>
        </w:rPr>
        <w:t>Yuflyma</w:t>
      </w:r>
      <w:r w:rsidRPr="00824699">
        <w:rPr>
          <w:lang w:val="it-IT"/>
        </w:rPr>
        <w:t xml:space="preserve"> deve essere discussa con il medico. I sintomi del bambino possono ritornare se interrompe il trattamento con </w:t>
      </w:r>
      <w:r w:rsidR="00BE1C70" w:rsidRPr="00C35766">
        <w:rPr>
          <w:rFonts w:eastAsia="Times New Roman"/>
          <w:lang w:val="it-IT"/>
        </w:rPr>
        <w:t>Yuflyma.</w:t>
      </w:r>
    </w:p>
    <w:p w14:paraId="23C1739E" w14:textId="77777777" w:rsidR="00BE1C70" w:rsidRPr="00C35766" w:rsidRDefault="00BE1C70" w:rsidP="00BE1C70">
      <w:pPr>
        <w:spacing w:before="12" w:line="240" w:lineRule="exact"/>
        <w:rPr>
          <w:rFonts w:ascii="Times New Roman" w:hAnsi="Times New Roman" w:cs="Times New Roman"/>
          <w:sz w:val="24"/>
          <w:szCs w:val="24"/>
          <w:lang w:val="it-IT"/>
        </w:rPr>
      </w:pPr>
    </w:p>
    <w:p w14:paraId="4F7D32D0" w14:textId="77777777" w:rsidR="00BE1C70" w:rsidRPr="00C35766" w:rsidRDefault="00BE1C70" w:rsidP="00BE1C70">
      <w:pPr>
        <w:pStyle w:val="a3"/>
        <w:rPr>
          <w:lang w:val="it-IT"/>
        </w:rPr>
      </w:pPr>
      <w:r w:rsidRPr="00C35766">
        <w:rPr>
          <w:rFonts w:eastAsia="Times New Roman"/>
          <w:lang w:val="it-IT"/>
        </w:rPr>
        <w:t>Se ha qualsiasi dubbio sull’uso di questo medicinale, si rivolga al medico o al farmacista.</w:t>
      </w:r>
    </w:p>
    <w:p w14:paraId="11133B2B" w14:textId="77777777" w:rsidR="00BE1C70" w:rsidRPr="00C35766" w:rsidRDefault="00BE1C70" w:rsidP="00BE1C70">
      <w:pPr>
        <w:spacing w:line="200" w:lineRule="exact"/>
        <w:rPr>
          <w:rFonts w:ascii="Times New Roman" w:hAnsi="Times New Roman" w:cs="Times New Roman"/>
          <w:sz w:val="20"/>
          <w:szCs w:val="20"/>
          <w:lang w:val="it-IT"/>
        </w:rPr>
      </w:pPr>
    </w:p>
    <w:p w14:paraId="29D19FCA" w14:textId="77777777" w:rsidR="00BE1C70" w:rsidRPr="00C35766" w:rsidRDefault="00BE1C70" w:rsidP="005C2D5B">
      <w:pPr>
        <w:pStyle w:val="a4"/>
        <w:keepNext/>
        <w:numPr>
          <w:ilvl w:val="0"/>
          <w:numId w:val="77"/>
        </w:numPr>
        <w:spacing w:before="18" w:line="240" w:lineRule="exact"/>
        <w:ind w:left="357" w:hanging="357"/>
        <w:rPr>
          <w:rFonts w:ascii="Times New Roman" w:hAnsi="Times New Roman" w:cs="Times New Roman"/>
          <w:b/>
        </w:rPr>
      </w:pPr>
      <w:r w:rsidRPr="00C35766">
        <w:rPr>
          <w:rFonts w:ascii="Times New Roman" w:eastAsia="Times New Roman" w:hAnsi="Times New Roman" w:cs="Times New Roman"/>
          <w:b/>
          <w:bCs/>
          <w:lang w:val="it-IT"/>
        </w:rPr>
        <w:t>Possibili effetti indesiderati</w:t>
      </w:r>
    </w:p>
    <w:p w14:paraId="69EBC094" w14:textId="77777777" w:rsidR="00BE1C70" w:rsidRPr="00C35766" w:rsidRDefault="00BE1C70" w:rsidP="00BE1C70">
      <w:pPr>
        <w:keepNext/>
        <w:spacing w:before="12" w:line="240" w:lineRule="exact"/>
        <w:rPr>
          <w:rFonts w:ascii="Times New Roman" w:hAnsi="Times New Roman" w:cs="Times New Roman"/>
          <w:sz w:val="24"/>
          <w:szCs w:val="24"/>
        </w:rPr>
      </w:pPr>
    </w:p>
    <w:p w14:paraId="1447D073" w14:textId="77777777" w:rsidR="00BE1C70" w:rsidRPr="00C35766" w:rsidRDefault="00BE1C70" w:rsidP="00BE1C70">
      <w:pPr>
        <w:pStyle w:val="a3"/>
        <w:rPr>
          <w:lang w:val="pt-BR"/>
        </w:rPr>
      </w:pPr>
      <w:r w:rsidRPr="00C35766">
        <w:rPr>
          <w:rFonts w:eastAsia="Times New Roman"/>
          <w:lang w:val="it-IT"/>
        </w:rPr>
        <w:t>Come tutti i medicinali, questo medicinale può causare effetti indesiderati sebbene non tutte le persone li manifestino. La maggior parte degli effetti indesiderati si presenta in forma da lieve a moderata. Tuttavia, alcuni possono essere gravi e richiedere trattamento. Effetti indesiderati possono manifestarsi fino a 4 mesi dall’ultima iniezione di Yuflyma.</w:t>
      </w:r>
    </w:p>
    <w:p w14:paraId="221487B9" w14:textId="77777777" w:rsidR="00BE1C70" w:rsidRPr="00C35766" w:rsidRDefault="00BE1C70" w:rsidP="00BE1C70">
      <w:pPr>
        <w:spacing w:before="15" w:line="240" w:lineRule="exact"/>
        <w:rPr>
          <w:rFonts w:ascii="Times New Roman" w:hAnsi="Times New Roman" w:cs="Times New Roman"/>
          <w:sz w:val="24"/>
          <w:szCs w:val="24"/>
          <w:lang w:val="pt-BR"/>
        </w:rPr>
      </w:pPr>
    </w:p>
    <w:p w14:paraId="08A783AD" w14:textId="77777777" w:rsidR="00BE1C70" w:rsidRPr="00C35766" w:rsidRDefault="00BE1C70" w:rsidP="00BE1C70">
      <w:pPr>
        <w:pStyle w:val="a3"/>
        <w:rPr>
          <w:b/>
          <w:lang w:val="it-IT"/>
        </w:rPr>
      </w:pPr>
      <w:r w:rsidRPr="00C35766">
        <w:rPr>
          <w:rFonts w:eastAsia="Times New Roman"/>
          <w:b/>
          <w:bCs/>
          <w:lang w:val="it-IT"/>
        </w:rPr>
        <w:t>Informi immediatamente il medico se nota una qualsiasi delle seguenti reazioni</w:t>
      </w:r>
    </w:p>
    <w:p w14:paraId="1D73318E" w14:textId="77777777" w:rsidR="00BE1C70" w:rsidRPr="00C35766" w:rsidRDefault="00BE1C70" w:rsidP="00BE1C70">
      <w:pPr>
        <w:spacing w:before="10" w:line="240" w:lineRule="exact"/>
        <w:rPr>
          <w:rFonts w:ascii="Times New Roman" w:hAnsi="Times New Roman" w:cs="Times New Roman"/>
          <w:sz w:val="24"/>
          <w:lang w:val="it-IT"/>
        </w:rPr>
      </w:pPr>
    </w:p>
    <w:p w14:paraId="6740E6C8"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eruzione cutanea grave, orticaria o altri segni di reazione allergica</w:t>
      </w:r>
    </w:p>
    <w:p w14:paraId="3FE26A76"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lastRenderedPageBreak/>
        <w:t>gonfiore del viso, delle mani, dei piedi</w:t>
      </w:r>
    </w:p>
    <w:p w14:paraId="6C1B089B"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difficoltà a respirare, difficoltà a deglutire</w:t>
      </w:r>
    </w:p>
    <w:p w14:paraId="6426170C"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respiro corto sotto sforzo o in posizione sdraiata o piedi gonfi</w:t>
      </w:r>
    </w:p>
    <w:p w14:paraId="244F0133" w14:textId="77777777" w:rsidR="00BE1C70" w:rsidRPr="00C35766" w:rsidRDefault="00BE1C70" w:rsidP="00BE1C70">
      <w:pPr>
        <w:spacing w:before="15" w:line="240" w:lineRule="exact"/>
        <w:rPr>
          <w:rFonts w:ascii="Times New Roman" w:hAnsi="Times New Roman" w:cs="Times New Roman"/>
          <w:sz w:val="24"/>
          <w:lang w:val="it-IT"/>
        </w:rPr>
      </w:pPr>
    </w:p>
    <w:p w14:paraId="05EDD334" w14:textId="77777777" w:rsidR="00BE1C70" w:rsidRPr="00C35766" w:rsidRDefault="00BE1C70" w:rsidP="00BE1C70">
      <w:pPr>
        <w:pStyle w:val="a3"/>
        <w:rPr>
          <w:b/>
          <w:lang w:val="it-IT"/>
        </w:rPr>
      </w:pPr>
      <w:r w:rsidRPr="00C35766">
        <w:rPr>
          <w:rFonts w:eastAsia="Times New Roman"/>
          <w:b/>
          <w:bCs/>
          <w:lang w:val="it-IT"/>
        </w:rPr>
        <w:t>Informi appena possibile il medico se nota una qualsiasi delle seguenti reazioni</w:t>
      </w:r>
    </w:p>
    <w:p w14:paraId="0FCC24EC" w14:textId="77777777" w:rsidR="00BE1C70" w:rsidRPr="00C35766" w:rsidRDefault="00BE1C70" w:rsidP="00BE1C70">
      <w:pPr>
        <w:spacing w:before="10" w:line="240" w:lineRule="exact"/>
        <w:rPr>
          <w:rFonts w:ascii="Times New Roman" w:hAnsi="Times New Roman" w:cs="Times New Roman"/>
          <w:sz w:val="24"/>
          <w:lang w:val="it-IT"/>
        </w:rPr>
      </w:pPr>
    </w:p>
    <w:p w14:paraId="25B11999"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segni di infezione come febbre, sensazione di malessere, ferite, problemi dentali, bruciore nell’urinare</w:t>
      </w:r>
    </w:p>
    <w:p w14:paraId="162FCE56" w14:textId="77777777" w:rsidR="00BE1C70" w:rsidRPr="00C35766" w:rsidRDefault="00BE1C70" w:rsidP="00BE1C70">
      <w:pPr>
        <w:pStyle w:val="a3"/>
        <w:numPr>
          <w:ilvl w:val="0"/>
          <w:numId w:val="15"/>
        </w:numPr>
        <w:ind w:left="660" w:hanging="660"/>
      </w:pPr>
      <w:r w:rsidRPr="00C35766">
        <w:rPr>
          <w:rFonts w:eastAsia="Times New Roman"/>
          <w:lang w:val="it-IT"/>
        </w:rPr>
        <w:t>sensazione di debolezza/stanchezza</w:t>
      </w:r>
    </w:p>
    <w:p w14:paraId="430B8538" w14:textId="77777777" w:rsidR="00BE1C70" w:rsidRPr="00C35766" w:rsidRDefault="00BE1C70" w:rsidP="00BE1C70">
      <w:pPr>
        <w:pStyle w:val="a3"/>
        <w:numPr>
          <w:ilvl w:val="0"/>
          <w:numId w:val="15"/>
        </w:numPr>
        <w:ind w:left="660" w:hanging="660"/>
      </w:pPr>
      <w:r w:rsidRPr="00C35766">
        <w:rPr>
          <w:rFonts w:eastAsia="Times New Roman"/>
          <w:lang w:val="it-IT"/>
        </w:rPr>
        <w:t>tosse</w:t>
      </w:r>
    </w:p>
    <w:p w14:paraId="2C02963A" w14:textId="77777777" w:rsidR="00BE1C70" w:rsidRPr="00C35766" w:rsidRDefault="00BE1C70" w:rsidP="00BE1C70">
      <w:pPr>
        <w:pStyle w:val="a3"/>
        <w:numPr>
          <w:ilvl w:val="0"/>
          <w:numId w:val="15"/>
        </w:numPr>
        <w:ind w:left="660" w:hanging="660"/>
      </w:pPr>
      <w:r w:rsidRPr="00C35766">
        <w:rPr>
          <w:rFonts w:eastAsia="Times New Roman"/>
          <w:lang w:val="it-IT"/>
        </w:rPr>
        <w:t>formicolio</w:t>
      </w:r>
    </w:p>
    <w:p w14:paraId="7A4A0396" w14:textId="77777777" w:rsidR="00BE1C70" w:rsidRPr="00C35766" w:rsidRDefault="00BE1C70" w:rsidP="00BE1C70">
      <w:pPr>
        <w:pStyle w:val="a3"/>
        <w:numPr>
          <w:ilvl w:val="0"/>
          <w:numId w:val="15"/>
        </w:numPr>
        <w:ind w:left="660" w:hanging="660"/>
      </w:pPr>
      <w:r w:rsidRPr="00C35766">
        <w:rPr>
          <w:rFonts w:eastAsia="Times New Roman"/>
          <w:lang w:val="it-IT"/>
        </w:rPr>
        <w:t>intorpidimento</w:t>
      </w:r>
    </w:p>
    <w:p w14:paraId="04788D81" w14:textId="77777777" w:rsidR="00BE1C70" w:rsidRPr="00C35766" w:rsidRDefault="00BE1C70" w:rsidP="00BE1C70">
      <w:pPr>
        <w:pStyle w:val="a3"/>
        <w:numPr>
          <w:ilvl w:val="0"/>
          <w:numId w:val="15"/>
        </w:numPr>
        <w:ind w:left="660" w:hanging="660"/>
      </w:pPr>
      <w:r w:rsidRPr="00C35766">
        <w:rPr>
          <w:rFonts w:eastAsia="Times New Roman"/>
          <w:lang w:val="it-IT"/>
        </w:rPr>
        <w:t>sdoppiamento della vista</w:t>
      </w:r>
    </w:p>
    <w:p w14:paraId="1FD932A8" w14:textId="77777777" w:rsidR="00BE1C70" w:rsidRPr="00C35766" w:rsidRDefault="00BE1C70" w:rsidP="00BE1C70">
      <w:pPr>
        <w:pStyle w:val="a3"/>
        <w:numPr>
          <w:ilvl w:val="0"/>
          <w:numId w:val="15"/>
        </w:numPr>
        <w:ind w:left="660" w:hanging="660"/>
      </w:pPr>
      <w:r w:rsidRPr="00C35766">
        <w:rPr>
          <w:rFonts w:eastAsia="Times New Roman"/>
          <w:lang w:val="it-IT"/>
        </w:rPr>
        <w:t>debolezza di braccia o gambe</w:t>
      </w:r>
    </w:p>
    <w:p w14:paraId="6A79119F"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gonfiore o piaga aperta che non guarisce</w:t>
      </w:r>
    </w:p>
    <w:p w14:paraId="41A6029D"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segni e sintomi che suggeriscono la comparsa di disturbi a carico del sistema emopoietico, come la presenza di febbre persistente, lividi, sanguinamento, pallore</w:t>
      </w:r>
    </w:p>
    <w:p w14:paraId="18BF128F" w14:textId="77777777" w:rsidR="00BE1C70" w:rsidRPr="00C35766" w:rsidRDefault="00BE1C70" w:rsidP="00BE1C70">
      <w:pPr>
        <w:pStyle w:val="a3"/>
        <w:numPr>
          <w:ilvl w:val="0"/>
          <w:numId w:val="0"/>
        </w:numPr>
        <w:ind w:left="660"/>
        <w:rPr>
          <w:lang w:val="it-IT"/>
        </w:rPr>
      </w:pPr>
    </w:p>
    <w:p w14:paraId="7537C366" w14:textId="77777777" w:rsidR="00BE1C70" w:rsidRPr="00C35766" w:rsidRDefault="00BE1C70" w:rsidP="00BE1C70">
      <w:pPr>
        <w:pStyle w:val="a3"/>
        <w:rPr>
          <w:lang w:val="pt-BR"/>
        </w:rPr>
      </w:pPr>
      <w:r w:rsidRPr="00C35766">
        <w:rPr>
          <w:rFonts w:eastAsia="Times New Roman"/>
          <w:lang w:val="it-IT"/>
        </w:rPr>
        <w:t>I sintomi sopra descritti possono essere segni dei seguenti effetti indesiderati, che sono stati osservati con Yuflyma.</w:t>
      </w:r>
    </w:p>
    <w:p w14:paraId="77501CE2" w14:textId="77777777" w:rsidR="00BE1C70" w:rsidRPr="00C35766" w:rsidRDefault="00BE1C70" w:rsidP="00BE1C70">
      <w:pPr>
        <w:spacing w:before="10" w:line="240" w:lineRule="exact"/>
        <w:rPr>
          <w:rFonts w:ascii="Times New Roman" w:hAnsi="Times New Roman" w:cs="Times New Roman"/>
          <w:sz w:val="24"/>
          <w:szCs w:val="24"/>
          <w:lang w:val="pt-BR"/>
        </w:rPr>
      </w:pPr>
    </w:p>
    <w:p w14:paraId="5770FB9E" w14:textId="77777777" w:rsidR="00BE1C70" w:rsidRPr="00C35766" w:rsidRDefault="00BE1C70" w:rsidP="00BE1C70">
      <w:pPr>
        <w:pStyle w:val="a3"/>
        <w:rPr>
          <w:lang w:val="pt-BR"/>
        </w:rPr>
      </w:pPr>
      <w:r w:rsidRPr="00C35766">
        <w:rPr>
          <w:rFonts w:eastAsia="Times New Roman"/>
          <w:b/>
          <w:bCs/>
          <w:lang w:val="it-IT"/>
        </w:rPr>
        <w:t xml:space="preserve">Molto comuni </w:t>
      </w:r>
      <w:r w:rsidRPr="00C35766">
        <w:rPr>
          <w:rFonts w:eastAsia="Times New Roman"/>
          <w:lang w:val="it-IT"/>
        </w:rPr>
        <w:t>(possono interessare più di 1 persona su 10)</w:t>
      </w:r>
    </w:p>
    <w:p w14:paraId="2471BD6F" w14:textId="77777777" w:rsidR="00BE1C70" w:rsidRPr="00C35766" w:rsidRDefault="00BE1C70" w:rsidP="00BE1C70">
      <w:pPr>
        <w:spacing w:before="14" w:line="240" w:lineRule="exact"/>
        <w:rPr>
          <w:rFonts w:ascii="Times New Roman" w:hAnsi="Times New Roman" w:cs="Times New Roman"/>
          <w:sz w:val="24"/>
          <w:szCs w:val="24"/>
          <w:lang w:val="pt-BR"/>
        </w:rPr>
      </w:pPr>
    </w:p>
    <w:p w14:paraId="3A7D076B"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reazioni nella sede d’iniezione (tra cui dolore, gonfiore, arrossamento o prurito)</w:t>
      </w:r>
    </w:p>
    <w:p w14:paraId="69926145"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infezioni delle vie respiratorie (tra cui raffreddore, naso che cola, sinusite e polmonite)</w:t>
      </w:r>
    </w:p>
    <w:p w14:paraId="2FAA8642" w14:textId="77777777" w:rsidR="00BE1C70" w:rsidRPr="00C35766" w:rsidRDefault="00BE1C70" w:rsidP="00BE1C70">
      <w:pPr>
        <w:pStyle w:val="a3"/>
        <w:numPr>
          <w:ilvl w:val="0"/>
          <w:numId w:val="15"/>
        </w:numPr>
        <w:ind w:left="660" w:hanging="660"/>
      </w:pPr>
      <w:r w:rsidRPr="00C35766">
        <w:rPr>
          <w:rFonts w:eastAsia="Times New Roman"/>
          <w:lang w:val="it-IT"/>
        </w:rPr>
        <w:t>mal di testa</w:t>
      </w:r>
    </w:p>
    <w:p w14:paraId="3BED64EC" w14:textId="77777777" w:rsidR="00BE1C70" w:rsidRPr="00C35766" w:rsidRDefault="00BE1C70" w:rsidP="00BE1C70">
      <w:pPr>
        <w:pStyle w:val="a3"/>
        <w:numPr>
          <w:ilvl w:val="0"/>
          <w:numId w:val="15"/>
        </w:numPr>
        <w:ind w:left="660" w:hanging="660"/>
      </w:pPr>
      <w:r w:rsidRPr="00C35766">
        <w:rPr>
          <w:rFonts w:eastAsia="Times New Roman"/>
          <w:lang w:val="it-IT"/>
        </w:rPr>
        <w:t>dolore addominale</w:t>
      </w:r>
    </w:p>
    <w:p w14:paraId="1D458E7F" w14:textId="77777777" w:rsidR="00BE1C70" w:rsidRPr="00C35766" w:rsidRDefault="00BE1C70" w:rsidP="00BE1C70">
      <w:pPr>
        <w:pStyle w:val="a3"/>
        <w:numPr>
          <w:ilvl w:val="0"/>
          <w:numId w:val="15"/>
        </w:numPr>
        <w:ind w:left="660" w:hanging="660"/>
      </w:pPr>
      <w:r w:rsidRPr="00C35766">
        <w:rPr>
          <w:rFonts w:eastAsia="Times New Roman"/>
          <w:lang w:val="it-IT"/>
        </w:rPr>
        <w:t>nausea e vomito</w:t>
      </w:r>
    </w:p>
    <w:p w14:paraId="10787309" w14:textId="77777777" w:rsidR="00BE1C70" w:rsidRPr="00C35766" w:rsidRDefault="00BE1C70" w:rsidP="00BE1C70">
      <w:pPr>
        <w:pStyle w:val="a3"/>
        <w:numPr>
          <w:ilvl w:val="0"/>
          <w:numId w:val="15"/>
        </w:numPr>
        <w:ind w:left="660" w:hanging="660"/>
      </w:pPr>
      <w:r w:rsidRPr="00C35766">
        <w:rPr>
          <w:rFonts w:eastAsia="Times New Roman"/>
          <w:lang w:val="it-IT"/>
        </w:rPr>
        <w:t>eruzione cutanea</w:t>
      </w:r>
    </w:p>
    <w:p w14:paraId="77E1CC06" w14:textId="77777777" w:rsidR="00BE1C70" w:rsidRPr="00C35766" w:rsidRDefault="00BE1C70" w:rsidP="00BE1C70">
      <w:pPr>
        <w:pStyle w:val="a3"/>
        <w:numPr>
          <w:ilvl w:val="0"/>
          <w:numId w:val="15"/>
        </w:numPr>
        <w:ind w:left="660" w:hanging="660"/>
      </w:pPr>
      <w:r>
        <w:rPr>
          <w:rFonts w:eastAsia="Times New Roman"/>
          <w:lang w:val="it-IT"/>
        </w:rPr>
        <w:t>d</w:t>
      </w:r>
      <w:r w:rsidRPr="00C35766">
        <w:rPr>
          <w:rFonts w:eastAsia="Times New Roman"/>
          <w:lang w:val="it-IT"/>
        </w:rPr>
        <w:t>olore muscoloscheletrico</w:t>
      </w:r>
    </w:p>
    <w:p w14:paraId="2C5D0561" w14:textId="77777777" w:rsidR="00BE1C70" w:rsidRPr="00C35766" w:rsidRDefault="00BE1C70" w:rsidP="00BE1C70">
      <w:pPr>
        <w:spacing w:before="9" w:line="220" w:lineRule="exact"/>
        <w:rPr>
          <w:rFonts w:ascii="Times New Roman" w:hAnsi="Times New Roman" w:cs="Times New Roman"/>
        </w:rPr>
      </w:pPr>
    </w:p>
    <w:p w14:paraId="07A4362E" w14:textId="77777777" w:rsidR="00BE1C70" w:rsidRPr="00C35766" w:rsidRDefault="00BE1C70" w:rsidP="00BE1C70">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41BF3151" w14:textId="77777777" w:rsidR="00BE1C70" w:rsidRPr="00C35766" w:rsidRDefault="00BE1C70" w:rsidP="00BE1C70">
      <w:pPr>
        <w:spacing w:before="14" w:line="240" w:lineRule="exact"/>
        <w:rPr>
          <w:rFonts w:ascii="Times New Roman" w:hAnsi="Times New Roman" w:cs="Times New Roman"/>
          <w:sz w:val="24"/>
          <w:szCs w:val="24"/>
          <w:lang w:val="pt-BR"/>
        </w:rPr>
      </w:pPr>
    </w:p>
    <w:p w14:paraId="5ED3C984"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infezioni gravi (tra cui setticemia ed influenza)</w:t>
      </w:r>
    </w:p>
    <w:p w14:paraId="7DE6A5AA"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infezioni intestinali (tra cui gastroenterite)</w:t>
      </w:r>
    </w:p>
    <w:p w14:paraId="146E6D5C"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infezioni della pelle (tra cui cellulite e infezione da Herpes Zoster)</w:t>
      </w:r>
    </w:p>
    <w:p w14:paraId="6B662CF9" w14:textId="77777777" w:rsidR="00BE1C70" w:rsidRPr="00C35766" w:rsidRDefault="00BE1C70" w:rsidP="00BE1C70">
      <w:pPr>
        <w:pStyle w:val="a3"/>
        <w:numPr>
          <w:ilvl w:val="0"/>
          <w:numId w:val="15"/>
        </w:numPr>
        <w:ind w:left="660" w:hanging="660"/>
      </w:pPr>
      <w:r w:rsidRPr="00C35766">
        <w:rPr>
          <w:rFonts w:eastAsia="Times New Roman"/>
          <w:lang w:val="it-IT"/>
        </w:rPr>
        <w:t>infezioni dell’orecchio</w:t>
      </w:r>
    </w:p>
    <w:p w14:paraId="49D84265" w14:textId="62D2584D" w:rsidR="00BE1C70" w:rsidRPr="00C35766" w:rsidRDefault="00BE1C70" w:rsidP="00BE1C70">
      <w:pPr>
        <w:pStyle w:val="a3"/>
        <w:numPr>
          <w:ilvl w:val="0"/>
          <w:numId w:val="15"/>
        </w:numPr>
        <w:ind w:left="660" w:hanging="660"/>
        <w:rPr>
          <w:lang w:val="pt-BR"/>
        </w:rPr>
      </w:pPr>
      <w:r w:rsidRPr="00C35766">
        <w:rPr>
          <w:rFonts w:eastAsia="Times New Roman"/>
          <w:lang w:val="it-IT"/>
        </w:rPr>
        <w:t xml:space="preserve">infezioni orali (tra cui infezioni dei denti ed herpes </w:t>
      </w:r>
      <w:r w:rsidR="00CA26C0">
        <w:rPr>
          <w:rFonts w:eastAsia="Times New Roman"/>
          <w:lang w:val="it-IT"/>
        </w:rPr>
        <w:t>labiali</w:t>
      </w:r>
      <w:r w:rsidRPr="00C35766">
        <w:rPr>
          <w:rFonts w:eastAsia="Times New Roman"/>
          <w:lang w:val="it-IT"/>
        </w:rPr>
        <w:t>)</w:t>
      </w:r>
    </w:p>
    <w:p w14:paraId="0877F2F0" w14:textId="77777777" w:rsidR="00BE1C70" w:rsidRPr="00C35766" w:rsidRDefault="00BE1C70" w:rsidP="00BE1C70">
      <w:pPr>
        <w:pStyle w:val="a3"/>
        <w:numPr>
          <w:ilvl w:val="0"/>
          <w:numId w:val="15"/>
        </w:numPr>
        <w:ind w:left="660" w:hanging="660"/>
      </w:pPr>
      <w:r w:rsidRPr="00C35766">
        <w:rPr>
          <w:rFonts w:eastAsia="Times New Roman"/>
          <w:lang w:val="it-IT"/>
        </w:rPr>
        <w:t>infezioni dell’apparato riproduttivo</w:t>
      </w:r>
    </w:p>
    <w:p w14:paraId="7CAF9748" w14:textId="77777777" w:rsidR="00BE1C70" w:rsidRPr="00C35766" w:rsidRDefault="00BE1C70" w:rsidP="00BE1C70">
      <w:pPr>
        <w:pStyle w:val="a3"/>
        <w:numPr>
          <w:ilvl w:val="0"/>
          <w:numId w:val="15"/>
        </w:numPr>
        <w:ind w:left="660" w:hanging="660"/>
      </w:pPr>
      <w:r>
        <w:rPr>
          <w:rFonts w:eastAsia="Times New Roman"/>
          <w:lang w:val="it-IT"/>
        </w:rPr>
        <w:t>i</w:t>
      </w:r>
      <w:r w:rsidRPr="00C35766">
        <w:rPr>
          <w:rFonts w:eastAsia="Times New Roman"/>
          <w:lang w:val="it-IT"/>
        </w:rPr>
        <w:t>nfezione delle vie urinarie</w:t>
      </w:r>
    </w:p>
    <w:p w14:paraId="774BAAE6" w14:textId="77777777" w:rsidR="00BE1C70" w:rsidRPr="00C35766" w:rsidRDefault="00BE1C70" w:rsidP="00BE1C70">
      <w:pPr>
        <w:pStyle w:val="a3"/>
        <w:numPr>
          <w:ilvl w:val="0"/>
          <w:numId w:val="15"/>
        </w:numPr>
        <w:ind w:left="660" w:hanging="660"/>
      </w:pPr>
      <w:r w:rsidRPr="00C35766">
        <w:rPr>
          <w:rFonts w:eastAsia="Times New Roman"/>
          <w:lang w:val="it-IT"/>
        </w:rPr>
        <w:t>infezioni fungine</w:t>
      </w:r>
    </w:p>
    <w:p w14:paraId="2CE8429A" w14:textId="77777777" w:rsidR="00BE1C70" w:rsidRPr="00C35766" w:rsidRDefault="00BE1C70" w:rsidP="00BE1C70">
      <w:pPr>
        <w:pStyle w:val="a3"/>
        <w:numPr>
          <w:ilvl w:val="0"/>
          <w:numId w:val="15"/>
        </w:numPr>
        <w:ind w:left="660" w:hanging="660"/>
      </w:pPr>
      <w:r w:rsidRPr="00C35766">
        <w:rPr>
          <w:rFonts w:eastAsia="Times New Roman"/>
          <w:lang w:val="it-IT"/>
        </w:rPr>
        <w:t>infezioni a carico delle articolazioni</w:t>
      </w:r>
    </w:p>
    <w:p w14:paraId="654FC9F6" w14:textId="77777777" w:rsidR="00BE1C70" w:rsidRPr="00C35766" w:rsidRDefault="00BE1C70" w:rsidP="00BE1C70">
      <w:pPr>
        <w:pStyle w:val="a3"/>
        <w:numPr>
          <w:ilvl w:val="0"/>
          <w:numId w:val="15"/>
        </w:numPr>
        <w:ind w:left="660" w:hanging="660"/>
      </w:pPr>
      <w:r w:rsidRPr="00C35766">
        <w:rPr>
          <w:rFonts w:eastAsia="Times New Roman"/>
          <w:lang w:val="it-IT"/>
        </w:rPr>
        <w:t>tumori benigni</w:t>
      </w:r>
    </w:p>
    <w:p w14:paraId="4103CF2A" w14:textId="77777777" w:rsidR="00BE1C70" w:rsidRPr="00C35766" w:rsidRDefault="00BE1C70" w:rsidP="00BE1C70">
      <w:pPr>
        <w:pStyle w:val="a3"/>
        <w:numPr>
          <w:ilvl w:val="0"/>
          <w:numId w:val="15"/>
        </w:numPr>
        <w:ind w:left="660" w:hanging="660"/>
      </w:pPr>
      <w:r w:rsidRPr="00C35766">
        <w:rPr>
          <w:rFonts w:eastAsia="Times New Roman"/>
          <w:lang w:val="it-IT"/>
        </w:rPr>
        <w:t>tumore della pelle</w:t>
      </w:r>
    </w:p>
    <w:p w14:paraId="4A2F4E35" w14:textId="77777777" w:rsidR="00BE1C70" w:rsidRPr="00C35766" w:rsidRDefault="00BE1C70" w:rsidP="00BE1C70">
      <w:pPr>
        <w:pStyle w:val="a3"/>
        <w:numPr>
          <w:ilvl w:val="0"/>
          <w:numId w:val="15"/>
        </w:numPr>
        <w:ind w:left="660" w:hanging="660"/>
        <w:rPr>
          <w:lang w:val="de-CH"/>
        </w:rPr>
      </w:pPr>
      <w:r w:rsidRPr="00C35766">
        <w:rPr>
          <w:rFonts w:eastAsia="Times New Roman"/>
          <w:lang w:val="it-IT"/>
        </w:rPr>
        <w:t>reazioni allergiche (tra cui allergia stagionale)</w:t>
      </w:r>
    </w:p>
    <w:p w14:paraId="13D819D4" w14:textId="77777777" w:rsidR="00BE1C70" w:rsidRPr="00C35766" w:rsidRDefault="00BE1C70" w:rsidP="00BE1C70">
      <w:pPr>
        <w:pStyle w:val="a3"/>
        <w:numPr>
          <w:ilvl w:val="0"/>
          <w:numId w:val="15"/>
        </w:numPr>
        <w:ind w:left="660" w:hanging="660"/>
      </w:pPr>
      <w:r w:rsidRPr="00C35766">
        <w:rPr>
          <w:rFonts w:eastAsia="Times New Roman"/>
          <w:lang w:val="it-IT"/>
        </w:rPr>
        <w:t>disidratazione</w:t>
      </w:r>
    </w:p>
    <w:p w14:paraId="646393EF"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cambiamenti di umore (inclusa depressione)</w:t>
      </w:r>
    </w:p>
    <w:p w14:paraId="5B2F2152" w14:textId="77777777" w:rsidR="00BE1C70" w:rsidRPr="00C35766" w:rsidRDefault="00BE1C70" w:rsidP="00BE1C70">
      <w:pPr>
        <w:pStyle w:val="a3"/>
        <w:numPr>
          <w:ilvl w:val="0"/>
          <w:numId w:val="15"/>
        </w:numPr>
        <w:ind w:left="660" w:hanging="660"/>
      </w:pPr>
      <w:r w:rsidRPr="00C35766">
        <w:rPr>
          <w:rFonts w:eastAsia="Times New Roman"/>
          <w:lang w:val="it-IT"/>
        </w:rPr>
        <w:t>ansia</w:t>
      </w:r>
    </w:p>
    <w:p w14:paraId="3A1E3D67" w14:textId="77777777" w:rsidR="00BE1C70" w:rsidRPr="00C35766" w:rsidRDefault="00BE1C70" w:rsidP="00BE1C70">
      <w:pPr>
        <w:pStyle w:val="a3"/>
        <w:numPr>
          <w:ilvl w:val="0"/>
          <w:numId w:val="15"/>
        </w:numPr>
        <w:ind w:left="660" w:hanging="660"/>
      </w:pPr>
      <w:r w:rsidRPr="00C35766">
        <w:rPr>
          <w:rFonts w:eastAsia="Times New Roman"/>
          <w:lang w:val="it-IT"/>
        </w:rPr>
        <w:t>difficoltà a dormire</w:t>
      </w:r>
    </w:p>
    <w:p w14:paraId="35266080"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disturbi della sensibilità come formicolii, sensazione di fitte o intorpidimento</w:t>
      </w:r>
    </w:p>
    <w:p w14:paraId="1C50DE4D" w14:textId="77777777" w:rsidR="00BE1C70" w:rsidRPr="00C35766" w:rsidRDefault="00BE1C70" w:rsidP="00BE1C70">
      <w:pPr>
        <w:pStyle w:val="a3"/>
        <w:numPr>
          <w:ilvl w:val="0"/>
          <w:numId w:val="15"/>
        </w:numPr>
        <w:ind w:left="660" w:hanging="660"/>
      </w:pPr>
      <w:r w:rsidRPr="00C35766">
        <w:rPr>
          <w:rFonts w:eastAsia="Times New Roman"/>
          <w:lang w:val="it-IT"/>
        </w:rPr>
        <w:t>emicrania</w:t>
      </w:r>
    </w:p>
    <w:p w14:paraId="656CF49B"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compressione di radice nervosa (tra cui dolore lombare e dolore alle gambe)</w:t>
      </w:r>
    </w:p>
    <w:p w14:paraId="1FF0C6D6" w14:textId="77777777" w:rsidR="00BE1C70" w:rsidRPr="00C35766" w:rsidRDefault="00BE1C70" w:rsidP="00BE1C70">
      <w:pPr>
        <w:pStyle w:val="a3"/>
        <w:numPr>
          <w:ilvl w:val="0"/>
          <w:numId w:val="15"/>
        </w:numPr>
        <w:ind w:left="660" w:hanging="660"/>
      </w:pPr>
      <w:r w:rsidRPr="00C35766">
        <w:rPr>
          <w:rFonts w:eastAsia="Times New Roman"/>
          <w:lang w:val="it-IT"/>
        </w:rPr>
        <w:lastRenderedPageBreak/>
        <w:t>disturbi visivi</w:t>
      </w:r>
    </w:p>
    <w:p w14:paraId="7308C220" w14:textId="77777777" w:rsidR="00BE1C70" w:rsidRPr="00C35766" w:rsidRDefault="00BE1C70" w:rsidP="00BE1C70">
      <w:pPr>
        <w:pStyle w:val="a3"/>
        <w:numPr>
          <w:ilvl w:val="0"/>
          <w:numId w:val="15"/>
        </w:numPr>
        <w:ind w:left="660" w:hanging="660"/>
      </w:pPr>
      <w:r w:rsidRPr="00C35766">
        <w:rPr>
          <w:rFonts w:eastAsia="Times New Roman"/>
          <w:lang w:val="it-IT"/>
        </w:rPr>
        <w:t>infiammazione degli occhi</w:t>
      </w:r>
    </w:p>
    <w:p w14:paraId="320C4348" w14:textId="77777777" w:rsidR="00BE1C70" w:rsidRPr="00C35766" w:rsidRDefault="00BE1C70" w:rsidP="00BE1C70">
      <w:pPr>
        <w:pStyle w:val="a3"/>
        <w:numPr>
          <w:ilvl w:val="0"/>
          <w:numId w:val="15"/>
        </w:numPr>
        <w:ind w:left="660" w:hanging="660"/>
        <w:rPr>
          <w:lang w:val="de-CH"/>
        </w:rPr>
      </w:pPr>
      <w:r w:rsidRPr="00C35766">
        <w:rPr>
          <w:rFonts w:eastAsia="Times New Roman"/>
          <w:lang w:val="it-IT"/>
        </w:rPr>
        <w:t>infiammazione delle palpebre e tumefazione degli occhi</w:t>
      </w:r>
    </w:p>
    <w:p w14:paraId="1B7DEC29"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vertigini (sensazione di capogiro o rotazione)</w:t>
      </w:r>
    </w:p>
    <w:p w14:paraId="48D9B3EA" w14:textId="77777777" w:rsidR="00BE1C70" w:rsidRPr="00C35766" w:rsidRDefault="00BE1C70" w:rsidP="00BE1C70">
      <w:pPr>
        <w:pStyle w:val="a3"/>
        <w:numPr>
          <w:ilvl w:val="0"/>
          <w:numId w:val="15"/>
        </w:numPr>
        <w:ind w:left="660" w:hanging="660"/>
      </w:pPr>
      <w:r w:rsidRPr="00C35766">
        <w:rPr>
          <w:rFonts w:eastAsia="Times New Roman"/>
          <w:lang w:val="it-IT"/>
        </w:rPr>
        <w:t>sensazione di battito cardiaco accelerato</w:t>
      </w:r>
    </w:p>
    <w:p w14:paraId="62D7FBBC" w14:textId="77777777" w:rsidR="00BE1C70" w:rsidRPr="00C35766" w:rsidRDefault="00BE1C70" w:rsidP="00BE1C70">
      <w:pPr>
        <w:pStyle w:val="a3"/>
        <w:numPr>
          <w:ilvl w:val="0"/>
          <w:numId w:val="15"/>
        </w:numPr>
        <w:ind w:left="660" w:hanging="660"/>
      </w:pPr>
      <w:r w:rsidRPr="00C35766">
        <w:rPr>
          <w:rFonts w:eastAsia="Times New Roman"/>
          <w:lang w:val="it-IT"/>
        </w:rPr>
        <w:t>pressione sanguigna elevata</w:t>
      </w:r>
    </w:p>
    <w:p w14:paraId="12E15270" w14:textId="77777777" w:rsidR="00BE1C70" w:rsidRPr="00C35766" w:rsidRDefault="00BE1C70" w:rsidP="00BE1C70">
      <w:pPr>
        <w:pStyle w:val="a3"/>
        <w:numPr>
          <w:ilvl w:val="0"/>
          <w:numId w:val="15"/>
        </w:numPr>
        <w:ind w:left="660" w:hanging="660"/>
      </w:pPr>
      <w:r w:rsidRPr="00C35766">
        <w:rPr>
          <w:rFonts w:eastAsia="Times New Roman"/>
          <w:lang w:val="it-IT"/>
        </w:rPr>
        <w:t>vampate</w:t>
      </w:r>
    </w:p>
    <w:p w14:paraId="69243ED1"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ematoma (accumulo di sangue al di fuori dei vasi sanguigni)</w:t>
      </w:r>
    </w:p>
    <w:p w14:paraId="2E8AD79B" w14:textId="77777777" w:rsidR="00BE1C70" w:rsidRPr="00C35766" w:rsidRDefault="00BE1C70" w:rsidP="00BE1C70">
      <w:pPr>
        <w:pStyle w:val="a3"/>
        <w:numPr>
          <w:ilvl w:val="0"/>
          <w:numId w:val="15"/>
        </w:numPr>
        <w:ind w:left="660" w:hanging="660"/>
      </w:pPr>
      <w:r w:rsidRPr="00C35766">
        <w:rPr>
          <w:rFonts w:eastAsia="Times New Roman"/>
          <w:lang w:val="it-IT"/>
        </w:rPr>
        <w:t>tosse</w:t>
      </w:r>
    </w:p>
    <w:p w14:paraId="1F7E1C91" w14:textId="77777777" w:rsidR="00BE1C70" w:rsidRPr="00C35766" w:rsidRDefault="00BE1C70" w:rsidP="00BE1C70">
      <w:pPr>
        <w:pStyle w:val="a3"/>
        <w:numPr>
          <w:ilvl w:val="0"/>
          <w:numId w:val="15"/>
        </w:numPr>
        <w:ind w:left="660" w:hanging="660"/>
      </w:pPr>
      <w:r w:rsidRPr="00C35766">
        <w:rPr>
          <w:rFonts w:eastAsia="Times New Roman"/>
          <w:lang w:val="it-IT"/>
        </w:rPr>
        <w:t>asma</w:t>
      </w:r>
    </w:p>
    <w:p w14:paraId="441AB68D" w14:textId="77777777" w:rsidR="00BE1C70" w:rsidRPr="00C35766" w:rsidRDefault="00BE1C70" w:rsidP="00BE1C70">
      <w:pPr>
        <w:pStyle w:val="a3"/>
        <w:numPr>
          <w:ilvl w:val="0"/>
          <w:numId w:val="15"/>
        </w:numPr>
        <w:ind w:left="660" w:hanging="660"/>
      </w:pPr>
      <w:r w:rsidRPr="00C35766">
        <w:rPr>
          <w:rFonts w:eastAsia="Times New Roman"/>
          <w:lang w:val="it-IT"/>
        </w:rPr>
        <w:t>respiro affannoso</w:t>
      </w:r>
    </w:p>
    <w:p w14:paraId="4FDA0AD3" w14:textId="77777777" w:rsidR="00BE1C70" w:rsidRPr="00C35766" w:rsidRDefault="00BE1C70" w:rsidP="00BE1C70">
      <w:pPr>
        <w:pStyle w:val="a3"/>
        <w:numPr>
          <w:ilvl w:val="0"/>
          <w:numId w:val="15"/>
        </w:numPr>
        <w:ind w:left="660" w:hanging="660"/>
      </w:pPr>
      <w:r w:rsidRPr="00C35766">
        <w:rPr>
          <w:rFonts w:eastAsia="Times New Roman"/>
          <w:lang w:val="it-IT"/>
        </w:rPr>
        <w:t>sanguinamento gastrointestinale</w:t>
      </w:r>
    </w:p>
    <w:p w14:paraId="7ADE250E"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dispepsia (indigestione, gonfiore, bruciore di stomaco)</w:t>
      </w:r>
    </w:p>
    <w:p w14:paraId="37407336" w14:textId="77777777" w:rsidR="00BE1C70" w:rsidRPr="00C35766" w:rsidRDefault="00BE1C70" w:rsidP="00BE1C70">
      <w:pPr>
        <w:pStyle w:val="a3"/>
        <w:numPr>
          <w:ilvl w:val="0"/>
          <w:numId w:val="15"/>
        </w:numPr>
        <w:ind w:left="660" w:hanging="660"/>
      </w:pPr>
      <w:r w:rsidRPr="00C35766">
        <w:rPr>
          <w:rFonts w:eastAsia="Times New Roman"/>
          <w:lang w:val="it-IT"/>
        </w:rPr>
        <w:t>disturbo da reflusso acido</w:t>
      </w:r>
    </w:p>
    <w:p w14:paraId="3E90B276"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sindrome sicca (tra cui secchezza degli occhi e della bocca)</w:t>
      </w:r>
    </w:p>
    <w:p w14:paraId="501B3C85" w14:textId="77777777" w:rsidR="00BE1C70" w:rsidRPr="00C35766" w:rsidRDefault="00BE1C70" w:rsidP="00BE1C70">
      <w:pPr>
        <w:pStyle w:val="a3"/>
        <w:numPr>
          <w:ilvl w:val="0"/>
          <w:numId w:val="15"/>
        </w:numPr>
        <w:ind w:left="660" w:hanging="660"/>
      </w:pPr>
      <w:r w:rsidRPr="00C35766">
        <w:rPr>
          <w:rFonts w:eastAsia="Times New Roman"/>
          <w:lang w:val="it-IT"/>
        </w:rPr>
        <w:t>prurito</w:t>
      </w:r>
    </w:p>
    <w:p w14:paraId="3FEDAA7C" w14:textId="77777777" w:rsidR="00BE1C70" w:rsidRPr="00C35766" w:rsidRDefault="00BE1C70" w:rsidP="00BE1C70">
      <w:pPr>
        <w:pStyle w:val="a3"/>
        <w:numPr>
          <w:ilvl w:val="0"/>
          <w:numId w:val="15"/>
        </w:numPr>
        <w:ind w:left="660" w:hanging="660"/>
        <w:rPr>
          <w:rFonts w:eastAsia="Times New Roman"/>
          <w:spacing w:val="-1"/>
        </w:rPr>
      </w:pPr>
      <w:r w:rsidRPr="00C35766">
        <w:rPr>
          <w:rFonts w:eastAsia="Times New Roman"/>
          <w:lang w:val="it-IT"/>
        </w:rPr>
        <w:t>eruzione cutanea pruriginosa</w:t>
      </w:r>
    </w:p>
    <w:p w14:paraId="1BB22DAB" w14:textId="77777777" w:rsidR="00BE1C70" w:rsidRPr="00C35766" w:rsidRDefault="00BE1C70" w:rsidP="00BE1C70">
      <w:pPr>
        <w:pStyle w:val="a3"/>
        <w:numPr>
          <w:ilvl w:val="0"/>
          <w:numId w:val="15"/>
        </w:numPr>
        <w:ind w:left="660" w:hanging="660"/>
      </w:pPr>
      <w:r w:rsidRPr="00C35766">
        <w:rPr>
          <w:rFonts w:eastAsia="Times New Roman"/>
          <w:lang w:val="it-IT"/>
        </w:rPr>
        <w:t>lividi</w:t>
      </w:r>
    </w:p>
    <w:p w14:paraId="1D8EABB3"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infiammazione della pelle (come eczema)</w:t>
      </w:r>
    </w:p>
    <w:p w14:paraId="055DBCCF"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rottura delle unghie delle dita della mano e del piede</w:t>
      </w:r>
    </w:p>
    <w:p w14:paraId="78210F50" w14:textId="77777777" w:rsidR="00BE1C70" w:rsidRPr="00C35766" w:rsidRDefault="00BE1C70" w:rsidP="00BE1C70">
      <w:pPr>
        <w:pStyle w:val="a3"/>
        <w:numPr>
          <w:ilvl w:val="0"/>
          <w:numId w:val="15"/>
        </w:numPr>
        <w:ind w:left="660" w:hanging="660"/>
      </w:pPr>
      <w:r w:rsidRPr="00C35766">
        <w:rPr>
          <w:rFonts w:eastAsia="Times New Roman"/>
          <w:lang w:val="it-IT"/>
        </w:rPr>
        <w:t>aumento della sudorazione</w:t>
      </w:r>
    </w:p>
    <w:p w14:paraId="27556028" w14:textId="77777777" w:rsidR="00BE1C70" w:rsidRPr="00C35766" w:rsidRDefault="00BE1C70" w:rsidP="00BE1C70">
      <w:pPr>
        <w:pStyle w:val="a3"/>
        <w:numPr>
          <w:ilvl w:val="0"/>
          <w:numId w:val="15"/>
        </w:numPr>
        <w:ind w:left="660" w:hanging="660"/>
      </w:pPr>
      <w:r w:rsidRPr="00C35766">
        <w:rPr>
          <w:rFonts w:eastAsia="Times New Roman"/>
          <w:lang w:val="it-IT"/>
        </w:rPr>
        <w:t>perdita di capelli</w:t>
      </w:r>
    </w:p>
    <w:p w14:paraId="1156AE2F" w14:textId="77777777" w:rsidR="00BE1C70" w:rsidRPr="00C35766" w:rsidRDefault="00BE1C70" w:rsidP="00BE1C70">
      <w:pPr>
        <w:pStyle w:val="a3"/>
        <w:numPr>
          <w:ilvl w:val="0"/>
          <w:numId w:val="15"/>
        </w:numPr>
        <w:ind w:left="660" w:hanging="660"/>
      </w:pPr>
      <w:r w:rsidRPr="00C35766">
        <w:rPr>
          <w:rFonts w:eastAsia="Times New Roman"/>
          <w:lang w:val="it-IT"/>
        </w:rPr>
        <w:t>insorgenza o peggioramento della psoriasi</w:t>
      </w:r>
    </w:p>
    <w:p w14:paraId="4564F7C6" w14:textId="77777777" w:rsidR="00BE1C70" w:rsidRPr="00C35766" w:rsidRDefault="00BE1C70" w:rsidP="00BE1C70">
      <w:pPr>
        <w:pStyle w:val="a3"/>
        <w:numPr>
          <w:ilvl w:val="0"/>
          <w:numId w:val="15"/>
        </w:numPr>
        <w:ind w:left="660" w:hanging="660"/>
      </w:pPr>
      <w:r w:rsidRPr="00C35766">
        <w:rPr>
          <w:rFonts w:eastAsia="Times New Roman"/>
          <w:lang w:val="it-IT"/>
        </w:rPr>
        <w:t>spasmi muscolari</w:t>
      </w:r>
    </w:p>
    <w:p w14:paraId="4D823155" w14:textId="77777777" w:rsidR="00BE1C70" w:rsidRPr="00C35766" w:rsidRDefault="00BE1C70" w:rsidP="00BE1C70">
      <w:pPr>
        <w:pStyle w:val="a3"/>
        <w:numPr>
          <w:ilvl w:val="0"/>
          <w:numId w:val="15"/>
        </w:numPr>
        <w:ind w:left="660" w:hanging="660"/>
      </w:pPr>
      <w:r w:rsidRPr="00C35766">
        <w:rPr>
          <w:rFonts w:eastAsia="Times New Roman"/>
          <w:lang w:val="it-IT"/>
        </w:rPr>
        <w:t>sangue nelle urine</w:t>
      </w:r>
    </w:p>
    <w:p w14:paraId="16AB71E2" w14:textId="77777777" w:rsidR="00BE1C70" w:rsidRPr="00C35766" w:rsidRDefault="00BE1C70" w:rsidP="00BE1C70">
      <w:pPr>
        <w:pStyle w:val="a3"/>
        <w:numPr>
          <w:ilvl w:val="0"/>
          <w:numId w:val="15"/>
        </w:numPr>
        <w:ind w:left="660" w:hanging="660"/>
      </w:pPr>
      <w:r w:rsidRPr="00C35766">
        <w:rPr>
          <w:rFonts w:eastAsia="Times New Roman"/>
          <w:lang w:val="it-IT"/>
        </w:rPr>
        <w:t>problemi renali</w:t>
      </w:r>
    </w:p>
    <w:p w14:paraId="4A3CA313" w14:textId="77777777" w:rsidR="00BE1C70" w:rsidRPr="00C35766" w:rsidRDefault="00BE1C70" w:rsidP="00BE1C70">
      <w:pPr>
        <w:pStyle w:val="a3"/>
        <w:numPr>
          <w:ilvl w:val="0"/>
          <w:numId w:val="15"/>
        </w:numPr>
        <w:ind w:left="660" w:hanging="660"/>
      </w:pPr>
      <w:r w:rsidRPr="00C35766">
        <w:rPr>
          <w:rFonts w:eastAsia="Times New Roman"/>
          <w:lang w:val="it-IT"/>
        </w:rPr>
        <w:t>dolore al petto</w:t>
      </w:r>
    </w:p>
    <w:p w14:paraId="1348DDAE" w14:textId="77777777" w:rsidR="00BE1C70" w:rsidRPr="00C35766" w:rsidRDefault="00BE1C70" w:rsidP="00BE1C70">
      <w:pPr>
        <w:pStyle w:val="a3"/>
        <w:numPr>
          <w:ilvl w:val="0"/>
          <w:numId w:val="15"/>
        </w:numPr>
        <w:ind w:left="660" w:hanging="660"/>
      </w:pPr>
      <w:r w:rsidRPr="00C35766">
        <w:rPr>
          <w:rFonts w:eastAsia="Times New Roman"/>
          <w:lang w:val="it-IT"/>
        </w:rPr>
        <w:t>edema (accumulo di liquidi)</w:t>
      </w:r>
    </w:p>
    <w:p w14:paraId="6D6D2484" w14:textId="77777777" w:rsidR="00BE1C70" w:rsidRPr="00C35766" w:rsidRDefault="00BE1C70" w:rsidP="00BE1C70">
      <w:pPr>
        <w:pStyle w:val="a3"/>
        <w:numPr>
          <w:ilvl w:val="0"/>
          <w:numId w:val="15"/>
        </w:numPr>
        <w:ind w:left="660" w:hanging="660"/>
      </w:pPr>
      <w:r w:rsidRPr="00C35766">
        <w:rPr>
          <w:rFonts w:eastAsia="Times New Roman"/>
          <w:lang w:val="it-IT"/>
        </w:rPr>
        <w:t>febbre</w:t>
      </w:r>
    </w:p>
    <w:p w14:paraId="0F1EC0A9"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riduzione delle piastrine nel sangue che aumenta il rischio di sanguinamento o di lividi</w:t>
      </w:r>
    </w:p>
    <w:p w14:paraId="29D1CBAB" w14:textId="77777777" w:rsidR="00BE1C70" w:rsidRPr="00C35766" w:rsidRDefault="00BE1C70" w:rsidP="00BE1C70">
      <w:pPr>
        <w:pStyle w:val="a3"/>
        <w:numPr>
          <w:ilvl w:val="0"/>
          <w:numId w:val="15"/>
        </w:numPr>
        <w:ind w:left="660" w:hanging="660"/>
      </w:pPr>
      <w:r w:rsidRPr="00C35766">
        <w:rPr>
          <w:rFonts w:eastAsia="Times New Roman"/>
          <w:lang w:val="it-IT"/>
        </w:rPr>
        <w:t>compromissione della guarigione delle ferite</w:t>
      </w:r>
    </w:p>
    <w:p w14:paraId="707F2267" w14:textId="77777777" w:rsidR="00BE1C70" w:rsidRPr="00C35766" w:rsidRDefault="00BE1C70" w:rsidP="00BE1C70">
      <w:pPr>
        <w:spacing w:before="10" w:line="240" w:lineRule="exact"/>
        <w:rPr>
          <w:rFonts w:ascii="Times New Roman" w:hAnsi="Times New Roman" w:cs="Times New Roman"/>
          <w:sz w:val="24"/>
          <w:szCs w:val="24"/>
        </w:rPr>
      </w:pPr>
    </w:p>
    <w:p w14:paraId="5857CDF7" w14:textId="77777777" w:rsidR="00BE1C70" w:rsidRPr="00824699" w:rsidRDefault="00BE1C70" w:rsidP="00BE1C70">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3B856302" w14:textId="77777777" w:rsidR="00BE1C70" w:rsidRPr="00824699" w:rsidRDefault="00BE1C70" w:rsidP="00BE1C70">
      <w:pPr>
        <w:spacing w:before="14" w:line="260" w:lineRule="exact"/>
        <w:rPr>
          <w:rFonts w:ascii="Times New Roman" w:hAnsi="Times New Roman" w:cs="Times New Roman"/>
          <w:sz w:val="26"/>
          <w:szCs w:val="26"/>
          <w:lang w:val="it-IT"/>
        </w:rPr>
      </w:pPr>
    </w:p>
    <w:p w14:paraId="07341B3F"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infezioni opportunistiche (che includono la tubercolosi ed altre infezioni che si verificano quando si riducono le difese immunitarie)</w:t>
      </w:r>
    </w:p>
    <w:p w14:paraId="7505F95B"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infezioni neurologiche (tra cui la meningite virale)</w:t>
      </w:r>
    </w:p>
    <w:p w14:paraId="013BFE1D" w14:textId="77777777" w:rsidR="00BE1C70" w:rsidRPr="00C35766" w:rsidRDefault="00BE1C70" w:rsidP="00BE1C70">
      <w:pPr>
        <w:pStyle w:val="a3"/>
        <w:numPr>
          <w:ilvl w:val="0"/>
          <w:numId w:val="15"/>
        </w:numPr>
        <w:ind w:left="660" w:hanging="660"/>
      </w:pPr>
      <w:r w:rsidRPr="00C35766">
        <w:rPr>
          <w:rFonts w:eastAsia="Times New Roman"/>
          <w:lang w:val="it-IT"/>
        </w:rPr>
        <w:t>infezioni degli occhi</w:t>
      </w:r>
    </w:p>
    <w:p w14:paraId="7590614B" w14:textId="77777777" w:rsidR="00BE1C70" w:rsidRPr="00C35766" w:rsidRDefault="00BE1C70" w:rsidP="00BE1C70">
      <w:pPr>
        <w:pStyle w:val="a3"/>
        <w:numPr>
          <w:ilvl w:val="0"/>
          <w:numId w:val="15"/>
        </w:numPr>
        <w:ind w:left="660" w:hanging="660"/>
      </w:pPr>
      <w:r w:rsidRPr="00C35766">
        <w:rPr>
          <w:rFonts w:eastAsia="Times New Roman"/>
          <w:lang w:val="it-IT"/>
        </w:rPr>
        <w:t>infezioni batteriche</w:t>
      </w:r>
    </w:p>
    <w:p w14:paraId="3EF17461"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diverticolite (infiammazione e infezione dell’intestino crasso)</w:t>
      </w:r>
    </w:p>
    <w:p w14:paraId="500A9576" w14:textId="77777777" w:rsidR="00BE1C70" w:rsidRPr="00C35766" w:rsidRDefault="00BE1C70" w:rsidP="00BE1C70">
      <w:pPr>
        <w:pStyle w:val="a3"/>
        <w:numPr>
          <w:ilvl w:val="0"/>
          <w:numId w:val="15"/>
        </w:numPr>
        <w:ind w:left="660" w:hanging="660"/>
      </w:pPr>
      <w:r w:rsidRPr="00C35766">
        <w:rPr>
          <w:rFonts w:eastAsia="Times New Roman"/>
          <w:lang w:val="it-IT"/>
        </w:rPr>
        <w:t>tumore</w:t>
      </w:r>
    </w:p>
    <w:p w14:paraId="4114C31B" w14:textId="77777777" w:rsidR="00BE1C70" w:rsidRPr="00C35766" w:rsidRDefault="00BE1C70" w:rsidP="00BE1C70">
      <w:pPr>
        <w:pStyle w:val="a3"/>
        <w:numPr>
          <w:ilvl w:val="0"/>
          <w:numId w:val="15"/>
        </w:numPr>
        <w:ind w:left="660" w:hanging="660"/>
      </w:pPr>
      <w:r w:rsidRPr="00C35766">
        <w:rPr>
          <w:rFonts w:eastAsia="Times New Roman"/>
          <w:lang w:val="it-IT"/>
        </w:rPr>
        <w:t>tumore del sistema linfatico</w:t>
      </w:r>
    </w:p>
    <w:p w14:paraId="548DCA95" w14:textId="77777777" w:rsidR="00BE1C70" w:rsidRPr="00C35766" w:rsidRDefault="00BE1C70" w:rsidP="00BE1C70">
      <w:pPr>
        <w:pStyle w:val="a3"/>
        <w:numPr>
          <w:ilvl w:val="0"/>
          <w:numId w:val="15"/>
        </w:numPr>
        <w:ind w:left="660" w:hanging="660"/>
      </w:pPr>
      <w:r w:rsidRPr="00C35766">
        <w:rPr>
          <w:rFonts w:eastAsia="Times New Roman"/>
          <w:lang w:val="it-IT"/>
        </w:rPr>
        <w:t>melanoma</w:t>
      </w:r>
    </w:p>
    <w:p w14:paraId="5EA1A5EC"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disordini del sistema immunitario che possono colpire polmoni, pelle e linfonodi (che si presentano più comunemente come sarcoidosi)</w:t>
      </w:r>
    </w:p>
    <w:p w14:paraId="7A6728DF"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vasculite (infiammazione dei vasi sanguigni)</w:t>
      </w:r>
    </w:p>
    <w:p w14:paraId="6297E08E" w14:textId="77777777" w:rsidR="00BE1C70" w:rsidRPr="00C35766" w:rsidRDefault="00BE1C70" w:rsidP="00BE1C70">
      <w:pPr>
        <w:pStyle w:val="a3"/>
        <w:numPr>
          <w:ilvl w:val="0"/>
          <w:numId w:val="15"/>
        </w:numPr>
        <w:ind w:left="660" w:hanging="660"/>
      </w:pPr>
      <w:r w:rsidRPr="00C35766">
        <w:rPr>
          <w:rFonts w:eastAsia="Times New Roman"/>
          <w:lang w:val="it-IT"/>
        </w:rPr>
        <w:t>tremore (agitazione)</w:t>
      </w:r>
    </w:p>
    <w:p w14:paraId="778E9700"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neuropatia (disturbo del sistema nervoso)</w:t>
      </w:r>
    </w:p>
    <w:p w14:paraId="3443DF06" w14:textId="77777777" w:rsidR="00BE1C70" w:rsidRPr="00C35766" w:rsidRDefault="00BE1C70" w:rsidP="00BE1C70">
      <w:pPr>
        <w:pStyle w:val="a3"/>
        <w:numPr>
          <w:ilvl w:val="0"/>
          <w:numId w:val="15"/>
        </w:numPr>
        <w:ind w:left="660" w:hanging="660"/>
      </w:pPr>
      <w:r w:rsidRPr="00C35766">
        <w:rPr>
          <w:rFonts w:eastAsia="Times New Roman"/>
          <w:lang w:val="it-IT"/>
        </w:rPr>
        <w:t>ictus</w:t>
      </w:r>
    </w:p>
    <w:p w14:paraId="2ACFC51E" w14:textId="77777777" w:rsidR="00BE1C70" w:rsidRPr="00C35766" w:rsidRDefault="00BE1C70" w:rsidP="00BE1C70">
      <w:pPr>
        <w:pStyle w:val="a3"/>
        <w:numPr>
          <w:ilvl w:val="0"/>
          <w:numId w:val="15"/>
        </w:numPr>
        <w:ind w:left="660" w:hanging="660"/>
      </w:pPr>
      <w:r w:rsidRPr="00C35766">
        <w:rPr>
          <w:rFonts w:eastAsia="Times New Roman"/>
          <w:lang w:val="it-IT"/>
        </w:rPr>
        <w:t>perdita dell' udito, ronzio</w:t>
      </w:r>
    </w:p>
    <w:p w14:paraId="7FC9E4DD"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sensazione di battito cardiaco irregolare come palpitazioni</w:t>
      </w:r>
    </w:p>
    <w:p w14:paraId="7F5DF1BC"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lastRenderedPageBreak/>
        <w:t>problemi al cuore che possono causare respiro corto o gonfiore a livello delle caviglie</w:t>
      </w:r>
    </w:p>
    <w:p w14:paraId="520FB873" w14:textId="77777777" w:rsidR="00BE1C70" w:rsidRPr="00C35766" w:rsidRDefault="00BE1C70" w:rsidP="00BE1C70">
      <w:pPr>
        <w:pStyle w:val="a3"/>
        <w:numPr>
          <w:ilvl w:val="0"/>
          <w:numId w:val="15"/>
        </w:numPr>
        <w:ind w:left="660" w:hanging="660"/>
      </w:pPr>
      <w:r w:rsidRPr="00C35766">
        <w:rPr>
          <w:rFonts w:eastAsia="Times New Roman"/>
          <w:lang w:val="it-IT"/>
        </w:rPr>
        <w:t>attacco di cuore</w:t>
      </w:r>
    </w:p>
    <w:p w14:paraId="4023F70F"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una sacca nella parete di un’arteria principale, infiammazione e coagulo in una vena, ostruzione di un vaso sanguigno</w:t>
      </w:r>
    </w:p>
    <w:p w14:paraId="3EC9C7C7"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malattia polmonare che provoca respiro corto (inclusa infiammazione)</w:t>
      </w:r>
    </w:p>
    <w:p w14:paraId="5E01E227"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embolia polmonare (occlusione di una arteria del polmone)</w:t>
      </w:r>
    </w:p>
    <w:p w14:paraId="094DC93D"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versamento pleurico (accumulo anomalo di liquido nello spazio pleurico)</w:t>
      </w:r>
    </w:p>
    <w:p w14:paraId="082DDF30"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infiammazione del pancreas che causa forti dolori all’addome ed alla schiena</w:t>
      </w:r>
    </w:p>
    <w:p w14:paraId="62D7E67D" w14:textId="77777777" w:rsidR="00BE1C70" w:rsidRPr="00C35766" w:rsidRDefault="00BE1C70" w:rsidP="00BE1C70">
      <w:pPr>
        <w:pStyle w:val="a3"/>
        <w:numPr>
          <w:ilvl w:val="0"/>
          <w:numId w:val="15"/>
        </w:numPr>
        <w:ind w:left="660" w:hanging="660"/>
      </w:pPr>
      <w:r w:rsidRPr="00C35766">
        <w:rPr>
          <w:rFonts w:eastAsia="Times New Roman"/>
          <w:lang w:val="it-IT"/>
        </w:rPr>
        <w:t>difficoltà nella deglutizione</w:t>
      </w:r>
    </w:p>
    <w:p w14:paraId="0FB23024"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edema facciale (gonfiore del viso)</w:t>
      </w:r>
    </w:p>
    <w:p w14:paraId="41ED89AE"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infiammazione della cistifellea, calcoli alla cistifellea</w:t>
      </w:r>
    </w:p>
    <w:p w14:paraId="50C79F51" w14:textId="77777777" w:rsidR="00BE1C70" w:rsidRPr="00C35766" w:rsidRDefault="00BE1C70" w:rsidP="00BE1C70">
      <w:pPr>
        <w:pStyle w:val="a3"/>
        <w:numPr>
          <w:ilvl w:val="0"/>
          <w:numId w:val="15"/>
        </w:numPr>
        <w:ind w:left="660" w:hanging="660"/>
      </w:pPr>
      <w:r w:rsidRPr="00C35766">
        <w:rPr>
          <w:rFonts w:eastAsia="Times New Roman"/>
          <w:lang w:val="it-IT"/>
        </w:rPr>
        <w:t>fegato grasso</w:t>
      </w:r>
    </w:p>
    <w:p w14:paraId="1537CEBB" w14:textId="77777777" w:rsidR="00BE1C70" w:rsidRPr="00C35766" w:rsidRDefault="00BE1C70" w:rsidP="00BE1C70">
      <w:pPr>
        <w:pStyle w:val="a3"/>
        <w:numPr>
          <w:ilvl w:val="0"/>
          <w:numId w:val="15"/>
        </w:numPr>
        <w:ind w:left="660" w:hanging="660"/>
      </w:pPr>
      <w:r w:rsidRPr="00C35766">
        <w:rPr>
          <w:rFonts w:eastAsia="Times New Roman"/>
          <w:lang w:val="it-IT"/>
        </w:rPr>
        <w:t>sudorazione notturna</w:t>
      </w:r>
    </w:p>
    <w:p w14:paraId="1902896B" w14:textId="77777777" w:rsidR="00BE1C70" w:rsidRPr="00C35766" w:rsidRDefault="00BE1C70" w:rsidP="00BE1C70">
      <w:pPr>
        <w:pStyle w:val="a3"/>
        <w:numPr>
          <w:ilvl w:val="0"/>
          <w:numId w:val="15"/>
        </w:numPr>
        <w:ind w:left="660" w:hanging="660"/>
      </w:pPr>
      <w:r w:rsidRPr="00C35766">
        <w:rPr>
          <w:rFonts w:eastAsia="Times New Roman"/>
          <w:lang w:val="it-IT"/>
        </w:rPr>
        <w:t>cicatrice</w:t>
      </w:r>
    </w:p>
    <w:p w14:paraId="115E8B2A" w14:textId="77777777" w:rsidR="00BE1C70" w:rsidRPr="00C35766" w:rsidRDefault="00BE1C70" w:rsidP="00BE1C70">
      <w:pPr>
        <w:pStyle w:val="a3"/>
        <w:numPr>
          <w:ilvl w:val="0"/>
          <w:numId w:val="15"/>
        </w:numPr>
        <w:ind w:left="660" w:hanging="660"/>
      </w:pPr>
      <w:r w:rsidRPr="00C35766">
        <w:rPr>
          <w:rFonts w:eastAsia="Times New Roman"/>
          <w:lang w:val="it-IT"/>
        </w:rPr>
        <w:t>anormale catabolismo muscolare</w:t>
      </w:r>
    </w:p>
    <w:p w14:paraId="730D940F" w14:textId="77777777" w:rsidR="00BE1C70" w:rsidRPr="00C35766" w:rsidRDefault="00BE1C70" w:rsidP="00BE1C70">
      <w:pPr>
        <w:pStyle w:val="a3"/>
        <w:numPr>
          <w:ilvl w:val="0"/>
          <w:numId w:val="15"/>
        </w:numPr>
        <w:ind w:left="660" w:hanging="660"/>
        <w:rPr>
          <w:rFonts w:eastAsia="Times New Roman"/>
          <w:spacing w:val="-1"/>
          <w:lang w:val="es-ES"/>
        </w:rPr>
      </w:pPr>
      <w:r w:rsidRPr="00C35766">
        <w:rPr>
          <w:rFonts w:eastAsia="Times New Roman"/>
          <w:lang w:val="it-IT"/>
        </w:rPr>
        <w:t>lupus eritematoso sistemico (tra cui infiammazione della pelle, del cuore, del polmone, delle articolazioni e di altri organi)</w:t>
      </w:r>
    </w:p>
    <w:p w14:paraId="6AF6006D" w14:textId="77777777" w:rsidR="00BE1C70" w:rsidRPr="00C35766" w:rsidRDefault="00BE1C70" w:rsidP="00BE1C70">
      <w:pPr>
        <w:pStyle w:val="a3"/>
        <w:numPr>
          <w:ilvl w:val="0"/>
          <w:numId w:val="15"/>
        </w:numPr>
        <w:ind w:left="660" w:hanging="660"/>
      </w:pPr>
      <w:r w:rsidRPr="00C35766">
        <w:rPr>
          <w:rFonts w:eastAsia="Times New Roman"/>
          <w:lang w:val="it-IT"/>
        </w:rPr>
        <w:t>sonno interrotto</w:t>
      </w:r>
    </w:p>
    <w:p w14:paraId="7A7B54E6" w14:textId="77777777" w:rsidR="00BE1C70" w:rsidRPr="00C35766" w:rsidRDefault="00BE1C70" w:rsidP="00BE1C70">
      <w:pPr>
        <w:pStyle w:val="a3"/>
        <w:numPr>
          <w:ilvl w:val="0"/>
          <w:numId w:val="15"/>
        </w:numPr>
        <w:ind w:left="660" w:hanging="660"/>
      </w:pPr>
      <w:r w:rsidRPr="00C35766">
        <w:rPr>
          <w:rFonts w:eastAsia="Times New Roman"/>
          <w:lang w:val="it-IT"/>
        </w:rPr>
        <w:t>impotenza</w:t>
      </w:r>
    </w:p>
    <w:p w14:paraId="6874ECC5" w14:textId="77777777" w:rsidR="00BE1C70" w:rsidRPr="00C35766" w:rsidRDefault="00BE1C70" w:rsidP="00BE1C70">
      <w:pPr>
        <w:pStyle w:val="a3"/>
        <w:numPr>
          <w:ilvl w:val="0"/>
          <w:numId w:val="15"/>
        </w:numPr>
        <w:ind w:left="660" w:hanging="660"/>
      </w:pPr>
      <w:r w:rsidRPr="00C35766">
        <w:rPr>
          <w:rFonts w:eastAsia="Times New Roman"/>
          <w:lang w:val="it-IT"/>
        </w:rPr>
        <w:t>infiammazioni</w:t>
      </w:r>
    </w:p>
    <w:p w14:paraId="68AC2D16" w14:textId="77777777" w:rsidR="00BE1C70" w:rsidRPr="00C35766" w:rsidRDefault="00BE1C70" w:rsidP="00BE1C70">
      <w:pPr>
        <w:spacing w:before="13" w:line="240" w:lineRule="exact"/>
        <w:rPr>
          <w:rFonts w:ascii="Times New Roman" w:hAnsi="Times New Roman" w:cs="Times New Roman"/>
          <w:sz w:val="24"/>
          <w:szCs w:val="24"/>
        </w:rPr>
      </w:pPr>
    </w:p>
    <w:p w14:paraId="304A97EF" w14:textId="5BA1270E" w:rsidR="00BE1C70" w:rsidRPr="00824699" w:rsidRDefault="00BE1C70" w:rsidP="00BE1C70">
      <w:pPr>
        <w:pStyle w:val="a3"/>
        <w:rPr>
          <w:lang w:val="it-IT"/>
        </w:rPr>
      </w:pPr>
      <w:r w:rsidRPr="00C35766">
        <w:rPr>
          <w:rFonts w:eastAsia="Times New Roman"/>
          <w:b/>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38B377BA" w14:textId="77777777" w:rsidR="00BE1C70" w:rsidRPr="00824699" w:rsidRDefault="00BE1C70" w:rsidP="00BE1C70">
      <w:pPr>
        <w:spacing w:before="12" w:line="240" w:lineRule="exact"/>
        <w:rPr>
          <w:rFonts w:ascii="Times New Roman" w:hAnsi="Times New Roman" w:cs="Times New Roman"/>
          <w:sz w:val="24"/>
          <w:szCs w:val="24"/>
          <w:lang w:val="it-IT"/>
        </w:rPr>
      </w:pPr>
    </w:p>
    <w:p w14:paraId="5804F47C"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leucemia (un tumore che colpisce il sangue e il midollo osseo)</w:t>
      </w:r>
    </w:p>
    <w:p w14:paraId="512411B0" w14:textId="77777777" w:rsidR="00BE1C70" w:rsidRPr="00C35766" w:rsidRDefault="00BE1C70" w:rsidP="00BE1C70">
      <w:pPr>
        <w:pStyle w:val="a3"/>
        <w:numPr>
          <w:ilvl w:val="0"/>
          <w:numId w:val="15"/>
        </w:numPr>
        <w:ind w:left="660" w:hanging="660"/>
      </w:pPr>
      <w:r w:rsidRPr="00C35766">
        <w:rPr>
          <w:rFonts w:eastAsia="Times New Roman"/>
          <w:lang w:val="it-IT"/>
        </w:rPr>
        <w:t>reazione allergica grave con shock</w:t>
      </w:r>
    </w:p>
    <w:p w14:paraId="6FC76234" w14:textId="77777777" w:rsidR="00BE1C70" w:rsidRPr="00C35766" w:rsidRDefault="00BE1C70" w:rsidP="00BE1C70">
      <w:pPr>
        <w:pStyle w:val="a3"/>
        <w:numPr>
          <w:ilvl w:val="0"/>
          <w:numId w:val="15"/>
        </w:numPr>
        <w:ind w:left="660" w:hanging="660"/>
      </w:pPr>
      <w:r w:rsidRPr="00C35766">
        <w:rPr>
          <w:rFonts w:eastAsia="Times New Roman"/>
          <w:lang w:val="it-IT"/>
        </w:rPr>
        <w:t>sclerosi multipla</w:t>
      </w:r>
    </w:p>
    <w:p w14:paraId="4F0F59DA"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disturbi neurologici (come infiammazione del nervo ottico e sindrome di Guillain-Barré che può causare debolezza muscolare, sensazioni ano</w:t>
      </w:r>
      <w:r w:rsidRPr="00C35766">
        <w:rPr>
          <w:rFonts w:eastAsia="맑은 고딕"/>
          <w:lang w:val="it-IT" w:eastAsia="ko-KR"/>
        </w:rPr>
        <w:t>r</w:t>
      </w:r>
      <w:r w:rsidRPr="00C35766">
        <w:rPr>
          <w:rFonts w:eastAsia="Times New Roman"/>
          <w:lang w:val="it-IT"/>
        </w:rPr>
        <w:t>mali, formicolio alle braccia ed alla parte superiore del corpo)</w:t>
      </w:r>
    </w:p>
    <w:p w14:paraId="1AF6EEDE" w14:textId="77777777" w:rsidR="00BE1C70" w:rsidRPr="00C35766" w:rsidRDefault="00BE1C70" w:rsidP="00BE1C70">
      <w:pPr>
        <w:pStyle w:val="a3"/>
        <w:numPr>
          <w:ilvl w:val="0"/>
          <w:numId w:val="15"/>
        </w:numPr>
        <w:ind w:left="660" w:hanging="660"/>
      </w:pPr>
      <w:r w:rsidRPr="00C35766">
        <w:rPr>
          <w:rFonts w:eastAsia="Times New Roman"/>
          <w:lang w:val="it-IT"/>
        </w:rPr>
        <w:t>arresto cardiaco</w:t>
      </w:r>
    </w:p>
    <w:p w14:paraId="0E3678FE"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fibrosi polmonare (cicatrici del polmone)</w:t>
      </w:r>
    </w:p>
    <w:p w14:paraId="5ACC608B" w14:textId="77777777" w:rsidR="00BE1C70" w:rsidRPr="00C35766" w:rsidRDefault="00BE1C70" w:rsidP="00BE1C70">
      <w:pPr>
        <w:pStyle w:val="a3"/>
        <w:numPr>
          <w:ilvl w:val="0"/>
          <w:numId w:val="15"/>
        </w:numPr>
        <w:ind w:left="660" w:hanging="660"/>
      </w:pPr>
      <w:r w:rsidRPr="00C35766">
        <w:rPr>
          <w:rFonts w:eastAsia="Times New Roman"/>
          <w:lang w:val="it-IT"/>
        </w:rPr>
        <w:t>perforazione intestinale (foro nell’intestino)</w:t>
      </w:r>
    </w:p>
    <w:p w14:paraId="6DA09E24" w14:textId="77777777" w:rsidR="00BE1C70" w:rsidRPr="00C35766" w:rsidRDefault="00BE1C70" w:rsidP="00BE1C70">
      <w:pPr>
        <w:pStyle w:val="a3"/>
        <w:numPr>
          <w:ilvl w:val="0"/>
          <w:numId w:val="15"/>
        </w:numPr>
        <w:ind w:left="660" w:hanging="660"/>
      </w:pPr>
      <w:r w:rsidRPr="00C35766">
        <w:rPr>
          <w:rFonts w:eastAsia="Times New Roman"/>
          <w:lang w:val="it-IT"/>
        </w:rPr>
        <w:t>epatite</w:t>
      </w:r>
    </w:p>
    <w:p w14:paraId="45DFCFA0" w14:textId="77777777" w:rsidR="00BE1C70" w:rsidRPr="00C35766" w:rsidRDefault="00BE1C70" w:rsidP="00BE1C70">
      <w:pPr>
        <w:pStyle w:val="a3"/>
        <w:numPr>
          <w:ilvl w:val="0"/>
          <w:numId w:val="15"/>
        </w:numPr>
        <w:ind w:left="660" w:hanging="660"/>
      </w:pPr>
      <w:r w:rsidRPr="00C35766">
        <w:rPr>
          <w:rFonts w:eastAsia="Times New Roman"/>
          <w:lang w:val="it-IT"/>
        </w:rPr>
        <w:t>riattivazione dell’epatite B</w:t>
      </w:r>
    </w:p>
    <w:p w14:paraId="362D1367"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epatite autoimmune (infiammazione del fegato causata dal proprio sistema immunitario)</w:t>
      </w:r>
    </w:p>
    <w:p w14:paraId="7A4E2DEE"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vasculite cutanea (infiammazione dei vasi sanguigni della pelle)</w:t>
      </w:r>
    </w:p>
    <w:p w14:paraId="244509A9"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sindrome di Stevens-Johnson (i sintomi precoci includono malessere, febbre, mal di testa ed eruzione cutanea)</w:t>
      </w:r>
    </w:p>
    <w:p w14:paraId="0790582A"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edema facciale (gonfiore del viso) associato a reazioni allergiche</w:t>
      </w:r>
    </w:p>
    <w:p w14:paraId="4792E679" w14:textId="77777777" w:rsidR="00BE1C70" w:rsidRPr="00C35766" w:rsidRDefault="00BE1C70" w:rsidP="00BE1C70">
      <w:pPr>
        <w:pStyle w:val="a3"/>
        <w:numPr>
          <w:ilvl w:val="0"/>
          <w:numId w:val="15"/>
        </w:numPr>
        <w:ind w:left="660" w:hanging="660"/>
        <w:rPr>
          <w:lang w:val="it-IT"/>
        </w:rPr>
      </w:pPr>
      <w:r w:rsidRPr="00C35766">
        <w:rPr>
          <w:rFonts w:eastAsia="Times New Roman"/>
          <w:lang w:val="it-IT"/>
        </w:rPr>
        <w:t>eritema multiforme (eruzione cutanea infiammatoria)</w:t>
      </w:r>
    </w:p>
    <w:p w14:paraId="69A09808" w14:textId="77777777" w:rsidR="00BE1C70" w:rsidRPr="00C35766" w:rsidRDefault="00BE1C70" w:rsidP="00BE1C70">
      <w:pPr>
        <w:pStyle w:val="a3"/>
        <w:numPr>
          <w:ilvl w:val="0"/>
          <w:numId w:val="15"/>
        </w:numPr>
        <w:ind w:left="660" w:hanging="660"/>
      </w:pPr>
      <w:r w:rsidRPr="00C35766">
        <w:rPr>
          <w:rFonts w:eastAsia="Times New Roman"/>
          <w:lang w:val="it-IT"/>
        </w:rPr>
        <w:t>sindrome simile al lupus</w:t>
      </w:r>
    </w:p>
    <w:p w14:paraId="50F55035"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angioedema (gonfiore localizzato della pelle)</w:t>
      </w:r>
    </w:p>
    <w:p w14:paraId="6E12F145"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reazione cutanea lichenoide (eruzione cutanea rosso-violacea pruriginosa)</w:t>
      </w:r>
    </w:p>
    <w:p w14:paraId="67BED31C" w14:textId="77777777" w:rsidR="00BE1C70" w:rsidRPr="00C35766" w:rsidRDefault="00BE1C70" w:rsidP="00BE1C70">
      <w:pPr>
        <w:spacing w:before="10" w:line="240" w:lineRule="exact"/>
        <w:rPr>
          <w:rFonts w:ascii="Times New Roman" w:hAnsi="Times New Roman" w:cs="Times New Roman"/>
          <w:sz w:val="24"/>
          <w:szCs w:val="24"/>
          <w:lang w:val="pt-BR"/>
        </w:rPr>
      </w:pPr>
    </w:p>
    <w:p w14:paraId="1EB5BA82" w14:textId="77777777" w:rsidR="00BE1C70" w:rsidRPr="00824699" w:rsidRDefault="00BE1C70" w:rsidP="00BE1C70">
      <w:pPr>
        <w:pStyle w:val="a3"/>
        <w:rPr>
          <w:lang w:val="it-IT"/>
        </w:rPr>
      </w:pPr>
      <w:r w:rsidRPr="00C35766">
        <w:rPr>
          <w:rFonts w:eastAsia="Times New Roman"/>
          <w:b/>
          <w:bCs/>
          <w:lang w:val="it-IT"/>
        </w:rPr>
        <w:t xml:space="preserve">Non nota </w:t>
      </w:r>
      <w:r w:rsidRPr="00C35766">
        <w:rPr>
          <w:rFonts w:eastAsia="Times New Roman"/>
          <w:lang w:val="it-IT"/>
        </w:rPr>
        <w:t>(la frequenza non può essere definita sulla base dei dati disponibili):</w:t>
      </w:r>
    </w:p>
    <w:p w14:paraId="3CC0BED4" w14:textId="77777777" w:rsidR="00BE1C70" w:rsidRPr="00824699" w:rsidRDefault="00BE1C70" w:rsidP="00BE1C70">
      <w:pPr>
        <w:spacing w:before="14" w:line="240" w:lineRule="exact"/>
        <w:rPr>
          <w:rFonts w:ascii="Times New Roman" w:hAnsi="Times New Roman" w:cs="Times New Roman"/>
          <w:sz w:val="24"/>
          <w:szCs w:val="24"/>
          <w:lang w:val="it-IT"/>
        </w:rPr>
      </w:pPr>
    </w:p>
    <w:p w14:paraId="4965AE4C"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linfoma epato-splenico a cellule T (un raro tumore del sangue che spesso risulta fatale)</w:t>
      </w:r>
    </w:p>
    <w:p w14:paraId="5CDC66EF"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carcinoma a cellule di Merkel (un tipo di cancro della pelle)</w:t>
      </w:r>
    </w:p>
    <w:p w14:paraId="0E65CA0D" w14:textId="77777777" w:rsidR="00BE1C70" w:rsidRPr="00C35766" w:rsidRDefault="00BE1C70" w:rsidP="00BE1C70">
      <w:pPr>
        <w:pStyle w:val="a3"/>
        <w:numPr>
          <w:ilvl w:val="0"/>
          <w:numId w:val="15"/>
        </w:numPr>
        <w:ind w:left="660" w:hanging="660"/>
        <w:rPr>
          <w:lang w:val="es-ES"/>
        </w:rPr>
      </w:pPr>
      <w:r w:rsidRPr="00C35766">
        <w:rPr>
          <w:rFonts w:eastAsia="Times New Roman"/>
          <w:lang w:val="it-IT"/>
        </w:rPr>
        <w:t>sarcoma di Kaposi, un raro tumore associato all’infezione da herpes virus umano 8. Il sarcoma di Kaposi appare più comunemente come lesioni viola sulla pelle.</w:t>
      </w:r>
    </w:p>
    <w:p w14:paraId="7205056C" w14:textId="77777777" w:rsidR="00BE1C70" w:rsidRPr="00C35766" w:rsidRDefault="00BE1C70" w:rsidP="00BE1C70">
      <w:pPr>
        <w:pStyle w:val="a3"/>
        <w:numPr>
          <w:ilvl w:val="0"/>
          <w:numId w:val="15"/>
        </w:numPr>
        <w:ind w:left="660" w:hanging="660"/>
      </w:pPr>
      <w:r w:rsidRPr="00C35766">
        <w:rPr>
          <w:rFonts w:eastAsia="Times New Roman"/>
          <w:lang w:val="it-IT"/>
        </w:rPr>
        <w:t>insufficienza epatica</w:t>
      </w:r>
    </w:p>
    <w:p w14:paraId="45AE02FC"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 xml:space="preserve">peggioramento di una condizione chiamata dermatomiosite (che si manifesta come eruzione cutanea </w:t>
      </w:r>
      <w:r w:rsidRPr="00C35766">
        <w:rPr>
          <w:rFonts w:eastAsia="Times New Roman"/>
          <w:lang w:val="it-IT"/>
        </w:rPr>
        <w:lastRenderedPageBreak/>
        <w:t>accompagnata da debolezza muscolare)</w:t>
      </w:r>
    </w:p>
    <w:p w14:paraId="3FB5560A" w14:textId="3A926601" w:rsidR="00BE1C70" w:rsidRPr="00C35766" w:rsidRDefault="00BE1C70" w:rsidP="00BE1C70">
      <w:pPr>
        <w:pStyle w:val="a3"/>
        <w:numPr>
          <w:ilvl w:val="0"/>
          <w:numId w:val="15"/>
        </w:numPr>
        <w:ind w:left="660" w:hanging="660"/>
        <w:rPr>
          <w:lang w:val="pt-BR"/>
        </w:rPr>
      </w:pPr>
      <w:r>
        <w:rPr>
          <w:rFonts w:eastAsia="Times New Roman"/>
          <w:lang w:val="it-IT"/>
        </w:rPr>
        <w:t>a</w:t>
      </w:r>
      <w:r w:rsidRPr="00C35766">
        <w:rPr>
          <w:rFonts w:eastAsia="Times New Roman"/>
          <w:lang w:val="it-IT"/>
        </w:rPr>
        <w:t xml:space="preserve">umento di peso (per la maggior parte dei pazienti l’aumento di peso è stato </w:t>
      </w:r>
      <w:r w:rsidR="00006AFE">
        <w:rPr>
          <w:rFonts w:eastAsia="Times New Roman"/>
          <w:lang w:val="it-IT"/>
        </w:rPr>
        <w:t>lieve</w:t>
      </w:r>
      <w:r w:rsidRPr="00C35766">
        <w:rPr>
          <w:rFonts w:eastAsia="Times New Roman"/>
          <w:lang w:val="it-IT"/>
        </w:rPr>
        <w:t>)</w:t>
      </w:r>
    </w:p>
    <w:p w14:paraId="2AB284F7" w14:textId="77777777" w:rsidR="00BE1C70" w:rsidRPr="00C35766" w:rsidRDefault="00BE1C70" w:rsidP="00BE1C70">
      <w:pPr>
        <w:pStyle w:val="a3"/>
        <w:numPr>
          <w:ilvl w:val="0"/>
          <w:numId w:val="0"/>
        </w:numPr>
        <w:rPr>
          <w:lang w:val="pt-BR"/>
        </w:rPr>
      </w:pPr>
    </w:p>
    <w:p w14:paraId="1DA3CE93" w14:textId="77777777" w:rsidR="00BE1C70" w:rsidRPr="00C35766" w:rsidRDefault="00BE1C70" w:rsidP="00BE1C70">
      <w:pPr>
        <w:pStyle w:val="a3"/>
        <w:rPr>
          <w:lang w:val="pt-BR"/>
        </w:rPr>
      </w:pPr>
      <w:r w:rsidRPr="00C35766">
        <w:rPr>
          <w:rFonts w:eastAsia="Times New Roman"/>
          <w:lang w:val="it-IT"/>
        </w:rPr>
        <w:t>Alcuni degli effetti indesiderati osservati con Yuflyma possono essere asintomatici e possono essere individuati solo attraverso gli esami del sangue. Questi includono:</w:t>
      </w:r>
    </w:p>
    <w:p w14:paraId="3038A4E3" w14:textId="77777777" w:rsidR="00BE1C70" w:rsidRPr="00C35766" w:rsidRDefault="00BE1C70" w:rsidP="00BE1C70">
      <w:pPr>
        <w:pStyle w:val="a3"/>
        <w:rPr>
          <w:lang w:val="pt-BR"/>
        </w:rPr>
      </w:pPr>
    </w:p>
    <w:p w14:paraId="081A56E2" w14:textId="77777777" w:rsidR="00BE1C70" w:rsidRPr="00C35766" w:rsidRDefault="00BE1C70" w:rsidP="00BE1C70">
      <w:pPr>
        <w:pStyle w:val="a3"/>
        <w:rPr>
          <w:rFonts w:eastAsia="Times New Roman"/>
          <w:lang w:val="pt-BR"/>
        </w:rPr>
      </w:pPr>
      <w:r w:rsidRPr="00C35766">
        <w:rPr>
          <w:rFonts w:eastAsia="Times New Roman"/>
          <w:b/>
          <w:bCs/>
          <w:spacing w:val="-1"/>
          <w:lang w:val="it-IT"/>
        </w:rPr>
        <w:t xml:space="preserve">Molto comuni </w:t>
      </w:r>
      <w:r w:rsidRPr="00C35766">
        <w:rPr>
          <w:rFonts w:eastAsia="Times New Roman"/>
          <w:spacing w:val="-1"/>
          <w:lang w:val="it-IT"/>
        </w:rPr>
        <w:t>(possono interessare più di 1 persona su 10)</w:t>
      </w:r>
    </w:p>
    <w:p w14:paraId="7583DB57" w14:textId="77777777" w:rsidR="00BE1C70" w:rsidRPr="00C35766" w:rsidRDefault="00BE1C70" w:rsidP="00BE1C70">
      <w:pPr>
        <w:pStyle w:val="a3"/>
        <w:rPr>
          <w:lang w:val="pt-BR"/>
        </w:rPr>
      </w:pPr>
    </w:p>
    <w:p w14:paraId="5E827E22" w14:textId="77777777" w:rsidR="00BE1C70" w:rsidRPr="00C35766" w:rsidRDefault="00BE1C70" w:rsidP="00BE1C70">
      <w:pPr>
        <w:pStyle w:val="a3"/>
        <w:numPr>
          <w:ilvl w:val="0"/>
          <w:numId w:val="15"/>
        </w:numPr>
        <w:ind w:left="660" w:hanging="660"/>
      </w:pPr>
      <w:r w:rsidRPr="00C35766">
        <w:rPr>
          <w:rFonts w:eastAsia="Times New Roman"/>
          <w:lang w:val="it-IT"/>
        </w:rPr>
        <w:t>bassa conta dei globuli bianchi</w:t>
      </w:r>
    </w:p>
    <w:p w14:paraId="4F2DBCFC" w14:textId="77777777" w:rsidR="00BE1C70" w:rsidRPr="00C35766" w:rsidRDefault="00BE1C70" w:rsidP="00BE1C70">
      <w:pPr>
        <w:pStyle w:val="a3"/>
        <w:numPr>
          <w:ilvl w:val="0"/>
          <w:numId w:val="15"/>
        </w:numPr>
        <w:ind w:left="660" w:hanging="660"/>
      </w:pPr>
      <w:r w:rsidRPr="00C35766">
        <w:rPr>
          <w:rFonts w:eastAsia="Times New Roman"/>
          <w:lang w:val="it-IT"/>
        </w:rPr>
        <w:t>bassa conta dei globuli rossi</w:t>
      </w:r>
    </w:p>
    <w:p w14:paraId="28B7F933" w14:textId="77777777" w:rsidR="00BE1C70" w:rsidRPr="00C35766" w:rsidRDefault="00BE1C70" w:rsidP="00BE1C70">
      <w:pPr>
        <w:pStyle w:val="a3"/>
        <w:numPr>
          <w:ilvl w:val="0"/>
          <w:numId w:val="15"/>
        </w:numPr>
        <w:ind w:left="660" w:hanging="660"/>
      </w:pPr>
      <w:r w:rsidRPr="00C35766">
        <w:rPr>
          <w:rFonts w:eastAsia="Times New Roman"/>
          <w:lang w:val="it-IT"/>
        </w:rPr>
        <w:t>aumento dei lipidi nel sangue</w:t>
      </w:r>
    </w:p>
    <w:p w14:paraId="34DFD15A" w14:textId="77777777" w:rsidR="00BE1C70" w:rsidRPr="00C35766" w:rsidRDefault="00BE1C70" w:rsidP="00BE1C70">
      <w:pPr>
        <w:pStyle w:val="a3"/>
        <w:numPr>
          <w:ilvl w:val="0"/>
          <w:numId w:val="15"/>
        </w:numPr>
        <w:ind w:left="660" w:hanging="660"/>
      </w:pPr>
      <w:r w:rsidRPr="00C35766">
        <w:rPr>
          <w:rFonts w:eastAsia="Times New Roman"/>
          <w:lang w:val="it-IT"/>
        </w:rPr>
        <w:t>aumento degli enzimi epatici</w:t>
      </w:r>
    </w:p>
    <w:p w14:paraId="096F298A" w14:textId="77777777" w:rsidR="00BE1C70" w:rsidRPr="00C35766" w:rsidRDefault="00BE1C70" w:rsidP="00BE1C70">
      <w:pPr>
        <w:spacing w:before="10" w:line="240" w:lineRule="exact"/>
        <w:rPr>
          <w:rFonts w:ascii="Times New Roman" w:hAnsi="Times New Roman" w:cs="Times New Roman"/>
          <w:sz w:val="24"/>
          <w:szCs w:val="24"/>
        </w:rPr>
      </w:pPr>
    </w:p>
    <w:p w14:paraId="08993D52" w14:textId="77777777" w:rsidR="00BE1C70" w:rsidRPr="00C35766" w:rsidRDefault="00BE1C70" w:rsidP="00BE1C70">
      <w:pPr>
        <w:pStyle w:val="a3"/>
        <w:rPr>
          <w:lang w:val="pt-BR"/>
        </w:rPr>
      </w:pPr>
      <w:r w:rsidRPr="00C35766">
        <w:rPr>
          <w:rFonts w:eastAsia="Times New Roman"/>
          <w:b/>
          <w:bCs/>
          <w:lang w:val="it-IT"/>
        </w:rPr>
        <w:t xml:space="preserve">Comuni </w:t>
      </w:r>
      <w:r w:rsidRPr="00C35766">
        <w:rPr>
          <w:rFonts w:eastAsia="Times New Roman"/>
          <w:lang w:val="it-IT"/>
        </w:rPr>
        <w:t>(possono interessare fino a 1 persona su 10)</w:t>
      </w:r>
    </w:p>
    <w:p w14:paraId="79D23060" w14:textId="77777777" w:rsidR="00BE1C70" w:rsidRPr="00C35766" w:rsidRDefault="00BE1C70" w:rsidP="00BE1C70">
      <w:pPr>
        <w:spacing w:before="14" w:line="240" w:lineRule="exact"/>
        <w:rPr>
          <w:rFonts w:ascii="Times New Roman" w:hAnsi="Times New Roman" w:cs="Times New Roman"/>
          <w:sz w:val="24"/>
          <w:szCs w:val="24"/>
          <w:lang w:val="pt-BR"/>
        </w:rPr>
      </w:pPr>
    </w:p>
    <w:p w14:paraId="0F96DEEB"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aumento della conta dei globuli bianchi</w:t>
      </w:r>
    </w:p>
    <w:p w14:paraId="29F2A395" w14:textId="77777777" w:rsidR="00BE1C70" w:rsidRPr="00C35766" w:rsidRDefault="00BE1C70" w:rsidP="00BE1C70">
      <w:pPr>
        <w:pStyle w:val="a3"/>
        <w:numPr>
          <w:ilvl w:val="0"/>
          <w:numId w:val="15"/>
        </w:numPr>
        <w:ind w:left="660" w:hanging="660"/>
      </w:pPr>
      <w:r w:rsidRPr="00C35766">
        <w:rPr>
          <w:rFonts w:eastAsia="Times New Roman"/>
          <w:lang w:val="it-IT"/>
        </w:rPr>
        <w:t>riduzione delle piastrine nel sangue</w:t>
      </w:r>
    </w:p>
    <w:p w14:paraId="5C7A462C" w14:textId="77777777" w:rsidR="00BE1C70" w:rsidRPr="00C35766" w:rsidRDefault="00BE1C70" w:rsidP="00BE1C70">
      <w:pPr>
        <w:pStyle w:val="a3"/>
        <w:numPr>
          <w:ilvl w:val="0"/>
          <w:numId w:val="15"/>
        </w:numPr>
        <w:ind w:left="660" w:hanging="660"/>
      </w:pPr>
      <w:r w:rsidRPr="00C35766">
        <w:rPr>
          <w:rFonts w:eastAsia="Times New Roman"/>
          <w:lang w:val="it-IT"/>
        </w:rPr>
        <w:t>aumento dell’acido urico nel sangue</w:t>
      </w:r>
    </w:p>
    <w:p w14:paraId="59E2E4EB" w14:textId="77777777" w:rsidR="00BE1C70" w:rsidRPr="00C35766" w:rsidRDefault="00BE1C70" w:rsidP="00BE1C70">
      <w:pPr>
        <w:pStyle w:val="a3"/>
        <w:numPr>
          <w:ilvl w:val="0"/>
          <w:numId w:val="15"/>
        </w:numPr>
        <w:ind w:left="660" w:hanging="660"/>
      </w:pPr>
      <w:r w:rsidRPr="00C35766">
        <w:rPr>
          <w:rFonts w:eastAsia="Times New Roman"/>
          <w:lang w:val="it-IT"/>
        </w:rPr>
        <w:t>alterazione del sodio nel sangue</w:t>
      </w:r>
    </w:p>
    <w:p w14:paraId="7074EA87" w14:textId="77777777" w:rsidR="00BE1C70" w:rsidRPr="00C35766" w:rsidRDefault="00BE1C70" w:rsidP="00BE1C70">
      <w:pPr>
        <w:pStyle w:val="a3"/>
        <w:numPr>
          <w:ilvl w:val="0"/>
          <w:numId w:val="15"/>
        </w:numPr>
        <w:ind w:left="660" w:hanging="660"/>
      </w:pPr>
      <w:r w:rsidRPr="00C35766">
        <w:rPr>
          <w:rFonts w:eastAsia="Times New Roman"/>
          <w:lang w:val="it-IT"/>
        </w:rPr>
        <w:t>riduzione del calcio nel sangue</w:t>
      </w:r>
    </w:p>
    <w:p w14:paraId="5056311B" w14:textId="77777777" w:rsidR="00BE1C70" w:rsidRPr="00C35766" w:rsidRDefault="00BE1C70" w:rsidP="00BE1C70">
      <w:pPr>
        <w:pStyle w:val="a3"/>
        <w:numPr>
          <w:ilvl w:val="0"/>
          <w:numId w:val="15"/>
        </w:numPr>
        <w:ind w:left="660" w:hanging="660"/>
      </w:pPr>
      <w:r w:rsidRPr="00C35766">
        <w:rPr>
          <w:rFonts w:eastAsia="Times New Roman"/>
          <w:lang w:val="it-IT"/>
        </w:rPr>
        <w:t>riduzione del fosfato nel sangue</w:t>
      </w:r>
    </w:p>
    <w:p w14:paraId="15A6C096" w14:textId="77777777" w:rsidR="00BE1C70" w:rsidRPr="00C35766" w:rsidRDefault="00BE1C70" w:rsidP="00BE1C70">
      <w:pPr>
        <w:pStyle w:val="a3"/>
        <w:numPr>
          <w:ilvl w:val="0"/>
          <w:numId w:val="15"/>
        </w:numPr>
        <w:ind w:left="660" w:hanging="660"/>
      </w:pPr>
      <w:r w:rsidRPr="00C35766">
        <w:rPr>
          <w:rFonts w:eastAsia="Times New Roman"/>
          <w:lang w:val="it-IT"/>
        </w:rPr>
        <w:t>aumento dello zucchero nel sangue</w:t>
      </w:r>
    </w:p>
    <w:p w14:paraId="393703EC"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aumento della lattato deidrogenasi nel sangue</w:t>
      </w:r>
    </w:p>
    <w:p w14:paraId="0E9E4EE0" w14:textId="77777777" w:rsidR="00BE1C70" w:rsidRPr="00C35766" w:rsidRDefault="00BE1C70" w:rsidP="00BE1C70">
      <w:pPr>
        <w:pStyle w:val="a3"/>
        <w:numPr>
          <w:ilvl w:val="0"/>
          <w:numId w:val="15"/>
        </w:numPr>
        <w:ind w:left="660" w:hanging="660"/>
      </w:pPr>
      <w:r w:rsidRPr="00C35766">
        <w:rPr>
          <w:rFonts w:eastAsia="Times New Roman"/>
          <w:lang w:val="it-IT"/>
        </w:rPr>
        <w:t>presenza di autoanticorpi nel sangue</w:t>
      </w:r>
    </w:p>
    <w:p w14:paraId="6A44AE8E" w14:textId="77777777" w:rsidR="00BE1C70" w:rsidRPr="00C35766" w:rsidRDefault="00BE1C70" w:rsidP="00BE1C70">
      <w:pPr>
        <w:pStyle w:val="a3"/>
        <w:numPr>
          <w:ilvl w:val="0"/>
          <w:numId w:val="15"/>
        </w:numPr>
        <w:ind w:left="660" w:hanging="660"/>
      </w:pPr>
      <w:r w:rsidRPr="00C35766">
        <w:rPr>
          <w:rFonts w:eastAsia="Times New Roman"/>
          <w:lang w:val="it-IT"/>
        </w:rPr>
        <w:t>riduzione del potassio nel sangue</w:t>
      </w:r>
    </w:p>
    <w:p w14:paraId="67E96CDA" w14:textId="77777777" w:rsidR="00BE1C70" w:rsidRPr="00C35766" w:rsidRDefault="00BE1C70" w:rsidP="00BE1C70">
      <w:pPr>
        <w:spacing w:before="13" w:line="240" w:lineRule="exact"/>
        <w:rPr>
          <w:rFonts w:ascii="Times New Roman" w:hAnsi="Times New Roman" w:cs="Times New Roman"/>
          <w:sz w:val="24"/>
          <w:szCs w:val="24"/>
        </w:rPr>
      </w:pPr>
    </w:p>
    <w:p w14:paraId="0101DD49" w14:textId="77777777" w:rsidR="00BE1C70" w:rsidRPr="00824699" w:rsidRDefault="00BE1C70" w:rsidP="00BE1C70">
      <w:pPr>
        <w:rPr>
          <w:rFonts w:ascii="Times New Roman" w:eastAsia="Times New Roman" w:hAnsi="Times New Roman" w:cs="Times New Roman"/>
          <w:lang w:val="it-IT"/>
        </w:rPr>
      </w:pPr>
      <w:r w:rsidRPr="00C35766">
        <w:rPr>
          <w:rFonts w:ascii="Times New Roman" w:eastAsia="Times New Roman" w:hAnsi="Times New Roman" w:cs="Times New Roman"/>
          <w:b/>
          <w:bCs/>
          <w:spacing w:val="-1"/>
          <w:lang w:val="it-IT"/>
        </w:rPr>
        <w:t xml:space="preserve">Non comuni </w:t>
      </w:r>
      <w:r w:rsidRPr="00C35766">
        <w:rPr>
          <w:rFonts w:ascii="Times New Roman" w:eastAsia="Times New Roman" w:hAnsi="Times New Roman" w:cs="Times New Roman"/>
          <w:spacing w:val="-1"/>
          <w:lang w:val="it-IT"/>
        </w:rPr>
        <w:t>(possono interessare fino a 1 persona su 100)</w:t>
      </w:r>
    </w:p>
    <w:p w14:paraId="3F92F730" w14:textId="77777777" w:rsidR="00BE1C70" w:rsidRPr="00824699" w:rsidRDefault="00BE1C70" w:rsidP="00BE1C70">
      <w:pPr>
        <w:spacing w:before="12" w:line="240" w:lineRule="exact"/>
        <w:rPr>
          <w:rFonts w:ascii="Times New Roman" w:hAnsi="Times New Roman" w:cs="Times New Roman"/>
          <w:sz w:val="24"/>
          <w:szCs w:val="24"/>
          <w:lang w:val="it-IT"/>
        </w:rPr>
      </w:pPr>
    </w:p>
    <w:p w14:paraId="0421B2BA" w14:textId="77777777" w:rsidR="00BE1C70" w:rsidRPr="00824699" w:rsidRDefault="00BE1C70" w:rsidP="00BE1C70">
      <w:pPr>
        <w:pStyle w:val="a3"/>
        <w:numPr>
          <w:ilvl w:val="0"/>
          <w:numId w:val="15"/>
        </w:numPr>
        <w:ind w:left="660" w:hanging="660"/>
        <w:rPr>
          <w:lang w:val="it-IT"/>
        </w:rPr>
      </w:pPr>
      <w:r w:rsidRPr="00C35766">
        <w:rPr>
          <w:rFonts w:eastAsia="Times New Roman"/>
          <w:lang w:val="it-IT"/>
        </w:rPr>
        <w:t>livelli elevati di bilirubina (esame del sangue relativo al fegato)</w:t>
      </w:r>
    </w:p>
    <w:p w14:paraId="1BD230AF" w14:textId="77777777" w:rsidR="00BE1C70" w:rsidRPr="00824699" w:rsidRDefault="00BE1C70" w:rsidP="00BE1C70">
      <w:pPr>
        <w:spacing w:before="13" w:line="240" w:lineRule="exact"/>
        <w:rPr>
          <w:rFonts w:ascii="Times New Roman" w:hAnsi="Times New Roman" w:cs="Times New Roman"/>
          <w:sz w:val="24"/>
          <w:szCs w:val="24"/>
          <w:lang w:val="it-IT"/>
        </w:rPr>
      </w:pPr>
    </w:p>
    <w:p w14:paraId="69A27C5E" w14:textId="50642591" w:rsidR="00BE1C70" w:rsidRPr="00C35766" w:rsidRDefault="00BE1C70" w:rsidP="00BE1C70">
      <w:pPr>
        <w:pStyle w:val="a3"/>
        <w:rPr>
          <w:lang w:val="it-IT"/>
        </w:rPr>
      </w:pPr>
      <w:r w:rsidRPr="00C35766">
        <w:rPr>
          <w:rFonts w:eastAsia="Times New Roman"/>
          <w:b/>
          <w:bCs/>
          <w:lang w:val="it-IT"/>
        </w:rPr>
        <w:t>Raro</w:t>
      </w:r>
      <w:r w:rsidRPr="00C35766">
        <w:rPr>
          <w:rFonts w:eastAsia="Times New Roman"/>
          <w:bCs/>
          <w:lang w:val="it-IT"/>
        </w:rPr>
        <w:t xml:space="preserve"> (può interessare fino a 1 </w:t>
      </w:r>
      <w:r w:rsidR="00471BD2">
        <w:rPr>
          <w:rFonts w:eastAsia="Times New Roman"/>
          <w:bCs/>
          <w:lang w:val="it-IT"/>
        </w:rPr>
        <w:t xml:space="preserve">persona </w:t>
      </w:r>
      <w:r w:rsidRPr="00C35766">
        <w:rPr>
          <w:rFonts w:eastAsia="Times New Roman"/>
          <w:bCs/>
          <w:lang w:val="it-IT"/>
        </w:rPr>
        <w:t>su 1.000)</w:t>
      </w:r>
    </w:p>
    <w:p w14:paraId="198A1757" w14:textId="77777777" w:rsidR="00BE1C70" w:rsidRPr="00C35766" w:rsidRDefault="00BE1C70" w:rsidP="00BE1C70">
      <w:pPr>
        <w:spacing w:before="14" w:line="240" w:lineRule="exact"/>
        <w:rPr>
          <w:rFonts w:ascii="Times New Roman" w:hAnsi="Times New Roman" w:cs="Times New Roman"/>
          <w:sz w:val="24"/>
          <w:lang w:val="it-IT"/>
        </w:rPr>
      </w:pPr>
    </w:p>
    <w:p w14:paraId="61AE1B60" w14:textId="77777777" w:rsidR="00BE1C70" w:rsidRPr="00C35766" w:rsidRDefault="00BE1C70" w:rsidP="00BE1C70">
      <w:pPr>
        <w:pStyle w:val="a3"/>
        <w:numPr>
          <w:ilvl w:val="0"/>
          <w:numId w:val="15"/>
        </w:numPr>
        <w:ind w:left="660" w:hanging="660"/>
        <w:rPr>
          <w:lang w:val="pt-BR"/>
        </w:rPr>
      </w:pPr>
      <w:r w:rsidRPr="00C35766">
        <w:rPr>
          <w:rFonts w:eastAsia="Times New Roman"/>
          <w:lang w:val="it-IT"/>
        </w:rPr>
        <w:t xml:space="preserve">bassa conta dei globuli bianchi, dei globuli rossi e delle piastrine. </w:t>
      </w:r>
    </w:p>
    <w:p w14:paraId="6F5D299C" w14:textId="77777777" w:rsidR="00BE1C70" w:rsidRPr="00C35766" w:rsidRDefault="00BE1C70" w:rsidP="00BE1C70">
      <w:pPr>
        <w:spacing w:before="15" w:line="240" w:lineRule="exact"/>
        <w:rPr>
          <w:rFonts w:ascii="Times New Roman" w:hAnsi="Times New Roman" w:cs="Times New Roman"/>
          <w:sz w:val="24"/>
          <w:szCs w:val="24"/>
          <w:lang w:val="pt-BR"/>
        </w:rPr>
      </w:pPr>
    </w:p>
    <w:p w14:paraId="6412298D" w14:textId="77777777" w:rsidR="00BE1C70" w:rsidRPr="00C35766" w:rsidRDefault="00BE1C70" w:rsidP="00BE1C70">
      <w:pPr>
        <w:pStyle w:val="a3"/>
        <w:rPr>
          <w:b/>
          <w:lang w:val="pt-BR"/>
        </w:rPr>
      </w:pPr>
      <w:r w:rsidRPr="00C35766">
        <w:rPr>
          <w:rFonts w:eastAsia="Times New Roman"/>
          <w:b/>
          <w:bCs/>
          <w:lang w:val="it-IT"/>
        </w:rPr>
        <w:t>Segnalazione degli effetti indesiderati</w:t>
      </w:r>
    </w:p>
    <w:p w14:paraId="27D0E502" w14:textId="77777777" w:rsidR="00BE1C70" w:rsidRPr="00C35766" w:rsidRDefault="00BE1C70" w:rsidP="00BE1C70">
      <w:pPr>
        <w:pStyle w:val="a3"/>
        <w:rPr>
          <w:sz w:val="10"/>
          <w:szCs w:val="10"/>
          <w:lang w:val="pt-BR"/>
        </w:rPr>
      </w:pPr>
    </w:p>
    <w:p w14:paraId="13EE4EF4" w14:textId="6F24E4E1" w:rsidR="00BE1C70" w:rsidRPr="00C35766" w:rsidRDefault="00A6415F" w:rsidP="00BE1C70">
      <w:pPr>
        <w:pStyle w:val="a3"/>
        <w:rPr>
          <w:lang w:val="it-IT"/>
        </w:rPr>
      </w:pPr>
      <w:r w:rsidRPr="004F0B2E">
        <w:rPr>
          <w:lang w:val="it-IT"/>
        </w:rPr>
        <w:t>Se il bambino manifesta un qualsiasi effetto indesiderato, compresi quelli non elencati in questo foglio, si rivolga al pediatra o al farmacista</w:t>
      </w:r>
      <w:r w:rsidR="00BE1C70" w:rsidRPr="00C35766">
        <w:rPr>
          <w:rFonts w:eastAsia="Times New Roman"/>
          <w:lang w:val="it-IT"/>
        </w:rPr>
        <w:t xml:space="preserve">. Può inoltre segnalare gli effetti indesiderati direttamente tramite il </w:t>
      </w:r>
      <w:r w:rsidR="00BE1C70" w:rsidRPr="00C35766">
        <w:rPr>
          <w:rFonts w:eastAsia="Times New Roman"/>
          <w:highlight w:val="lightGray"/>
          <w:lang w:val="it-IT"/>
        </w:rPr>
        <w:t>sistema nazionale di segnalazione riportato nell’</w:t>
      </w:r>
      <w:hyperlink r:id="rId157">
        <w:r w:rsidR="00BE1C70" w:rsidRPr="00C35766">
          <w:rPr>
            <w:rStyle w:val="Collegamentoipertestuale1"/>
            <w:highlight w:val="lightGray"/>
            <w:lang w:val="pt-BR"/>
          </w:rPr>
          <w:t>allegato V</w:t>
        </w:r>
      </w:hyperlink>
      <w:r w:rsidR="00BE1C70" w:rsidRPr="00C35766">
        <w:rPr>
          <w:lang w:val="pt-BR"/>
        </w:rPr>
        <w:t>.</w:t>
      </w:r>
      <w:r w:rsidR="00BE1C70" w:rsidRPr="00C35766">
        <w:rPr>
          <w:rFonts w:eastAsia="Times New Roman"/>
          <w:lang w:val="it-IT"/>
        </w:rPr>
        <w:t xml:space="preserve"> Segnalando gli effetti indesiderati può contribuire a fornire maggiori informazioni sulla sicurezza di questo medicinale.</w:t>
      </w:r>
    </w:p>
    <w:p w14:paraId="38579639" w14:textId="77777777" w:rsidR="00BE1C70" w:rsidRPr="00C35766" w:rsidRDefault="00BE1C70" w:rsidP="00BE1C70">
      <w:pPr>
        <w:spacing w:line="200" w:lineRule="exact"/>
        <w:rPr>
          <w:rFonts w:ascii="Times New Roman" w:hAnsi="Times New Roman" w:cs="Times New Roman"/>
          <w:sz w:val="20"/>
          <w:szCs w:val="20"/>
          <w:lang w:val="it-IT"/>
        </w:rPr>
      </w:pPr>
    </w:p>
    <w:p w14:paraId="132AC94C" w14:textId="77777777" w:rsidR="00BE1C70" w:rsidRPr="00C35766" w:rsidRDefault="00BE1C70" w:rsidP="00BE1C70">
      <w:pPr>
        <w:spacing w:line="200" w:lineRule="exact"/>
        <w:rPr>
          <w:rFonts w:ascii="Times New Roman" w:hAnsi="Times New Roman" w:cs="Times New Roman"/>
          <w:sz w:val="20"/>
          <w:szCs w:val="20"/>
          <w:lang w:val="it-IT"/>
        </w:rPr>
      </w:pPr>
    </w:p>
    <w:p w14:paraId="6B79321D" w14:textId="77777777" w:rsidR="00BE1C70" w:rsidRPr="00C35766" w:rsidRDefault="00BE1C70" w:rsidP="005C2D5B">
      <w:pPr>
        <w:pStyle w:val="a4"/>
        <w:numPr>
          <w:ilvl w:val="0"/>
          <w:numId w:val="77"/>
        </w:numPr>
        <w:spacing w:before="18" w:line="240" w:lineRule="exact"/>
        <w:ind w:hanging="468"/>
        <w:rPr>
          <w:rFonts w:ascii="Times New Roman" w:hAnsi="Times New Roman" w:cs="Times New Roman"/>
          <w:b/>
        </w:rPr>
      </w:pPr>
      <w:r w:rsidRPr="00C35766">
        <w:rPr>
          <w:rFonts w:ascii="Times New Roman" w:eastAsia="Times New Roman" w:hAnsi="Times New Roman" w:cs="Times New Roman"/>
          <w:b/>
          <w:bCs/>
          <w:lang w:val="it-IT"/>
        </w:rPr>
        <w:t>Come conservare Yuflyma</w:t>
      </w:r>
    </w:p>
    <w:p w14:paraId="238463A5" w14:textId="77777777" w:rsidR="00BE1C70" w:rsidRPr="00C35766" w:rsidRDefault="00BE1C70" w:rsidP="00BE1C70">
      <w:pPr>
        <w:pStyle w:val="a3"/>
      </w:pPr>
    </w:p>
    <w:p w14:paraId="28EF7401" w14:textId="77777777" w:rsidR="00BE1C70" w:rsidRPr="00C35766" w:rsidRDefault="00BE1C70" w:rsidP="00BE1C70">
      <w:pPr>
        <w:pStyle w:val="a3"/>
        <w:rPr>
          <w:lang w:val="it-IT"/>
        </w:rPr>
      </w:pPr>
      <w:r w:rsidRPr="00C35766">
        <w:rPr>
          <w:rFonts w:eastAsia="Times New Roman"/>
          <w:lang w:val="it-IT"/>
        </w:rPr>
        <w:t>Conservi questo medicinale fuori dalla vista e dalla portata dei bambini.</w:t>
      </w:r>
    </w:p>
    <w:p w14:paraId="054213A6" w14:textId="77777777" w:rsidR="00BE1C70" w:rsidRPr="00C35766" w:rsidRDefault="00BE1C70" w:rsidP="00BE1C70">
      <w:pPr>
        <w:pStyle w:val="a3"/>
        <w:rPr>
          <w:lang w:val="it-IT"/>
        </w:rPr>
      </w:pPr>
    </w:p>
    <w:p w14:paraId="52F86D25" w14:textId="1F0FFF90" w:rsidR="00BE1C70" w:rsidRPr="00C35766" w:rsidRDefault="00BE1C70" w:rsidP="00BE1C70">
      <w:pPr>
        <w:pStyle w:val="a3"/>
        <w:rPr>
          <w:lang w:val="it-IT"/>
        </w:rPr>
      </w:pPr>
      <w:r w:rsidRPr="00C35766">
        <w:rPr>
          <w:rFonts w:eastAsia="Times New Roman"/>
          <w:lang w:val="it-IT"/>
        </w:rPr>
        <w:t>Non usi questo medicinale dopo la data di scadenza che è riportata sull’etichetta/imballaggio esterno dopo la scritta Scad.</w:t>
      </w:r>
    </w:p>
    <w:p w14:paraId="1F7FF3DE" w14:textId="77777777" w:rsidR="00BE1C70" w:rsidRPr="00C35766" w:rsidRDefault="00BE1C70" w:rsidP="00BE1C70">
      <w:pPr>
        <w:pStyle w:val="a3"/>
        <w:rPr>
          <w:lang w:val="it-IT"/>
        </w:rPr>
      </w:pPr>
    </w:p>
    <w:p w14:paraId="0ABB53CF" w14:textId="77777777" w:rsidR="00BE1C70" w:rsidRPr="00C35766" w:rsidRDefault="00BE1C70" w:rsidP="00BE1C70">
      <w:pPr>
        <w:pStyle w:val="a3"/>
        <w:rPr>
          <w:lang w:val="es-ES"/>
        </w:rPr>
      </w:pPr>
      <w:r w:rsidRPr="00C35766">
        <w:rPr>
          <w:rFonts w:eastAsia="Times New Roman"/>
          <w:lang w:val="it-IT"/>
        </w:rPr>
        <w:t>Conservare in frigorifero (2°C – 8°C). Non congelare.</w:t>
      </w:r>
    </w:p>
    <w:p w14:paraId="4F8ADC9A" w14:textId="77777777" w:rsidR="00BE1C70" w:rsidRPr="00C35766" w:rsidRDefault="00BE1C70" w:rsidP="00BE1C70">
      <w:pPr>
        <w:pStyle w:val="a3"/>
        <w:rPr>
          <w:lang w:val="es-ES"/>
        </w:rPr>
      </w:pPr>
    </w:p>
    <w:p w14:paraId="1D3DE6D3" w14:textId="4F4FEFD5" w:rsidR="00BE1C70" w:rsidRPr="00C35766" w:rsidRDefault="00BE1C70" w:rsidP="00BE1C70">
      <w:pPr>
        <w:pStyle w:val="a3"/>
        <w:rPr>
          <w:lang w:val="es-ES"/>
        </w:rPr>
      </w:pPr>
      <w:r>
        <w:rPr>
          <w:rFonts w:eastAsia="Times New Roman"/>
          <w:lang w:val="it-IT"/>
        </w:rPr>
        <w:t>Tenere</w:t>
      </w:r>
      <w:r w:rsidRPr="00C35766">
        <w:rPr>
          <w:rFonts w:eastAsia="Times New Roman"/>
          <w:lang w:val="it-IT"/>
        </w:rPr>
        <w:t xml:space="preserve"> la siringa pre-riempita nell’imballaggio esterno per protegger</w:t>
      </w:r>
      <w:r>
        <w:rPr>
          <w:rFonts w:eastAsia="Times New Roman"/>
          <w:lang w:val="it-IT"/>
        </w:rPr>
        <w:t>e</w:t>
      </w:r>
      <w:r w:rsidRPr="00C35766">
        <w:rPr>
          <w:rFonts w:eastAsia="Times New Roman"/>
          <w:lang w:val="it-IT"/>
        </w:rPr>
        <w:t xml:space="preserve"> </w:t>
      </w:r>
      <w:r>
        <w:rPr>
          <w:rFonts w:eastAsia="Times New Roman"/>
          <w:lang w:val="it-IT"/>
        </w:rPr>
        <w:t xml:space="preserve">il medicinale </w:t>
      </w:r>
      <w:r w:rsidRPr="00C35766">
        <w:rPr>
          <w:rFonts w:eastAsia="Times New Roman"/>
          <w:lang w:val="it-IT"/>
        </w:rPr>
        <w:t>dalla luce.</w:t>
      </w:r>
    </w:p>
    <w:p w14:paraId="6ACCEF30" w14:textId="77777777" w:rsidR="00BE1C70" w:rsidRPr="00C35766" w:rsidRDefault="00BE1C70" w:rsidP="00BE1C70">
      <w:pPr>
        <w:spacing w:before="13" w:line="240" w:lineRule="exact"/>
        <w:rPr>
          <w:rFonts w:ascii="Times New Roman" w:hAnsi="Times New Roman" w:cs="Times New Roman"/>
          <w:sz w:val="24"/>
          <w:szCs w:val="24"/>
          <w:lang w:val="es-ES"/>
        </w:rPr>
      </w:pPr>
    </w:p>
    <w:p w14:paraId="5300E9AA" w14:textId="77777777" w:rsidR="00BE1C70" w:rsidRPr="00C35766" w:rsidRDefault="00BE1C70" w:rsidP="00BE1C70">
      <w:pPr>
        <w:pStyle w:val="a3"/>
        <w:rPr>
          <w:lang w:val="es-ES"/>
        </w:rPr>
      </w:pPr>
      <w:r w:rsidRPr="00C35766">
        <w:rPr>
          <w:rFonts w:eastAsia="Times New Roman"/>
          <w:lang w:val="it-IT"/>
        </w:rPr>
        <w:t>Condizioni di conservazione alternative:</w:t>
      </w:r>
    </w:p>
    <w:p w14:paraId="651107E1" w14:textId="77777777" w:rsidR="00BE1C70" w:rsidRPr="00C35766" w:rsidRDefault="00BE1C70" w:rsidP="00BE1C70">
      <w:pPr>
        <w:spacing w:before="14" w:line="240" w:lineRule="exact"/>
        <w:rPr>
          <w:rFonts w:ascii="Times New Roman" w:hAnsi="Times New Roman" w:cs="Times New Roman"/>
          <w:sz w:val="24"/>
          <w:szCs w:val="24"/>
          <w:lang w:val="es-ES"/>
        </w:rPr>
      </w:pPr>
    </w:p>
    <w:p w14:paraId="59683CDF" w14:textId="20C18185" w:rsidR="00BE1C70" w:rsidRPr="00C35766" w:rsidRDefault="00BE1C70" w:rsidP="00BE1C70">
      <w:pPr>
        <w:pStyle w:val="a3"/>
        <w:rPr>
          <w:lang w:val="pt-BR"/>
        </w:rPr>
      </w:pPr>
      <w:r w:rsidRPr="00C35766">
        <w:rPr>
          <w:rFonts w:eastAsia="Times New Roman"/>
          <w:lang w:val="it-IT"/>
        </w:rPr>
        <w:t>Quando necessario (per esempio quando viaggia) una singola siringa pre-riempita di Yuflyma può essere conservata a temperatura ambiente (fino a 25°C) per un periodo massimo di 3</w:t>
      </w:r>
      <w:r>
        <w:rPr>
          <w:rFonts w:eastAsia="Times New Roman"/>
          <w:lang w:val="it-IT"/>
        </w:rPr>
        <w:t>1</w:t>
      </w:r>
      <w:r w:rsidRPr="00C35766">
        <w:rPr>
          <w:rFonts w:eastAsia="Times New Roman"/>
          <w:lang w:val="it-IT"/>
        </w:rPr>
        <w:t xml:space="preserve"> giorni; assicurarsi di proteggere il medicinale dalla luce. Una volta che viene rimossa dal frigorifero per essere conservata a temperatura ambiente, la siringa </w:t>
      </w:r>
      <w:r w:rsidRPr="00C35766">
        <w:rPr>
          <w:rFonts w:eastAsia="Times New Roman"/>
          <w:b/>
          <w:bCs/>
          <w:lang w:val="it-IT"/>
        </w:rPr>
        <w:t>deve essere usata entro 3</w:t>
      </w:r>
      <w:r>
        <w:rPr>
          <w:rFonts w:eastAsia="Times New Roman"/>
          <w:b/>
          <w:bCs/>
          <w:lang w:val="it-IT"/>
        </w:rPr>
        <w:t>1</w:t>
      </w:r>
      <w:r w:rsidRPr="00C35766">
        <w:rPr>
          <w:rFonts w:eastAsia="Times New Roman"/>
          <w:b/>
          <w:bCs/>
          <w:lang w:val="it-IT"/>
        </w:rPr>
        <w:t xml:space="preserve"> giorni o buttata via</w:t>
      </w:r>
      <w:r w:rsidRPr="00C35766">
        <w:rPr>
          <w:rFonts w:eastAsia="Times New Roman"/>
          <w:lang w:val="it-IT"/>
        </w:rPr>
        <w:t>, anche se viene posta di nuovo nel frigorifero.</w:t>
      </w:r>
    </w:p>
    <w:p w14:paraId="0EF413B4" w14:textId="77777777" w:rsidR="00BE1C70" w:rsidRPr="00C35766" w:rsidRDefault="00BE1C70" w:rsidP="00BE1C70">
      <w:pPr>
        <w:spacing w:before="17" w:line="240" w:lineRule="exact"/>
        <w:rPr>
          <w:rFonts w:ascii="Times New Roman" w:hAnsi="Times New Roman" w:cs="Times New Roman"/>
          <w:sz w:val="24"/>
          <w:szCs w:val="24"/>
          <w:lang w:val="pt-BR"/>
        </w:rPr>
      </w:pPr>
    </w:p>
    <w:p w14:paraId="44A487F4" w14:textId="77777777" w:rsidR="00BE1C70" w:rsidRPr="00C35766" w:rsidRDefault="00BE1C70" w:rsidP="00BE1C70">
      <w:pPr>
        <w:pStyle w:val="a3"/>
        <w:rPr>
          <w:lang w:val="pt-BR"/>
        </w:rPr>
      </w:pPr>
      <w:r w:rsidRPr="00C35766">
        <w:rPr>
          <w:rFonts w:eastAsia="Times New Roman"/>
          <w:lang w:val="it-IT"/>
        </w:rPr>
        <w:t>Deve registrare la data in cui la siringa viene tolta dal frigorifero la prima volta e la data dopo la quale la siringa deve essere buttata via.</w:t>
      </w:r>
    </w:p>
    <w:p w14:paraId="770071E1" w14:textId="77777777" w:rsidR="00BE1C70" w:rsidRPr="00C35766" w:rsidRDefault="00BE1C70" w:rsidP="00BE1C70">
      <w:pPr>
        <w:spacing w:before="14" w:line="240" w:lineRule="exact"/>
        <w:rPr>
          <w:rFonts w:ascii="Times New Roman" w:hAnsi="Times New Roman" w:cs="Times New Roman"/>
          <w:sz w:val="24"/>
          <w:szCs w:val="24"/>
          <w:lang w:val="pt-BR"/>
        </w:rPr>
      </w:pPr>
    </w:p>
    <w:p w14:paraId="671DC790" w14:textId="77777777" w:rsidR="00BE1C70" w:rsidRPr="00C35766" w:rsidRDefault="00BE1C70" w:rsidP="00BE1C70">
      <w:pPr>
        <w:pStyle w:val="a3"/>
      </w:pPr>
      <w:r w:rsidRPr="00C35766">
        <w:rPr>
          <w:rFonts w:eastAsia="Times New Roman"/>
          <w:lang w:val="it-IT"/>
        </w:rPr>
        <w:t>Non getti alcun medicinale nell’acqua di scarico e nei rifiuti domestici. Chieda al medico o al farmacista come eliminare i medicinali che non utilizza più. Questo aiuterà a proteggere l’ambiente.</w:t>
      </w:r>
    </w:p>
    <w:p w14:paraId="7C7DBED8" w14:textId="77777777" w:rsidR="00BE1C70" w:rsidRPr="00C35766" w:rsidRDefault="00BE1C70" w:rsidP="00BE1C70">
      <w:pPr>
        <w:pStyle w:val="a4"/>
        <w:spacing w:before="18" w:line="240" w:lineRule="exact"/>
        <w:ind w:left="468"/>
        <w:rPr>
          <w:rFonts w:ascii="Times New Roman" w:hAnsi="Times New Roman" w:cs="Times New Roman"/>
          <w:b/>
        </w:rPr>
      </w:pPr>
    </w:p>
    <w:p w14:paraId="7F0F5502" w14:textId="77777777" w:rsidR="00BE1C70" w:rsidRPr="00C35766" w:rsidRDefault="00BE1C70" w:rsidP="00BE1C70">
      <w:pPr>
        <w:spacing w:before="18" w:line="240" w:lineRule="exact"/>
        <w:rPr>
          <w:rFonts w:ascii="Times New Roman" w:hAnsi="Times New Roman" w:cs="Times New Roman"/>
          <w:b/>
        </w:rPr>
      </w:pPr>
    </w:p>
    <w:p w14:paraId="0A3D2757" w14:textId="77777777" w:rsidR="00BE1C70" w:rsidRPr="00C35766" w:rsidRDefault="00BE1C70" w:rsidP="005C2D5B">
      <w:pPr>
        <w:pStyle w:val="a4"/>
        <w:numPr>
          <w:ilvl w:val="0"/>
          <w:numId w:val="77"/>
        </w:numPr>
        <w:spacing w:before="18" w:line="240" w:lineRule="exact"/>
        <w:ind w:hanging="468"/>
        <w:rPr>
          <w:rFonts w:ascii="Times New Roman" w:hAnsi="Times New Roman" w:cs="Times New Roman"/>
          <w:b/>
          <w:lang w:val="it-IT"/>
        </w:rPr>
      </w:pPr>
      <w:r w:rsidRPr="00C35766">
        <w:rPr>
          <w:rFonts w:ascii="Times New Roman" w:eastAsia="Times New Roman" w:hAnsi="Times New Roman" w:cs="Times New Roman"/>
          <w:b/>
          <w:bCs/>
          <w:lang w:val="it-IT"/>
        </w:rPr>
        <w:t>Contenuto della confezione e altre informazioni</w:t>
      </w:r>
    </w:p>
    <w:p w14:paraId="671AE096" w14:textId="77777777" w:rsidR="00BE1C70" w:rsidRPr="00C35766" w:rsidRDefault="00BE1C70" w:rsidP="00BE1C70">
      <w:pPr>
        <w:pStyle w:val="a4"/>
        <w:spacing w:before="18" w:line="240" w:lineRule="exact"/>
        <w:ind w:left="468"/>
        <w:rPr>
          <w:rFonts w:ascii="Times New Roman" w:hAnsi="Times New Roman" w:cs="Times New Roman"/>
          <w:b/>
          <w:lang w:val="it-IT"/>
        </w:rPr>
      </w:pPr>
    </w:p>
    <w:p w14:paraId="0D26CC3D" w14:textId="77777777" w:rsidR="00BE1C70" w:rsidRPr="00C35766" w:rsidRDefault="00BE1C70" w:rsidP="00BE1C70">
      <w:pPr>
        <w:spacing w:before="18" w:line="240" w:lineRule="exact"/>
        <w:rPr>
          <w:rFonts w:ascii="Times New Roman" w:hAnsi="Times New Roman" w:cs="Times New Roman"/>
          <w:b/>
          <w:lang w:val="it-IT"/>
        </w:rPr>
      </w:pPr>
      <w:r w:rsidRPr="00C35766">
        <w:rPr>
          <w:rFonts w:ascii="Times New Roman" w:eastAsia="Times New Roman" w:hAnsi="Times New Roman" w:cs="Times New Roman"/>
          <w:b/>
          <w:bCs/>
          <w:lang w:val="it-IT"/>
        </w:rPr>
        <w:t>Cosa contiene Yuflyma</w:t>
      </w:r>
    </w:p>
    <w:p w14:paraId="2475E94C" w14:textId="77777777" w:rsidR="00BE1C70" w:rsidRPr="00C35766" w:rsidRDefault="00BE1C70" w:rsidP="00BE1C70">
      <w:pPr>
        <w:spacing w:before="18" w:line="240" w:lineRule="exact"/>
        <w:rPr>
          <w:rFonts w:ascii="Times New Roman" w:hAnsi="Times New Roman" w:cs="Times New Roman"/>
          <w:b/>
          <w:lang w:val="it-IT"/>
        </w:rPr>
      </w:pPr>
    </w:p>
    <w:p w14:paraId="5A83D7BB" w14:textId="77777777" w:rsidR="00BE1C70" w:rsidRPr="00C35766" w:rsidRDefault="00BE1C70" w:rsidP="00BE1C70">
      <w:pPr>
        <w:pStyle w:val="a3"/>
        <w:rPr>
          <w:lang w:val="it-IT"/>
        </w:rPr>
      </w:pPr>
      <w:r w:rsidRPr="00C35766">
        <w:rPr>
          <w:rFonts w:eastAsia="Times New Roman"/>
          <w:lang w:val="it-IT"/>
        </w:rPr>
        <w:t>Il principio attivo è adalimumab.</w:t>
      </w:r>
    </w:p>
    <w:p w14:paraId="0EF819F2" w14:textId="77777777" w:rsidR="00BE1C70" w:rsidRPr="00C35766" w:rsidRDefault="00BE1C70" w:rsidP="00BE1C70">
      <w:pPr>
        <w:pStyle w:val="a3"/>
        <w:rPr>
          <w:lang w:val="pt-BR"/>
        </w:rPr>
      </w:pPr>
      <w:r w:rsidRPr="00C35766">
        <w:rPr>
          <w:rFonts w:eastAsia="Times New Roman"/>
          <w:lang w:val="it-IT"/>
        </w:rPr>
        <w:t>Gli altri componenti sono acido acetico, acetato di sodio triidrato, glicina, polisorbato 80, e acqua per preparazioni iniettabili.</w:t>
      </w:r>
    </w:p>
    <w:p w14:paraId="5F0819CD" w14:textId="77777777" w:rsidR="00BE1C70" w:rsidRPr="00C35766" w:rsidRDefault="00BE1C70" w:rsidP="00BE1C70">
      <w:pPr>
        <w:pStyle w:val="a3"/>
        <w:rPr>
          <w:lang w:val="pt-BR"/>
        </w:rPr>
      </w:pPr>
    </w:p>
    <w:p w14:paraId="54D2B2DA" w14:textId="2A9AC5B4" w:rsidR="00BE1C70" w:rsidRPr="00C35766" w:rsidRDefault="00BE1C70" w:rsidP="00BE1C70">
      <w:pPr>
        <w:pStyle w:val="a3"/>
        <w:rPr>
          <w:b/>
          <w:lang w:val="pt-BR"/>
        </w:rPr>
      </w:pPr>
      <w:r w:rsidRPr="00C35766">
        <w:rPr>
          <w:rFonts w:eastAsia="Times New Roman"/>
          <w:b/>
          <w:bCs/>
          <w:lang w:val="it-IT"/>
        </w:rPr>
        <w:t>Descrizione dell’aspetto di Yuflyma siringa pre-riempita e contenuto della confezione</w:t>
      </w:r>
    </w:p>
    <w:p w14:paraId="322425D2" w14:textId="77777777" w:rsidR="00BE1C70" w:rsidRPr="00C35766" w:rsidRDefault="00BE1C70" w:rsidP="00BE1C70">
      <w:pPr>
        <w:spacing w:before="12" w:line="240" w:lineRule="exact"/>
        <w:rPr>
          <w:rFonts w:ascii="Times New Roman" w:hAnsi="Times New Roman" w:cs="Times New Roman"/>
          <w:sz w:val="24"/>
          <w:szCs w:val="24"/>
          <w:lang w:val="pt-BR"/>
        </w:rPr>
      </w:pPr>
    </w:p>
    <w:p w14:paraId="2FCBADDA" w14:textId="48B0A7BA" w:rsidR="00BE1C70" w:rsidRPr="00C35766" w:rsidRDefault="00BE1C70" w:rsidP="00BE1C70">
      <w:pPr>
        <w:pStyle w:val="a3"/>
        <w:rPr>
          <w:lang w:val="pt-BR"/>
        </w:rPr>
      </w:pPr>
      <w:r w:rsidRPr="00C35766">
        <w:rPr>
          <w:rFonts w:eastAsia="Times New Roman"/>
          <w:lang w:val="it-IT"/>
        </w:rPr>
        <w:t xml:space="preserve">Yuflyma </w:t>
      </w:r>
      <w:r w:rsidR="00A6415F">
        <w:rPr>
          <w:rFonts w:eastAsia="Times New Roman"/>
          <w:lang w:val="it-IT"/>
        </w:rPr>
        <w:t>20</w:t>
      </w:r>
      <w:r w:rsidRPr="00C35766">
        <w:rPr>
          <w:rFonts w:eastAsia="Times New Roman"/>
          <w:lang w:val="it-IT"/>
        </w:rPr>
        <w:t xml:space="preserve"> mg soluzione iniettabile in siringa pre-riempita è fornit</w:t>
      </w:r>
      <w:r w:rsidR="00EA3C21">
        <w:rPr>
          <w:rFonts w:hint="eastAsia"/>
          <w:lang w:val="it-IT" w:eastAsia="ko-KR"/>
        </w:rPr>
        <w:t>a</w:t>
      </w:r>
      <w:r w:rsidRPr="00C35766">
        <w:rPr>
          <w:rFonts w:eastAsia="Times New Roman"/>
          <w:lang w:val="it-IT"/>
        </w:rPr>
        <w:t xml:space="preserve"> come soluzione sterile di </w:t>
      </w:r>
      <w:r w:rsidR="00A6415F">
        <w:rPr>
          <w:rFonts w:eastAsia="Times New Roman"/>
          <w:lang w:val="it-IT"/>
        </w:rPr>
        <w:t>20</w:t>
      </w:r>
      <w:r w:rsidRPr="00C35766">
        <w:rPr>
          <w:rFonts w:eastAsia="Times New Roman"/>
          <w:lang w:val="it-IT"/>
        </w:rPr>
        <w:t xml:space="preserve"> mg di adalimumab disciolti in </w:t>
      </w:r>
      <w:r w:rsidR="00A6415F">
        <w:rPr>
          <w:rFonts w:eastAsia="Times New Roman"/>
          <w:lang w:val="it-IT"/>
        </w:rPr>
        <w:t>0,2</w:t>
      </w:r>
      <w:r w:rsidRPr="00C35766">
        <w:rPr>
          <w:rFonts w:eastAsia="Times New Roman"/>
          <w:lang w:val="it-IT"/>
        </w:rPr>
        <w:t xml:space="preserve"> mL di soluzione.</w:t>
      </w:r>
    </w:p>
    <w:p w14:paraId="33D93F64" w14:textId="77777777" w:rsidR="00BE1C70" w:rsidRPr="00C35766" w:rsidRDefault="00BE1C70" w:rsidP="00BE1C70">
      <w:pPr>
        <w:spacing w:before="11" w:line="240" w:lineRule="exact"/>
        <w:rPr>
          <w:rFonts w:ascii="Times New Roman" w:hAnsi="Times New Roman" w:cs="Times New Roman"/>
          <w:sz w:val="24"/>
          <w:szCs w:val="24"/>
          <w:lang w:val="pt-BR"/>
        </w:rPr>
      </w:pPr>
    </w:p>
    <w:p w14:paraId="1FD65094" w14:textId="77777777" w:rsidR="0009792D" w:rsidRDefault="00BE1C70" w:rsidP="005C2D5B">
      <w:pPr>
        <w:pStyle w:val="a3"/>
        <w:rPr>
          <w:lang w:val="it-IT" w:eastAsia="ko-KR"/>
        </w:rPr>
      </w:pPr>
      <w:r w:rsidRPr="00C35766">
        <w:rPr>
          <w:rFonts w:eastAsia="Times New Roman"/>
          <w:lang w:val="it-IT"/>
        </w:rPr>
        <w:t xml:space="preserve">Yuflyma siringa pre-riempita è composta da una soluzione di adalimumab contenuta in una siringa di vetro. </w:t>
      </w:r>
    </w:p>
    <w:p w14:paraId="4DCE1750" w14:textId="5EE9B21B" w:rsidR="0009792D" w:rsidRDefault="0009792D" w:rsidP="005C2D5B">
      <w:pPr>
        <w:pStyle w:val="a3"/>
        <w:rPr>
          <w:lang w:val="it-IT" w:eastAsia="ko-KR"/>
        </w:rPr>
      </w:pPr>
      <w:r w:rsidRPr="00C35766">
        <w:rPr>
          <w:rFonts w:eastAsia="Times New Roman"/>
          <w:lang w:val="it-IT"/>
        </w:rPr>
        <w:t>La confezione da 1 siringa preriempita viene fornita con 2 tamponi imbevuti di alcol (1 di riserva).</w:t>
      </w:r>
    </w:p>
    <w:p w14:paraId="54EB0D6D" w14:textId="2A4C761D" w:rsidR="00A6415F" w:rsidRDefault="00BE1C70" w:rsidP="005C2D5B">
      <w:pPr>
        <w:pStyle w:val="a3"/>
        <w:rPr>
          <w:rFonts w:eastAsia="Times New Roman"/>
          <w:lang w:val="it-IT"/>
        </w:rPr>
      </w:pPr>
      <w:r w:rsidRPr="00C35766">
        <w:rPr>
          <w:rFonts w:eastAsia="Times New Roman"/>
          <w:lang w:val="it-IT"/>
        </w:rPr>
        <w:t xml:space="preserve">La confezione da </w:t>
      </w:r>
      <w:r w:rsidR="00A6415F">
        <w:rPr>
          <w:rFonts w:eastAsia="Times New Roman"/>
          <w:lang w:val="it-IT"/>
        </w:rPr>
        <w:t>2</w:t>
      </w:r>
      <w:r w:rsidRPr="00C35766">
        <w:rPr>
          <w:rFonts w:eastAsia="Times New Roman"/>
          <w:lang w:val="it-IT"/>
        </w:rPr>
        <w:t xml:space="preserve"> </w:t>
      </w:r>
      <w:r w:rsidR="00A6415F" w:rsidRPr="00824699">
        <w:rPr>
          <w:lang w:val="it-IT"/>
        </w:rPr>
        <w:t>siringhe pre-riempite</w:t>
      </w:r>
      <w:r w:rsidR="00A6415F">
        <w:rPr>
          <w:rFonts w:eastAsia="Times New Roman"/>
          <w:lang w:val="it-IT"/>
        </w:rPr>
        <w:t xml:space="preserve"> </w:t>
      </w:r>
      <w:r w:rsidRPr="00C35766">
        <w:rPr>
          <w:rFonts w:eastAsia="Times New Roman"/>
          <w:lang w:val="it-IT"/>
        </w:rPr>
        <w:t>è fornita con 2 tamponi imbevuti di alcol.</w:t>
      </w:r>
    </w:p>
    <w:p w14:paraId="2FBDB381" w14:textId="77777777" w:rsidR="00A54190" w:rsidRDefault="00A54190" w:rsidP="00A54190">
      <w:pPr>
        <w:pStyle w:val="a3"/>
        <w:rPr>
          <w:lang w:val="it-IT" w:eastAsia="ko-KR"/>
        </w:rPr>
      </w:pPr>
    </w:p>
    <w:p w14:paraId="3B12C6AA" w14:textId="07779305" w:rsidR="00BE1C70" w:rsidRDefault="00A54190" w:rsidP="005C2D5B">
      <w:pPr>
        <w:pStyle w:val="a3"/>
        <w:rPr>
          <w:sz w:val="24"/>
          <w:szCs w:val="24"/>
          <w:lang w:val="pt-BR" w:eastAsia="ko-KR"/>
        </w:rPr>
      </w:pPr>
      <w:r w:rsidRPr="00C35766">
        <w:rPr>
          <w:rFonts w:eastAsia="Times New Roman"/>
          <w:lang w:val="it-IT"/>
        </w:rPr>
        <w:t>È possibile che non tutte le confezioni siano commercializzate.</w:t>
      </w:r>
    </w:p>
    <w:p w14:paraId="306BCFEA" w14:textId="77777777" w:rsidR="00A54190" w:rsidRPr="00C35766" w:rsidRDefault="00A54190" w:rsidP="005C2D5B">
      <w:pPr>
        <w:pStyle w:val="a3"/>
        <w:rPr>
          <w:sz w:val="24"/>
          <w:szCs w:val="24"/>
          <w:lang w:val="pt-BR" w:eastAsia="ko-KR"/>
        </w:rPr>
      </w:pPr>
    </w:p>
    <w:p w14:paraId="5A5C38D4" w14:textId="77777777" w:rsidR="00BE1C70" w:rsidRPr="00C35766" w:rsidRDefault="00BE1C70" w:rsidP="00BE1C70">
      <w:pPr>
        <w:pStyle w:val="a3"/>
        <w:keepNext/>
        <w:rPr>
          <w:rFonts w:eastAsia="Times New Roman"/>
          <w:b/>
          <w:bCs/>
          <w:lang w:val="it-IT"/>
        </w:rPr>
      </w:pPr>
      <w:r w:rsidRPr="00C35766">
        <w:rPr>
          <w:rFonts w:eastAsia="Times New Roman"/>
          <w:b/>
          <w:bCs/>
          <w:lang w:val="it-IT"/>
        </w:rPr>
        <w:t>Titolare dell’autorizzazione all’immissione in commercio</w:t>
      </w:r>
    </w:p>
    <w:p w14:paraId="1EFD0B63" w14:textId="77777777" w:rsidR="00BE1C70" w:rsidRPr="00C35766" w:rsidRDefault="00BE1C70" w:rsidP="00BE1C70">
      <w:pPr>
        <w:spacing w:before="12" w:line="240" w:lineRule="exact"/>
        <w:rPr>
          <w:rFonts w:ascii="Times New Roman" w:hAnsi="Times New Roman" w:cs="Times New Roman"/>
          <w:sz w:val="24"/>
          <w:lang w:val="it-IT"/>
        </w:rPr>
      </w:pPr>
    </w:p>
    <w:p w14:paraId="6CAA9DCB" w14:textId="77777777" w:rsidR="00BE1C70" w:rsidRPr="00824699" w:rsidRDefault="00BE1C70" w:rsidP="00BE1C70">
      <w:pPr>
        <w:pStyle w:val="a3"/>
        <w:rPr>
          <w:lang w:val="it-IT"/>
        </w:rPr>
      </w:pPr>
      <w:r w:rsidRPr="00824699">
        <w:rPr>
          <w:lang w:val="it-IT"/>
        </w:rPr>
        <w:t xml:space="preserve">Celltrion Healthcare Hungary Kft. </w:t>
      </w:r>
    </w:p>
    <w:p w14:paraId="687463DD" w14:textId="77777777" w:rsidR="00BE1C70" w:rsidRPr="00C35766" w:rsidRDefault="00BE1C70" w:rsidP="00BE1C70">
      <w:pPr>
        <w:pStyle w:val="a3"/>
      </w:pPr>
      <w:r w:rsidRPr="00C35766">
        <w:t>1062 Budapest</w:t>
      </w:r>
    </w:p>
    <w:p w14:paraId="5427FD82" w14:textId="77777777" w:rsidR="00BE1C70" w:rsidRPr="00C35766" w:rsidRDefault="00BE1C70" w:rsidP="00BE1C70">
      <w:pPr>
        <w:pStyle w:val="a3"/>
      </w:pPr>
      <w:r w:rsidRPr="00C35766">
        <w:t>Váci út 1-3. WestEnd Office Building B torony</w:t>
      </w:r>
    </w:p>
    <w:p w14:paraId="52C5EEAB" w14:textId="77777777" w:rsidR="00BE1C70" w:rsidRPr="00C35766" w:rsidRDefault="00BE1C70" w:rsidP="00BE1C70">
      <w:pPr>
        <w:pStyle w:val="a3"/>
      </w:pPr>
      <w:r w:rsidRPr="00C35766">
        <w:t>Ungheria</w:t>
      </w:r>
    </w:p>
    <w:p w14:paraId="0E6203AB" w14:textId="77777777" w:rsidR="00BE1C70" w:rsidRPr="00C35766" w:rsidRDefault="00BE1C70" w:rsidP="00BE1C70">
      <w:pPr>
        <w:spacing w:before="15" w:line="240" w:lineRule="exact"/>
        <w:rPr>
          <w:rFonts w:ascii="Times New Roman" w:hAnsi="Times New Roman" w:cs="Times New Roman"/>
          <w:b/>
          <w:sz w:val="24"/>
          <w:szCs w:val="24"/>
        </w:rPr>
      </w:pPr>
    </w:p>
    <w:p w14:paraId="61338006" w14:textId="77777777" w:rsidR="00BE1C70" w:rsidRPr="00C35766" w:rsidRDefault="00BE1C70" w:rsidP="00BE1C70">
      <w:pPr>
        <w:pStyle w:val="a3"/>
        <w:rPr>
          <w:b/>
        </w:rPr>
      </w:pPr>
      <w:r w:rsidRPr="00C35766">
        <w:rPr>
          <w:b/>
        </w:rPr>
        <w:t>Produttore</w:t>
      </w:r>
    </w:p>
    <w:p w14:paraId="0FC35C45" w14:textId="77777777" w:rsidR="00BE1C70" w:rsidRPr="00C35766" w:rsidRDefault="00BE1C70" w:rsidP="00BE1C70">
      <w:pPr>
        <w:pStyle w:val="a3"/>
      </w:pPr>
    </w:p>
    <w:p w14:paraId="54B780BB" w14:textId="7AACC640" w:rsidR="00BE1C70" w:rsidRPr="00BD232C" w:rsidDel="009328A5" w:rsidRDefault="00BE1C70" w:rsidP="00BE1C70">
      <w:pPr>
        <w:pStyle w:val="a3"/>
        <w:rPr>
          <w:del w:id="185" w:author="만든 이"/>
        </w:rPr>
      </w:pPr>
      <w:del w:id="186" w:author="만든 이">
        <w:r w:rsidRPr="00BD232C" w:rsidDel="009328A5">
          <w:delText>Millmount Healthcare Ltd.</w:delText>
        </w:r>
      </w:del>
    </w:p>
    <w:p w14:paraId="1ED27295" w14:textId="651715F5" w:rsidR="00BE1C70" w:rsidRPr="00BD232C" w:rsidDel="009328A5" w:rsidRDefault="00BE1C70" w:rsidP="00BE1C70">
      <w:pPr>
        <w:pStyle w:val="a3"/>
        <w:rPr>
          <w:del w:id="187" w:author="만든 이"/>
        </w:rPr>
      </w:pPr>
      <w:del w:id="188" w:author="만든 이">
        <w:r w:rsidRPr="00BD232C" w:rsidDel="009328A5">
          <w:delText>Block 7</w:delText>
        </w:r>
      </w:del>
    </w:p>
    <w:p w14:paraId="0A828025" w14:textId="6E3185FD" w:rsidR="00BE1C70" w:rsidRPr="00BD232C" w:rsidDel="009328A5" w:rsidRDefault="00BE1C70" w:rsidP="00BE1C70">
      <w:pPr>
        <w:pStyle w:val="a3"/>
        <w:rPr>
          <w:del w:id="189" w:author="만든 이"/>
        </w:rPr>
      </w:pPr>
      <w:del w:id="190" w:author="만든 이">
        <w:r w:rsidRPr="00BD232C" w:rsidDel="009328A5">
          <w:delText xml:space="preserve">City North Business Campus </w:delText>
        </w:r>
      </w:del>
    </w:p>
    <w:p w14:paraId="4B7ABFE4" w14:textId="7E537F2A" w:rsidR="00BE1C70" w:rsidRPr="00BD232C" w:rsidDel="009328A5" w:rsidRDefault="00BE1C70" w:rsidP="00BE1C70">
      <w:pPr>
        <w:pStyle w:val="a3"/>
        <w:rPr>
          <w:del w:id="191" w:author="만든 이"/>
          <w:lang w:val="it-IT"/>
        </w:rPr>
      </w:pPr>
      <w:del w:id="192" w:author="만든 이">
        <w:r w:rsidRPr="00BD232C" w:rsidDel="009328A5">
          <w:delText xml:space="preserve">Stamullen, Co. </w:delText>
        </w:r>
        <w:r w:rsidRPr="00BD232C" w:rsidDel="009328A5">
          <w:rPr>
            <w:lang w:val="it-IT"/>
          </w:rPr>
          <w:delText>Meath K32 YD60</w:delText>
        </w:r>
      </w:del>
    </w:p>
    <w:p w14:paraId="3F206D5D" w14:textId="61BA2C07" w:rsidR="00BE1C70" w:rsidRPr="00BD232C" w:rsidDel="009328A5" w:rsidRDefault="00BE1C70" w:rsidP="00BE1C70">
      <w:pPr>
        <w:pStyle w:val="a3"/>
        <w:rPr>
          <w:del w:id="193" w:author="만든 이"/>
          <w:lang w:val="it-IT"/>
        </w:rPr>
      </w:pPr>
      <w:del w:id="194" w:author="만든 이">
        <w:r w:rsidRPr="00BD232C" w:rsidDel="009328A5">
          <w:rPr>
            <w:lang w:val="it-IT"/>
          </w:rPr>
          <w:delText xml:space="preserve">Irlanda </w:delText>
        </w:r>
      </w:del>
    </w:p>
    <w:p w14:paraId="5A1052F7" w14:textId="6A9EB4FC" w:rsidR="00BE1C70" w:rsidRPr="00BD232C" w:rsidDel="009328A5" w:rsidRDefault="00BE1C70" w:rsidP="00BE1C70">
      <w:pPr>
        <w:spacing w:before="14" w:line="240" w:lineRule="exact"/>
        <w:rPr>
          <w:del w:id="195" w:author="만든 이"/>
          <w:rFonts w:ascii="Times New Roman" w:hAnsi="Times New Roman" w:cs="Times New Roman"/>
          <w:sz w:val="24"/>
          <w:lang w:val="it-IT"/>
        </w:rPr>
      </w:pPr>
    </w:p>
    <w:p w14:paraId="22F745E7" w14:textId="77777777" w:rsidR="009328A5" w:rsidRPr="00BD232C" w:rsidRDefault="009328A5" w:rsidP="009328A5">
      <w:pPr>
        <w:spacing w:before="10" w:line="240" w:lineRule="exact"/>
        <w:rPr>
          <w:moveTo w:id="196" w:author="만든 이" w16du:dateUtc="2025-09-09T05:42:00Z"/>
          <w:rFonts w:ascii="Times New Roman" w:eastAsia="Times New Roman" w:hAnsi="Times New Roman" w:cs="Times New Roman"/>
          <w:lang w:val="it-IT"/>
        </w:rPr>
      </w:pPr>
      <w:moveToRangeStart w:id="197" w:author="만든 이" w:name="move208321355"/>
      <w:moveTo w:id="198" w:author="만든 이" w16du:dateUtc="2025-09-09T05:42:00Z">
        <w:r w:rsidRPr="00BD232C">
          <w:rPr>
            <w:rFonts w:ascii="Times New Roman" w:eastAsia="Times New Roman" w:hAnsi="Times New Roman" w:cs="Times New Roman"/>
            <w:lang w:val="it-IT"/>
          </w:rPr>
          <w:t>Nuvisan France SARL</w:t>
        </w:r>
      </w:moveTo>
    </w:p>
    <w:p w14:paraId="0341652C" w14:textId="77777777" w:rsidR="009328A5" w:rsidRPr="006501B3" w:rsidRDefault="009328A5" w:rsidP="009328A5">
      <w:pPr>
        <w:spacing w:before="10" w:line="240" w:lineRule="exact"/>
        <w:rPr>
          <w:moveTo w:id="199" w:author="만든 이" w16du:dateUtc="2025-09-09T05:42:00Z"/>
          <w:rFonts w:ascii="Times New Roman" w:hAnsi="Times New Roman" w:cs="Times New Roman"/>
          <w:lang w:val="fr-CA" w:eastAsia="ko-KR"/>
        </w:rPr>
      </w:pPr>
      <w:moveTo w:id="200" w:author="만든 이" w16du:dateUtc="2025-09-09T05:42:00Z">
        <w:r w:rsidRPr="006501B3">
          <w:rPr>
            <w:rFonts w:ascii="Times New Roman" w:eastAsia="Times New Roman" w:hAnsi="Times New Roman" w:cs="Times New Roman"/>
            <w:lang w:val="fr-CA"/>
          </w:rPr>
          <w:t>2400, Route des Colles</w:t>
        </w:r>
      </w:moveTo>
    </w:p>
    <w:p w14:paraId="7ED2E993" w14:textId="77777777" w:rsidR="009328A5" w:rsidRPr="006501B3" w:rsidRDefault="009328A5" w:rsidP="009328A5">
      <w:pPr>
        <w:spacing w:before="10" w:line="240" w:lineRule="exact"/>
        <w:rPr>
          <w:moveTo w:id="201" w:author="만든 이" w16du:dateUtc="2025-09-09T05:42:00Z"/>
          <w:rFonts w:ascii="Times New Roman" w:hAnsi="Times New Roman" w:cs="Times New Roman"/>
          <w:lang w:eastAsia="ko-KR"/>
        </w:rPr>
      </w:pPr>
      <w:moveTo w:id="202" w:author="만든 이" w16du:dateUtc="2025-09-09T05:42:00Z">
        <w:r w:rsidRPr="006501B3">
          <w:rPr>
            <w:rFonts w:ascii="Times New Roman" w:eastAsia="Times New Roman" w:hAnsi="Times New Roman" w:cs="Times New Roman"/>
          </w:rPr>
          <w:t>06410, Biot</w:t>
        </w:r>
      </w:moveTo>
    </w:p>
    <w:p w14:paraId="7C57AD21" w14:textId="77777777" w:rsidR="009328A5" w:rsidRPr="006501B3" w:rsidRDefault="009328A5" w:rsidP="009328A5">
      <w:pPr>
        <w:autoSpaceDE w:val="0"/>
        <w:autoSpaceDN w:val="0"/>
        <w:adjustRightInd w:val="0"/>
        <w:rPr>
          <w:moveTo w:id="203" w:author="만든 이" w16du:dateUtc="2025-09-09T05:42:00Z"/>
          <w:rFonts w:ascii="Times New Roman" w:eastAsia="Times New Roman" w:hAnsi="Times New Roman" w:cs="Times New Roman"/>
        </w:rPr>
      </w:pPr>
      <w:moveTo w:id="204" w:author="만든 이" w16du:dateUtc="2025-09-09T05:42:00Z">
        <w:r w:rsidRPr="006501B3">
          <w:rPr>
            <w:rFonts w:ascii="Times New Roman" w:eastAsia="Times New Roman" w:hAnsi="Times New Roman" w:cs="Times New Roman"/>
          </w:rPr>
          <w:t>Francia</w:t>
        </w:r>
      </w:moveTo>
    </w:p>
    <w:p w14:paraId="4A99BE27" w14:textId="77777777" w:rsidR="009328A5" w:rsidRPr="00BD232C" w:rsidRDefault="009328A5" w:rsidP="009328A5">
      <w:pPr>
        <w:pStyle w:val="a3"/>
        <w:rPr>
          <w:moveTo w:id="205" w:author="만든 이" w16du:dateUtc="2025-09-09T05:42:00Z"/>
          <w:lang w:val="es-ES_tradnl" w:eastAsia="ko-KR"/>
        </w:rPr>
      </w:pPr>
    </w:p>
    <w:moveToRangeEnd w:id="197"/>
    <w:p w14:paraId="3F4BA0D4" w14:textId="77777777" w:rsidR="00BE1C70" w:rsidRPr="00824699" w:rsidRDefault="00BE1C70" w:rsidP="00BE1C70">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Nuvisan GmbH</w:t>
      </w:r>
    </w:p>
    <w:p w14:paraId="5365A959" w14:textId="3F5534EE" w:rsidR="00BE1C70" w:rsidRPr="00D74B3A" w:rsidRDefault="00BE1C70" w:rsidP="00BE1C70">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Wegenerstraße 13</w:t>
      </w:r>
    </w:p>
    <w:p w14:paraId="7E1EAE58" w14:textId="635C86DA" w:rsidR="00BE1C70" w:rsidRPr="00D74B3A" w:rsidRDefault="00BE1C70" w:rsidP="00BE1C70">
      <w:pPr>
        <w:spacing w:before="10" w:line="240" w:lineRule="exact"/>
        <w:rPr>
          <w:rFonts w:ascii="Times New Roman" w:hAnsi="Times New Roman" w:cs="Times New Roman"/>
          <w:shd w:val="pct15" w:color="auto" w:fill="FFFFFF"/>
          <w:lang w:val="de-CH" w:eastAsia="ko-KR"/>
        </w:rPr>
      </w:pPr>
      <w:r w:rsidRPr="00146E60">
        <w:rPr>
          <w:rFonts w:ascii="Times New Roman" w:eastAsia="Times New Roman" w:hAnsi="Times New Roman" w:cs="Times New Roman"/>
          <w:shd w:val="pct15" w:color="auto" w:fill="FFFFFF"/>
          <w:lang w:val="de-CH"/>
        </w:rPr>
        <w:t>89231 Neu</w:t>
      </w:r>
      <w:r w:rsidR="003A4F8F">
        <w:rPr>
          <w:rFonts w:ascii="Times New Roman" w:hAnsi="Times New Roman" w:cs="Times New Roman" w:hint="eastAsia"/>
          <w:shd w:val="pct15" w:color="auto" w:fill="FFFFFF"/>
          <w:lang w:val="de-CH" w:eastAsia="ko-KR"/>
        </w:rPr>
        <w:t>-</w:t>
      </w:r>
      <w:r w:rsidRPr="00146E60">
        <w:rPr>
          <w:rFonts w:ascii="Times New Roman" w:eastAsia="Times New Roman" w:hAnsi="Times New Roman" w:cs="Times New Roman"/>
          <w:shd w:val="pct15" w:color="auto" w:fill="FFFFFF"/>
          <w:lang w:val="de-CH"/>
        </w:rPr>
        <w:t>Ulm</w:t>
      </w:r>
    </w:p>
    <w:p w14:paraId="7A135F33" w14:textId="77777777" w:rsidR="00BE1C70" w:rsidRPr="00824699" w:rsidRDefault="00BE1C70" w:rsidP="00BE1C70">
      <w:pPr>
        <w:spacing w:before="10" w:line="240" w:lineRule="exact"/>
        <w:rPr>
          <w:rFonts w:ascii="Times New Roman" w:eastAsia="Times New Roman" w:hAnsi="Times New Roman" w:cs="Times New Roman"/>
          <w:shd w:val="pct15" w:color="auto" w:fill="FFFFFF"/>
          <w:lang w:val="it-IT"/>
        </w:rPr>
      </w:pPr>
      <w:r w:rsidRPr="00824699">
        <w:rPr>
          <w:rFonts w:ascii="Times New Roman" w:eastAsia="Times New Roman" w:hAnsi="Times New Roman" w:cs="Times New Roman"/>
          <w:shd w:val="pct15" w:color="auto" w:fill="FFFFFF"/>
          <w:lang w:val="it-IT"/>
        </w:rPr>
        <w:t>Germania</w:t>
      </w:r>
    </w:p>
    <w:p w14:paraId="543823D5" w14:textId="77777777" w:rsidR="00BE1C70" w:rsidRPr="00824699" w:rsidRDefault="00BE1C70" w:rsidP="00BE1C70">
      <w:pPr>
        <w:spacing w:before="10" w:line="240" w:lineRule="exact"/>
        <w:rPr>
          <w:rFonts w:ascii="Times New Roman" w:eastAsia="Times New Roman" w:hAnsi="Times New Roman" w:cs="Times New Roman"/>
          <w:shd w:val="pct15" w:color="auto" w:fill="FFFFFF"/>
          <w:lang w:val="it-IT"/>
        </w:rPr>
      </w:pPr>
    </w:p>
    <w:p w14:paraId="08C38969" w14:textId="2ABF1513" w:rsidR="00BE1C70" w:rsidRPr="00824699" w:rsidDel="009328A5" w:rsidRDefault="00BE1C70" w:rsidP="00C46560">
      <w:pPr>
        <w:keepNext/>
        <w:keepLines/>
        <w:spacing w:before="10" w:line="240" w:lineRule="exact"/>
        <w:rPr>
          <w:moveFrom w:id="206" w:author="만든 이" w16du:dateUtc="2025-09-09T05:42:00Z"/>
          <w:rFonts w:ascii="Times New Roman" w:eastAsia="Times New Roman" w:hAnsi="Times New Roman" w:cs="Times New Roman"/>
          <w:shd w:val="pct15" w:color="auto" w:fill="FFFFFF"/>
          <w:lang w:val="it-IT"/>
        </w:rPr>
      </w:pPr>
      <w:moveFromRangeStart w:id="207" w:author="만든 이" w:name="move208321355"/>
      <w:moveFrom w:id="208" w:author="만든 이" w16du:dateUtc="2025-09-09T05:42:00Z">
        <w:r w:rsidRPr="00824699" w:rsidDel="009328A5">
          <w:rPr>
            <w:rFonts w:ascii="Times New Roman" w:eastAsia="Times New Roman" w:hAnsi="Times New Roman" w:cs="Times New Roman"/>
            <w:shd w:val="pct15" w:color="auto" w:fill="FFFFFF"/>
            <w:lang w:val="it-IT"/>
          </w:rPr>
          <w:lastRenderedPageBreak/>
          <w:t>Nuvisan France SARL</w:t>
        </w:r>
      </w:moveFrom>
    </w:p>
    <w:p w14:paraId="507B2B41" w14:textId="0CC3EBE5" w:rsidR="00BE1C70" w:rsidRPr="00D74B3A" w:rsidDel="009328A5" w:rsidRDefault="00BE1C70" w:rsidP="00C46560">
      <w:pPr>
        <w:keepNext/>
        <w:keepLines/>
        <w:spacing w:before="10" w:line="240" w:lineRule="exact"/>
        <w:rPr>
          <w:moveFrom w:id="209" w:author="만든 이" w16du:dateUtc="2025-09-09T05:42:00Z"/>
          <w:rFonts w:ascii="Times New Roman" w:hAnsi="Times New Roman" w:cs="Times New Roman"/>
          <w:shd w:val="pct15" w:color="auto" w:fill="FFFFFF"/>
          <w:lang w:eastAsia="ko-KR"/>
        </w:rPr>
      </w:pPr>
      <w:moveFrom w:id="210" w:author="만든 이" w16du:dateUtc="2025-09-09T05:42:00Z">
        <w:r w:rsidRPr="00146E60" w:rsidDel="009328A5">
          <w:rPr>
            <w:rFonts w:ascii="Times New Roman" w:eastAsia="Times New Roman" w:hAnsi="Times New Roman" w:cs="Times New Roman"/>
            <w:shd w:val="pct15" w:color="auto" w:fill="FFFFFF"/>
          </w:rPr>
          <w:t>2400, Route des Colles</w:t>
        </w:r>
      </w:moveFrom>
    </w:p>
    <w:p w14:paraId="2037399A" w14:textId="77085310" w:rsidR="00BE1C70" w:rsidRPr="00D74B3A" w:rsidDel="009328A5" w:rsidRDefault="00BE1C70" w:rsidP="00C46560">
      <w:pPr>
        <w:keepNext/>
        <w:keepLines/>
        <w:spacing w:before="10" w:line="240" w:lineRule="exact"/>
        <w:rPr>
          <w:moveFrom w:id="211" w:author="만든 이" w16du:dateUtc="2025-09-09T05:42:00Z"/>
          <w:rFonts w:ascii="Times New Roman" w:hAnsi="Times New Roman" w:cs="Times New Roman"/>
          <w:shd w:val="pct15" w:color="auto" w:fill="FFFFFF"/>
          <w:lang w:eastAsia="ko-KR"/>
        </w:rPr>
      </w:pPr>
      <w:moveFrom w:id="212" w:author="만든 이" w16du:dateUtc="2025-09-09T05:42:00Z">
        <w:r w:rsidRPr="00146E60" w:rsidDel="009328A5">
          <w:rPr>
            <w:rFonts w:ascii="Times New Roman" w:eastAsia="Times New Roman" w:hAnsi="Times New Roman" w:cs="Times New Roman"/>
            <w:shd w:val="pct15" w:color="auto" w:fill="FFFFFF"/>
          </w:rPr>
          <w:t>06410, Biot</w:t>
        </w:r>
      </w:moveFrom>
    </w:p>
    <w:p w14:paraId="01A98C63" w14:textId="40436814" w:rsidR="00BE1C70" w:rsidRPr="00146E60" w:rsidDel="009328A5" w:rsidRDefault="00BE1C70" w:rsidP="00C46560">
      <w:pPr>
        <w:keepNext/>
        <w:keepLines/>
        <w:autoSpaceDE w:val="0"/>
        <w:autoSpaceDN w:val="0"/>
        <w:adjustRightInd w:val="0"/>
        <w:rPr>
          <w:moveFrom w:id="213" w:author="만든 이" w16du:dateUtc="2025-09-09T05:42:00Z"/>
          <w:rFonts w:ascii="Times New Roman" w:eastAsia="Times New Roman" w:hAnsi="Times New Roman" w:cs="Times New Roman"/>
          <w:shd w:val="pct15" w:color="auto" w:fill="FFFFFF"/>
        </w:rPr>
      </w:pPr>
      <w:moveFrom w:id="214" w:author="만든 이" w16du:dateUtc="2025-09-09T05:42:00Z">
        <w:r w:rsidRPr="00146E60" w:rsidDel="009328A5">
          <w:rPr>
            <w:rFonts w:ascii="Times New Roman" w:eastAsia="Times New Roman" w:hAnsi="Times New Roman" w:cs="Times New Roman"/>
            <w:shd w:val="pct15" w:color="auto" w:fill="FFFFFF"/>
          </w:rPr>
          <w:t>Francia</w:t>
        </w:r>
      </w:moveFrom>
    </w:p>
    <w:p w14:paraId="607B515C" w14:textId="74FCB02A" w:rsidR="00BE1C70" w:rsidRPr="006501B3" w:rsidDel="009328A5" w:rsidRDefault="00BE1C70" w:rsidP="00C46560">
      <w:pPr>
        <w:pStyle w:val="a3"/>
        <w:keepNext/>
        <w:keepLines/>
        <w:rPr>
          <w:moveFrom w:id="215" w:author="만든 이" w16du:dateUtc="2025-09-09T05:42:00Z"/>
          <w:shd w:val="pct15" w:color="auto" w:fill="FFFFFF"/>
          <w:lang w:val="es-ES_tradnl" w:eastAsia="ko-KR"/>
        </w:rPr>
      </w:pPr>
    </w:p>
    <w:moveFromRangeEnd w:id="207"/>
    <w:p w14:paraId="75ED1461" w14:textId="77777777" w:rsidR="00BE1C70" w:rsidRPr="006501B3" w:rsidRDefault="00BE1C70" w:rsidP="00C46560">
      <w:pPr>
        <w:pStyle w:val="a3"/>
        <w:keepNext/>
        <w:keepLines/>
        <w:rPr>
          <w:rFonts w:eastAsia="Times New Roman"/>
          <w:shd w:val="pct15" w:color="auto" w:fill="FFFFFF"/>
          <w:lang w:val="es-ES_tradnl"/>
        </w:rPr>
      </w:pPr>
      <w:r w:rsidRPr="006501B3">
        <w:rPr>
          <w:rFonts w:eastAsia="Times New Roman"/>
          <w:shd w:val="pct15" w:color="auto" w:fill="FFFFFF"/>
          <w:lang w:val="es-ES_tradnl"/>
        </w:rPr>
        <w:t>Midas Pharma GmbH</w:t>
      </w:r>
    </w:p>
    <w:p w14:paraId="2333D05D" w14:textId="583167F2" w:rsidR="00BE1C70" w:rsidRPr="006501B3" w:rsidRDefault="00BE1C70" w:rsidP="00C46560">
      <w:pPr>
        <w:pStyle w:val="a3"/>
        <w:keepNext/>
        <w:keepLines/>
        <w:rPr>
          <w:shd w:val="pct15" w:color="auto" w:fill="FFFFFF"/>
          <w:lang w:val="es-ES_tradnl" w:eastAsia="ko-KR"/>
        </w:rPr>
      </w:pPr>
      <w:r w:rsidRPr="006501B3">
        <w:rPr>
          <w:rFonts w:eastAsia="Times New Roman"/>
          <w:shd w:val="pct15" w:color="auto" w:fill="FFFFFF"/>
          <w:lang w:val="es-ES_tradnl"/>
        </w:rPr>
        <w:t>Rheinstr. 49</w:t>
      </w:r>
    </w:p>
    <w:p w14:paraId="15CD54D5" w14:textId="7A6D96C3" w:rsidR="00BE1C70" w:rsidRPr="006501B3" w:rsidRDefault="00BE1C70" w:rsidP="00C46560">
      <w:pPr>
        <w:pStyle w:val="a3"/>
        <w:keepNext/>
        <w:keepLines/>
        <w:rPr>
          <w:shd w:val="pct15" w:color="auto" w:fill="FFFFFF"/>
          <w:lang w:val="es-ES_tradnl" w:eastAsia="ko-KR"/>
        </w:rPr>
      </w:pPr>
      <w:r w:rsidRPr="006501B3">
        <w:rPr>
          <w:rFonts w:eastAsia="Times New Roman"/>
          <w:shd w:val="pct15" w:color="auto" w:fill="FFFFFF"/>
          <w:lang w:val="es-ES_tradnl"/>
        </w:rPr>
        <w:t>55218 Ingelheim</w:t>
      </w:r>
    </w:p>
    <w:p w14:paraId="013C2914" w14:textId="77777777" w:rsidR="00BE1C70" w:rsidRPr="006501B3" w:rsidRDefault="00BE1C70" w:rsidP="00C46560">
      <w:pPr>
        <w:pStyle w:val="a3"/>
        <w:keepNext/>
        <w:keepLines/>
        <w:rPr>
          <w:rFonts w:eastAsia="Times New Roman"/>
          <w:shd w:val="pct15" w:color="auto" w:fill="FFFFFF"/>
          <w:lang w:val="es-ES_tradnl"/>
        </w:rPr>
      </w:pPr>
      <w:r w:rsidRPr="006501B3">
        <w:rPr>
          <w:rFonts w:eastAsia="Times New Roman"/>
          <w:shd w:val="pct15" w:color="auto" w:fill="FFFFFF"/>
          <w:lang w:val="es-ES_tradnl"/>
        </w:rPr>
        <w:t>Germania</w:t>
      </w:r>
    </w:p>
    <w:p w14:paraId="7C00927E" w14:textId="77777777" w:rsidR="00BE1C70" w:rsidRPr="006501B3" w:rsidRDefault="00BE1C70" w:rsidP="00BE1C70">
      <w:pPr>
        <w:pStyle w:val="a3"/>
        <w:rPr>
          <w:rFonts w:eastAsia="Times New Roman"/>
          <w:shd w:val="pct15" w:color="auto" w:fill="FFFFFF"/>
          <w:lang w:val="es-ES_tradnl"/>
        </w:rPr>
      </w:pPr>
    </w:p>
    <w:p w14:paraId="3D00EEC0" w14:textId="593DAD9A" w:rsidR="00BE1C70" w:rsidRPr="006501B3" w:rsidRDefault="00BE1C70" w:rsidP="00BE1C70">
      <w:pPr>
        <w:pStyle w:val="a3"/>
        <w:rPr>
          <w:shd w:val="pct15" w:color="auto" w:fill="FFFFFF"/>
          <w:lang w:val="es-ES_tradnl" w:eastAsia="ko-KR"/>
        </w:rPr>
      </w:pPr>
      <w:r w:rsidRPr="006501B3">
        <w:rPr>
          <w:rFonts w:eastAsia="Times New Roman"/>
          <w:shd w:val="pct15" w:color="auto" w:fill="FFFFFF"/>
          <w:lang w:val="es-ES_tradnl"/>
        </w:rPr>
        <w:t>KYMOS S.L.</w:t>
      </w:r>
    </w:p>
    <w:p w14:paraId="67D40E3E" w14:textId="2E39C30A" w:rsidR="00BE1C70" w:rsidRPr="006501B3" w:rsidRDefault="00BE1C70" w:rsidP="00BE1C70">
      <w:pPr>
        <w:pStyle w:val="a3"/>
        <w:rPr>
          <w:shd w:val="pct15" w:color="auto" w:fill="FFFFFF"/>
          <w:lang w:val="es-ES_tradnl" w:eastAsia="ko-KR"/>
        </w:rPr>
      </w:pPr>
      <w:r w:rsidRPr="006501B3">
        <w:rPr>
          <w:rFonts w:eastAsia="Times New Roman"/>
          <w:shd w:val="pct15" w:color="auto" w:fill="FFFFFF"/>
          <w:lang w:val="es-ES_tradnl"/>
        </w:rPr>
        <w:t>Ronda Can Fatjó, 7B.</w:t>
      </w:r>
    </w:p>
    <w:p w14:paraId="4D336033" w14:textId="7C2A5727" w:rsidR="00BE1C70" w:rsidRPr="006501B3" w:rsidRDefault="00BE1C70" w:rsidP="00BE1C70">
      <w:pPr>
        <w:pStyle w:val="a3"/>
        <w:rPr>
          <w:shd w:val="pct15" w:color="auto" w:fill="FFFFFF"/>
          <w:lang w:val="es-ES_tradnl" w:eastAsia="ko-KR"/>
        </w:rPr>
      </w:pPr>
      <w:r w:rsidRPr="006501B3">
        <w:rPr>
          <w:rFonts w:eastAsia="Times New Roman"/>
          <w:shd w:val="pct15" w:color="auto" w:fill="FFFFFF"/>
          <w:lang w:val="es-ES_tradnl"/>
        </w:rPr>
        <w:t>08290 Cerdanyola del Vallès</w:t>
      </w:r>
    </w:p>
    <w:p w14:paraId="46FE7226" w14:textId="66B3474A" w:rsidR="00BE1C70" w:rsidRPr="00D74B3A" w:rsidRDefault="00BE1C70" w:rsidP="00BE1C70">
      <w:pPr>
        <w:pStyle w:val="a3"/>
        <w:rPr>
          <w:shd w:val="pct15" w:color="auto" w:fill="FFFFFF"/>
          <w:lang w:val="fr-FR" w:eastAsia="ko-KR"/>
        </w:rPr>
      </w:pPr>
      <w:r w:rsidRPr="00146E60">
        <w:rPr>
          <w:rFonts w:eastAsia="Times New Roman"/>
          <w:shd w:val="pct15" w:color="auto" w:fill="FFFFFF"/>
          <w:lang w:val="fr-FR"/>
        </w:rPr>
        <w:t>Barcelona</w:t>
      </w:r>
    </w:p>
    <w:p w14:paraId="2A6DEBAE" w14:textId="77777777" w:rsidR="00BE1C70" w:rsidRPr="00146E60" w:rsidRDefault="00BE1C70" w:rsidP="00BE1C70">
      <w:pPr>
        <w:pStyle w:val="a3"/>
        <w:rPr>
          <w:rFonts w:eastAsia="Times New Roman"/>
          <w:shd w:val="pct15" w:color="auto" w:fill="FFFFFF"/>
          <w:lang w:val="fr-FR"/>
        </w:rPr>
      </w:pPr>
      <w:r w:rsidRPr="00146E60">
        <w:rPr>
          <w:rFonts w:eastAsia="Times New Roman"/>
          <w:shd w:val="pct15" w:color="auto" w:fill="FFFFFF"/>
          <w:lang w:val="fr-FR"/>
        </w:rPr>
        <w:t>Spagna</w:t>
      </w:r>
    </w:p>
    <w:p w14:paraId="55F73DD0" w14:textId="77777777" w:rsidR="00BE1C70" w:rsidRPr="00FB7F5C" w:rsidRDefault="00BE1C70" w:rsidP="00BE1C70">
      <w:pPr>
        <w:spacing w:before="14" w:line="240" w:lineRule="exact"/>
        <w:rPr>
          <w:rFonts w:ascii="Times New Roman" w:hAnsi="Times New Roman" w:cs="Times New Roman"/>
          <w:sz w:val="24"/>
          <w:lang w:val="fr-FR"/>
        </w:rPr>
      </w:pPr>
    </w:p>
    <w:p w14:paraId="090B38F8" w14:textId="77777777" w:rsidR="00BE1C70" w:rsidRPr="00C35766" w:rsidRDefault="00BE1C70" w:rsidP="00BE1C70">
      <w:pPr>
        <w:pStyle w:val="a3"/>
        <w:rPr>
          <w:lang w:val="it-IT"/>
        </w:rPr>
      </w:pPr>
      <w:r w:rsidRPr="00C35766">
        <w:rPr>
          <w:rFonts w:eastAsia="Times New Roman"/>
          <w:lang w:val="it-IT"/>
        </w:rPr>
        <w:t>Per ulteriori informazioni su questo medicinale, contatti il rappresentante locale del titolare dell’autorizzazione all’immissione in commercio:</w:t>
      </w:r>
    </w:p>
    <w:p w14:paraId="0E9544DC" w14:textId="77777777" w:rsidR="00BE1C70" w:rsidRPr="00C35766" w:rsidRDefault="00BE1C70" w:rsidP="00BE1C70">
      <w:pPr>
        <w:numPr>
          <w:ilvl w:val="12"/>
          <w:numId w:val="0"/>
        </w:numPr>
        <w:ind w:right="-2"/>
        <w:rPr>
          <w:rFonts w:ascii="Times New Roman" w:hAnsi="Times New Roman" w:cs="Times New Roman"/>
          <w:b/>
          <w:lang w:val="it-IT"/>
        </w:rPr>
      </w:pPr>
    </w:p>
    <w:tbl>
      <w:tblPr>
        <w:tblW w:w="5000" w:type="pct"/>
        <w:tblLook w:val="04A0" w:firstRow="1" w:lastRow="0" w:firstColumn="1" w:lastColumn="0" w:noHBand="0" w:noVBand="1"/>
      </w:tblPr>
      <w:tblGrid>
        <w:gridCol w:w="4800"/>
        <w:gridCol w:w="4800"/>
      </w:tblGrid>
      <w:tr w:rsidR="00BE1C70" w:rsidRPr="00C35766" w14:paraId="33743172" w14:textId="77777777" w:rsidTr="00603A86">
        <w:tc>
          <w:tcPr>
            <w:tcW w:w="2500" w:type="pct"/>
            <w:hideMark/>
          </w:tcPr>
          <w:p w14:paraId="03BDF0FD" w14:textId="77777777" w:rsidR="00BE1C70" w:rsidRPr="00C35766" w:rsidRDefault="00BE1C70" w:rsidP="00603A86">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België/Belgique/Belgien</w:t>
            </w:r>
          </w:p>
          <w:p w14:paraId="28D2C2F9"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Belgium BVBA</w:t>
            </w:r>
          </w:p>
          <w:p w14:paraId="388E929D" w14:textId="77777777" w:rsidR="00BE1C70" w:rsidRPr="00C35766" w:rsidRDefault="00BE1C70" w:rsidP="00603A86">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Tél/Tel: + 32 1528 7418</w:t>
            </w:r>
          </w:p>
        </w:tc>
        <w:tc>
          <w:tcPr>
            <w:tcW w:w="2500" w:type="pct"/>
          </w:tcPr>
          <w:p w14:paraId="509B67CD" w14:textId="77777777" w:rsidR="00BE1C70" w:rsidRPr="00C35766" w:rsidRDefault="00BE1C70" w:rsidP="00603A86">
            <w:pPr>
              <w:tabs>
                <w:tab w:val="left" w:pos="-720"/>
              </w:tabs>
              <w:suppressAutoHyphens/>
              <w:rPr>
                <w:rFonts w:ascii="Times New Roman" w:hAnsi="Times New Roman" w:cs="Times New Roman"/>
                <w:b/>
                <w:noProof/>
                <w:lang w:eastAsia="fr-FR"/>
              </w:rPr>
            </w:pPr>
            <w:r w:rsidRPr="00C35766">
              <w:rPr>
                <w:rFonts w:ascii="Times New Roman" w:hAnsi="Times New Roman" w:cs="Times New Roman"/>
                <w:b/>
                <w:noProof/>
                <w:lang w:eastAsia="fr-FR"/>
              </w:rPr>
              <w:t>Lietuva</w:t>
            </w:r>
          </w:p>
          <w:p w14:paraId="74EA0A59"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19BE13B" w14:textId="77777777" w:rsidR="00BE1C70" w:rsidRPr="00C35766" w:rsidRDefault="00BE1C70" w:rsidP="00603A86">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p w14:paraId="641C79A9" w14:textId="77777777" w:rsidR="00BE1C70" w:rsidRPr="00C35766" w:rsidRDefault="00BE1C70" w:rsidP="00603A86">
            <w:pPr>
              <w:autoSpaceDE w:val="0"/>
              <w:autoSpaceDN w:val="0"/>
              <w:adjustRightInd w:val="0"/>
              <w:rPr>
                <w:rFonts w:ascii="Times New Roman" w:hAnsi="Times New Roman" w:cs="Times New Roman"/>
                <w:noProof/>
                <w:lang w:eastAsia="fr-FR"/>
              </w:rPr>
            </w:pPr>
          </w:p>
        </w:tc>
      </w:tr>
      <w:tr w:rsidR="00BE1C70" w:rsidRPr="00C35766" w14:paraId="28759FB8" w14:textId="77777777" w:rsidTr="00603A86">
        <w:trPr>
          <w:trHeight w:val="619"/>
        </w:trPr>
        <w:tc>
          <w:tcPr>
            <w:tcW w:w="2500" w:type="pct"/>
          </w:tcPr>
          <w:p w14:paraId="0B99AF38" w14:textId="77777777" w:rsidR="00BE1C70" w:rsidRPr="00C35766" w:rsidRDefault="00BE1C70" w:rsidP="00603A86">
            <w:pPr>
              <w:rPr>
                <w:rFonts w:ascii="Times New Roman" w:eastAsia="맑은 고딕" w:hAnsi="Times New Roman" w:cs="Times New Roman"/>
                <w:b/>
                <w:noProof/>
                <w:lang w:eastAsia="fr-FR"/>
              </w:rPr>
            </w:pPr>
            <w:r w:rsidRPr="00C35766">
              <w:rPr>
                <w:rFonts w:ascii="Times New Roman" w:hAnsi="Times New Roman" w:cs="Times New Roman"/>
                <w:b/>
                <w:bCs/>
              </w:rPr>
              <w:t>България</w:t>
            </w:r>
          </w:p>
          <w:p w14:paraId="21E3B1CA"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37285FEF" w14:textId="77777777" w:rsidR="00BE1C70" w:rsidRPr="00C35766" w:rsidRDefault="00BE1C70" w:rsidP="00603A86">
            <w:pPr>
              <w:rPr>
                <w:rFonts w:ascii="Times New Roman" w:hAnsi="Times New Roman" w:cs="Times New Roman"/>
                <w:noProof/>
                <w:lang w:eastAsia="fr-FR"/>
              </w:rPr>
            </w:pPr>
            <w:r w:rsidRPr="00C35766">
              <w:rPr>
                <w:rFonts w:ascii="Times New Roman" w:eastAsia="맑은 고딕" w:hAnsi="Times New Roman" w:cs="Times New Roman"/>
                <w:noProof/>
                <w:lang w:eastAsia="fr-FR"/>
              </w:rPr>
              <w:t>Teл.: +36 1 231 0493</w:t>
            </w:r>
          </w:p>
        </w:tc>
        <w:tc>
          <w:tcPr>
            <w:tcW w:w="2500" w:type="pct"/>
            <w:hideMark/>
          </w:tcPr>
          <w:p w14:paraId="22F52D97" w14:textId="77777777" w:rsidR="00BE1C70" w:rsidRPr="00C35766" w:rsidRDefault="00BE1C70" w:rsidP="00603A86">
            <w:pPr>
              <w:tabs>
                <w:tab w:val="left" w:pos="-720"/>
              </w:tabs>
              <w:suppressAutoHyphens/>
              <w:rPr>
                <w:rFonts w:ascii="Times New Roman" w:hAnsi="Times New Roman" w:cs="Times New Roman"/>
                <w:noProof/>
                <w:lang w:val="de-CH" w:eastAsia="fr-FR"/>
              </w:rPr>
            </w:pPr>
            <w:r w:rsidRPr="00C35766">
              <w:rPr>
                <w:rFonts w:ascii="Times New Roman" w:eastAsia="맑은 고딕" w:hAnsi="Times New Roman" w:cs="Times New Roman"/>
                <w:b/>
                <w:noProof/>
                <w:lang w:val="de-CH" w:eastAsia="fr-FR"/>
              </w:rPr>
              <w:t>Luxembourg/Luxemburg</w:t>
            </w:r>
          </w:p>
          <w:p w14:paraId="32E2C48F" w14:textId="77777777" w:rsidR="00BE1C70" w:rsidRPr="00C35766" w:rsidRDefault="00BE1C70" w:rsidP="00603A86">
            <w:pPr>
              <w:tabs>
                <w:tab w:val="left" w:pos="-720"/>
              </w:tabs>
              <w:suppressAutoHyphens/>
              <w:rPr>
                <w:rFonts w:ascii="Times New Roman" w:eastAsia="맑은 고딕" w:hAnsi="Times New Roman" w:cs="Times New Roman"/>
                <w:iCs/>
                <w:noProof/>
                <w:lang w:val="de-CH" w:eastAsia="fr-FR"/>
              </w:rPr>
            </w:pPr>
            <w:r w:rsidRPr="00C35766">
              <w:rPr>
                <w:rFonts w:ascii="Times New Roman" w:eastAsia="맑은 고딕" w:hAnsi="Times New Roman" w:cs="Times New Roman"/>
                <w:iCs/>
                <w:noProof/>
                <w:lang w:val="de-CH" w:eastAsia="fr-FR"/>
              </w:rPr>
              <w:t>Celltrion Healthcare Belgium BVBA</w:t>
            </w:r>
          </w:p>
          <w:p w14:paraId="409B7F76" w14:textId="77777777" w:rsidR="00BE1C70" w:rsidRPr="00C35766" w:rsidRDefault="00BE1C70" w:rsidP="00603A86">
            <w:pPr>
              <w:tabs>
                <w:tab w:val="left" w:pos="-720"/>
              </w:tabs>
              <w:suppressAutoHyphens/>
              <w:rPr>
                <w:rFonts w:ascii="Times New Roman" w:eastAsia="맑은 고딕" w:hAnsi="Times New Roman" w:cs="Times New Roman"/>
                <w:lang w:val="pt-PT" w:eastAsia="ko-KR"/>
              </w:rPr>
            </w:pPr>
            <w:r w:rsidRPr="00C35766">
              <w:rPr>
                <w:rFonts w:ascii="Times New Roman" w:eastAsia="맑은 고딕" w:hAnsi="Times New Roman" w:cs="Times New Roman"/>
                <w:noProof/>
                <w:lang w:val="fr-FR" w:eastAsia="fr-FR"/>
              </w:rPr>
              <w:t xml:space="preserve">Tél/Tel: </w:t>
            </w:r>
            <w:r w:rsidRPr="00C35766">
              <w:rPr>
                <w:rFonts w:ascii="Times New Roman" w:eastAsia="맑은 고딕" w:hAnsi="Times New Roman" w:cs="Times New Roman"/>
                <w:iCs/>
                <w:noProof/>
                <w:lang w:val="pt-PT" w:eastAsia="fr-FR"/>
              </w:rPr>
              <w:t>+ 32 1528 7418</w:t>
            </w:r>
          </w:p>
        </w:tc>
      </w:tr>
      <w:tr w:rsidR="00BE1C70" w:rsidRPr="00C35766" w14:paraId="2B0257C9" w14:textId="77777777" w:rsidTr="00603A86">
        <w:tc>
          <w:tcPr>
            <w:tcW w:w="2500" w:type="pct"/>
            <w:hideMark/>
          </w:tcPr>
          <w:p w14:paraId="2CD09180" w14:textId="77777777" w:rsidR="00F45088" w:rsidRDefault="00F45088" w:rsidP="00603A86">
            <w:pPr>
              <w:tabs>
                <w:tab w:val="left" w:pos="-720"/>
              </w:tabs>
              <w:suppressAutoHyphens/>
              <w:rPr>
                <w:rFonts w:ascii="Times New Roman" w:eastAsia="맑은 고딕" w:hAnsi="Times New Roman" w:cs="Times New Roman"/>
                <w:b/>
                <w:noProof/>
                <w:lang w:eastAsia="fr-FR"/>
              </w:rPr>
            </w:pPr>
          </w:p>
          <w:p w14:paraId="437D251E" w14:textId="676BC77A" w:rsidR="00BE1C70" w:rsidRPr="00C35766" w:rsidRDefault="00BE1C70" w:rsidP="00603A86">
            <w:pPr>
              <w:tabs>
                <w:tab w:val="left" w:pos="-720"/>
              </w:tabs>
              <w:suppressAutoHyphens/>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Česká republika</w:t>
            </w:r>
          </w:p>
          <w:p w14:paraId="3305D07B"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011BDDB2" w14:textId="77777777" w:rsidR="00BE1C70" w:rsidRPr="00C35766" w:rsidRDefault="00BE1C70" w:rsidP="00603A86">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noProof/>
                <w:lang w:eastAsia="fr-FR"/>
              </w:rPr>
              <w:t>Tel: +36 1 231 0493</w:t>
            </w:r>
          </w:p>
        </w:tc>
        <w:tc>
          <w:tcPr>
            <w:tcW w:w="2500" w:type="pct"/>
          </w:tcPr>
          <w:p w14:paraId="1F942067" w14:textId="77777777" w:rsidR="00F45088" w:rsidRDefault="00F45088" w:rsidP="00603A86">
            <w:pPr>
              <w:rPr>
                <w:rFonts w:ascii="Times New Roman" w:hAnsi="Times New Roman" w:cs="Times New Roman"/>
                <w:b/>
                <w:noProof/>
              </w:rPr>
            </w:pPr>
          </w:p>
          <w:p w14:paraId="2514B56E" w14:textId="292C3258" w:rsidR="00BE1C70" w:rsidRPr="00C35766" w:rsidRDefault="00BE1C70" w:rsidP="00603A86">
            <w:pPr>
              <w:rPr>
                <w:rFonts w:ascii="Times New Roman" w:eastAsia="맑은 고딕" w:hAnsi="Times New Roman" w:cs="Times New Roman"/>
                <w:b/>
                <w:noProof/>
                <w:lang w:eastAsia="fr-FR"/>
              </w:rPr>
            </w:pPr>
            <w:r w:rsidRPr="00C35766">
              <w:rPr>
                <w:rFonts w:ascii="Times New Roman" w:hAnsi="Times New Roman" w:cs="Times New Roman"/>
                <w:b/>
                <w:noProof/>
              </w:rPr>
              <w:t>Magyarország</w:t>
            </w:r>
          </w:p>
          <w:p w14:paraId="2681068B"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3EE4CFB6"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+36 1 231 0493</w:t>
            </w:r>
          </w:p>
          <w:p w14:paraId="6B0146B4" w14:textId="77777777" w:rsidR="00BE1C70" w:rsidRPr="00C35766" w:rsidRDefault="00BE1C70" w:rsidP="00603A86">
            <w:pPr>
              <w:rPr>
                <w:rFonts w:ascii="Times New Roman" w:eastAsia="맑은 고딕" w:hAnsi="Times New Roman" w:cs="Times New Roman"/>
                <w:noProof/>
                <w:lang w:eastAsia="ko-KR"/>
              </w:rPr>
            </w:pPr>
          </w:p>
        </w:tc>
      </w:tr>
      <w:tr w:rsidR="00BE1C70" w:rsidRPr="00C35766" w14:paraId="593CC3AD" w14:textId="77777777" w:rsidTr="00603A86">
        <w:tc>
          <w:tcPr>
            <w:tcW w:w="2500" w:type="pct"/>
            <w:hideMark/>
          </w:tcPr>
          <w:p w14:paraId="13EE7F2E" w14:textId="77777777" w:rsidR="00BE1C70" w:rsidRPr="00C35766" w:rsidRDefault="00BE1C70" w:rsidP="00603A86">
            <w:pPr>
              <w:tabs>
                <w:tab w:val="left" w:pos="-720"/>
              </w:tabs>
              <w:suppressAutoHyphens/>
              <w:rPr>
                <w:rFonts w:ascii="Times New Roman" w:hAnsi="Times New Roman" w:cs="Times New Roman"/>
                <w:b/>
                <w:bCs/>
                <w:i/>
                <w:iCs/>
                <w:noProof/>
                <w:lang w:eastAsia="fr-FR"/>
              </w:rPr>
            </w:pPr>
            <w:r w:rsidRPr="00C35766">
              <w:rPr>
                <w:rFonts w:ascii="Times New Roman" w:hAnsi="Times New Roman" w:cs="Times New Roman"/>
                <w:b/>
                <w:noProof/>
              </w:rPr>
              <w:t>Danmark</w:t>
            </w:r>
          </w:p>
          <w:p w14:paraId="3F91D44A"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889E6C9"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tc>
        <w:tc>
          <w:tcPr>
            <w:tcW w:w="2500" w:type="pct"/>
          </w:tcPr>
          <w:p w14:paraId="3D6786EF" w14:textId="77777777" w:rsidR="00BE1C70" w:rsidRPr="00C35766" w:rsidRDefault="00BE1C70" w:rsidP="00603A86">
            <w:pPr>
              <w:rPr>
                <w:rFonts w:ascii="Times New Roman" w:hAnsi="Times New Roman" w:cs="Times New Roman"/>
                <w:noProof/>
                <w:lang w:eastAsia="fr-FR"/>
              </w:rPr>
            </w:pPr>
            <w:r w:rsidRPr="00C35766">
              <w:rPr>
                <w:rFonts w:ascii="Times New Roman" w:eastAsia="맑은 고딕" w:hAnsi="Times New Roman" w:cs="Times New Roman"/>
                <w:b/>
                <w:noProof/>
                <w:lang w:eastAsia="fr-FR"/>
              </w:rPr>
              <w:t>Malta</w:t>
            </w:r>
          </w:p>
          <w:p w14:paraId="47B05777"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B5072D">
              <w:rPr>
                <w:rFonts w:ascii="Times New Roman" w:eastAsia="맑은 고딕" w:hAnsi="Times New Roman" w:cs="Times New Roman"/>
                <w:noProof/>
                <w:lang w:eastAsia="fr-FR"/>
              </w:rPr>
              <w:t>Mint Health Ltd.</w:t>
            </w:r>
          </w:p>
          <w:p w14:paraId="5318457F" w14:textId="77777777" w:rsidR="00BE1C70" w:rsidRPr="00C35766" w:rsidRDefault="00BE1C70" w:rsidP="00603A86">
            <w:pPr>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 xml:space="preserve">Tel: +356 </w:t>
            </w:r>
            <w:r w:rsidRPr="00B5072D">
              <w:rPr>
                <w:rFonts w:ascii="Times New Roman" w:eastAsia="맑은 고딕" w:hAnsi="Times New Roman" w:cs="Times New Roman"/>
                <w:noProof/>
                <w:lang w:eastAsia="fr-FR"/>
              </w:rPr>
              <w:t>2093 9800</w:t>
            </w:r>
          </w:p>
          <w:p w14:paraId="652F0E19" w14:textId="77777777" w:rsidR="00BE1C70" w:rsidRPr="00C35766" w:rsidRDefault="00BE1C70" w:rsidP="00603A86">
            <w:pPr>
              <w:rPr>
                <w:rFonts w:ascii="Times New Roman" w:eastAsia="맑은 고딕" w:hAnsi="Times New Roman" w:cs="Times New Roman"/>
                <w:noProof/>
                <w:lang w:eastAsia="ko-KR"/>
              </w:rPr>
            </w:pPr>
          </w:p>
        </w:tc>
      </w:tr>
      <w:tr w:rsidR="00BE1C70" w:rsidRPr="00C35766" w14:paraId="56941D99" w14:textId="77777777" w:rsidTr="00603A86">
        <w:tc>
          <w:tcPr>
            <w:tcW w:w="2500" w:type="pct"/>
            <w:hideMark/>
          </w:tcPr>
          <w:p w14:paraId="0B2BA196" w14:textId="77777777" w:rsidR="00BE1C70" w:rsidRPr="00C35766" w:rsidRDefault="00BE1C70" w:rsidP="00603A86">
            <w:pPr>
              <w:rPr>
                <w:rFonts w:ascii="Times New Roman" w:hAnsi="Times New Roman" w:cs="Times New Roman"/>
                <w:b/>
                <w:noProof/>
                <w:lang w:eastAsia="fr-FR"/>
              </w:rPr>
            </w:pPr>
            <w:r w:rsidRPr="00C35766">
              <w:rPr>
                <w:rFonts w:ascii="Times New Roman" w:eastAsia="맑은 고딕" w:hAnsi="Times New Roman" w:cs="Times New Roman"/>
                <w:b/>
                <w:noProof/>
                <w:lang w:eastAsia="fr-FR"/>
              </w:rPr>
              <w:t>Deutschland</w:t>
            </w:r>
          </w:p>
          <w:p w14:paraId="5C061298" w14:textId="77777777" w:rsidR="00A96424" w:rsidRPr="00B23C0A" w:rsidRDefault="00A96424" w:rsidP="00A96424">
            <w:pPr>
              <w:rPr>
                <w:rFonts w:ascii="Times New Roman" w:hAnsi="Times New Roman" w:cs="Times New Roman"/>
                <w:noProof/>
                <w:lang w:eastAsia="ko-KR"/>
              </w:rPr>
            </w:pPr>
            <w:r w:rsidRPr="00C13DB3">
              <w:rPr>
                <w:rFonts w:ascii="Times New Roman" w:hAnsi="Times New Roman" w:cs="Times New Roman"/>
                <w:noProof/>
                <w:lang w:eastAsia="ko-KR"/>
              </w:rPr>
              <w:t xml:space="preserve">Celltrion Healthcare </w:t>
            </w:r>
            <w:r>
              <w:rPr>
                <w:rFonts w:ascii="Times New Roman" w:hAnsi="Times New Roman" w:cs="Times New Roman"/>
                <w:noProof/>
                <w:lang w:eastAsia="ko-KR"/>
              </w:rPr>
              <w:t>Deutschland GmbH</w:t>
            </w:r>
          </w:p>
          <w:p w14:paraId="70042848" w14:textId="44CD41CC" w:rsidR="00A96424" w:rsidRDefault="00A96424" w:rsidP="00A96424">
            <w:pPr>
              <w:rPr>
                <w:rFonts w:ascii="Times New Roman" w:eastAsia="맑은 고딕" w:hAnsi="Times New Roman" w:cs="Times New Roman"/>
                <w:noProof/>
                <w:lang w:eastAsia="fr-FR"/>
              </w:rPr>
            </w:pPr>
            <w:r w:rsidRPr="00B23C0A">
              <w:rPr>
                <w:rFonts w:ascii="Times New Roman" w:hAnsi="Times New Roman" w:cs="Times New Roman"/>
                <w:noProof/>
                <w:lang w:eastAsia="ko-KR"/>
              </w:rPr>
              <w:t>T</w:t>
            </w:r>
            <w:r w:rsidR="00460B0A">
              <w:rPr>
                <w:rFonts w:ascii="Times New Roman" w:hAnsi="Times New Roman" w:cs="Times New Roman" w:hint="eastAsia"/>
                <w:noProof/>
                <w:lang w:eastAsia="ko-KR"/>
              </w:rPr>
              <w:t>e</w:t>
            </w:r>
            <w:r w:rsidRPr="00B23C0A">
              <w:rPr>
                <w:rFonts w:ascii="Times New Roman" w:hAnsi="Times New Roman" w:cs="Times New Roman"/>
                <w:noProof/>
                <w:lang w:eastAsia="ko-KR"/>
              </w:rPr>
              <w:t>l.: +</w:t>
            </w:r>
            <w:r>
              <w:rPr>
                <w:rFonts w:ascii="Times New Roman" w:hAnsi="Times New Roman" w:cs="Times New Roman"/>
                <w:noProof/>
                <w:lang w:eastAsia="ko-KR"/>
              </w:rPr>
              <w:t>49</w:t>
            </w:r>
            <w:r w:rsidRPr="00B23C0A">
              <w:rPr>
                <w:rFonts w:ascii="Times New Roman" w:hAnsi="Times New Roman" w:cs="Times New Roman"/>
                <w:noProof/>
                <w:lang w:eastAsia="ko-KR"/>
              </w:rPr>
              <w:t xml:space="preserve"> (0)</w:t>
            </w:r>
            <w:r w:rsidR="00893A16">
              <w:rPr>
                <w:rFonts w:ascii="Times New Roman" w:hAnsi="Times New Roman" w:cs="Times New Roman"/>
                <w:noProof/>
                <w:lang w:eastAsia="ko-KR"/>
              </w:rPr>
              <w:t>30 346494150</w:t>
            </w:r>
          </w:p>
          <w:p w14:paraId="6A8A54E7" w14:textId="77777777" w:rsidR="00A96424" w:rsidRPr="005A6A67" w:rsidRDefault="00A96424" w:rsidP="005A6A67">
            <w:pPr>
              <w:tabs>
                <w:tab w:val="left" w:pos="-720"/>
              </w:tabs>
              <w:suppressAutoHyphens/>
              <w:rPr>
                <w:rStyle w:val="ad"/>
                <w:rFonts w:ascii="Times New Roman" w:hAnsi="Times New Roman" w:cs="Times New Roman"/>
                <w:lang w:eastAsia="ko-KR"/>
              </w:rPr>
            </w:pPr>
            <w:r w:rsidRPr="005A6A67">
              <w:rPr>
                <w:rStyle w:val="ad"/>
                <w:rFonts w:ascii="Times New Roman" w:hAnsi="Times New Roman" w:cs="Times New Roman"/>
                <w:lang w:eastAsia="ko-KR"/>
              </w:rPr>
              <w:t>infoDE@celltrionhc.com</w:t>
            </w:r>
          </w:p>
          <w:p w14:paraId="4B1BCE60" w14:textId="436935CE" w:rsidR="00BE1C70" w:rsidRPr="00C35766" w:rsidRDefault="00BE1C70" w:rsidP="00603A86">
            <w:pPr>
              <w:tabs>
                <w:tab w:val="left" w:pos="-720"/>
              </w:tabs>
              <w:suppressAutoHyphens/>
              <w:rPr>
                <w:rFonts w:ascii="Times New Roman" w:eastAsia="맑은 고딕" w:hAnsi="Times New Roman" w:cs="Times New Roman"/>
                <w:noProof/>
                <w:lang w:eastAsia="fr-FR"/>
              </w:rPr>
            </w:pPr>
          </w:p>
          <w:p w14:paraId="04C91A96"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p>
        </w:tc>
        <w:tc>
          <w:tcPr>
            <w:tcW w:w="2500" w:type="pct"/>
          </w:tcPr>
          <w:p w14:paraId="320D9A93" w14:textId="77777777" w:rsidR="00BE1C70" w:rsidRPr="00C35766" w:rsidRDefault="00BE1C70" w:rsidP="00603A86">
            <w:pPr>
              <w:rPr>
                <w:rFonts w:ascii="Times New Roman" w:hAnsi="Times New Roman" w:cs="Times New Roman"/>
                <w:noProof/>
                <w:lang w:eastAsia="fr-FR"/>
              </w:rPr>
            </w:pPr>
            <w:r w:rsidRPr="00C35766">
              <w:rPr>
                <w:rFonts w:ascii="Times New Roman" w:eastAsia="맑은 고딕" w:hAnsi="Times New Roman" w:cs="Times New Roman"/>
                <w:b/>
                <w:noProof/>
                <w:lang w:eastAsia="fr-FR"/>
              </w:rPr>
              <w:t>Nederland</w:t>
            </w:r>
          </w:p>
          <w:p w14:paraId="4EEFC814"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Netherlands B.V.</w:t>
            </w:r>
          </w:p>
          <w:p w14:paraId="5FDB7677"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+ 31 20 888 7300</w:t>
            </w:r>
          </w:p>
          <w:p w14:paraId="015C8CD9" w14:textId="77777777" w:rsidR="00BE1C70" w:rsidRPr="00C35766" w:rsidRDefault="00BE1C70" w:rsidP="00603A86">
            <w:pPr>
              <w:rPr>
                <w:rFonts w:ascii="Times New Roman" w:eastAsia="맑은 고딕" w:hAnsi="Times New Roman" w:cs="Times New Roman"/>
                <w:noProof/>
                <w:lang w:eastAsia="fr-FR"/>
              </w:rPr>
            </w:pPr>
          </w:p>
        </w:tc>
      </w:tr>
      <w:tr w:rsidR="00BE1C70" w:rsidRPr="00C35766" w14:paraId="4CF58B6F" w14:textId="77777777" w:rsidTr="00603A86">
        <w:tc>
          <w:tcPr>
            <w:tcW w:w="2500" w:type="pct"/>
            <w:hideMark/>
          </w:tcPr>
          <w:p w14:paraId="0B405C57" w14:textId="77777777" w:rsidR="00BE1C70" w:rsidRPr="00C35766" w:rsidRDefault="00BE1C70" w:rsidP="00603A86">
            <w:pPr>
              <w:tabs>
                <w:tab w:val="left" w:pos="-720"/>
                <w:tab w:val="left" w:pos="4536"/>
              </w:tabs>
              <w:suppressAutoHyphens/>
              <w:rPr>
                <w:rFonts w:ascii="Times New Roman" w:hAnsi="Times New Roman" w:cs="Times New Roman"/>
                <w:b/>
                <w:noProof/>
                <w:lang w:val="en-GB" w:eastAsia="fr-FR"/>
              </w:rPr>
            </w:pPr>
            <w:r w:rsidRPr="00C35766">
              <w:rPr>
                <w:rFonts w:ascii="Times New Roman" w:eastAsia="맑은 고딕" w:hAnsi="Times New Roman" w:cs="Times New Roman"/>
                <w:b/>
                <w:noProof/>
                <w:lang w:val="en-GB" w:eastAsia="fr-FR"/>
              </w:rPr>
              <w:t>Eesti</w:t>
            </w:r>
          </w:p>
          <w:p w14:paraId="3F2327CF" w14:textId="77777777" w:rsidR="00BE1C70" w:rsidRPr="00C35766" w:rsidRDefault="00BE1C70" w:rsidP="00603A86">
            <w:pPr>
              <w:rPr>
                <w:rFonts w:ascii="Times New Roman" w:eastAsia="맑은 고딕" w:hAnsi="Times New Roman" w:cs="Times New Roman"/>
                <w:noProof/>
                <w:lang w:val="en-GB" w:eastAsia="fr-FR"/>
              </w:rPr>
            </w:pPr>
            <w:r w:rsidRPr="00C35766">
              <w:rPr>
                <w:rFonts w:ascii="Times New Roman" w:eastAsia="맑은 고딕" w:hAnsi="Times New Roman" w:cs="Times New Roman"/>
                <w:noProof/>
                <w:lang w:val="en-GB" w:eastAsia="fr-FR"/>
              </w:rPr>
              <w:t>Celltrion Healthcare Hungary Kft.</w:t>
            </w:r>
          </w:p>
          <w:p w14:paraId="42BAFE80" w14:textId="77777777" w:rsidR="00BE1C70" w:rsidRPr="00C35766" w:rsidRDefault="00BE1C70" w:rsidP="00603A86">
            <w:pPr>
              <w:tabs>
                <w:tab w:val="left" w:pos="-720"/>
              </w:tabs>
              <w:suppressAutoHyphens/>
              <w:rPr>
                <w:rFonts w:ascii="Times New Roman" w:eastAsia="맑은 고딕" w:hAnsi="Times New Roman" w:cs="Times New Roman"/>
                <w:noProof/>
                <w:lang w:val="fi-FI" w:eastAsia="fr-FR"/>
              </w:rPr>
            </w:pPr>
            <w:r w:rsidRPr="00C35766">
              <w:rPr>
                <w:rFonts w:ascii="Times New Roman" w:eastAsia="맑은 고딕" w:hAnsi="Times New Roman" w:cs="Times New Roman"/>
                <w:noProof/>
                <w:lang w:eastAsia="fr-FR"/>
              </w:rPr>
              <w:t xml:space="preserve">Tel: </w:t>
            </w:r>
            <w:r w:rsidRPr="00C35766">
              <w:rPr>
                <w:rFonts w:ascii="Times New Roman" w:eastAsia="맑은 고딕" w:hAnsi="Times New Roman" w:cs="Times New Roman"/>
                <w:noProof/>
                <w:lang w:val="fi-FI" w:eastAsia="fr-FR"/>
              </w:rPr>
              <w:t>+36 1 231 0493</w:t>
            </w:r>
          </w:p>
          <w:p w14:paraId="1AC24739" w14:textId="77777777" w:rsidR="00BE1C70" w:rsidRPr="00C35766" w:rsidRDefault="00BE1C70" w:rsidP="00603A86">
            <w:pPr>
              <w:tabs>
                <w:tab w:val="left" w:pos="-720"/>
              </w:tabs>
              <w:suppressAutoHyphens/>
              <w:rPr>
                <w:rFonts w:ascii="Times New Roman" w:eastAsia="맑은 고딕" w:hAnsi="Times New Roman" w:cs="Times New Roman"/>
                <w:noProof/>
                <w:lang w:val="fi-FI" w:eastAsia="ko-KR"/>
              </w:rPr>
            </w:pPr>
          </w:p>
        </w:tc>
        <w:tc>
          <w:tcPr>
            <w:tcW w:w="2500" w:type="pct"/>
          </w:tcPr>
          <w:p w14:paraId="2A331D91" w14:textId="77777777" w:rsidR="00BE1C70" w:rsidRPr="00C35766" w:rsidRDefault="00BE1C70" w:rsidP="00603A86">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t>Norge</w:t>
            </w:r>
          </w:p>
          <w:p w14:paraId="0601FE93"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158FF80A"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Tlf: +36 1 231 0493</w:t>
            </w:r>
          </w:p>
          <w:p w14:paraId="4F2B58AC" w14:textId="77777777" w:rsidR="00BE1C70" w:rsidRPr="00C35766" w:rsidRDefault="00BE1C70" w:rsidP="00603A86">
            <w:pPr>
              <w:tabs>
                <w:tab w:val="left" w:pos="-720"/>
              </w:tabs>
              <w:suppressAutoHyphens/>
              <w:rPr>
                <w:rFonts w:ascii="Times New Roman" w:eastAsia="맑은 고딕" w:hAnsi="Times New Roman" w:cs="Times New Roman"/>
                <w:noProof/>
                <w:lang w:eastAsia="ko-KR"/>
              </w:rPr>
            </w:pPr>
          </w:p>
        </w:tc>
      </w:tr>
      <w:tr w:rsidR="00BE1C70" w:rsidRPr="007B2F1E" w14:paraId="7E0F5A3A" w14:textId="77777777" w:rsidTr="00603A86">
        <w:tc>
          <w:tcPr>
            <w:tcW w:w="2500" w:type="pct"/>
            <w:hideMark/>
          </w:tcPr>
          <w:p w14:paraId="02F31013" w14:textId="77777777" w:rsidR="00BE1C70" w:rsidRPr="00C35766" w:rsidRDefault="00BE1C70" w:rsidP="00603A86">
            <w:pPr>
              <w:rPr>
                <w:rFonts w:ascii="Times New Roman" w:hAnsi="Times New Roman" w:cs="Times New Roman"/>
                <w:noProof/>
                <w:lang w:val="es-ES_tradnl" w:eastAsia="fr-FR"/>
              </w:rPr>
            </w:pPr>
            <w:r w:rsidRPr="00C35766">
              <w:rPr>
                <w:rFonts w:ascii="Times New Roman" w:hAnsi="Times New Roman" w:cs="Times New Roman"/>
                <w:b/>
                <w:noProof/>
                <w:lang w:val="es-ES_tradnl"/>
              </w:rPr>
              <w:t>España</w:t>
            </w:r>
          </w:p>
          <w:p w14:paraId="41BC47D9" w14:textId="77777777" w:rsidR="00BE1C70" w:rsidRPr="00C35766" w:rsidRDefault="00BE1C70" w:rsidP="00603A86">
            <w:pPr>
              <w:rPr>
                <w:rFonts w:ascii="Times New Roman" w:eastAsia="맑은 고딕" w:hAnsi="Times New Roman" w:cs="Times New Roman"/>
                <w:noProof/>
                <w:lang w:val="es-ES_tradnl" w:eastAsia="fr-FR"/>
              </w:rPr>
            </w:pPr>
            <w:r w:rsidRPr="00C35766">
              <w:rPr>
                <w:rFonts w:ascii="Times New Roman" w:eastAsia="맑은 고딕" w:hAnsi="Times New Roman" w:cs="Times New Roman"/>
                <w:noProof/>
                <w:lang w:val="es-ES_tradnl" w:eastAsia="fr-FR"/>
              </w:rPr>
              <w:t>Kern Pharma, S.L.</w:t>
            </w:r>
          </w:p>
          <w:p w14:paraId="6F1D2A58"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+34 93 700 2525</w:t>
            </w:r>
          </w:p>
          <w:p w14:paraId="4CEE72FF" w14:textId="77777777" w:rsidR="00BE1C70" w:rsidRPr="00C35766" w:rsidRDefault="00BE1C70" w:rsidP="00603A86">
            <w:pPr>
              <w:rPr>
                <w:rFonts w:ascii="Times New Roman" w:hAnsi="Times New Roman" w:cs="Times New Roman"/>
                <w:b/>
                <w:noProof/>
                <w:lang w:eastAsia="fr-FR"/>
              </w:rPr>
            </w:pPr>
          </w:p>
        </w:tc>
        <w:tc>
          <w:tcPr>
            <w:tcW w:w="2500" w:type="pct"/>
          </w:tcPr>
          <w:p w14:paraId="72BE7261" w14:textId="77777777" w:rsidR="00BE1C70" w:rsidRPr="00C35766" w:rsidRDefault="00BE1C70" w:rsidP="00603A86">
            <w:pPr>
              <w:rPr>
                <w:rFonts w:ascii="Times New Roman" w:hAnsi="Times New Roman" w:cs="Times New Roman"/>
                <w:noProof/>
                <w:lang w:val="de-DE" w:eastAsia="fr-FR"/>
              </w:rPr>
            </w:pPr>
            <w:r w:rsidRPr="00C35766">
              <w:rPr>
                <w:rFonts w:ascii="Times New Roman" w:hAnsi="Times New Roman" w:cs="Times New Roman"/>
                <w:b/>
                <w:noProof/>
                <w:lang w:val="de-DE"/>
              </w:rPr>
              <w:t>Österreich</w:t>
            </w:r>
          </w:p>
          <w:p w14:paraId="0F36F9F6" w14:textId="77777777" w:rsidR="00BE1C70" w:rsidRPr="00C35766" w:rsidRDefault="00BE1C70" w:rsidP="00603A86">
            <w:pPr>
              <w:rPr>
                <w:rFonts w:ascii="Times New Roman" w:eastAsia="맑은 고딕" w:hAnsi="Times New Roman" w:cs="Times New Roman"/>
                <w:noProof/>
                <w:lang w:val="de-DE" w:eastAsia="ko-KR"/>
              </w:rPr>
            </w:pPr>
            <w:r w:rsidRPr="00C35766">
              <w:rPr>
                <w:rFonts w:ascii="Times New Roman" w:eastAsia="맑은 고딕" w:hAnsi="Times New Roman" w:cs="Times New Roman"/>
                <w:noProof/>
                <w:lang w:val="de-DE" w:eastAsia="fr-FR"/>
              </w:rPr>
              <w:t>Astro-Pharma GmbH</w:t>
            </w:r>
          </w:p>
          <w:p w14:paraId="4B201C9F" w14:textId="77777777" w:rsidR="00BE1C70" w:rsidRPr="00C35766" w:rsidRDefault="00BE1C70" w:rsidP="00603A86">
            <w:pPr>
              <w:tabs>
                <w:tab w:val="left" w:pos="-720"/>
              </w:tabs>
              <w:suppressAutoHyphens/>
              <w:rPr>
                <w:rFonts w:ascii="Times New Roman" w:eastAsia="맑은 고딕" w:hAnsi="Times New Roman" w:cs="Times New Roman"/>
                <w:noProof/>
                <w:lang w:val="de-DE" w:eastAsia="fr-FR"/>
              </w:rPr>
            </w:pPr>
            <w:r w:rsidRPr="00C35766">
              <w:rPr>
                <w:rFonts w:ascii="Times New Roman" w:eastAsia="맑은 고딕" w:hAnsi="Times New Roman" w:cs="Times New Roman"/>
                <w:noProof/>
                <w:lang w:val="de-DE" w:eastAsia="fr-FR"/>
              </w:rPr>
              <w:t>Tel: +43 1 97 99 860</w:t>
            </w:r>
          </w:p>
          <w:p w14:paraId="29F6D9D4" w14:textId="77777777" w:rsidR="00BE1C70" w:rsidRPr="00C35766" w:rsidRDefault="00BE1C70" w:rsidP="00603A86">
            <w:pPr>
              <w:tabs>
                <w:tab w:val="left" w:pos="-720"/>
              </w:tabs>
              <w:suppressAutoHyphens/>
              <w:rPr>
                <w:rFonts w:ascii="Times New Roman" w:hAnsi="Times New Roman" w:cs="Times New Roman"/>
                <w:noProof/>
                <w:lang w:val="de-DE" w:eastAsia="fr-FR"/>
              </w:rPr>
            </w:pPr>
          </w:p>
        </w:tc>
      </w:tr>
      <w:tr w:rsidR="00BE1C70" w:rsidRPr="00C35766" w14:paraId="7F8B6A4B" w14:textId="77777777" w:rsidTr="00603A86">
        <w:tc>
          <w:tcPr>
            <w:tcW w:w="2500" w:type="pct"/>
          </w:tcPr>
          <w:p w14:paraId="2E055676" w14:textId="77777777" w:rsidR="00BE1C70" w:rsidRPr="00C35766" w:rsidRDefault="00BE1C70" w:rsidP="00603A86">
            <w:pPr>
              <w:rPr>
                <w:rFonts w:ascii="Times New Roman" w:hAnsi="Times New Roman" w:cs="Times New Roman"/>
                <w:b/>
                <w:noProof/>
                <w:lang w:val="el-GR" w:eastAsia="fr-FR"/>
              </w:rPr>
            </w:pPr>
            <w:r w:rsidRPr="00C35766">
              <w:rPr>
                <w:rFonts w:ascii="Times New Roman" w:hAnsi="Times New Roman" w:cs="Times New Roman"/>
                <w:b/>
                <w:noProof/>
                <w:lang w:val="el-GR" w:eastAsia="fr-FR"/>
              </w:rPr>
              <w:t>Ελλάδα</w:t>
            </w:r>
          </w:p>
          <w:p w14:paraId="1DD2BC38" w14:textId="77777777" w:rsidR="00BE1C70" w:rsidRPr="00C35766" w:rsidRDefault="00BE1C70" w:rsidP="00603A86">
            <w:pPr>
              <w:rPr>
                <w:rFonts w:ascii="Times New Roman" w:hAnsi="Times New Roman" w:cs="Times New Roman"/>
                <w:noProof/>
                <w:lang w:val="el-GR" w:eastAsia="fr-FR"/>
              </w:rPr>
            </w:pPr>
            <w:r w:rsidRPr="00C35766">
              <w:rPr>
                <w:rFonts w:ascii="Times New Roman" w:hAnsi="Times New Roman" w:cs="Times New Roman"/>
                <w:noProof/>
                <w:lang w:val="el-GR" w:eastAsia="fr-FR"/>
              </w:rPr>
              <w:t>ΒΙΑΝΕΞ Α.Ε.</w:t>
            </w:r>
          </w:p>
          <w:p w14:paraId="388B7188" w14:textId="3641EDEA" w:rsidR="00BE1C70" w:rsidRPr="00C35766" w:rsidRDefault="00BE1C70" w:rsidP="00603A86">
            <w:pPr>
              <w:rPr>
                <w:rFonts w:ascii="Times New Roman" w:hAnsi="Times New Roman" w:cs="Times New Roman"/>
                <w:noProof/>
                <w:lang w:val="el-GR" w:eastAsia="fr-FR"/>
              </w:rPr>
            </w:pPr>
            <w:r w:rsidRPr="00C35766">
              <w:rPr>
                <w:rFonts w:ascii="Times New Roman" w:hAnsi="Times New Roman" w:cs="Times New Roman"/>
                <w:noProof/>
                <w:lang w:val="el-GR" w:eastAsia="fr-FR"/>
              </w:rPr>
              <w:t>Τηλ: +30 210 8009111</w:t>
            </w:r>
          </w:p>
          <w:p w14:paraId="588F494B" w14:textId="77777777" w:rsidR="00BE1C70" w:rsidRPr="00C35766" w:rsidRDefault="00BE1C70" w:rsidP="00603A86">
            <w:pPr>
              <w:rPr>
                <w:rFonts w:ascii="Times New Roman" w:eastAsia="맑은 고딕" w:hAnsi="Times New Roman" w:cs="Times New Roman"/>
                <w:noProof/>
                <w:lang w:val="el-GR" w:eastAsia="fr-FR"/>
              </w:rPr>
            </w:pPr>
          </w:p>
        </w:tc>
        <w:tc>
          <w:tcPr>
            <w:tcW w:w="2500" w:type="pct"/>
          </w:tcPr>
          <w:p w14:paraId="0BFBA8C0" w14:textId="77777777" w:rsidR="00BE1C70" w:rsidRPr="00C35766" w:rsidRDefault="00BE1C70" w:rsidP="00603A86">
            <w:pPr>
              <w:rPr>
                <w:rFonts w:ascii="Times New Roman" w:eastAsia="맑은 고딕" w:hAnsi="Times New Roman" w:cs="Times New Roman"/>
                <w:b/>
                <w:noProof/>
                <w:lang w:val="pl-PL" w:eastAsia="fr-FR"/>
              </w:rPr>
            </w:pPr>
            <w:r w:rsidRPr="00C35766">
              <w:rPr>
                <w:rFonts w:ascii="Times New Roman" w:eastAsia="맑은 고딕" w:hAnsi="Times New Roman" w:cs="Times New Roman"/>
                <w:b/>
                <w:noProof/>
                <w:lang w:val="pl-PL" w:eastAsia="fr-FR"/>
              </w:rPr>
              <w:t>Polska</w:t>
            </w:r>
          </w:p>
          <w:p w14:paraId="508593CF"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F843FAC" w14:textId="77777777" w:rsidR="00BE1C70" w:rsidRPr="00C35766" w:rsidRDefault="00BE1C70" w:rsidP="00603A86">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BE1C70" w:rsidRPr="002A37A2" w14:paraId="2042F56B" w14:textId="77777777" w:rsidTr="00603A86">
        <w:tc>
          <w:tcPr>
            <w:tcW w:w="2500" w:type="pct"/>
          </w:tcPr>
          <w:p w14:paraId="2279C405" w14:textId="77777777" w:rsidR="00BE1C70" w:rsidRPr="00C35766" w:rsidRDefault="00BE1C70" w:rsidP="00603A86">
            <w:pPr>
              <w:rPr>
                <w:rFonts w:ascii="Times New Roman" w:hAnsi="Times New Roman" w:cs="Times New Roman"/>
                <w:b/>
                <w:noProof/>
                <w:lang w:eastAsia="ko-KR"/>
              </w:rPr>
            </w:pPr>
            <w:r w:rsidRPr="00C35766">
              <w:rPr>
                <w:rFonts w:ascii="Times New Roman" w:hAnsi="Times New Roman" w:cs="Times New Roman"/>
                <w:b/>
                <w:noProof/>
                <w:lang w:eastAsia="ko-KR"/>
              </w:rPr>
              <w:t>France</w:t>
            </w:r>
          </w:p>
          <w:p w14:paraId="3461C890" w14:textId="77777777" w:rsidR="00BE1C70" w:rsidRPr="00C35766" w:rsidRDefault="00BE1C70" w:rsidP="00603A86">
            <w:pPr>
              <w:rPr>
                <w:rFonts w:ascii="Times New Roman" w:hAnsi="Times New Roman" w:cs="Times New Roman"/>
                <w:noProof/>
                <w:lang w:eastAsia="ko-KR"/>
              </w:rPr>
            </w:pPr>
            <w:r w:rsidRPr="00B5072D">
              <w:rPr>
                <w:rFonts w:ascii="Times New Roman" w:hAnsi="Times New Roman" w:cs="Times New Roman"/>
                <w:noProof/>
                <w:lang w:eastAsia="ko-KR"/>
              </w:rPr>
              <w:t>Celltrion Healthcare France SAS</w:t>
            </w:r>
          </w:p>
          <w:p w14:paraId="1917ED38" w14:textId="2811EC13" w:rsidR="00BE1C70" w:rsidRPr="00C35766" w:rsidRDefault="00BE1C70" w:rsidP="005A6A67">
            <w:pPr>
              <w:rPr>
                <w:rFonts w:ascii="Times New Roman" w:eastAsia="맑은 고딕" w:hAnsi="Times New Roman" w:cs="Times New Roman"/>
                <w:noProof/>
                <w:lang w:eastAsia="fr-FR"/>
              </w:rPr>
            </w:pPr>
            <w:r w:rsidRPr="00C35766">
              <w:rPr>
                <w:rFonts w:ascii="Times New Roman" w:hAnsi="Times New Roman" w:cs="Times New Roman"/>
                <w:noProof/>
                <w:lang w:eastAsia="ko-KR"/>
              </w:rPr>
              <w:t>T</w:t>
            </w:r>
            <w:r w:rsidRPr="00C35766">
              <w:rPr>
                <w:rFonts w:ascii="Times New Roman" w:hAnsi="Times New Roman" w:cs="Times New Roman"/>
              </w:rPr>
              <w:t>é</w:t>
            </w:r>
            <w:r w:rsidRPr="00C35766">
              <w:rPr>
                <w:rFonts w:ascii="Times New Roman" w:hAnsi="Times New Roman" w:cs="Times New Roman"/>
                <w:noProof/>
                <w:lang w:eastAsia="ko-KR"/>
              </w:rPr>
              <w:t>l.: +33 (0)1 71 25 27 00</w:t>
            </w:r>
          </w:p>
        </w:tc>
        <w:tc>
          <w:tcPr>
            <w:tcW w:w="2500" w:type="pct"/>
          </w:tcPr>
          <w:p w14:paraId="1696A5E5" w14:textId="77777777" w:rsidR="00B71A1B" w:rsidRPr="002F72A3" w:rsidRDefault="00B71A1B" w:rsidP="00B71A1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C66F751" w14:textId="05ABC248" w:rsidR="00B71A1B" w:rsidRDefault="00B71A1B" w:rsidP="00B71A1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473D9326" w14:textId="2948EB09" w:rsidR="00BE1C70" w:rsidRPr="006501B3" w:rsidRDefault="00B71A1B" w:rsidP="005A6A67">
            <w:pPr>
              <w:rPr>
                <w:rFonts w:ascii="Times New Roman" w:hAnsi="Times New Roman" w:cs="Times New Roman"/>
                <w:b/>
                <w:noProof/>
                <w:lang w:val="fr-CA"/>
              </w:rPr>
            </w:pPr>
            <w:r w:rsidRPr="006501B3">
              <w:rPr>
                <w:rFonts w:ascii="Times New Roman" w:eastAsia="맑은 고딕" w:hAnsi="Times New Roman" w:cs="Times New Roman"/>
                <w:noProof/>
                <w:lang w:val="fr-CA" w:eastAsia="fr-FR"/>
              </w:rPr>
              <w:t>Tel: +351 21 936 8542</w:t>
            </w:r>
          </w:p>
        </w:tc>
      </w:tr>
      <w:tr w:rsidR="00BE1C70" w:rsidRPr="00C35766" w14:paraId="7EF1369A" w14:textId="77777777" w:rsidTr="00603A86">
        <w:tc>
          <w:tcPr>
            <w:tcW w:w="2500" w:type="pct"/>
          </w:tcPr>
          <w:p w14:paraId="43CDD0D4" w14:textId="77777777" w:rsidR="00BE1C70" w:rsidRPr="00C35766" w:rsidRDefault="00BE1C70" w:rsidP="00603A86">
            <w:pPr>
              <w:rPr>
                <w:rFonts w:ascii="Times New Roman" w:hAnsi="Times New Roman" w:cs="Times New Roman"/>
                <w:b/>
                <w:noProof/>
                <w:lang w:val="de-CH" w:eastAsia="ko-KR"/>
              </w:rPr>
            </w:pPr>
            <w:r w:rsidRPr="00C35766">
              <w:rPr>
                <w:rFonts w:ascii="Times New Roman" w:hAnsi="Times New Roman" w:cs="Times New Roman"/>
                <w:b/>
                <w:noProof/>
                <w:lang w:val="de-CH" w:eastAsia="ko-KR"/>
              </w:rPr>
              <w:t>Hrvatska</w:t>
            </w:r>
          </w:p>
          <w:p w14:paraId="49D12F61" w14:textId="77777777" w:rsidR="00BE1C70" w:rsidRPr="00C35766" w:rsidRDefault="00BE1C70" w:rsidP="00603A86">
            <w:pPr>
              <w:rPr>
                <w:rFonts w:ascii="Times New Roman" w:hAnsi="Times New Roman" w:cs="Times New Roman"/>
                <w:noProof/>
                <w:lang w:val="de-CH" w:eastAsia="ko-KR"/>
              </w:rPr>
            </w:pPr>
            <w:r w:rsidRPr="00C35766">
              <w:rPr>
                <w:rFonts w:ascii="Times New Roman" w:hAnsi="Times New Roman" w:cs="Times New Roman"/>
                <w:noProof/>
                <w:lang w:val="de-CH" w:eastAsia="ko-KR"/>
              </w:rPr>
              <w:t>Oktal Pharma d.o.o.</w:t>
            </w:r>
          </w:p>
          <w:p w14:paraId="79137852" w14:textId="77777777" w:rsidR="00BE1C70" w:rsidRPr="00C35766" w:rsidRDefault="00BE1C70" w:rsidP="00603A86">
            <w:pPr>
              <w:rPr>
                <w:rFonts w:ascii="Times New Roman" w:hAnsi="Times New Roman" w:cs="Times New Roman"/>
                <w:noProof/>
                <w:lang w:eastAsia="ko-KR"/>
              </w:rPr>
            </w:pPr>
            <w:r w:rsidRPr="00C35766">
              <w:rPr>
                <w:rFonts w:ascii="Times New Roman" w:hAnsi="Times New Roman" w:cs="Times New Roman"/>
                <w:noProof/>
                <w:lang w:eastAsia="ko-KR"/>
              </w:rPr>
              <w:t>Tel: +385 1 6595 777</w:t>
            </w:r>
          </w:p>
          <w:p w14:paraId="7AFBEB0E" w14:textId="77777777" w:rsidR="00BE1C70" w:rsidRPr="00C35766" w:rsidRDefault="00BE1C70" w:rsidP="00603A86">
            <w:pPr>
              <w:rPr>
                <w:rFonts w:ascii="Times New Roman" w:eastAsia="맑은 고딕" w:hAnsi="Times New Roman" w:cs="Times New Roman"/>
                <w:noProof/>
                <w:lang w:eastAsia="fr-FR"/>
              </w:rPr>
            </w:pPr>
          </w:p>
        </w:tc>
        <w:tc>
          <w:tcPr>
            <w:tcW w:w="2500" w:type="pct"/>
          </w:tcPr>
          <w:p w14:paraId="2D756F4C" w14:textId="77777777" w:rsidR="00BE1C70" w:rsidRPr="00C35766" w:rsidRDefault="00BE1C70" w:rsidP="00603A86">
            <w:pPr>
              <w:tabs>
                <w:tab w:val="left" w:pos="-720"/>
              </w:tabs>
              <w:suppressAutoHyphens/>
              <w:rPr>
                <w:rFonts w:ascii="Times New Roman" w:eastAsia="맑은 고딕" w:hAnsi="Times New Roman" w:cs="Times New Roman"/>
                <w:b/>
                <w:noProof/>
                <w:lang w:eastAsia="fr-FR"/>
              </w:rPr>
            </w:pPr>
            <w:r w:rsidRPr="00C35766">
              <w:rPr>
                <w:rFonts w:ascii="Times New Roman" w:hAnsi="Times New Roman" w:cs="Times New Roman"/>
                <w:b/>
                <w:noProof/>
              </w:rPr>
              <w:t>România</w:t>
            </w:r>
          </w:p>
          <w:p w14:paraId="0D3B9027"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4115DDF7" w14:textId="77777777" w:rsidR="00BE1C70" w:rsidRPr="00C35766" w:rsidRDefault="00BE1C70" w:rsidP="00603A86">
            <w:pPr>
              <w:rPr>
                <w:rFonts w:ascii="Times New Roman" w:hAnsi="Times New Roman" w:cs="Times New Roman"/>
                <w:b/>
                <w:noProof/>
              </w:rPr>
            </w:pPr>
            <w:r w:rsidRPr="00C35766">
              <w:rPr>
                <w:rFonts w:ascii="Times New Roman" w:eastAsia="맑은 고딕" w:hAnsi="Times New Roman" w:cs="Times New Roman"/>
                <w:noProof/>
                <w:lang w:eastAsia="fr-FR"/>
              </w:rPr>
              <w:t>Tel: +36 1 231 0493</w:t>
            </w:r>
          </w:p>
        </w:tc>
      </w:tr>
      <w:tr w:rsidR="00BE1C70" w:rsidRPr="00C35766" w14:paraId="6A47C7B3" w14:textId="77777777" w:rsidTr="00603A86">
        <w:tc>
          <w:tcPr>
            <w:tcW w:w="2500" w:type="pct"/>
          </w:tcPr>
          <w:p w14:paraId="06C8A50A" w14:textId="77777777" w:rsidR="00BE1C70" w:rsidRPr="00C35766" w:rsidRDefault="00BE1C70" w:rsidP="00603A86">
            <w:pPr>
              <w:tabs>
                <w:tab w:val="left" w:pos="-720"/>
              </w:tabs>
              <w:suppressAutoHyphens/>
              <w:rPr>
                <w:rFonts w:ascii="Times New Roman" w:hAnsi="Times New Roman" w:cs="Times New Roman"/>
                <w:noProof/>
                <w:lang w:eastAsia="fr-FR"/>
              </w:rPr>
            </w:pPr>
            <w:r w:rsidRPr="00C35766">
              <w:rPr>
                <w:rFonts w:ascii="Times New Roman" w:eastAsia="맑은 고딕" w:hAnsi="Times New Roman" w:cs="Times New Roman"/>
                <w:b/>
                <w:noProof/>
                <w:lang w:eastAsia="fr-FR"/>
              </w:rPr>
              <w:lastRenderedPageBreak/>
              <w:t>Ireland</w:t>
            </w:r>
          </w:p>
          <w:p w14:paraId="5A70241B"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Ireland Limited</w:t>
            </w:r>
          </w:p>
          <w:p w14:paraId="1B2617D9"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+353 1 223 4026</w:t>
            </w:r>
          </w:p>
          <w:p w14:paraId="1F6D92DC" w14:textId="77777777" w:rsidR="00BE1C70" w:rsidRPr="00C35766" w:rsidRDefault="00BE1C70" w:rsidP="00603A86">
            <w:pPr>
              <w:rPr>
                <w:rFonts w:ascii="Times New Roman" w:eastAsia="맑은 고딕" w:hAnsi="Times New Roman" w:cs="Times New Roman"/>
                <w:noProof/>
                <w:lang w:eastAsia="fr-FR"/>
              </w:rPr>
            </w:pPr>
          </w:p>
        </w:tc>
        <w:tc>
          <w:tcPr>
            <w:tcW w:w="2500" w:type="pct"/>
          </w:tcPr>
          <w:p w14:paraId="49A7D026" w14:textId="77777777" w:rsidR="00BE1C70" w:rsidRPr="00C35766" w:rsidRDefault="00BE1C70" w:rsidP="00603A86">
            <w:pPr>
              <w:rPr>
                <w:rFonts w:ascii="Times New Roman" w:eastAsia="맑은 고딕" w:hAnsi="Times New Roman" w:cs="Times New Roman"/>
                <w:b/>
                <w:noProof/>
                <w:lang w:val="it-IT" w:eastAsia="fr-FR"/>
              </w:rPr>
            </w:pPr>
            <w:r w:rsidRPr="00C35766">
              <w:rPr>
                <w:rFonts w:ascii="Times New Roman" w:eastAsia="맑은 고딕" w:hAnsi="Times New Roman" w:cs="Times New Roman"/>
                <w:b/>
                <w:noProof/>
                <w:lang w:val="it-IT" w:eastAsia="fr-FR"/>
              </w:rPr>
              <w:t>Slovenija</w:t>
            </w:r>
          </w:p>
          <w:p w14:paraId="45E90D8F" w14:textId="77777777" w:rsidR="00BE1C70" w:rsidRPr="00C35766" w:rsidRDefault="00BE1C70" w:rsidP="00603A86">
            <w:pPr>
              <w:rPr>
                <w:rFonts w:ascii="Times New Roman" w:eastAsia="맑은 고딕" w:hAnsi="Times New Roman" w:cs="Times New Roman"/>
                <w:noProof/>
                <w:lang w:val="it-IT" w:eastAsia="fr-FR"/>
              </w:rPr>
            </w:pPr>
            <w:r w:rsidRPr="00C35766">
              <w:rPr>
                <w:rFonts w:ascii="Times New Roman" w:eastAsia="맑은 고딕" w:hAnsi="Times New Roman" w:cs="Times New Roman"/>
                <w:noProof/>
                <w:lang w:val="it-IT" w:eastAsia="fr-FR"/>
              </w:rPr>
              <w:t>OPH Oktal Pharma d.o.o.</w:t>
            </w:r>
          </w:p>
          <w:p w14:paraId="18B9F2EE"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Tel.: +386 1 519 29 22</w:t>
            </w:r>
          </w:p>
          <w:p w14:paraId="30A94EFB" w14:textId="77777777" w:rsidR="00BE1C70" w:rsidRPr="00C35766" w:rsidRDefault="00BE1C70" w:rsidP="00603A86">
            <w:pPr>
              <w:rPr>
                <w:rFonts w:ascii="Times New Roman" w:hAnsi="Times New Roman" w:cs="Times New Roman"/>
                <w:b/>
                <w:noProof/>
              </w:rPr>
            </w:pPr>
          </w:p>
        </w:tc>
      </w:tr>
      <w:tr w:rsidR="00BE1C70" w:rsidRPr="00C35766" w14:paraId="1982098E" w14:textId="77777777" w:rsidTr="00603A86">
        <w:tc>
          <w:tcPr>
            <w:tcW w:w="2500" w:type="pct"/>
          </w:tcPr>
          <w:p w14:paraId="5EC51A08"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b/>
                <w:noProof/>
                <w:lang w:eastAsia="fr-FR"/>
              </w:rPr>
              <w:t>Ísland</w:t>
            </w:r>
          </w:p>
          <w:p w14:paraId="4A849659"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5B88AE52"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Sími: +36 1 231 0493</w:t>
            </w:r>
          </w:p>
        </w:tc>
        <w:tc>
          <w:tcPr>
            <w:tcW w:w="2500" w:type="pct"/>
          </w:tcPr>
          <w:p w14:paraId="25945F66" w14:textId="77777777" w:rsidR="00BE1C70" w:rsidRPr="00C35766" w:rsidRDefault="00BE1C70" w:rsidP="00603A86">
            <w:pPr>
              <w:rPr>
                <w:rFonts w:ascii="Times New Roman" w:eastAsia="맑은 고딕" w:hAnsi="Times New Roman" w:cs="Times New Roman"/>
                <w:b/>
                <w:noProof/>
                <w:lang w:eastAsia="fr-FR"/>
              </w:rPr>
            </w:pPr>
            <w:r w:rsidRPr="00C35766">
              <w:rPr>
                <w:rFonts w:ascii="Times New Roman" w:hAnsi="Times New Roman" w:cs="Times New Roman"/>
                <w:b/>
                <w:noProof/>
              </w:rPr>
              <w:t>Slovenská republika</w:t>
            </w:r>
          </w:p>
          <w:p w14:paraId="481C9D34" w14:textId="77777777" w:rsidR="00BE1C70" w:rsidRPr="00C35766" w:rsidRDefault="00BE1C70" w:rsidP="00603A86">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0CC7A2DE" w14:textId="77777777" w:rsidR="00BE1C70" w:rsidRPr="00C35766" w:rsidRDefault="00BE1C70" w:rsidP="00603A86">
            <w:pPr>
              <w:rPr>
                <w:rFonts w:ascii="Times New Roman" w:eastAsia="맑은 고딕" w:hAnsi="Times New Roman" w:cs="Times New Roman"/>
                <w:b/>
                <w:noProof/>
                <w:lang w:eastAsia="fr-FR"/>
              </w:rPr>
            </w:pPr>
            <w:r w:rsidRPr="00C35766">
              <w:rPr>
                <w:rFonts w:ascii="Times New Roman" w:eastAsia="맑은 고딕" w:hAnsi="Times New Roman" w:cs="Times New Roman"/>
                <w:noProof/>
                <w:lang w:eastAsia="fr-FR"/>
              </w:rPr>
              <w:t>Tel: +36 1 231 0493</w:t>
            </w:r>
          </w:p>
          <w:p w14:paraId="61BFE35B" w14:textId="77777777" w:rsidR="00BE1C70" w:rsidRPr="00C35766" w:rsidRDefault="00BE1C70" w:rsidP="00603A86">
            <w:pPr>
              <w:rPr>
                <w:rFonts w:ascii="Times New Roman" w:eastAsia="맑은 고딕" w:hAnsi="Times New Roman" w:cs="Times New Roman"/>
                <w:b/>
                <w:noProof/>
                <w:lang w:eastAsia="fr-FR"/>
              </w:rPr>
            </w:pPr>
          </w:p>
        </w:tc>
      </w:tr>
      <w:tr w:rsidR="00BE1C70" w:rsidRPr="00C35766" w14:paraId="63E6D15F" w14:textId="77777777" w:rsidTr="00603A86">
        <w:tc>
          <w:tcPr>
            <w:tcW w:w="2500" w:type="pct"/>
          </w:tcPr>
          <w:p w14:paraId="2CB54ADA" w14:textId="77777777" w:rsidR="00BE1C70" w:rsidRPr="00C35766" w:rsidRDefault="00BE1C70" w:rsidP="00603A86">
            <w:pPr>
              <w:rPr>
                <w:rFonts w:ascii="Times New Roman" w:hAnsi="Times New Roman" w:cs="Times New Roman"/>
                <w:noProof/>
                <w:lang w:eastAsia="fr-FR"/>
              </w:rPr>
            </w:pPr>
            <w:r w:rsidRPr="00C35766">
              <w:rPr>
                <w:rFonts w:ascii="Times New Roman" w:eastAsia="맑은 고딕" w:hAnsi="Times New Roman" w:cs="Times New Roman"/>
                <w:b/>
                <w:noProof/>
                <w:lang w:eastAsia="fr-FR"/>
              </w:rPr>
              <w:t>Italia</w:t>
            </w:r>
          </w:p>
          <w:p w14:paraId="420564DD" w14:textId="77777777"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Italy S.</w:t>
            </w:r>
            <w:r>
              <w:rPr>
                <w:rFonts w:ascii="Times New Roman" w:eastAsia="맑은 고딕" w:hAnsi="Times New Roman" w:cs="Times New Roman"/>
                <w:noProof/>
                <w:lang w:eastAsia="fr-FR"/>
              </w:rPr>
              <w:t>r</w:t>
            </w:r>
            <w:r w:rsidRPr="00C35766">
              <w:rPr>
                <w:rFonts w:ascii="Times New Roman" w:eastAsia="맑은 고딕" w:hAnsi="Times New Roman" w:cs="Times New Roman"/>
                <w:noProof/>
                <w:lang w:eastAsia="fr-FR"/>
              </w:rPr>
              <w:t>.</w:t>
            </w:r>
            <w:r>
              <w:rPr>
                <w:rFonts w:ascii="Times New Roman" w:eastAsia="맑은 고딕" w:hAnsi="Times New Roman" w:cs="Times New Roman"/>
                <w:noProof/>
                <w:lang w:eastAsia="fr-FR"/>
              </w:rPr>
              <w:t>l</w:t>
            </w:r>
            <w:r w:rsidRPr="00C35766">
              <w:rPr>
                <w:rFonts w:ascii="Times New Roman" w:eastAsia="맑은 고딕" w:hAnsi="Times New Roman" w:cs="Times New Roman"/>
                <w:noProof/>
                <w:lang w:eastAsia="fr-FR"/>
              </w:rPr>
              <w:t>.</w:t>
            </w:r>
          </w:p>
          <w:p w14:paraId="63FB39B1" w14:textId="24529782" w:rsidR="00BE1C70" w:rsidRPr="00C35766" w:rsidRDefault="00BE1C70" w:rsidP="00603A86">
            <w:pPr>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 xml:space="preserve">Tel: +39 </w:t>
            </w:r>
            <w:r w:rsidRPr="00B5072D">
              <w:rPr>
                <w:rFonts w:ascii="Times New Roman" w:eastAsia="맑은 고딕" w:hAnsi="Times New Roman" w:cs="Times New Roman"/>
                <w:noProof/>
                <w:lang w:eastAsia="fr-FR"/>
              </w:rPr>
              <w:t>02</w:t>
            </w:r>
            <w:r w:rsidR="00471BD2">
              <w:rPr>
                <w:rFonts w:ascii="Times New Roman" w:eastAsia="맑은 고딕" w:hAnsi="Times New Roman" w:cs="Times New Roman"/>
                <w:noProof/>
                <w:lang w:eastAsia="fr-FR"/>
              </w:rPr>
              <w:t xml:space="preserve"> </w:t>
            </w:r>
            <w:r w:rsidRPr="00B5072D">
              <w:rPr>
                <w:rFonts w:ascii="Times New Roman" w:eastAsia="맑은 고딕" w:hAnsi="Times New Roman" w:cs="Times New Roman"/>
                <w:noProof/>
                <w:lang w:eastAsia="fr-FR"/>
              </w:rPr>
              <w:t>47927040</w:t>
            </w:r>
          </w:p>
          <w:p w14:paraId="37E1191D" w14:textId="77777777" w:rsidR="00BE1C70" w:rsidRPr="00C35766" w:rsidRDefault="00BE1C70" w:rsidP="00603A86">
            <w:pPr>
              <w:rPr>
                <w:rFonts w:ascii="Times New Roman" w:eastAsia="맑은 고딕" w:hAnsi="Times New Roman" w:cs="Times New Roman"/>
                <w:noProof/>
                <w:lang w:eastAsia="fr-FR"/>
              </w:rPr>
            </w:pPr>
          </w:p>
        </w:tc>
        <w:tc>
          <w:tcPr>
            <w:tcW w:w="2500" w:type="pct"/>
          </w:tcPr>
          <w:p w14:paraId="518D30E5" w14:textId="77777777" w:rsidR="00BE1C70" w:rsidRPr="00C35766" w:rsidRDefault="00BE1C70" w:rsidP="00603A86">
            <w:pPr>
              <w:rPr>
                <w:rFonts w:ascii="Times New Roman" w:hAnsi="Times New Roman" w:cs="Times New Roman"/>
                <w:noProof/>
                <w:lang w:eastAsia="fr-FR"/>
              </w:rPr>
            </w:pPr>
            <w:r w:rsidRPr="00C35766">
              <w:rPr>
                <w:rFonts w:ascii="Times New Roman" w:eastAsia="맑은 고딕" w:hAnsi="Times New Roman" w:cs="Times New Roman"/>
                <w:b/>
                <w:noProof/>
                <w:lang w:eastAsia="fr-FR"/>
              </w:rPr>
              <w:t>Suomi/Finland</w:t>
            </w:r>
          </w:p>
          <w:p w14:paraId="49EE8376" w14:textId="77777777" w:rsidR="00471BD2" w:rsidRDefault="00471BD2" w:rsidP="00471BD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Finland Oy. </w:t>
            </w:r>
          </w:p>
          <w:p w14:paraId="118F600E" w14:textId="2B21AB01" w:rsidR="00BE1C70" w:rsidRPr="00C35766" w:rsidRDefault="00471BD2" w:rsidP="00603A86">
            <w:pPr>
              <w:autoSpaceDE w:val="0"/>
              <w:autoSpaceDN w:val="0"/>
              <w:adjustRightInd w:val="0"/>
              <w:rPr>
                <w:rFonts w:ascii="Times New Roman" w:eastAsia="맑은 고딕" w:hAnsi="Times New Roman" w:cs="Times New Roman"/>
                <w:noProof/>
                <w:lang w:val="sv-SE" w:eastAsia="fr-FR"/>
              </w:rPr>
            </w:pPr>
            <w:r>
              <w:rPr>
                <w:rFonts w:ascii="Times New Roman" w:eastAsia="맑은 고딕" w:hAnsi="Times New Roman" w:cs="Times New Roman"/>
                <w:noProof/>
                <w:lang w:eastAsia="fr-FR"/>
              </w:rPr>
              <w:t>Puh/Tel: +358 29 170 7755</w:t>
            </w:r>
          </w:p>
          <w:p w14:paraId="4464A3A5" w14:textId="77777777" w:rsidR="00BE1C70" w:rsidRPr="00C35766" w:rsidRDefault="00BE1C70" w:rsidP="00603A86">
            <w:pPr>
              <w:autoSpaceDE w:val="0"/>
              <w:autoSpaceDN w:val="0"/>
              <w:adjustRightInd w:val="0"/>
              <w:rPr>
                <w:rFonts w:ascii="Times New Roman" w:eastAsia="맑은 고딕" w:hAnsi="Times New Roman" w:cs="Times New Roman"/>
                <w:noProof/>
                <w:lang w:val="sv-SE" w:eastAsia="ko-KR"/>
              </w:rPr>
            </w:pPr>
          </w:p>
        </w:tc>
      </w:tr>
      <w:tr w:rsidR="00B71A1B" w:rsidRPr="00C35766" w14:paraId="14C00A6B" w14:textId="77777777" w:rsidTr="00603A86">
        <w:tc>
          <w:tcPr>
            <w:tcW w:w="2500" w:type="pct"/>
          </w:tcPr>
          <w:p w14:paraId="28FB20F3" w14:textId="77777777" w:rsidR="00B71A1B" w:rsidRPr="00C35766" w:rsidRDefault="00B71A1B" w:rsidP="00B71A1B">
            <w:pPr>
              <w:tabs>
                <w:tab w:val="left" w:pos="-720"/>
              </w:tabs>
              <w:suppressAutoHyphens/>
              <w:rPr>
                <w:rFonts w:ascii="Times New Roman" w:hAnsi="Times New Roman" w:cs="Times New Roman"/>
                <w:b/>
                <w:bCs/>
                <w:noProof/>
                <w:lang w:eastAsia="fr-FR"/>
              </w:rPr>
            </w:pPr>
            <w:r w:rsidRPr="00C35766">
              <w:rPr>
                <w:rFonts w:ascii="Times New Roman" w:hAnsi="Times New Roman" w:cs="Times New Roman"/>
                <w:b/>
                <w:noProof/>
              </w:rPr>
              <w:t>Κύπρος</w:t>
            </w:r>
          </w:p>
          <w:p w14:paraId="452BD249" w14:textId="77777777" w:rsidR="00B71A1B" w:rsidRPr="00C35766" w:rsidRDefault="00B71A1B" w:rsidP="00B71A1B">
            <w:pPr>
              <w:tabs>
                <w:tab w:val="left" w:pos="-720"/>
              </w:tabs>
              <w:suppressAutoHyphens/>
              <w:rPr>
                <w:rFonts w:ascii="Times New Roman" w:eastAsia="맑은 고딕" w:hAnsi="Times New Roman" w:cs="Times New Roman"/>
                <w:noProof/>
                <w:lang w:eastAsia="ko-KR"/>
              </w:rPr>
            </w:pPr>
            <w:r w:rsidRPr="00C35766">
              <w:rPr>
                <w:rFonts w:ascii="Times New Roman" w:eastAsia="맑은 고딕" w:hAnsi="Times New Roman" w:cs="Times New Roman"/>
                <w:noProof/>
                <w:lang w:eastAsia="fr-FR"/>
              </w:rPr>
              <w:t>C.A. Papaellinas Ltd</w:t>
            </w:r>
          </w:p>
          <w:p w14:paraId="3D2F035A"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hAnsi="Times New Roman" w:cs="Times New Roman"/>
                <w:noProof/>
              </w:rPr>
              <w:t xml:space="preserve">Τηλ: </w:t>
            </w:r>
            <w:r w:rsidRPr="00C35766">
              <w:rPr>
                <w:rFonts w:ascii="Times New Roman" w:eastAsia="맑은 고딕" w:hAnsi="Times New Roman" w:cs="Times New Roman"/>
                <w:noProof/>
                <w:lang w:eastAsia="fr-FR"/>
              </w:rPr>
              <w:t>+357 22741741</w:t>
            </w:r>
          </w:p>
          <w:p w14:paraId="4FA05C73" w14:textId="77777777" w:rsidR="00B71A1B" w:rsidRPr="00C35766" w:rsidRDefault="00B71A1B" w:rsidP="00B71A1B">
            <w:pPr>
              <w:autoSpaceDE w:val="0"/>
              <w:autoSpaceDN w:val="0"/>
              <w:adjustRightInd w:val="0"/>
              <w:rPr>
                <w:rFonts w:ascii="Times New Roman" w:eastAsia="맑은 고딕" w:hAnsi="Times New Roman" w:cs="Times New Roman"/>
                <w:b/>
                <w:noProof/>
                <w:lang w:eastAsia="fr-FR"/>
              </w:rPr>
            </w:pPr>
          </w:p>
        </w:tc>
        <w:tc>
          <w:tcPr>
            <w:tcW w:w="2500" w:type="pct"/>
          </w:tcPr>
          <w:p w14:paraId="03B83326" w14:textId="77777777" w:rsidR="00B71A1B" w:rsidRPr="005A6A67" w:rsidRDefault="00B71A1B" w:rsidP="00B71A1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2216D750" w14:textId="1ED14A37" w:rsidR="00B71A1B" w:rsidRPr="005A6A67" w:rsidRDefault="00B71A1B" w:rsidP="00B71A1B">
            <w:pPr>
              <w:tabs>
                <w:tab w:val="left" w:pos="-720"/>
              </w:tabs>
              <w:suppressAutoHyphens/>
              <w:rPr>
                <w:rFonts w:ascii="Times New Roman" w:eastAsia="맑은 고딕" w:hAnsi="Times New Roman" w:cs="Times New Roman"/>
                <w:noProof/>
                <w:lang w:eastAsia="ko-KR"/>
              </w:rPr>
            </w:pPr>
            <w:r w:rsidRPr="005A6A67">
              <w:rPr>
                <w:rFonts w:ascii="Times New Roman" w:eastAsia="맑은 고딕" w:hAnsi="Times New Roman" w:cs="Times New Roman"/>
                <w:noProof/>
                <w:lang w:eastAsia="ko-KR"/>
              </w:rPr>
              <w:t>Celltrion Sweden AB</w:t>
            </w:r>
          </w:p>
          <w:p w14:paraId="614EE0F7" w14:textId="77777777" w:rsidR="00B71A1B" w:rsidRPr="005A6A67" w:rsidRDefault="00B71A1B" w:rsidP="00B71A1B">
            <w:pPr>
              <w:tabs>
                <w:tab w:val="left" w:pos="-720"/>
              </w:tabs>
              <w:suppressAutoHyphens/>
              <w:rPr>
                <w:rFonts w:ascii="Times New Roman" w:eastAsia="맑은 고딕" w:hAnsi="Times New Roman" w:cs="Times New Roman"/>
                <w:bCs/>
                <w:noProof/>
                <w:u w:val="single"/>
                <w:lang w:eastAsia="ko-KR"/>
              </w:rPr>
            </w:pPr>
            <w:hyperlink r:id="rId158" w:history="1">
              <w:r w:rsidRPr="005A6A67">
                <w:rPr>
                  <w:rStyle w:val="ad"/>
                  <w:rFonts w:ascii="Times New Roman" w:eastAsia="맑은 고딕" w:hAnsi="Times New Roman" w:cs="Times New Roman"/>
                  <w:noProof/>
                  <w:lang w:eastAsia="ko-KR"/>
                </w:rPr>
                <w:t>contact_se@celltrionhc.com</w:t>
              </w:r>
            </w:hyperlink>
          </w:p>
          <w:p w14:paraId="7DD5F90B" w14:textId="65262722"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r w:rsidR="00B71A1B" w:rsidRPr="00C35766" w14:paraId="2D5081B6" w14:textId="77777777" w:rsidTr="00603A86">
        <w:tc>
          <w:tcPr>
            <w:tcW w:w="2500" w:type="pct"/>
          </w:tcPr>
          <w:p w14:paraId="265C623F" w14:textId="77777777" w:rsidR="00B71A1B" w:rsidRPr="00C35766" w:rsidRDefault="00B71A1B" w:rsidP="00B71A1B">
            <w:pPr>
              <w:rPr>
                <w:rFonts w:ascii="Times New Roman" w:eastAsia="맑은 고딕" w:hAnsi="Times New Roman" w:cs="Times New Roman"/>
                <w:b/>
                <w:noProof/>
                <w:lang w:eastAsia="fr-FR"/>
              </w:rPr>
            </w:pPr>
            <w:r w:rsidRPr="00C35766">
              <w:rPr>
                <w:rFonts w:ascii="Times New Roman" w:eastAsia="맑은 고딕" w:hAnsi="Times New Roman" w:cs="Times New Roman"/>
                <w:b/>
                <w:noProof/>
                <w:lang w:eastAsia="fr-FR"/>
              </w:rPr>
              <w:t>Latvija</w:t>
            </w:r>
          </w:p>
          <w:p w14:paraId="4131C747" w14:textId="77777777" w:rsidR="00B71A1B" w:rsidRPr="00C35766" w:rsidRDefault="00B71A1B" w:rsidP="00B71A1B">
            <w:pPr>
              <w:tabs>
                <w:tab w:val="left" w:pos="-720"/>
              </w:tabs>
              <w:suppressAutoHyphens/>
              <w:rPr>
                <w:rFonts w:ascii="Times New Roman" w:eastAsia="맑은 고딕" w:hAnsi="Times New Roman" w:cs="Times New Roman"/>
                <w:noProof/>
                <w:lang w:eastAsia="fr-FR"/>
              </w:rPr>
            </w:pPr>
            <w:r w:rsidRPr="00C35766">
              <w:rPr>
                <w:rFonts w:ascii="Times New Roman" w:eastAsia="맑은 고딕" w:hAnsi="Times New Roman" w:cs="Times New Roman"/>
                <w:noProof/>
                <w:lang w:eastAsia="fr-FR"/>
              </w:rPr>
              <w:t>Celltrion Healthcare Hungary Kft.</w:t>
            </w:r>
          </w:p>
          <w:p w14:paraId="2DB6D812" w14:textId="77777777" w:rsidR="00B71A1B" w:rsidRPr="00C35766" w:rsidRDefault="00B71A1B" w:rsidP="00B71A1B">
            <w:pPr>
              <w:autoSpaceDE w:val="0"/>
              <w:autoSpaceDN w:val="0"/>
              <w:adjustRightInd w:val="0"/>
              <w:rPr>
                <w:rFonts w:ascii="Times New Roman" w:eastAsia="맑은 고딕" w:hAnsi="Times New Roman" w:cs="Times New Roman"/>
                <w:b/>
                <w:bCs/>
                <w:lang w:eastAsia="fr-FR"/>
              </w:rPr>
            </w:pPr>
            <w:r w:rsidRPr="00C35766">
              <w:rPr>
                <w:rFonts w:ascii="Times New Roman" w:eastAsia="맑은 고딕" w:hAnsi="Times New Roman" w:cs="Times New Roman"/>
                <w:noProof/>
                <w:lang w:eastAsia="fr-FR"/>
              </w:rPr>
              <w:t>Tālr.: +36 1 231 0493</w:t>
            </w:r>
          </w:p>
        </w:tc>
        <w:tc>
          <w:tcPr>
            <w:tcW w:w="2500" w:type="pct"/>
          </w:tcPr>
          <w:p w14:paraId="67F496F7" w14:textId="77777777" w:rsidR="00B71A1B" w:rsidRPr="00C35766" w:rsidRDefault="00B71A1B" w:rsidP="00B71A1B">
            <w:pPr>
              <w:tabs>
                <w:tab w:val="left" w:pos="-720"/>
              </w:tabs>
              <w:suppressAutoHyphens/>
              <w:rPr>
                <w:rFonts w:ascii="Times New Roman" w:eastAsia="맑은 고딕" w:hAnsi="Times New Roman" w:cs="Times New Roman"/>
                <w:b/>
                <w:noProof/>
                <w:lang w:eastAsia="fr-FR"/>
              </w:rPr>
            </w:pPr>
          </w:p>
        </w:tc>
      </w:tr>
    </w:tbl>
    <w:p w14:paraId="048CDFE3" w14:textId="77777777" w:rsidR="00BE1C70" w:rsidRPr="00C35766" w:rsidRDefault="00BE1C70" w:rsidP="00BE1C70">
      <w:pPr>
        <w:numPr>
          <w:ilvl w:val="12"/>
          <w:numId w:val="0"/>
        </w:numPr>
        <w:rPr>
          <w:rFonts w:ascii="Times New Roman" w:hAnsi="Times New Roman" w:cs="Times New Roman"/>
          <w:b/>
          <w:noProof/>
        </w:rPr>
      </w:pPr>
    </w:p>
    <w:p w14:paraId="2B75C6DB" w14:textId="77777777" w:rsidR="00BE1C70" w:rsidRPr="00C35766" w:rsidRDefault="00BE1C70" w:rsidP="00BE1C70">
      <w:pPr>
        <w:numPr>
          <w:ilvl w:val="12"/>
          <w:numId w:val="0"/>
        </w:numPr>
        <w:rPr>
          <w:rFonts w:ascii="Times New Roman" w:hAnsi="Times New Roman" w:cs="Times New Roman"/>
          <w:b/>
          <w:noProof/>
        </w:rPr>
      </w:pPr>
    </w:p>
    <w:p w14:paraId="605A8CA8" w14:textId="77777777" w:rsidR="00BE1C70" w:rsidRPr="00C35766" w:rsidRDefault="00BE1C70" w:rsidP="00BE1C70">
      <w:pPr>
        <w:numPr>
          <w:ilvl w:val="12"/>
          <w:numId w:val="0"/>
        </w:numPr>
        <w:rPr>
          <w:rFonts w:ascii="Times New Roman" w:eastAsia="맑은 고딕" w:hAnsi="Times New Roman" w:cs="Times New Roman"/>
          <w:noProof/>
          <w:lang w:val="pt-BR" w:eastAsia="ko-KR"/>
        </w:rPr>
      </w:pPr>
      <w:r w:rsidRPr="00C35766">
        <w:rPr>
          <w:rFonts w:ascii="Times New Roman" w:eastAsia="Times New Roman" w:hAnsi="Times New Roman" w:cs="Times New Roman"/>
          <w:b/>
          <w:bCs/>
          <w:noProof/>
          <w:lang w:val="it-IT"/>
        </w:rPr>
        <w:t xml:space="preserve">Questo foglio illustrativo è stato aggiornato il </w:t>
      </w:r>
      <w:r w:rsidRPr="00C35766">
        <w:rPr>
          <w:rFonts w:ascii="Times New Roman" w:eastAsia="Times New Roman" w:hAnsi="Times New Roman" w:cs="Times New Roman"/>
          <w:noProof/>
          <w:lang w:val="it-IT"/>
        </w:rPr>
        <w:t>.</w:t>
      </w:r>
    </w:p>
    <w:p w14:paraId="0CD305B7" w14:textId="77777777" w:rsidR="00BE1C70" w:rsidRPr="00C35766" w:rsidRDefault="00BE1C70" w:rsidP="00BE1C70">
      <w:pPr>
        <w:numPr>
          <w:ilvl w:val="12"/>
          <w:numId w:val="0"/>
        </w:numPr>
        <w:rPr>
          <w:rFonts w:ascii="Times New Roman" w:hAnsi="Times New Roman" w:cs="Times New Roman"/>
          <w:noProof/>
          <w:lang w:val="pt-BR"/>
        </w:rPr>
      </w:pPr>
    </w:p>
    <w:p w14:paraId="168EFA8D" w14:textId="77777777" w:rsidR="00BE1C70" w:rsidRPr="00C35766" w:rsidRDefault="00BE1C70" w:rsidP="00BE1C70">
      <w:pPr>
        <w:numPr>
          <w:ilvl w:val="12"/>
          <w:numId w:val="0"/>
        </w:numPr>
        <w:rPr>
          <w:rFonts w:ascii="Times New Roman" w:hAnsi="Times New Roman" w:cs="Times New Roman"/>
          <w:b/>
          <w:noProof/>
          <w:lang w:val="pt-BR"/>
        </w:rPr>
      </w:pPr>
      <w:r w:rsidRPr="00C35766">
        <w:rPr>
          <w:rFonts w:ascii="Times New Roman" w:eastAsia="Times New Roman" w:hAnsi="Times New Roman" w:cs="Times New Roman"/>
          <w:b/>
          <w:bCs/>
          <w:noProof/>
          <w:lang w:val="it-IT"/>
        </w:rPr>
        <w:t>Altre fonti d’informazioni</w:t>
      </w:r>
    </w:p>
    <w:p w14:paraId="062EA820" w14:textId="77777777" w:rsidR="00BE1C70" w:rsidRPr="00C35766" w:rsidRDefault="00BE1C70" w:rsidP="00BE1C70">
      <w:pPr>
        <w:pStyle w:val="a3"/>
        <w:rPr>
          <w:lang w:val="pt-BR"/>
        </w:rPr>
      </w:pPr>
    </w:p>
    <w:p w14:paraId="46F4903E" w14:textId="77777777" w:rsidR="00BE1C70" w:rsidRPr="00C35766" w:rsidRDefault="00BE1C70" w:rsidP="00BE1C70">
      <w:pPr>
        <w:numPr>
          <w:ilvl w:val="12"/>
          <w:numId w:val="0"/>
        </w:numPr>
        <w:rPr>
          <w:rFonts w:ascii="Times New Roman" w:eastAsia="Times New Roman" w:hAnsi="Times New Roman" w:cs="Times New Roman"/>
          <w:color w:val="0000FF"/>
          <w:u w:val="single"/>
          <w:lang w:val="it-IT"/>
        </w:rPr>
      </w:pPr>
      <w:r w:rsidRPr="00C35766">
        <w:rPr>
          <w:rFonts w:ascii="Times New Roman" w:eastAsia="Times New Roman" w:hAnsi="Times New Roman" w:cs="Times New Roman"/>
          <w:lang w:val="it-IT"/>
        </w:rPr>
        <w:t xml:space="preserve">Informazioni più dettagliate su questo medicinale sono disponibili sul sito web dell’Agenzia europea per i medicinali, </w:t>
      </w:r>
      <w:hyperlink r:id="rId159" w:history="1">
        <w:r w:rsidRPr="00C35766">
          <w:rPr>
            <w:rStyle w:val="ad"/>
            <w:rFonts w:ascii="Times New Roman" w:eastAsia="Times New Roman" w:hAnsi="Times New Roman" w:cs="Times New Roman"/>
            <w:lang w:val="it-IT"/>
          </w:rPr>
          <w:t>http://www.ema.europa.eu</w:t>
        </w:r>
      </w:hyperlink>
    </w:p>
    <w:p w14:paraId="2F4E7257" w14:textId="77777777" w:rsidR="00BE1C70" w:rsidRPr="00C35766" w:rsidRDefault="00BE1C70" w:rsidP="00BE1C70">
      <w:pPr>
        <w:spacing w:line="200" w:lineRule="exact"/>
        <w:rPr>
          <w:rFonts w:ascii="Times New Roman" w:hAnsi="Times New Roman" w:cs="Times New Roman"/>
          <w:b/>
          <w:sz w:val="20"/>
          <w:szCs w:val="20"/>
          <w:lang w:val="pt-BR"/>
        </w:rPr>
      </w:pPr>
    </w:p>
    <w:p w14:paraId="6F8548F2" w14:textId="77777777" w:rsidR="00BE1C70" w:rsidRPr="00C35766" w:rsidRDefault="00BE1C70" w:rsidP="00BE1C70">
      <w:pPr>
        <w:spacing w:line="200" w:lineRule="exact"/>
        <w:rPr>
          <w:rFonts w:ascii="Times New Roman" w:hAnsi="Times New Roman" w:cs="Times New Roman"/>
          <w:b/>
          <w:sz w:val="20"/>
          <w:szCs w:val="20"/>
          <w:lang w:val="pt-BR"/>
        </w:rPr>
      </w:pPr>
    </w:p>
    <w:p w14:paraId="674C67D8" w14:textId="77777777" w:rsidR="00BE1C70" w:rsidRPr="00C35766" w:rsidRDefault="00BE1C70" w:rsidP="005C2D5B">
      <w:pPr>
        <w:pStyle w:val="a4"/>
        <w:numPr>
          <w:ilvl w:val="0"/>
          <w:numId w:val="77"/>
        </w:numPr>
        <w:spacing w:before="18" w:line="240" w:lineRule="exact"/>
        <w:ind w:hanging="468"/>
        <w:rPr>
          <w:rFonts w:ascii="Times New Roman" w:eastAsia="Times New Roman" w:hAnsi="Times New Roman" w:cs="Times New Roman"/>
          <w:b/>
        </w:rPr>
      </w:pPr>
      <w:r w:rsidRPr="00C35766">
        <w:rPr>
          <w:rFonts w:ascii="Times New Roman" w:eastAsia="Times New Roman" w:hAnsi="Times New Roman" w:cs="Times New Roman"/>
          <w:b/>
          <w:bCs/>
          <w:spacing w:val="-1"/>
          <w:lang w:val="it-IT"/>
        </w:rPr>
        <w:t>Istruzioni per l’uso</w:t>
      </w:r>
    </w:p>
    <w:p w14:paraId="7938B417" w14:textId="77777777" w:rsidR="00BE1C70" w:rsidRPr="00C35766" w:rsidRDefault="00BE1C70" w:rsidP="00BE1C70">
      <w:pPr>
        <w:spacing w:before="9" w:line="260" w:lineRule="exact"/>
        <w:rPr>
          <w:rFonts w:ascii="Times New Roman" w:hAnsi="Times New Roman" w:cs="Times New Roman"/>
          <w:b/>
          <w:sz w:val="26"/>
          <w:szCs w:val="26"/>
        </w:rPr>
      </w:pPr>
    </w:p>
    <w:p w14:paraId="0F61C268" w14:textId="6DD855E5" w:rsidR="00BE1C70" w:rsidRPr="00C35766" w:rsidRDefault="00A6415F" w:rsidP="00BE1C70">
      <w:pPr>
        <w:pStyle w:val="a3"/>
        <w:numPr>
          <w:ilvl w:val="1"/>
          <w:numId w:val="4"/>
        </w:numPr>
        <w:ind w:left="660" w:hanging="660"/>
        <w:rPr>
          <w:lang w:val="pt-BR"/>
        </w:rPr>
      </w:pPr>
      <w:r w:rsidRPr="00824699">
        <w:rPr>
          <w:lang w:val="it-IT"/>
        </w:rPr>
        <w:t xml:space="preserve">Le seguenti istruzioni spiegano come effettuare al bambino l’iniezione sottocutanea di </w:t>
      </w:r>
      <w:r w:rsidR="005C2D5B" w:rsidRPr="00824699">
        <w:rPr>
          <w:lang w:val="it-IT"/>
        </w:rPr>
        <w:t>Yuflyma</w:t>
      </w:r>
      <w:r w:rsidRPr="00824699">
        <w:rPr>
          <w:lang w:val="it-IT"/>
        </w:rPr>
        <w:t xml:space="preserve"> utilizzando la siringa pre-riempita. Prima di tutto legga attentamente le istruzioni e le segua passo dopo passo</w:t>
      </w:r>
      <w:r w:rsidR="00BE1C70" w:rsidRPr="00C35766">
        <w:rPr>
          <w:rFonts w:eastAsia="Times New Roman"/>
          <w:lang w:val="it-IT"/>
        </w:rPr>
        <w:t>.</w:t>
      </w:r>
    </w:p>
    <w:p w14:paraId="346BC090" w14:textId="77777777" w:rsidR="00BE1C70" w:rsidRPr="00C35766" w:rsidRDefault="00BE1C70" w:rsidP="00BE1C70">
      <w:pPr>
        <w:pStyle w:val="a3"/>
        <w:rPr>
          <w:lang w:val="pt-BR"/>
        </w:rPr>
      </w:pPr>
    </w:p>
    <w:p w14:paraId="24C7114E" w14:textId="220B43AA" w:rsidR="00BE1C70" w:rsidRPr="00C35766" w:rsidRDefault="00A6415F" w:rsidP="00BE1C70">
      <w:pPr>
        <w:pStyle w:val="a3"/>
        <w:numPr>
          <w:ilvl w:val="1"/>
          <w:numId w:val="4"/>
        </w:numPr>
        <w:ind w:left="660" w:hanging="660"/>
        <w:rPr>
          <w:lang w:val="it-IT"/>
        </w:rPr>
      </w:pPr>
      <w:r w:rsidRPr="00824699">
        <w:rPr>
          <w:lang w:val="it-IT"/>
        </w:rPr>
        <w:t>Riceverà istruzioni dal medico, dall’infermiere o dal farmacista sulla tecnica di somministrazione dell’iniezione</w:t>
      </w:r>
      <w:r w:rsidR="00BE1C70" w:rsidRPr="00C35766">
        <w:rPr>
          <w:rFonts w:eastAsia="Times New Roman"/>
          <w:lang w:val="it-IT"/>
        </w:rPr>
        <w:t>.</w:t>
      </w:r>
    </w:p>
    <w:p w14:paraId="03EFB1A2" w14:textId="77777777" w:rsidR="00BE1C70" w:rsidRPr="00C35766" w:rsidRDefault="00BE1C70" w:rsidP="00BE1C70">
      <w:pPr>
        <w:pStyle w:val="a3"/>
        <w:rPr>
          <w:lang w:val="it-IT"/>
        </w:rPr>
      </w:pPr>
    </w:p>
    <w:p w14:paraId="1D7E5498" w14:textId="5C94C887" w:rsidR="00BE1C70" w:rsidRPr="00C35766" w:rsidRDefault="00A6415F" w:rsidP="00BE1C70">
      <w:pPr>
        <w:pStyle w:val="a3"/>
        <w:numPr>
          <w:ilvl w:val="1"/>
          <w:numId w:val="4"/>
        </w:numPr>
        <w:ind w:left="660" w:hanging="660"/>
        <w:rPr>
          <w:lang w:val="it-IT"/>
        </w:rPr>
      </w:pPr>
      <w:r w:rsidRPr="00824699">
        <w:rPr>
          <w:b/>
          <w:lang w:val="it-IT"/>
        </w:rPr>
        <w:t>Non</w:t>
      </w:r>
      <w:r w:rsidRPr="00824699">
        <w:rPr>
          <w:lang w:val="it-IT"/>
        </w:rPr>
        <w:t xml:space="preserve"> proceda all’iniezione sul bambino finché non è sicuro di aver capito come preparare ed eseguire l’iniezione</w:t>
      </w:r>
      <w:r w:rsidR="00BE1C70" w:rsidRPr="00C35766">
        <w:rPr>
          <w:rFonts w:eastAsia="Times New Roman"/>
          <w:lang w:val="it-IT"/>
        </w:rPr>
        <w:t>.</w:t>
      </w:r>
    </w:p>
    <w:p w14:paraId="127FFC4D" w14:textId="77777777" w:rsidR="00BE1C70" w:rsidRPr="00C35766" w:rsidRDefault="00BE1C70" w:rsidP="00BE1C70">
      <w:pPr>
        <w:pStyle w:val="a3"/>
        <w:rPr>
          <w:lang w:val="it-IT"/>
        </w:rPr>
      </w:pPr>
    </w:p>
    <w:p w14:paraId="52FEC879" w14:textId="7F5A65BA" w:rsidR="00BE1C70" w:rsidRPr="00C35766" w:rsidRDefault="00A6415F" w:rsidP="00BE1C70">
      <w:pPr>
        <w:pStyle w:val="a3"/>
        <w:numPr>
          <w:ilvl w:val="1"/>
          <w:numId w:val="4"/>
        </w:numPr>
        <w:ind w:left="660" w:hanging="660"/>
        <w:rPr>
          <w:lang w:val="it-IT"/>
        </w:rPr>
      </w:pPr>
      <w:r w:rsidRPr="00824699">
        <w:rPr>
          <w:lang w:val="it-IT"/>
        </w:rPr>
        <w:t>Dopo adeguate istruzioni l’iniezione può essere eseguita dal bambino o da un’altra persona quale, ad esempio, un familiare o un amico</w:t>
      </w:r>
      <w:r w:rsidR="00BE1C70" w:rsidRPr="00C35766">
        <w:rPr>
          <w:rFonts w:eastAsia="Times New Roman"/>
          <w:lang w:val="it-IT"/>
        </w:rPr>
        <w:t>.</w:t>
      </w:r>
    </w:p>
    <w:p w14:paraId="135DB422" w14:textId="77777777" w:rsidR="00BE1C70" w:rsidRPr="00C35766" w:rsidRDefault="00BE1C70" w:rsidP="00BE1C70">
      <w:pPr>
        <w:pStyle w:val="a3"/>
        <w:rPr>
          <w:lang w:val="it-IT"/>
        </w:rPr>
      </w:pPr>
    </w:p>
    <w:p w14:paraId="0CD43E97" w14:textId="44DA63C8" w:rsidR="00BE1C70" w:rsidRPr="00C35766" w:rsidRDefault="00A6415F" w:rsidP="00BE1C70">
      <w:pPr>
        <w:pStyle w:val="a3"/>
        <w:numPr>
          <w:ilvl w:val="1"/>
          <w:numId w:val="4"/>
        </w:numPr>
        <w:ind w:left="660" w:hanging="660"/>
        <w:rPr>
          <w:lang w:val="es-ES"/>
        </w:rPr>
      </w:pPr>
      <w:r w:rsidRPr="00824699">
        <w:rPr>
          <w:lang w:val="it-IT"/>
        </w:rPr>
        <w:t>Usi ciascuna siringa pre-riempita esclusivamente per una sola iniezione</w:t>
      </w:r>
      <w:r w:rsidR="00BE1C70" w:rsidRPr="00C35766">
        <w:rPr>
          <w:rFonts w:eastAsia="Times New Roman"/>
          <w:lang w:val="it-IT"/>
        </w:rPr>
        <w:t>.</w:t>
      </w:r>
    </w:p>
    <w:p w14:paraId="4571F036" w14:textId="77777777" w:rsidR="00BE1C70" w:rsidRPr="00C35766" w:rsidRDefault="00BE1C70" w:rsidP="00BE1C70">
      <w:pPr>
        <w:rPr>
          <w:rFonts w:ascii="Times New Roman" w:hAnsi="Times New Roman" w:cs="Times New Roman"/>
          <w:lang w:val="es-ES"/>
        </w:rPr>
      </w:pPr>
    </w:p>
    <w:p w14:paraId="3F191ACA" w14:textId="77777777" w:rsidR="00BE1C70" w:rsidRPr="00C35766" w:rsidRDefault="00BE1C70" w:rsidP="00BE1C70">
      <w:pPr>
        <w:rPr>
          <w:rFonts w:ascii="Times New Roman" w:hAnsi="Times New Roman" w:cs="Times New Roman"/>
          <w:lang w:val="es-ES"/>
        </w:rPr>
      </w:pPr>
      <w:r w:rsidRPr="00C35766">
        <w:rPr>
          <w:rFonts w:ascii="Times New Roman" w:hAnsi="Times New Roman" w:cs="Times New Roman"/>
          <w:lang w:val="es-ES"/>
        </w:rPr>
        <w:br w:type="page"/>
      </w:r>
    </w:p>
    <w:p w14:paraId="57136278" w14:textId="77777777" w:rsidR="00BE1C70" w:rsidRPr="00C35766" w:rsidRDefault="00BE1C70" w:rsidP="00BE1C70">
      <w:pPr>
        <w:pStyle w:val="a3"/>
        <w:rPr>
          <w:b/>
        </w:rPr>
      </w:pPr>
      <w:r w:rsidRPr="00C35766">
        <w:rPr>
          <w:rFonts w:eastAsia="Times New Roman"/>
          <w:b/>
          <w:bCs/>
          <w:lang w:val="it-IT"/>
        </w:rPr>
        <w:lastRenderedPageBreak/>
        <w:t>Yuflyma Siringa pre-riempita</w:t>
      </w:r>
    </w:p>
    <w:p w14:paraId="1DB568D7" w14:textId="77777777" w:rsidR="00BE1C70" w:rsidRPr="00C35766" w:rsidRDefault="00BE1C70" w:rsidP="00BE1C70">
      <w:pPr>
        <w:spacing w:before="13" w:line="240" w:lineRule="exact"/>
        <w:rPr>
          <w:rFonts w:ascii="Times New Roman" w:hAnsi="Times New Roman" w:cs="Times New Roman"/>
          <w:sz w:val="24"/>
          <w:szCs w:val="24"/>
        </w:rPr>
      </w:pPr>
    </w:p>
    <w:p w14:paraId="5383D260" w14:textId="49D8D68D" w:rsidR="00BE1C70" w:rsidRPr="00C35766" w:rsidRDefault="00E12A47" w:rsidP="00BE1C70">
      <w:pPr>
        <w:spacing w:before="3"/>
        <w:ind w:left="1786" w:right="10920"/>
        <w:rPr>
          <w:rFonts w:ascii="Times New Roman" w:eastAsia="Times New Roman" w:hAnsi="Times New Roman" w:cs="Times New Roman"/>
          <w:sz w:val="20"/>
          <w:szCs w:val="20"/>
        </w:rPr>
      </w:pPr>
      <w:r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6" behindDoc="0" locked="0" layoutInCell="1" allowOverlap="1" wp14:anchorId="5D662279" wp14:editId="3A91F31B">
                <wp:simplePos x="0" y="0"/>
                <wp:positionH relativeFrom="column">
                  <wp:posOffset>3465146</wp:posOffset>
                </wp:positionH>
                <wp:positionV relativeFrom="paragraph">
                  <wp:posOffset>2894421</wp:posOffset>
                </wp:positionV>
                <wp:extent cx="665480" cy="376813"/>
                <wp:effectExtent l="0" t="0" r="1270" b="4445"/>
                <wp:wrapNone/>
                <wp:docPr id="3979" name="Text Box 3979"/>
                <wp:cNvGraphicFramePr/>
                <a:graphic xmlns:a="http://schemas.openxmlformats.org/drawingml/2006/main">
                  <a:graphicData uri="http://schemas.microsoft.com/office/word/2010/wordprocessingShape">
                    <wps:wsp>
                      <wps:cNvSpPr txBox="1"/>
                      <wps:spPr>
                        <a:xfrm>
                          <a:off x="0" y="0"/>
                          <a:ext cx="665480" cy="37681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83E428" w14:textId="77777777" w:rsidR="00D97785" w:rsidRPr="00146E60" w:rsidRDefault="00D97785" w:rsidP="00BE1C70">
                            <w:pPr>
                              <w:jc w:val="center"/>
                              <w:rPr>
                                <w:rFonts w:ascii="Arial" w:hAnsi="Arial" w:cs="Arial"/>
                                <w:b/>
                                <w:bCs/>
                                <w:szCs w:val="20"/>
                              </w:rPr>
                            </w:pPr>
                            <w:r w:rsidRPr="00146E60">
                              <w:rPr>
                                <w:rFonts w:ascii="Arial" w:eastAsia="Times New Roman" w:hAnsi="Arial" w:cs="Arial"/>
                                <w:b/>
                                <w:bCs/>
                                <w:szCs w:val="20"/>
                                <w:lang w:val="it-IT"/>
                              </w:rPr>
                              <w:t>Dopo l’uso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62279" id="Text Box 3979" o:spid="_x0000_s1347" type="#_x0000_t202" style="position:absolute;left:0;text-align:left;margin-left:272.85pt;margin-top:227.9pt;width:52.4pt;height:29.6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" fillcolor="white [3212]" stroked="f" strokeweight=".5pt">
                <v:textbox inset="0,0,0,0">
                  <w:txbxContent>
                    <w:p w14:paraId="4F83E428" w14:textId="77777777" w:rsidR="00D97785" w:rsidRPr="00146E60" w:rsidRDefault="00D97785" w:rsidP="00BE1C70">
                      <w:pPr>
                        <w:jc w:val="center"/>
                        <w:rPr>
                          <w:rFonts w:ascii="Arial" w:hAnsi="Arial" w:cs="Arial"/>
                          <w:b/>
                          <w:bCs/>
                          <w:szCs w:val="20"/>
                        </w:rPr>
                      </w:pPr>
                      <w:r w:rsidRPr="00146E60">
                        <w:rPr>
                          <w:rFonts w:ascii="Arial" w:eastAsia="Times New Roman" w:hAnsi="Arial" w:cs="Arial"/>
                          <w:b/>
                          <w:bCs/>
                          <w:szCs w:val="20"/>
                          <w:lang w:val="it-IT"/>
                        </w:rPr>
                        <w:t>Dopo l’uso</w:t>
                      </w:r>
                    </w:p>
                  </w:txbxContent>
                </v:textbox>
              </v:shape>
            </w:pict>
          </mc:Fallback>
        </mc:AlternateContent>
      </w:r>
      <w:r w:rsidR="00923A5E"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5" behindDoc="0" locked="0" layoutInCell="1" allowOverlap="1" wp14:anchorId="299FFD48" wp14:editId="4B4956ED">
                <wp:simplePos x="0" y="0"/>
                <wp:positionH relativeFrom="column">
                  <wp:posOffset>2118667</wp:posOffset>
                </wp:positionH>
                <wp:positionV relativeFrom="paragraph">
                  <wp:posOffset>2889397</wp:posOffset>
                </wp:positionV>
                <wp:extent cx="665480" cy="376813"/>
                <wp:effectExtent l="0" t="0" r="1270" b="4445"/>
                <wp:wrapNone/>
                <wp:docPr id="3980" name="Text Box 3980"/>
                <wp:cNvGraphicFramePr/>
                <a:graphic xmlns:a="http://schemas.openxmlformats.org/drawingml/2006/main">
                  <a:graphicData uri="http://schemas.microsoft.com/office/word/2010/wordprocessingShape">
                    <wps:wsp>
                      <wps:cNvSpPr txBox="1"/>
                      <wps:spPr>
                        <a:xfrm>
                          <a:off x="0" y="0"/>
                          <a:ext cx="665480" cy="37681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DC680B" w14:textId="77777777" w:rsidR="00D97785" w:rsidRPr="00146E60" w:rsidRDefault="00D97785" w:rsidP="00BE1C70">
                            <w:pPr>
                              <w:jc w:val="center"/>
                              <w:rPr>
                                <w:rFonts w:ascii="Arial" w:hAnsi="Arial" w:cs="Arial"/>
                                <w:b/>
                                <w:bCs/>
                                <w:szCs w:val="20"/>
                              </w:rPr>
                            </w:pPr>
                            <w:r w:rsidRPr="00146E60">
                              <w:rPr>
                                <w:rFonts w:ascii="Arial" w:eastAsia="Times New Roman" w:hAnsi="Arial" w:cs="Arial"/>
                                <w:b/>
                                <w:bCs/>
                                <w:szCs w:val="20"/>
                                <w:lang w:val="it-IT"/>
                              </w:rPr>
                              <w:t>Prima dell’uso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FFD48" id="Text Box 3980" o:spid="_x0000_s1348" type="#_x0000_t202" style="position:absolute;left:0;text-align:left;margin-left:166.8pt;margin-top:227.5pt;width:52.4pt;height:29.6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" fillcolor="white [3212]" stroked="f" strokeweight=".5pt">
                <v:textbox inset="0,0,0,0">
                  <w:txbxContent>
                    <w:p w14:paraId="29DC680B" w14:textId="77777777" w:rsidR="00D97785" w:rsidRPr="00146E60" w:rsidRDefault="00D97785" w:rsidP="00BE1C70">
                      <w:pPr>
                        <w:jc w:val="center"/>
                        <w:rPr>
                          <w:rFonts w:ascii="Arial" w:hAnsi="Arial" w:cs="Arial"/>
                          <w:b/>
                          <w:bCs/>
                          <w:szCs w:val="20"/>
                        </w:rPr>
                      </w:pPr>
                      <w:r w:rsidRPr="00146E60">
                        <w:rPr>
                          <w:rFonts w:ascii="Arial" w:eastAsia="Times New Roman" w:hAnsi="Arial" w:cs="Arial"/>
                          <w:b/>
                          <w:bCs/>
                          <w:szCs w:val="20"/>
                          <w:lang w:val="it-IT"/>
                        </w:rPr>
                        <w:t>Prima dell’uso</w:t>
                      </w:r>
                    </w:p>
                  </w:txbxContent>
                </v:textbox>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0" behindDoc="0" locked="0" layoutInCell="1" allowOverlap="1" wp14:anchorId="52DAF44A" wp14:editId="55CE2FB4">
                <wp:simplePos x="0" y="0"/>
                <wp:positionH relativeFrom="margin">
                  <wp:posOffset>2806065</wp:posOffset>
                </wp:positionH>
                <wp:positionV relativeFrom="paragraph">
                  <wp:posOffset>393065</wp:posOffset>
                </wp:positionV>
                <wp:extent cx="603250" cy="189230"/>
                <wp:effectExtent l="0" t="0" r="6350" b="1270"/>
                <wp:wrapNone/>
                <wp:docPr id="3985" name="Text Box 3985"/>
                <wp:cNvGraphicFramePr/>
                <a:graphic xmlns:a="http://schemas.openxmlformats.org/drawingml/2006/main">
                  <a:graphicData uri="http://schemas.microsoft.com/office/word/2010/wordprocessingShape">
                    <wps:wsp>
                      <wps:cNvSpPr txBox="1"/>
                      <wps:spPr>
                        <a:xfrm>
                          <a:off x="0" y="0"/>
                          <a:ext cx="603250" cy="1892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98D36" w14:textId="77777777" w:rsidR="00D97785" w:rsidRPr="00146E60" w:rsidRDefault="00D97785" w:rsidP="009918A1">
                            <w:pPr>
                              <w:jc w:val="center"/>
                              <w:rPr>
                                <w:rFonts w:ascii="Arial" w:hAnsi="Arial" w:cs="Arial"/>
                                <w:bCs/>
                                <w:szCs w:val="18"/>
                              </w:rPr>
                            </w:pPr>
                            <w:r w:rsidRPr="00146E60">
                              <w:rPr>
                                <w:rFonts w:ascii="Arial" w:eastAsia="Times New Roman" w:hAnsi="Arial" w:cs="Arial"/>
                                <w:bCs/>
                                <w:szCs w:val="18"/>
                                <w:lang w:val="it-IT"/>
                              </w:rPr>
                              <w:t>Stantuffo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AF44A" id="Text Box 3985" o:spid="_x0000_s1349" type="#_x0000_t202" style="position:absolute;left:0;text-align:left;margin-left:220.95pt;margin-top:30.95pt;width:47.5pt;height:14.9pt;z-index:251658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" fillcolor="white [3212]" stroked="f" strokeweight=".5pt">
                <v:textbox inset="0,0,0,0">
                  <w:txbxContent>
                    <w:p w14:paraId="10698D36" w14:textId="77777777" w:rsidR="00D97785" w:rsidRPr="00146E60" w:rsidRDefault="00D97785" w:rsidP="009918A1">
                      <w:pPr>
                        <w:jc w:val="center"/>
                        <w:rPr>
                          <w:rFonts w:ascii="Arial" w:hAnsi="Arial" w:cs="Arial"/>
                          <w:bCs/>
                          <w:szCs w:val="18"/>
                        </w:rPr>
                      </w:pPr>
                      <w:r w:rsidRPr="00146E60">
                        <w:rPr>
                          <w:rFonts w:ascii="Arial" w:eastAsia="Times New Roman" w:hAnsi="Arial" w:cs="Arial"/>
                          <w:bCs/>
                          <w:szCs w:val="18"/>
                          <w:lang w:val="it-IT"/>
                        </w:rPr>
                        <w:t>Stantuffo</w:t>
                      </w:r>
                    </w:p>
                  </w:txbxContent>
                </v:textbox>
                <w10:wrap anchorx="margin"/>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4" behindDoc="0" locked="0" layoutInCell="1" allowOverlap="1" wp14:anchorId="02FD7459" wp14:editId="1003E523">
                <wp:simplePos x="0" y="0"/>
                <wp:positionH relativeFrom="column">
                  <wp:posOffset>2750483</wp:posOffset>
                </wp:positionH>
                <wp:positionV relativeFrom="paragraph">
                  <wp:posOffset>2492150</wp:posOffset>
                </wp:positionV>
                <wp:extent cx="734240" cy="375858"/>
                <wp:effectExtent l="0" t="0" r="8890" b="5715"/>
                <wp:wrapNone/>
                <wp:docPr id="3981" name="Text Box 3981"/>
                <wp:cNvGraphicFramePr/>
                <a:graphic xmlns:a="http://schemas.openxmlformats.org/drawingml/2006/main">
                  <a:graphicData uri="http://schemas.microsoft.com/office/word/2010/wordprocessingShape">
                    <wps:wsp>
                      <wps:cNvSpPr txBox="1"/>
                      <wps:spPr>
                        <a:xfrm>
                          <a:off x="0" y="0"/>
                          <a:ext cx="734240" cy="37585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E86FC"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Cappuccio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2FD7459" id="Text Box 3981" o:spid="_x0000_s1350" type="#_x0000_t202" style="position:absolute;left:0;text-align:left;margin-left:216.55pt;margin-top:196.25pt;width:57.8pt;height:29.6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" fillcolor="white [3212]" stroked="f" strokeweight=".5pt">
                <v:textbox inset="0,0,0,0">
                  <w:txbxContent>
                    <w:p w14:paraId="42FE86FC"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Cappuccio</w:t>
                      </w:r>
                    </w:p>
                  </w:txbxContent>
                </v:textbox>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3" behindDoc="0" locked="0" layoutInCell="1" allowOverlap="1" wp14:anchorId="56671B2E" wp14:editId="2DA272F9">
                <wp:simplePos x="0" y="0"/>
                <wp:positionH relativeFrom="column">
                  <wp:posOffset>2838672</wp:posOffset>
                </wp:positionH>
                <wp:positionV relativeFrom="paragraph">
                  <wp:posOffset>2012726</wp:posOffset>
                </wp:positionV>
                <wp:extent cx="556703" cy="254944"/>
                <wp:effectExtent l="0" t="0" r="0" b="0"/>
                <wp:wrapNone/>
                <wp:docPr id="3982" name="Text Box 3982"/>
                <wp:cNvGraphicFramePr/>
                <a:graphic xmlns:a="http://schemas.openxmlformats.org/drawingml/2006/main">
                  <a:graphicData uri="http://schemas.microsoft.com/office/word/2010/wordprocessingShape">
                    <wps:wsp>
                      <wps:cNvSpPr txBox="1"/>
                      <wps:spPr>
                        <a:xfrm>
                          <a:off x="0" y="0"/>
                          <a:ext cx="556703" cy="25494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C4C40"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Ago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71B2E" id="Text Box 3982" o:spid="_x0000_s1351" type="#_x0000_t202" style="position:absolute;left:0;text-align:left;margin-left:223.5pt;margin-top:158.5pt;width:43.85pt;height:20.0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" fillcolor="white [3212]" stroked="f" strokeweight=".5pt">
                <v:textbox inset="0,0,0,0">
                  <w:txbxContent>
                    <w:p w14:paraId="7EDC4C40"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Ago</w:t>
                      </w:r>
                    </w:p>
                  </w:txbxContent>
                </v:textbox>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69" behindDoc="0" locked="0" layoutInCell="1" allowOverlap="1" wp14:anchorId="43D848BA" wp14:editId="673589E6">
                <wp:simplePos x="0" y="0"/>
                <wp:positionH relativeFrom="column">
                  <wp:posOffset>1278403</wp:posOffset>
                </wp:positionH>
                <wp:positionV relativeFrom="paragraph">
                  <wp:posOffset>1438263</wp:posOffset>
                </wp:positionV>
                <wp:extent cx="717243" cy="365760"/>
                <wp:effectExtent l="0" t="0" r="6985" b="0"/>
                <wp:wrapNone/>
                <wp:docPr id="3986" name="Text Box 3986"/>
                <wp:cNvGraphicFramePr/>
                <a:graphic xmlns:a="http://schemas.openxmlformats.org/drawingml/2006/main">
                  <a:graphicData uri="http://schemas.microsoft.com/office/word/2010/wordprocessingShape">
                    <wps:wsp>
                      <wps:cNvSpPr txBox="1"/>
                      <wps:spPr>
                        <a:xfrm>
                          <a:off x="0" y="0"/>
                          <a:ext cx="717243" cy="3657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B9D28"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Medicinale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3D848BA" id="Text Box 3986" o:spid="_x0000_s1352" type="#_x0000_t202" style="position:absolute;left:0;text-align:left;margin-left:100.65pt;margin-top:113.25pt;width:56.5pt;height:28.8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" fillcolor="white [3212]" stroked="f" strokeweight=".5pt">
                <v:textbox inset="0,0,0,0">
                  <w:txbxContent>
                    <w:p w14:paraId="0D9B9D28"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Medicinale</w:t>
                      </w:r>
                    </w:p>
                  </w:txbxContent>
                </v:textbox>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2" behindDoc="0" locked="0" layoutInCell="1" allowOverlap="1" wp14:anchorId="7CB27161" wp14:editId="2789E5FD">
                <wp:simplePos x="0" y="0"/>
                <wp:positionH relativeFrom="column">
                  <wp:posOffset>2868937</wp:posOffset>
                </wp:positionH>
                <wp:positionV relativeFrom="paragraph">
                  <wp:posOffset>1094763</wp:posOffset>
                </wp:positionV>
                <wp:extent cx="462299" cy="197157"/>
                <wp:effectExtent l="0" t="0" r="0" b="0"/>
                <wp:wrapNone/>
                <wp:docPr id="3983" name="Text Box 3983"/>
                <wp:cNvGraphicFramePr/>
                <a:graphic xmlns:a="http://schemas.openxmlformats.org/drawingml/2006/main">
                  <a:graphicData uri="http://schemas.microsoft.com/office/word/2010/wordprocessingShape">
                    <wps:wsp>
                      <wps:cNvSpPr txBox="1"/>
                      <wps:spPr>
                        <a:xfrm>
                          <a:off x="0" y="0"/>
                          <a:ext cx="462299" cy="19715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DF5F9"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Corpo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27161" id="Text Box 3983" o:spid="_x0000_s1353" type="#_x0000_t202" style="position:absolute;left:0;text-align:left;margin-left:225.9pt;margin-top:86.2pt;width:36.4pt;height:15.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" fillcolor="white [3212]" stroked="f" strokeweight=".5pt">
                <v:textbox inset="0,0,0,0">
                  <w:txbxContent>
                    <w:p w14:paraId="403DF5F9"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Corpo</w:t>
                      </w:r>
                    </w:p>
                  </w:txbxContent>
                </v:textbox>
              </v:shape>
            </w:pict>
          </mc:Fallback>
        </mc:AlternateContent>
      </w:r>
      <w:r w:rsidR="009918A1" w:rsidRPr="00C35766">
        <w:rPr>
          <w:rFonts w:ascii="Times New Roman" w:eastAsia="Times New Roman" w:hAnsi="Times New Roman" w:cs="Times New Roman"/>
          <w:noProof/>
          <w:sz w:val="20"/>
          <w:szCs w:val="20"/>
          <w:lang w:eastAsia="ko-KR"/>
        </w:rPr>
        <mc:AlternateContent>
          <mc:Choice Requires="wps">
            <w:drawing>
              <wp:anchor distT="0" distB="0" distL="114300" distR="114300" simplePos="0" relativeHeight="251658371" behindDoc="0" locked="0" layoutInCell="1" allowOverlap="1" wp14:anchorId="7ECB6111" wp14:editId="75330106">
                <wp:simplePos x="0" y="0"/>
                <wp:positionH relativeFrom="column">
                  <wp:posOffset>2872892</wp:posOffset>
                </wp:positionH>
                <wp:positionV relativeFrom="paragraph">
                  <wp:posOffset>680534</wp:posOffset>
                </wp:positionV>
                <wp:extent cx="475896" cy="353833"/>
                <wp:effectExtent l="0" t="0" r="635" b="8255"/>
                <wp:wrapNone/>
                <wp:docPr id="3984" name="Text Box 3984"/>
                <wp:cNvGraphicFramePr/>
                <a:graphic xmlns:a="http://schemas.openxmlformats.org/drawingml/2006/main">
                  <a:graphicData uri="http://schemas.microsoft.com/office/word/2010/wordprocessingShape">
                    <wps:wsp>
                      <wps:cNvSpPr txBox="1"/>
                      <wps:spPr>
                        <a:xfrm>
                          <a:off x="0" y="0"/>
                          <a:ext cx="475896" cy="35383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52E76"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Flangia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6111" id="Text Box 3984" o:spid="_x0000_s1354" type="#_x0000_t202" style="position:absolute;left:0;text-align:left;margin-left:226.2pt;margin-top:53.6pt;width:37.45pt;height:27.8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" fillcolor="white [3212]" stroked="f" strokeweight=".5pt">
                <v:textbox inset="0,0,0,0">
                  <w:txbxContent>
                    <w:p w14:paraId="68952E76" w14:textId="77777777" w:rsidR="00D97785" w:rsidRPr="00146E60" w:rsidRDefault="00D97785" w:rsidP="00BE1C70">
                      <w:pPr>
                        <w:jc w:val="center"/>
                        <w:rPr>
                          <w:rFonts w:ascii="Arial" w:hAnsi="Arial" w:cs="Arial"/>
                          <w:bCs/>
                          <w:szCs w:val="18"/>
                        </w:rPr>
                      </w:pPr>
                      <w:r w:rsidRPr="00146E60">
                        <w:rPr>
                          <w:rFonts w:ascii="Arial" w:eastAsia="Times New Roman" w:hAnsi="Arial" w:cs="Arial"/>
                          <w:bCs/>
                          <w:szCs w:val="18"/>
                          <w:lang w:val="it-IT"/>
                        </w:rPr>
                        <w:t>Flangia</w:t>
                      </w:r>
                    </w:p>
                  </w:txbxContent>
                </v:textbox>
              </v:shape>
            </w:pict>
          </mc:Fallback>
        </mc:AlternateContent>
      </w:r>
      <w:r w:rsidR="00BE1C70" w:rsidRPr="00C35766">
        <w:rPr>
          <w:rFonts w:ascii="Times New Roman" w:hAnsi="Times New Roman" w:cs="Times New Roman"/>
          <w:noProof/>
          <w:lang w:eastAsia="ko-KR"/>
        </w:rPr>
        <w:drawing>
          <wp:inline distT="0" distB="0" distL="0" distR="0" wp14:anchorId="300E1708" wp14:editId="173DA60E">
            <wp:extent cx="3467100" cy="3264354"/>
            <wp:effectExtent l="19050" t="19050" r="19050" b="12700"/>
            <wp:docPr id="4134" name="그림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2744" name="Picture 26"/>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3467670" cy="326489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2A97A7" w14:textId="77777777" w:rsidR="00BE1C70" w:rsidRPr="00C35766" w:rsidRDefault="00BE1C70" w:rsidP="008A6AF4">
      <w:pPr>
        <w:spacing w:before="10" w:line="240" w:lineRule="exact"/>
        <w:ind w:leftChars="2391" w:left="5260" w:firstLineChars="650" w:firstLine="1301"/>
        <w:rPr>
          <w:rFonts w:ascii="Times New Roman" w:hAnsi="Times New Roman" w:cs="Times New Roman"/>
          <w:b/>
          <w:sz w:val="20"/>
          <w:szCs w:val="24"/>
          <w:lang w:val="es-ES" w:eastAsia="ko-KR"/>
        </w:rPr>
      </w:pPr>
      <w:r w:rsidRPr="00C35766">
        <w:rPr>
          <w:rFonts w:ascii="Times New Roman" w:eastAsia="Times New Roman" w:hAnsi="Times New Roman" w:cs="Times New Roman"/>
          <w:b/>
          <w:bCs/>
          <w:sz w:val="20"/>
          <w:szCs w:val="20"/>
          <w:lang w:val="it-IT" w:eastAsia="ko-KR"/>
        </w:rPr>
        <w:t>Figura A</w:t>
      </w:r>
    </w:p>
    <w:p w14:paraId="14088EED" w14:textId="77777777" w:rsidR="00BE1C70" w:rsidRPr="00C35766" w:rsidRDefault="00BE1C70" w:rsidP="00BE1C70">
      <w:pPr>
        <w:spacing w:before="10" w:line="240" w:lineRule="exact"/>
        <w:rPr>
          <w:rFonts w:ascii="Times New Roman" w:hAnsi="Times New Roman" w:cs="Times New Roman"/>
          <w:sz w:val="24"/>
          <w:szCs w:val="24"/>
          <w:lang w:val="es-ES"/>
        </w:rPr>
      </w:pPr>
    </w:p>
    <w:p w14:paraId="275FE8DA" w14:textId="77777777" w:rsidR="00BE1C70" w:rsidRPr="00C35766" w:rsidRDefault="00BE1C70" w:rsidP="00BE1C70">
      <w:pPr>
        <w:pStyle w:val="a3"/>
        <w:rPr>
          <w:b/>
          <w:lang w:val="es-ES"/>
        </w:rPr>
      </w:pPr>
      <w:r w:rsidRPr="00C35766">
        <w:rPr>
          <w:rFonts w:eastAsia="Times New Roman"/>
          <w:b/>
          <w:bCs/>
          <w:lang w:val="it-IT"/>
        </w:rPr>
        <w:t>Non usi la siringa pre-riempita se:</w:t>
      </w:r>
    </w:p>
    <w:p w14:paraId="2574BA01" w14:textId="77777777" w:rsidR="00BE1C70" w:rsidRPr="00C35766" w:rsidRDefault="00BE1C70" w:rsidP="00BE1C70">
      <w:pPr>
        <w:pStyle w:val="a3"/>
        <w:numPr>
          <w:ilvl w:val="1"/>
          <w:numId w:val="3"/>
        </w:numPr>
        <w:ind w:left="660" w:hanging="660"/>
      </w:pPr>
      <w:r w:rsidRPr="00C35766">
        <w:rPr>
          <w:rFonts w:eastAsia="Times New Roman"/>
          <w:lang w:val="it-IT"/>
        </w:rPr>
        <w:t xml:space="preserve">è incrinata o danneggiata. </w:t>
      </w:r>
    </w:p>
    <w:p w14:paraId="0A1084CB" w14:textId="77777777" w:rsidR="00BE1C70" w:rsidRPr="00613304" w:rsidRDefault="00BE1C70" w:rsidP="00BE1C70">
      <w:pPr>
        <w:pStyle w:val="a3"/>
        <w:numPr>
          <w:ilvl w:val="1"/>
          <w:numId w:val="3"/>
        </w:numPr>
        <w:ind w:left="660" w:hanging="660"/>
        <w:rPr>
          <w:lang w:val="es-ES"/>
        </w:rPr>
      </w:pPr>
      <w:r w:rsidRPr="00C35766">
        <w:rPr>
          <w:rFonts w:eastAsia="Times New Roman"/>
          <w:lang w:val="it-IT"/>
        </w:rPr>
        <w:t xml:space="preserve">è stata superata la data di scadenza. </w:t>
      </w:r>
    </w:p>
    <w:p w14:paraId="36C31DB6" w14:textId="77777777" w:rsidR="00BE1C70" w:rsidRPr="00C35766" w:rsidRDefault="00BE1C70" w:rsidP="00BE1C70">
      <w:pPr>
        <w:pStyle w:val="a3"/>
        <w:numPr>
          <w:ilvl w:val="1"/>
          <w:numId w:val="3"/>
        </w:numPr>
        <w:ind w:left="660" w:hanging="660"/>
        <w:rPr>
          <w:lang w:val="es-ES"/>
        </w:rPr>
      </w:pPr>
      <w:r w:rsidRPr="00F21E03">
        <w:rPr>
          <w:rFonts w:hint="eastAsia"/>
          <w:lang w:val="es-ES"/>
        </w:rPr>
        <w:t>è</w:t>
      </w:r>
      <w:r w:rsidRPr="00F21E03">
        <w:rPr>
          <w:lang w:val="es-ES"/>
        </w:rPr>
        <w:t xml:space="preserve"> caduta su una superficie dura</w:t>
      </w:r>
      <w:r>
        <w:rPr>
          <w:lang w:val="es-ES"/>
        </w:rPr>
        <w:t>.</w:t>
      </w:r>
    </w:p>
    <w:p w14:paraId="7657B145" w14:textId="77777777" w:rsidR="00BE1C70" w:rsidRPr="00C35766" w:rsidRDefault="00BE1C70" w:rsidP="00BE1C70">
      <w:pPr>
        <w:pStyle w:val="Default"/>
        <w:numPr>
          <w:ilvl w:val="2"/>
          <w:numId w:val="20"/>
        </w:numPr>
        <w:ind w:left="360"/>
        <w:rPr>
          <w:rFonts w:ascii="Times New Roman" w:hAnsi="Times New Roman" w:cs="Times New Roman"/>
          <w:color w:val="211D1E"/>
          <w:sz w:val="20"/>
          <w:szCs w:val="20"/>
          <w:lang w:val="es-ES"/>
        </w:rPr>
      </w:pPr>
    </w:p>
    <w:p w14:paraId="20B8002E" w14:textId="36CDD1D4" w:rsidR="00BE1C70" w:rsidRPr="00C35766" w:rsidRDefault="00BE1C70" w:rsidP="008A6AF4">
      <w:pPr>
        <w:pStyle w:val="a3"/>
        <w:rPr>
          <w:lang w:val="it-IT"/>
        </w:rPr>
      </w:pPr>
      <w:r w:rsidRPr="00C35766">
        <w:rPr>
          <w:rFonts w:eastAsia="Times New Roman"/>
          <w:b/>
          <w:bCs/>
          <w:lang w:val="it-IT"/>
        </w:rPr>
        <w:t>Rimuova il tappo dell’ago solo immediatamente prima dell’iniezione. Tenga Yuflyma fuori dalla vista e dalla portata dei bambini.</w:t>
      </w:r>
    </w:p>
    <w:p w14:paraId="4821C3B4" w14:textId="77777777" w:rsidR="004A6B44" w:rsidRPr="00824699" w:rsidRDefault="004A6B44">
      <w:pPr>
        <w:rPr>
          <w:lang w:val="it-IT"/>
        </w:rPr>
      </w:pPr>
      <w:r w:rsidRPr="00824699">
        <w:rPr>
          <w:lang w:val="it-IT"/>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BE1C70" w:rsidRPr="00494E69" w14:paraId="6633B97F" w14:textId="77777777" w:rsidTr="00603A86">
        <w:trPr>
          <w:trHeight w:val="2684"/>
        </w:trPr>
        <w:tc>
          <w:tcPr>
            <w:tcW w:w="9634" w:type="dxa"/>
          </w:tcPr>
          <w:p w14:paraId="4DEB96C3" w14:textId="3C774F16" w:rsidR="00BE1C70" w:rsidRPr="00824699" w:rsidRDefault="00BE1C70" w:rsidP="008A6AF4">
            <w:pPr>
              <w:pStyle w:val="a3"/>
              <w:numPr>
                <w:ilvl w:val="0"/>
                <w:numId w:val="0"/>
              </w:numPr>
              <w:ind w:leftChars="159" w:left="350"/>
              <w:rPr>
                <w:lang w:val="it-IT"/>
              </w:rPr>
            </w:pPr>
          </w:p>
          <w:p w14:paraId="62039D91" w14:textId="67566DDB" w:rsidR="00BE1C70" w:rsidRPr="00C35766" w:rsidRDefault="00BE1C70" w:rsidP="008A6AF4">
            <w:pPr>
              <w:pStyle w:val="a3"/>
              <w:numPr>
                <w:ilvl w:val="0"/>
                <w:numId w:val="81"/>
              </w:numPr>
            </w:pPr>
            <w:r w:rsidRPr="00C35766">
              <w:rPr>
                <w:rFonts w:eastAsia="Times New Roman"/>
                <w:b/>
                <w:bCs/>
                <w:lang w:val="it-IT"/>
              </w:rPr>
              <w:t>Prepari i materiali per l’iniezione</w:t>
            </w:r>
          </w:p>
          <w:p w14:paraId="3FC09EA4" w14:textId="77777777" w:rsidR="00BE1C70" w:rsidRPr="00C35766" w:rsidRDefault="00BE1C70" w:rsidP="008A6AF4">
            <w:pPr>
              <w:pStyle w:val="a3"/>
              <w:numPr>
                <w:ilvl w:val="0"/>
                <w:numId w:val="0"/>
              </w:numPr>
              <w:ind w:leftChars="159" w:left="350"/>
            </w:pPr>
          </w:p>
          <w:p w14:paraId="5B92C0AF" w14:textId="77777777" w:rsidR="00BE1C70" w:rsidRPr="00C35766" w:rsidRDefault="00BE1C70" w:rsidP="00603A86">
            <w:pPr>
              <w:pStyle w:val="AAAA"/>
              <w:framePr w:hSpace="0" w:wrap="auto" w:vAnchor="margin" w:hAnchor="text" w:yAlign="inline"/>
              <w:rPr>
                <w:lang w:val="es-ES"/>
              </w:rPr>
            </w:pPr>
            <w:r w:rsidRPr="00C35766">
              <w:rPr>
                <w:b/>
                <w:bCs/>
              </w:rPr>
              <w:t>a.</w:t>
            </w:r>
            <w:r w:rsidRPr="00C35766">
              <w:tab/>
              <w:t>Prepari una superficie piana pulita, ad esempio un tavolo o ripiano, in un luogo ben illuminato.</w:t>
            </w:r>
          </w:p>
          <w:p w14:paraId="27F6E1E0" w14:textId="77777777" w:rsidR="00BE1C70" w:rsidRPr="00C35766" w:rsidRDefault="00BE1C70" w:rsidP="00603A86">
            <w:pPr>
              <w:pStyle w:val="a3"/>
              <w:ind w:left="720" w:hanging="360"/>
              <w:rPr>
                <w:lang w:val="pt-BR" w:eastAsia="ko-KR"/>
              </w:rPr>
            </w:pPr>
            <w:r w:rsidRPr="00C35766">
              <w:rPr>
                <w:rFonts w:eastAsia="Times New Roman"/>
                <w:b/>
                <w:bCs/>
                <w:lang w:val="it-IT" w:eastAsia="ko-KR"/>
              </w:rPr>
              <w:t>b.</w:t>
            </w:r>
            <w:r w:rsidRPr="00C35766">
              <w:rPr>
                <w:rFonts w:eastAsia="Times New Roman"/>
                <w:lang w:val="it-IT" w:eastAsia="ko-KR"/>
              </w:rPr>
              <w:t xml:space="preserve"> </w:t>
            </w:r>
            <w:r w:rsidRPr="00C35766">
              <w:rPr>
                <w:rFonts w:eastAsia="Times New Roman"/>
                <w:lang w:val="it-IT" w:eastAsia="ko-KR"/>
              </w:rPr>
              <w:tab/>
              <w:t>Rimuova 1 siringa pre-riempita dalla scatola conservata in frigorifero.</w:t>
            </w:r>
          </w:p>
          <w:p w14:paraId="45442238" w14:textId="5E8D33AD" w:rsidR="00BE1C70" w:rsidRPr="00C35766" w:rsidRDefault="00BE1C70" w:rsidP="00603A86">
            <w:pPr>
              <w:pStyle w:val="a3"/>
              <w:ind w:left="1080" w:rightChars="100" w:right="220" w:hanging="360"/>
              <w:jc w:val="both"/>
              <w:rPr>
                <w:lang w:val="es-ES" w:eastAsia="ko-KR"/>
              </w:rPr>
            </w:pPr>
            <w:r w:rsidRPr="00C35766">
              <w:rPr>
                <w:rFonts w:eastAsia="맑은 고딕"/>
                <w:lang w:val="it-IT" w:eastAsia="ko-KR"/>
              </w:rPr>
              <w:t>•</w:t>
            </w:r>
            <w:r w:rsidRPr="00C35766">
              <w:rPr>
                <w:rFonts w:eastAsia="Times New Roman"/>
                <w:lang w:val="it-IT" w:eastAsia="ko-KR"/>
              </w:rPr>
              <w:tab/>
              <w:t>Quando rimuove la siringa pre-riempita dalla scatola la tenga per il corpo.</w:t>
            </w:r>
            <w:r w:rsidRPr="00C35766">
              <w:rPr>
                <w:rFonts w:eastAsia="Times New Roman"/>
                <w:b/>
                <w:bCs/>
                <w:lang w:val="it-IT" w:eastAsia="ko-KR"/>
              </w:rPr>
              <w:t xml:space="preserve"> Non </w:t>
            </w:r>
            <w:r w:rsidRPr="00C35766">
              <w:rPr>
                <w:rFonts w:eastAsia="Times New Roman"/>
                <w:lang w:val="it-IT" w:eastAsia="ko-KR"/>
              </w:rPr>
              <w:t>tocchi</w:t>
            </w:r>
            <w:r w:rsidR="004A6B44" w:rsidRPr="00824699">
              <w:rPr>
                <w:lang w:val="it-IT"/>
              </w:rPr>
              <w:t xml:space="preserve"> </w:t>
            </w:r>
            <w:r w:rsidR="004A6B44" w:rsidRPr="004A6B44">
              <w:rPr>
                <w:rFonts w:eastAsia="Times New Roman"/>
                <w:lang w:val="it-IT" w:eastAsia="ko-KR"/>
              </w:rPr>
              <w:t>l'asta dello stantuffo e il cappuccio</w:t>
            </w:r>
            <w:r w:rsidRPr="00C35766">
              <w:rPr>
                <w:rFonts w:eastAsia="Times New Roman"/>
                <w:lang w:val="it-IT" w:eastAsia="ko-KR"/>
              </w:rPr>
              <w:t>.</w:t>
            </w:r>
          </w:p>
          <w:p w14:paraId="61E1A1FF" w14:textId="77777777" w:rsidR="00BE1C70" w:rsidRPr="00C35766" w:rsidRDefault="00BE1C70" w:rsidP="00603A86">
            <w:pPr>
              <w:pStyle w:val="a3"/>
              <w:ind w:left="720" w:hanging="360"/>
              <w:rPr>
                <w:lang w:val="pt-BR" w:eastAsia="ko-KR"/>
              </w:rPr>
            </w:pPr>
            <w:r w:rsidRPr="00C35766">
              <w:rPr>
                <w:rFonts w:eastAsia="Times New Roman"/>
                <w:b/>
                <w:bCs/>
                <w:lang w:val="it-IT" w:eastAsia="ko-KR"/>
              </w:rPr>
              <w:t>c.</w:t>
            </w:r>
            <w:r w:rsidRPr="00C35766">
              <w:rPr>
                <w:rFonts w:eastAsia="Times New Roman"/>
                <w:lang w:val="it-IT" w:eastAsia="ko-KR"/>
              </w:rPr>
              <w:t xml:space="preserve"> </w:t>
            </w:r>
            <w:r w:rsidRPr="00C35766">
              <w:rPr>
                <w:rFonts w:eastAsia="Times New Roman"/>
                <w:lang w:val="it-IT" w:eastAsia="ko-KR"/>
              </w:rPr>
              <w:tab/>
              <w:t>Si assicuri di avere i seguenti materiali:</w:t>
            </w:r>
          </w:p>
          <w:p w14:paraId="2810A3CE" w14:textId="77777777" w:rsidR="00BE1C70" w:rsidRPr="00C35766" w:rsidRDefault="00BE1C70" w:rsidP="00603A86">
            <w:pPr>
              <w:pStyle w:val="a3"/>
              <w:ind w:left="720"/>
              <w:rPr>
                <w:lang w:val="pt-BR" w:eastAsia="ko-KR"/>
              </w:rPr>
            </w:pPr>
            <w:r w:rsidRPr="00C35766">
              <w:rPr>
                <w:rFonts w:eastAsia="Times New Roman"/>
                <w:lang w:val="it-IT" w:eastAsia="ko-KR"/>
              </w:rPr>
              <w:t>- Siringa pre-riempita</w:t>
            </w:r>
          </w:p>
          <w:p w14:paraId="2168EC75" w14:textId="77777777" w:rsidR="00BE1C70" w:rsidRPr="00C35766" w:rsidRDefault="00BE1C70" w:rsidP="00603A86">
            <w:pPr>
              <w:pStyle w:val="a3"/>
              <w:spacing w:after="120"/>
              <w:ind w:left="720"/>
              <w:rPr>
                <w:lang w:val="pt-BR" w:eastAsia="ko-KR"/>
              </w:rPr>
            </w:pPr>
            <w:r w:rsidRPr="00C35766">
              <w:rPr>
                <w:rFonts w:eastAsia="Times New Roman"/>
                <w:lang w:val="it-IT" w:eastAsia="ko-KR"/>
              </w:rPr>
              <w:t>- tampone imbevuto di alcol</w:t>
            </w:r>
          </w:p>
          <w:p w14:paraId="5143F714" w14:textId="77777777" w:rsidR="00BE1C70" w:rsidRPr="00C35766" w:rsidRDefault="00BE1C70" w:rsidP="00603A86">
            <w:pPr>
              <w:pStyle w:val="a3"/>
              <w:ind w:left="720"/>
              <w:rPr>
                <w:b/>
                <w:lang w:val="pt-BR" w:eastAsia="ko-KR"/>
              </w:rPr>
            </w:pPr>
            <w:r w:rsidRPr="00C35766">
              <w:rPr>
                <w:rFonts w:eastAsia="Times New Roman"/>
                <w:b/>
                <w:bCs/>
                <w:lang w:val="it-IT" w:eastAsia="ko-KR"/>
              </w:rPr>
              <w:t>Non compreso nella scatola:</w:t>
            </w:r>
          </w:p>
          <w:p w14:paraId="376AAB68" w14:textId="77777777" w:rsidR="00BE1C70" w:rsidRPr="00C35766" w:rsidRDefault="00BE1C70" w:rsidP="00603A86">
            <w:pPr>
              <w:pStyle w:val="a3"/>
              <w:ind w:left="720"/>
              <w:rPr>
                <w:lang w:val="pt-BR" w:eastAsia="ko-KR"/>
              </w:rPr>
            </w:pPr>
            <w:r w:rsidRPr="00C35766">
              <w:rPr>
                <w:rFonts w:eastAsia="Times New Roman"/>
                <w:lang w:val="it-IT" w:eastAsia="ko-KR"/>
              </w:rPr>
              <w:t>- batuffolo di cotone idrofilo o garza</w:t>
            </w:r>
          </w:p>
          <w:p w14:paraId="123E9943" w14:textId="77777777" w:rsidR="00BE1C70" w:rsidRPr="00C35766" w:rsidRDefault="00BE1C70" w:rsidP="00603A86">
            <w:pPr>
              <w:pStyle w:val="a3"/>
              <w:ind w:left="720"/>
              <w:rPr>
                <w:lang w:val="pt-BR" w:eastAsia="ko-KR"/>
              </w:rPr>
            </w:pPr>
            <w:r w:rsidRPr="00C35766">
              <w:rPr>
                <w:rFonts w:eastAsia="Times New Roman"/>
                <w:lang w:val="it-IT" w:eastAsia="ko-KR"/>
              </w:rPr>
              <w:t>- cerotto adesivo</w:t>
            </w:r>
          </w:p>
          <w:p w14:paraId="068A6913" w14:textId="77777777" w:rsidR="00BE1C70" w:rsidRPr="00C35766" w:rsidRDefault="00BE1C70" w:rsidP="00603A86">
            <w:pPr>
              <w:pStyle w:val="a3"/>
              <w:ind w:left="720"/>
              <w:rPr>
                <w:lang w:val="pt-BR" w:eastAsia="ko-KR"/>
              </w:rPr>
            </w:pPr>
            <w:r w:rsidRPr="00C35766">
              <w:rPr>
                <w:rFonts w:eastAsia="Times New Roman"/>
                <w:lang w:val="it-IT" w:eastAsia="ko-KR"/>
              </w:rPr>
              <w:t>- contenitore per smaltimento di materiale tagliente</w:t>
            </w:r>
          </w:p>
          <w:p w14:paraId="06EDA731" w14:textId="77777777" w:rsidR="00BE1C70" w:rsidRPr="00C35766" w:rsidRDefault="00BE1C70" w:rsidP="00603A86">
            <w:pPr>
              <w:ind w:left="224" w:right="1248"/>
              <w:rPr>
                <w:rFonts w:ascii="Times New Roman" w:eastAsia="Times New Roman" w:hAnsi="Times New Roman" w:cs="Times New Roman"/>
                <w:b/>
                <w:bCs/>
                <w:spacing w:val="-1"/>
                <w:lang w:val="pt-BR"/>
              </w:rPr>
            </w:pPr>
          </w:p>
        </w:tc>
      </w:tr>
      <w:tr w:rsidR="00BE1C70" w:rsidRPr="002A37A2" w14:paraId="53BFD29E" w14:textId="77777777" w:rsidTr="00603A86">
        <w:trPr>
          <w:trHeight w:val="3969"/>
        </w:trPr>
        <w:tc>
          <w:tcPr>
            <w:tcW w:w="9634" w:type="dxa"/>
          </w:tcPr>
          <w:p w14:paraId="69602DE7" w14:textId="78A36258" w:rsidR="00BE1C70" w:rsidRPr="00C35766" w:rsidRDefault="00BE1C70" w:rsidP="00603A86">
            <w:pPr>
              <w:ind w:left="224" w:right="1248"/>
              <w:rPr>
                <w:rFonts w:ascii="Times New Roman" w:hAnsi="Times New Roman" w:cs="Times New Roman"/>
                <w:lang w:val="pt-BR"/>
              </w:rPr>
            </w:pPr>
          </w:p>
          <w:p w14:paraId="29CDDEEC" w14:textId="2F00C347" w:rsidR="00BE1C70" w:rsidRPr="00C35766" w:rsidRDefault="009918A1" w:rsidP="00603A86">
            <w:pPr>
              <w:pStyle w:val="a3"/>
              <w:rPr>
                <w:lang w:val="pt-BR"/>
              </w:rPr>
            </w:pPr>
            <w:r w:rsidRPr="00C35766">
              <w:rPr>
                <w:noProof/>
                <w:lang w:eastAsia="ko-KR"/>
              </w:rPr>
              <mc:AlternateContent>
                <mc:Choice Requires="wpg">
                  <w:drawing>
                    <wp:anchor distT="0" distB="0" distL="114300" distR="114300" simplePos="0" relativeHeight="251658377" behindDoc="0" locked="0" layoutInCell="1" allowOverlap="1" wp14:anchorId="4D8499AC" wp14:editId="270B8D3C">
                      <wp:simplePos x="0" y="0"/>
                      <wp:positionH relativeFrom="column">
                        <wp:posOffset>57785</wp:posOffset>
                      </wp:positionH>
                      <wp:positionV relativeFrom="paragraph">
                        <wp:posOffset>9525</wp:posOffset>
                      </wp:positionV>
                      <wp:extent cx="1997075" cy="2647950"/>
                      <wp:effectExtent l="0" t="0" r="3175" b="0"/>
                      <wp:wrapSquare wrapText="bothSides"/>
                      <wp:docPr id="3987" name="그룹 3987"/>
                      <wp:cNvGraphicFramePr/>
                      <a:graphic xmlns:a="http://schemas.openxmlformats.org/drawingml/2006/main">
                        <a:graphicData uri="http://schemas.microsoft.com/office/word/2010/wordprocessingGroup">
                          <wpg:wgp>
                            <wpg:cNvGrpSpPr/>
                            <wpg:grpSpPr>
                              <a:xfrm>
                                <a:off x="0" y="0"/>
                                <a:ext cx="1997075" cy="2647950"/>
                                <a:chOff x="45136" y="0"/>
                                <a:chExt cx="1567814" cy="2203450"/>
                              </a:xfrm>
                            </wpg:grpSpPr>
                            <wpg:grpSp>
                              <wpg:cNvPr id="3988" name="그룹 3988"/>
                              <wpg:cNvGrpSpPr/>
                              <wpg:grpSpPr>
                                <a:xfrm>
                                  <a:off x="45136" y="0"/>
                                  <a:ext cx="1567814" cy="2203450"/>
                                  <a:chOff x="45151" y="0"/>
                                  <a:chExt cx="1568319" cy="2203450"/>
                                </a:xfrm>
                              </wpg:grpSpPr>
                              <pic:pic xmlns:pic="http://schemas.openxmlformats.org/drawingml/2006/picture">
                                <pic:nvPicPr>
                                  <pic:cNvPr id="3989" name="그림 3989"/>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45151" y="0"/>
                                    <a:ext cx="1568319" cy="2044065"/>
                                  </a:xfrm>
                                  <a:prstGeom prst="rect">
                                    <a:avLst/>
                                  </a:prstGeom>
                                  <a:noFill/>
                                  <a:ln>
                                    <a:noFill/>
                                  </a:ln>
                                </pic:spPr>
                              </pic:pic>
                              <wps:wsp>
                                <wps:cNvPr id="3990" name="Text Box 3990"/>
                                <wps:cNvSpPr txBox="1"/>
                                <wps:spPr>
                                  <a:xfrm>
                                    <a:off x="939800" y="2057400"/>
                                    <a:ext cx="659363" cy="146050"/>
                                  </a:xfrm>
                                  <a:prstGeom prst="rect">
                                    <a:avLst/>
                                  </a:prstGeom>
                                  <a:solidFill>
                                    <a:prstClr val="white"/>
                                  </a:solidFill>
                                  <a:ln>
                                    <a:noFill/>
                                  </a:ln>
                                </wps:spPr>
                                <wps:txbx>
                                  <w:txbxContent>
                                    <w:p w14:paraId="6E8B942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91" name="Text Box 3991"/>
                              <wps:cNvSpPr txBox="1"/>
                              <wps:spPr>
                                <a:xfrm>
                                  <a:off x="785018" y="1063935"/>
                                  <a:ext cx="694281" cy="14558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98A2E" w14:textId="77777777" w:rsidR="00D97785" w:rsidRPr="008A6AF4" w:rsidRDefault="00D97785" w:rsidP="008A6AF4">
                                    <w:pPr>
                                      <w:jc w:val="center"/>
                                      <w:rPr>
                                        <w:rFonts w:ascii="Arial" w:hAnsi="Arial" w:cs="Arial"/>
                                        <w:b/>
                                        <w:bCs/>
                                        <w:sz w:val="14"/>
                                        <w:szCs w:val="13"/>
                                      </w:rPr>
                                    </w:pPr>
                                    <w:r w:rsidRPr="008A6AF4">
                                      <w:rPr>
                                        <w:rFonts w:ascii="Arial" w:eastAsia="Times New Roman" w:hAnsi="Arial" w:cs="Arial"/>
                                        <w:b/>
                                        <w:bCs/>
                                        <w:sz w:val="14"/>
                                        <w:szCs w:val="13"/>
                                        <w:lang w:val="it-IT"/>
                                      </w:rPr>
                                      <w:t xml:space="preserve">Scad. </w:t>
                                    </w:r>
                                    <w:r w:rsidRPr="008A6AF4">
                                      <w:rPr>
                                        <w:rFonts w:ascii="Arial" w:eastAsia="Times New Roman" w:hAnsi="Arial" w:cs="Arial"/>
                                        <w:sz w:val="14"/>
                                        <w:szCs w:val="13"/>
                                        <w:lang w:val="it-IT"/>
                                      </w:rPr>
                                      <w:t>MESE/ANNO</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D8499AC" id="그룹 3987" o:spid="_x0000_s1355" style="position:absolute;margin-left:4.55pt;margin-top:.75pt;width:157.25pt;height:208.5pt;z-index:251658377;mso-width-relative:margin;mso-height-relative:margin" coordorigin="451" coordsize="15678,22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">
                      <v:group id="그룹 3988" o:spid="_x0000_s1356" style="position:absolute;left:451;width:15678;height:22034" coordorigin="451" coordsize="15683,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shape id="그림 3989" o:spid="_x0000_s1357" type="#_x0000_t75" style="position:absolute;left:451;width:15683;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">
                          <v:imagedata r:id="rId162" o:title=""/>
                        </v:shape>
                        <v:shape id="Text Box 3990" o:spid="_x0000_s1358" type="#_x0000_t202" style="position:absolute;left:9398;top:20574;width:6593;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" stroked="f">
                          <v:textbox inset="0,0,0,0">
                            <w:txbxContent>
                              <w:p w14:paraId="6E8B942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B</w:t>
                                </w:r>
                              </w:p>
                            </w:txbxContent>
                          </v:textbox>
                        </v:shape>
                      </v:group>
                      <v:shape id="Text Box 3991" o:spid="_x0000_s1359" type="#_x0000_t202" style="position:absolute;left:7850;top:10639;width:6942;height:1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" fillcolor="white [3212]" stroked="f" strokeweight=".5pt">
                        <v:textbox inset="0,0,0,0">
                          <w:txbxContent>
                            <w:p w14:paraId="23998A2E" w14:textId="77777777" w:rsidR="00D97785" w:rsidRPr="008A6AF4" w:rsidRDefault="00D97785" w:rsidP="008A6AF4">
                              <w:pPr>
                                <w:jc w:val="center"/>
                                <w:rPr>
                                  <w:rFonts w:ascii="Arial" w:hAnsi="Arial" w:cs="Arial"/>
                                  <w:b/>
                                  <w:bCs/>
                                  <w:sz w:val="14"/>
                                  <w:szCs w:val="13"/>
                                </w:rPr>
                              </w:pPr>
                              <w:r w:rsidRPr="008A6AF4">
                                <w:rPr>
                                  <w:rFonts w:ascii="Arial" w:eastAsia="Times New Roman" w:hAnsi="Arial" w:cs="Arial"/>
                                  <w:b/>
                                  <w:bCs/>
                                  <w:sz w:val="14"/>
                                  <w:szCs w:val="13"/>
                                  <w:lang w:val="it-IT"/>
                                </w:rPr>
                                <w:t xml:space="preserve">Scad. </w:t>
                              </w:r>
                              <w:r w:rsidRPr="008A6AF4">
                                <w:rPr>
                                  <w:rFonts w:ascii="Arial" w:eastAsia="Times New Roman" w:hAnsi="Arial" w:cs="Arial"/>
                                  <w:sz w:val="14"/>
                                  <w:szCs w:val="13"/>
                                  <w:lang w:val="it-IT"/>
                                </w:rPr>
                                <w:t>MESE/ANNO</w:t>
                              </w:r>
                            </w:p>
                          </w:txbxContent>
                        </v:textbox>
                      </v:shape>
                      <w10:wrap type="square"/>
                    </v:group>
                  </w:pict>
                </mc:Fallback>
              </mc:AlternateContent>
            </w:r>
          </w:p>
          <w:p w14:paraId="59EDBBB4" w14:textId="77777777" w:rsidR="00BE1C70" w:rsidRPr="00C35766" w:rsidRDefault="00BE1C70" w:rsidP="008A6AF4">
            <w:pPr>
              <w:pStyle w:val="a3"/>
              <w:numPr>
                <w:ilvl w:val="0"/>
                <w:numId w:val="81"/>
              </w:numPr>
              <w:rPr>
                <w:b/>
              </w:rPr>
            </w:pPr>
            <w:r w:rsidRPr="00C35766">
              <w:rPr>
                <w:rFonts w:eastAsia="Times New Roman"/>
                <w:b/>
                <w:bCs/>
                <w:lang w:val="it-IT"/>
              </w:rPr>
              <w:t>Ispezioni la siringa pre-riempita</w:t>
            </w:r>
          </w:p>
          <w:p w14:paraId="1046DC88" w14:textId="77777777" w:rsidR="00BE1C70" w:rsidRPr="00C35766" w:rsidRDefault="00BE1C70" w:rsidP="00603A86">
            <w:pPr>
              <w:pStyle w:val="a3"/>
              <w:numPr>
                <w:ilvl w:val="0"/>
                <w:numId w:val="0"/>
              </w:numPr>
              <w:ind w:left="580"/>
            </w:pPr>
          </w:p>
          <w:p w14:paraId="098715B7" w14:textId="77777777" w:rsidR="00BE1C70" w:rsidRPr="00C35766" w:rsidRDefault="00BE1C70" w:rsidP="00603A86">
            <w:pPr>
              <w:pStyle w:val="AAAA"/>
              <w:framePr w:hSpace="0" w:wrap="auto" w:vAnchor="margin" w:hAnchor="text" w:yAlign="inline"/>
              <w:ind w:left="3487"/>
              <w:rPr>
                <w:lang w:val="pt-BR"/>
              </w:rPr>
            </w:pPr>
            <w:r w:rsidRPr="00C35766">
              <w:rPr>
                <w:b/>
                <w:bCs/>
              </w:rPr>
              <w:t>a</w:t>
            </w:r>
            <w:r w:rsidRPr="00C35766">
              <w:t>.</w:t>
            </w:r>
            <w:r w:rsidRPr="00C35766">
              <w:tab/>
            </w:r>
            <w:r>
              <w:t>Si a</w:t>
            </w:r>
            <w:r w:rsidRPr="00C35766">
              <w:t xml:space="preserve">ssicuri di avere il medicinale (Yuflyma) e il dosaggio corretti. </w:t>
            </w:r>
          </w:p>
          <w:p w14:paraId="1E58CBD3" w14:textId="05B83F07" w:rsidR="00BE1C70" w:rsidRPr="00C35766" w:rsidRDefault="00BE1C70" w:rsidP="00603A86">
            <w:pPr>
              <w:pStyle w:val="AAAA"/>
              <w:framePr w:hSpace="0" w:wrap="auto" w:vAnchor="margin" w:hAnchor="text" w:yAlign="inline"/>
              <w:ind w:left="3487"/>
            </w:pPr>
            <w:r w:rsidRPr="00C35766">
              <w:rPr>
                <w:b/>
                <w:bCs/>
              </w:rPr>
              <w:t>b</w:t>
            </w:r>
            <w:r w:rsidRPr="00C35766">
              <w:t xml:space="preserve">. Guardi la siringa pre-riempita e si accerti che non sia incrinata  o danneggiata. </w:t>
            </w:r>
          </w:p>
          <w:p w14:paraId="4F9015EC" w14:textId="77777777" w:rsidR="00BE1C70" w:rsidRPr="00C35766" w:rsidRDefault="00BE1C70" w:rsidP="00603A86">
            <w:pPr>
              <w:pStyle w:val="AAAA"/>
              <w:framePr w:hSpace="0" w:wrap="auto" w:vAnchor="margin" w:hAnchor="text" w:yAlign="inline"/>
              <w:ind w:left="3487"/>
            </w:pPr>
            <w:r w:rsidRPr="00C35766">
              <w:rPr>
                <w:b/>
                <w:bCs/>
              </w:rPr>
              <w:t>c</w:t>
            </w:r>
            <w:r w:rsidRPr="00C35766">
              <w:t>.</w:t>
            </w:r>
            <w:r w:rsidRPr="00C35766">
              <w:tab/>
              <w:t xml:space="preserve">Controlli la data di scadenza sull’etichetta della siringa pre-riempita. </w:t>
            </w:r>
          </w:p>
          <w:p w14:paraId="65A5E862" w14:textId="77777777" w:rsidR="00BE1C70" w:rsidRPr="00C35766" w:rsidRDefault="00BE1C70" w:rsidP="00603A86">
            <w:pPr>
              <w:pStyle w:val="Default"/>
              <w:rPr>
                <w:rFonts w:ascii="Times New Roman" w:hAnsi="Times New Roman" w:cs="Times New Roman"/>
                <w:lang w:val="it-IT"/>
              </w:rPr>
            </w:pPr>
            <w:r w:rsidRPr="00C35766">
              <w:rPr>
                <w:rFonts w:ascii="Times New Roman" w:hAnsi="Times New Roman" w:cs="Times New Roman"/>
                <w:lang w:val="it-IT"/>
              </w:rPr>
              <w:t xml:space="preserve"> </w:t>
            </w:r>
          </w:p>
          <w:p w14:paraId="28D0D5CA" w14:textId="77777777" w:rsidR="00BE1C70" w:rsidRPr="00C35766" w:rsidRDefault="00BE1C70" w:rsidP="00603A86">
            <w:pPr>
              <w:pStyle w:val="a3"/>
              <w:numPr>
                <w:ilvl w:val="0"/>
                <w:numId w:val="0"/>
              </w:numPr>
              <w:rPr>
                <w:b/>
                <w:lang w:val="it-IT" w:eastAsia="ko-KR"/>
              </w:rPr>
            </w:pPr>
          </w:p>
          <w:p w14:paraId="6EA66638" w14:textId="77777777" w:rsidR="00BE1C70" w:rsidRPr="00C35766" w:rsidRDefault="00BE1C70" w:rsidP="00603A86">
            <w:pPr>
              <w:pStyle w:val="a3"/>
              <w:numPr>
                <w:ilvl w:val="0"/>
                <w:numId w:val="0"/>
              </w:numPr>
              <w:rPr>
                <w:lang w:val="es-ES" w:eastAsia="ko-KR"/>
              </w:rPr>
            </w:pPr>
            <w:r w:rsidRPr="00C35766">
              <w:rPr>
                <w:rFonts w:eastAsia="Times New Roman"/>
                <w:b/>
                <w:bCs/>
                <w:lang w:val="it-IT" w:eastAsia="ko-KR"/>
              </w:rPr>
              <w:t>Non</w:t>
            </w:r>
            <w:r w:rsidRPr="00C35766">
              <w:rPr>
                <w:rFonts w:eastAsia="Times New Roman"/>
                <w:lang w:val="it-IT" w:eastAsia="ko-KR"/>
              </w:rPr>
              <w:t xml:space="preserve"> usi la siringa pre-riempita se:</w:t>
            </w:r>
          </w:p>
          <w:p w14:paraId="00AC6942" w14:textId="77777777" w:rsidR="00BE1C70" w:rsidRPr="00C35766" w:rsidRDefault="00BE1C70" w:rsidP="00603A86">
            <w:pPr>
              <w:pStyle w:val="a3"/>
              <w:numPr>
                <w:ilvl w:val="2"/>
                <w:numId w:val="38"/>
              </w:numPr>
              <w:ind w:left="3127" w:hanging="3127"/>
              <w:rPr>
                <w:lang w:eastAsia="ko-KR"/>
              </w:rPr>
            </w:pPr>
            <w:r w:rsidRPr="00C35766">
              <w:rPr>
                <w:rFonts w:eastAsia="Times New Roman"/>
                <w:lang w:val="it-IT" w:eastAsia="ko-KR"/>
              </w:rPr>
              <w:t xml:space="preserve">è incrinata o danneggiata </w:t>
            </w:r>
          </w:p>
          <w:p w14:paraId="714EC6A4" w14:textId="77777777" w:rsidR="00BE1C70" w:rsidRPr="00613304" w:rsidRDefault="00BE1C70" w:rsidP="00603A86">
            <w:pPr>
              <w:pStyle w:val="a3"/>
              <w:numPr>
                <w:ilvl w:val="2"/>
                <w:numId w:val="38"/>
              </w:numPr>
              <w:ind w:left="3127" w:hanging="3127"/>
              <w:rPr>
                <w:lang w:val="es-ES" w:eastAsia="ko-KR"/>
              </w:rPr>
            </w:pPr>
            <w:r w:rsidRPr="00C35766">
              <w:rPr>
                <w:rFonts w:eastAsia="Times New Roman"/>
                <w:lang w:val="it-IT" w:eastAsia="ko-KR"/>
              </w:rPr>
              <w:t xml:space="preserve">è stata superata la data di scadenza. </w:t>
            </w:r>
          </w:p>
          <w:p w14:paraId="76276E39" w14:textId="77777777" w:rsidR="00BE1C70" w:rsidRPr="00C35766" w:rsidRDefault="00BE1C70" w:rsidP="00603A86">
            <w:pPr>
              <w:pStyle w:val="a3"/>
              <w:numPr>
                <w:ilvl w:val="2"/>
                <w:numId w:val="38"/>
              </w:numPr>
              <w:ind w:left="3127" w:hanging="3127"/>
              <w:rPr>
                <w:lang w:val="es-ES" w:eastAsia="ko-KR"/>
              </w:rPr>
            </w:pPr>
            <w:r w:rsidRPr="00F21E03">
              <w:rPr>
                <w:rFonts w:hint="eastAsia"/>
                <w:lang w:val="es-ES"/>
              </w:rPr>
              <w:t>è</w:t>
            </w:r>
            <w:r w:rsidRPr="00F21E03">
              <w:rPr>
                <w:lang w:val="es-ES"/>
              </w:rPr>
              <w:t xml:space="preserve"> caduta su una superficie dura</w:t>
            </w:r>
            <w:r>
              <w:rPr>
                <w:lang w:val="es-ES"/>
              </w:rPr>
              <w:t>.</w:t>
            </w:r>
          </w:p>
          <w:p w14:paraId="61BC749F" w14:textId="77777777" w:rsidR="00BE1C70" w:rsidRPr="00C35766" w:rsidRDefault="00BE1C70" w:rsidP="00603A86">
            <w:pPr>
              <w:pStyle w:val="Default"/>
              <w:rPr>
                <w:rFonts w:ascii="Times New Roman" w:hAnsi="Times New Roman" w:cs="Times New Roman"/>
                <w:color w:val="211D1E"/>
                <w:sz w:val="20"/>
                <w:szCs w:val="20"/>
                <w:lang w:val="es-ES"/>
              </w:rPr>
            </w:pPr>
          </w:p>
          <w:p w14:paraId="15D2D19B" w14:textId="77777777" w:rsidR="00BE1C70" w:rsidRPr="00C35766" w:rsidRDefault="00BE1C70" w:rsidP="00603A86">
            <w:pPr>
              <w:ind w:right="1248"/>
              <w:rPr>
                <w:rFonts w:ascii="Times New Roman" w:eastAsia="Times New Roman" w:hAnsi="Times New Roman" w:cs="Times New Roman"/>
                <w:b/>
                <w:bCs/>
                <w:lang w:val="es-ES"/>
              </w:rPr>
            </w:pPr>
          </w:p>
        </w:tc>
      </w:tr>
      <w:tr w:rsidR="00BE1C70" w:rsidRPr="00C35766" w14:paraId="1A991855" w14:textId="77777777" w:rsidTr="00603A86">
        <w:trPr>
          <w:trHeight w:val="4535"/>
        </w:trPr>
        <w:tc>
          <w:tcPr>
            <w:tcW w:w="9634" w:type="dxa"/>
          </w:tcPr>
          <w:p w14:paraId="00FFD0CB" w14:textId="77777777" w:rsidR="00BE1C70" w:rsidRPr="00C35766" w:rsidRDefault="00BE1C70" w:rsidP="00603A86">
            <w:pPr>
              <w:pStyle w:val="a3"/>
              <w:rPr>
                <w:lang w:val="es-ES" w:eastAsia="ko-KR"/>
              </w:rPr>
            </w:pPr>
            <w:r w:rsidRPr="00C35766">
              <w:rPr>
                <w:rFonts w:eastAsia="Times New Roman"/>
                <w:b/>
                <w:bCs/>
                <w:noProof/>
                <w:lang w:eastAsia="ko-KR"/>
              </w:rPr>
              <mc:AlternateContent>
                <mc:Choice Requires="wpg">
                  <w:drawing>
                    <wp:anchor distT="0" distB="0" distL="114300" distR="114300" simplePos="0" relativeHeight="251658363" behindDoc="0" locked="0" layoutInCell="1" allowOverlap="1" wp14:anchorId="2053BBE6" wp14:editId="46F102F7">
                      <wp:simplePos x="0" y="0"/>
                      <wp:positionH relativeFrom="column">
                        <wp:posOffset>64770</wp:posOffset>
                      </wp:positionH>
                      <wp:positionV relativeFrom="paragraph">
                        <wp:posOffset>151765</wp:posOffset>
                      </wp:positionV>
                      <wp:extent cx="2045335" cy="2705100"/>
                      <wp:effectExtent l="0" t="0" r="0" b="0"/>
                      <wp:wrapSquare wrapText="bothSides"/>
                      <wp:docPr id="3992" name="그룹 3992"/>
                      <wp:cNvGraphicFramePr/>
                      <a:graphic xmlns:a="http://schemas.openxmlformats.org/drawingml/2006/main">
                        <a:graphicData uri="http://schemas.microsoft.com/office/word/2010/wordprocessingGroup">
                          <wpg:wgp>
                            <wpg:cNvGrpSpPr/>
                            <wpg:grpSpPr>
                              <a:xfrm>
                                <a:off x="0" y="0"/>
                                <a:ext cx="2045335" cy="2705100"/>
                                <a:chOff x="4854" y="-7201"/>
                                <a:chExt cx="2161992" cy="2854772"/>
                              </a:xfrm>
                            </wpg:grpSpPr>
                            <pic:pic xmlns:pic="http://schemas.openxmlformats.org/drawingml/2006/picture">
                              <pic:nvPicPr>
                                <pic:cNvPr id="3993" name="그림 3993"/>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4854" y="-7201"/>
                                  <a:ext cx="2161992" cy="2663825"/>
                                </a:xfrm>
                                <a:prstGeom prst="rect">
                                  <a:avLst/>
                                </a:prstGeom>
                                <a:noFill/>
                                <a:ln>
                                  <a:noFill/>
                                </a:ln>
                                <a:extLst>
                                  <a:ext uri="{53640926-AAD7-44D8-BBD7-CCE9431645EC}">
                                    <a14:shadowObscured xmlns:a14="http://schemas.microsoft.com/office/drawing/2010/main"/>
                                  </a:ext>
                                </a:extLst>
                              </pic:spPr>
                            </pic:pic>
                            <wps:wsp>
                              <wps:cNvPr id="3994" name="Text Box 3994"/>
                              <wps:cNvSpPr txBox="1"/>
                              <wps:spPr>
                                <a:xfrm>
                                  <a:off x="1385723" y="2647332"/>
                                  <a:ext cx="780765" cy="200239"/>
                                </a:xfrm>
                                <a:prstGeom prst="rect">
                                  <a:avLst/>
                                </a:prstGeom>
                                <a:solidFill>
                                  <a:prstClr val="white"/>
                                </a:solidFill>
                                <a:ln>
                                  <a:noFill/>
                                </a:ln>
                              </wps:spPr>
                              <wps:txbx>
                                <w:txbxContent>
                                  <w:p w14:paraId="226A647C"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53BBE6" id="그룹 3992" o:spid="_x0000_s1360" style="position:absolute;margin-left:5.1pt;margin-top:11.95pt;width:161.05pt;height:213pt;z-index:251658363;mso-width-relative:margin;mso-height-relative:margin" coordorigin="48,-72" coordsize="21619,28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">
                      <v:shape id="그림 3993" o:spid="_x0000_s1361" type="#_x0000_t75" style="position:absolute;left:48;top:-72;width:21620;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">
                        <v:imagedata r:id="rId164" o:title=""/>
                      </v:shape>
                      <v:shape id="Text Box 3994" o:spid="_x0000_s1362" type="#_x0000_t202" style="position:absolute;left:13857;top:26473;width:7807;height: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" stroked="f">
                        <v:textbox inset="0,0,0,0">
                          <w:txbxContent>
                            <w:p w14:paraId="226A647C"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C</w:t>
                              </w:r>
                            </w:p>
                          </w:txbxContent>
                        </v:textbox>
                      </v:shape>
                      <w10:wrap type="square"/>
                    </v:group>
                  </w:pict>
                </mc:Fallback>
              </mc:AlternateContent>
            </w:r>
          </w:p>
          <w:p w14:paraId="70F9A39B" w14:textId="77777777" w:rsidR="00BE1C70" w:rsidRPr="00C35766" w:rsidRDefault="00BE1C70" w:rsidP="00603A86">
            <w:pPr>
              <w:pStyle w:val="a3"/>
              <w:rPr>
                <w:lang w:val="es-ES"/>
              </w:rPr>
            </w:pPr>
          </w:p>
          <w:p w14:paraId="3406636D" w14:textId="77777777" w:rsidR="00BE1C70" w:rsidRPr="00C35766" w:rsidRDefault="00BE1C70" w:rsidP="008A6AF4">
            <w:pPr>
              <w:pStyle w:val="a3"/>
              <w:numPr>
                <w:ilvl w:val="0"/>
                <w:numId w:val="81"/>
              </w:numPr>
              <w:rPr>
                <w:b/>
              </w:rPr>
            </w:pPr>
            <w:r w:rsidRPr="00C35766">
              <w:rPr>
                <w:rFonts w:eastAsia="Times New Roman"/>
                <w:b/>
                <w:bCs/>
                <w:lang w:val="it-IT"/>
              </w:rPr>
              <w:t>Ispezioni il farmaco</w:t>
            </w:r>
          </w:p>
          <w:p w14:paraId="74212430" w14:textId="77777777" w:rsidR="00BE1C70" w:rsidRPr="00C35766" w:rsidRDefault="00BE1C70" w:rsidP="00603A86">
            <w:pPr>
              <w:ind w:right="1248"/>
              <w:rPr>
                <w:rFonts w:ascii="Times New Roman" w:eastAsia="Times New Roman" w:hAnsi="Times New Roman" w:cs="Times New Roman"/>
                <w:b/>
                <w:bCs/>
              </w:rPr>
            </w:pPr>
          </w:p>
          <w:p w14:paraId="36762C3D" w14:textId="77777777" w:rsidR="00BE1C70" w:rsidRPr="00C35766" w:rsidRDefault="00BE1C70" w:rsidP="00603A86">
            <w:pPr>
              <w:pStyle w:val="AAAA"/>
              <w:framePr w:hSpace="0" w:wrap="auto" w:vAnchor="margin" w:hAnchor="text" w:yAlign="inline"/>
              <w:ind w:left="4207" w:hanging="3847"/>
              <w:rPr>
                <w:lang w:val="pt-BR"/>
              </w:rPr>
            </w:pPr>
            <w:r w:rsidRPr="00C35766">
              <w:rPr>
                <w:b/>
                <w:bCs/>
              </w:rPr>
              <w:t>a</w:t>
            </w:r>
            <w:r w:rsidRPr="00C35766">
              <w:t>.</w:t>
            </w:r>
            <w:r w:rsidRPr="00C35766">
              <w:tab/>
              <w:t>Guardi il farmaco per confermare che il liquido sia  limpido, da incolore a marrone chiaro e privo di particelle.</w:t>
            </w:r>
          </w:p>
          <w:p w14:paraId="6E8C0217" w14:textId="77777777" w:rsidR="00BE1C70" w:rsidRPr="00C35766" w:rsidRDefault="00BE1C70" w:rsidP="00603A86">
            <w:pPr>
              <w:pStyle w:val="a3"/>
              <w:numPr>
                <w:ilvl w:val="0"/>
                <w:numId w:val="0"/>
              </w:numPr>
              <w:tabs>
                <w:tab w:val="left" w:pos="3861"/>
              </w:tabs>
              <w:rPr>
                <w:lang w:val="pt-BR"/>
              </w:rPr>
            </w:pPr>
          </w:p>
          <w:p w14:paraId="0C3915B5" w14:textId="77777777" w:rsidR="00BE1C70" w:rsidRPr="00C35766" w:rsidRDefault="00BE1C70" w:rsidP="00603A86">
            <w:pPr>
              <w:pStyle w:val="a3"/>
              <w:numPr>
                <w:ilvl w:val="0"/>
                <w:numId w:val="16"/>
              </w:numPr>
              <w:ind w:left="4207" w:hanging="3223"/>
              <w:rPr>
                <w:lang w:val="pt-BR"/>
              </w:rPr>
            </w:pPr>
            <w:r w:rsidRPr="00C35766">
              <w:rPr>
                <w:rFonts w:eastAsia="Times New Roman"/>
                <w:b/>
                <w:bCs/>
                <w:lang w:val="it-IT"/>
              </w:rPr>
              <w:t>Non</w:t>
            </w:r>
            <w:r w:rsidRPr="00C35766">
              <w:rPr>
                <w:rFonts w:eastAsia="Times New Roman"/>
                <w:lang w:val="it-IT"/>
              </w:rPr>
              <w:t xml:space="preserve"> usi la siringa pre-riempita se il liquido è: </w:t>
            </w:r>
            <w:r w:rsidRPr="00C35766">
              <w:rPr>
                <w:rFonts w:eastAsia="Times New Roman"/>
                <w:lang w:val="it-IT"/>
              </w:rPr>
              <w:br/>
              <w:t>di colore alterato (giallo o marrone scuro), torbido o contiene particelle.</w:t>
            </w:r>
          </w:p>
          <w:p w14:paraId="05028338" w14:textId="77777777" w:rsidR="00BE1C70" w:rsidRPr="00C35766" w:rsidRDefault="00BE1C70" w:rsidP="00603A86">
            <w:pPr>
              <w:pStyle w:val="a3"/>
              <w:numPr>
                <w:ilvl w:val="0"/>
                <w:numId w:val="0"/>
              </w:numPr>
              <w:ind w:left="4207" w:hanging="3223"/>
              <w:rPr>
                <w:lang w:val="pt-BR"/>
              </w:rPr>
            </w:pPr>
          </w:p>
          <w:p w14:paraId="4C70B33D" w14:textId="77777777" w:rsidR="00BE1C70" w:rsidRPr="00C35766" w:rsidRDefault="00BE1C70" w:rsidP="00603A86">
            <w:pPr>
              <w:pStyle w:val="a3"/>
              <w:numPr>
                <w:ilvl w:val="0"/>
                <w:numId w:val="16"/>
              </w:numPr>
              <w:ind w:left="4207" w:hanging="3223"/>
              <w:rPr>
                <w:b/>
                <w:bCs/>
              </w:rPr>
            </w:pPr>
            <w:r w:rsidRPr="00C35766">
              <w:rPr>
                <w:rFonts w:eastAsia="Times New Roman"/>
                <w:lang w:val="it-IT"/>
              </w:rPr>
              <w:t>Potrebbe vedere bolle d’aria nel liquido. Questo è normale.</w:t>
            </w:r>
          </w:p>
        </w:tc>
      </w:tr>
      <w:tr w:rsidR="00BE1C70" w:rsidRPr="002A37A2" w14:paraId="1B6698A3" w14:textId="77777777" w:rsidTr="00603A86">
        <w:trPr>
          <w:trHeight w:val="4819"/>
        </w:trPr>
        <w:tc>
          <w:tcPr>
            <w:tcW w:w="9634" w:type="dxa"/>
          </w:tcPr>
          <w:p w14:paraId="7E47414D" w14:textId="77777777" w:rsidR="00BE1C70" w:rsidRPr="00C35766" w:rsidRDefault="00BE1C70" w:rsidP="00603A86">
            <w:pPr>
              <w:ind w:right="1248"/>
              <w:rPr>
                <w:rFonts w:ascii="Times New Roman" w:eastAsia="Times New Roman" w:hAnsi="Times New Roman" w:cs="Times New Roman"/>
                <w:b/>
                <w:bCs/>
                <w:spacing w:val="-1"/>
              </w:rPr>
            </w:pPr>
          </w:p>
          <w:p w14:paraId="0EA131AB" w14:textId="77777777" w:rsidR="00BE1C70" w:rsidRPr="00C35766" w:rsidRDefault="00BE1C70" w:rsidP="00603A86">
            <w:pPr>
              <w:ind w:right="1248"/>
              <w:rPr>
                <w:rFonts w:ascii="Times New Roman" w:eastAsia="Times New Roman" w:hAnsi="Times New Roman" w:cs="Times New Roman"/>
                <w:bCs/>
              </w:rPr>
            </w:pPr>
            <w:r w:rsidRPr="00C35766">
              <w:rPr>
                <w:rFonts w:ascii="Times New Roman" w:eastAsia="Times New Roman" w:hAnsi="Times New Roman" w:cs="Times New Roman"/>
                <w:bCs/>
                <w:noProof/>
                <w:lang w:eastAsia="ko-KR"/>
              </w:rPr>
              <mc:AlternateContent>
                <mc:Choice Requires="wpg">
                  <w:drawing>
                    <wp:anchor distT="0" distB="0" distL="114300" distR="114300" simplePos="0" relativeHeight="251658378" behindDoc="0" locked="0" layoutInCell="1" allowOverlap="1" wp14:anchorId="37254B20" wp14:editId="6D0FEE80">
                      <wp:simplePos x="0" y="0"/>
                      <wp:positionH relativeFrom="column">
                        <wp:posOffset>109633</wp:posOffset>
                      </wp:positionH>
                      <wp:positionV relativeFrom="paragraph">
                        <wp:posOffset>74295</wp:posOffset>
                      </wp:positionV>
                      <wp:extent cx="2113033" cy="2780068"/>
                      <wp:effectExtent l="0" t="0" r="1905" b="1270"/>
                      <wp:wrapSquare wrapText="bothSides"/>
                      <wp:docPr id="3995" name="그룹 3995"/>
                      <wp:cNvGraphicFramePr/>
                      <a:graphic xmlns:a="http://schemas.openxmlformats.org/drawingml/2006/main">
                        <a:graphicData uri="http://schemas.microsoft.com/office/word/2010/wordprocessingGroup">
                          <wpg:wgp>
                            <wpg:cNvGrpSpPr/>
                            <wpg:grpSpPr>
                              <a:xfrm>
                                <a:off x="0" y="0"/>
                                <a:ext cx="2113033" cy="2780068"/>
                                <a:chOff x="10601" y="0"/>
                                <a:chExt cx="2113033" cy="2780068"/>
                              </a:xfrm>
                            </wpg:grpSpPr>
                            <wpg:grpSp>
                              <wpg:cNvPr id="3996" name="그룹 3996"/>
                              <wpg:cNvGrpSpPr/>
                              <wpg:grpSpPr>
                                <a:xfrm>
                                  <a:off x="10601" y="0"/>
                                  <a:ext cx="2113033" cy="2780068"/>
                                  <a:chOff x="10601" y="0"/>
                                  <a:chExt cx="2113033" cy="2780068"/>
                                </a:xfrm>
                              </wpg:grpSpPr>
                              <pic:pic xmlns:pic="http://schemas.openxmlformats.org/drawingml/2006/picture">
                                <pic:nvPicPr>
                                  <pic:cNvPr id="3997" name="그림 3997"/>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10601" y="0"/>
                                    <a:ext cx="2113033" cy="2607310"/>
                                  </a:xfrm>
                                  <a:prstGeom prst="rect">
                                    <a:avLst/>
                                  </a:prstGeom>
                                  <a:noFill/>
                                  <a:ln>
                                    <a:noFill/>
                                  </a:ln>
                                </pic:spPr>
                              </pic:pic>
                              <wps:wsp>
                                <wps:cNvPr id="3998" name="Text Box 3998"/>
                                <wps:cNvSpPr txBox="1"/>
                                <wps:spPr>
                                  <a:xfrm>
                                    <a:off x="1371349" y="2634018"/>
                                    <a:ext cx="730250" cy="146050"/>
                                  </a:xfrm>
                                  <a:prstGeom prst="rect">
                                    <a:avLst/>
                                  </a:prstGeom>
                                  <a:solidFill>
                                    <a:prstClr val="white"/>
                                  </a:solidFill>
                                  <a:ln>
                                    <a:noFill/>
                                  </a:ln>
                                </wps:spPr>
                                <wps:txbx>
                                  <w:txbxContent>
                                    <w:p w14:paraId="4AFA2AC7"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999" name="Text Box 3999"/>
                              <wps:cNvSpPr txBox="1"/>
                              <wps:spPr>
                                <a:xfrm>
                                  <a:off x="1165860" y="83820"/>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3D844" w14:textId="77777777" w:rsidR="00D97785" w:rsidRPr="008A6AF4" w:rsidRDefault="00D97785" w:rsidP="00BE1C70">
                                    <w:pPr>
                                      <w:jc w:val="center"/>
                                      <w:rPr>
                                        <w:rFonts w:ascii="Arial" w:hAnsi="Arial" w:cs="Arial"/>
                                        <w:b/>
                                        <w:bCs/>
                                        <w:sz w:val="28"/>
                                        <w:szCs w:val="28"/>
                                      </w:rPr>
                                    </w:pPr>
                                    <w:r w:rsidRPr="008A6AF4">
                                      <w:rPr>
                                        <w:rFonts w:ascii="Arial" w:eastAsia="Times New Roman" w:hAnsi="Arial" w:cs="Arial"/>
                                        <w:b/>
                                        <w:bCs/>
                                        <w:sz w:val="28"/>
                                        <w:szCs w:val="28"/>
                                        <w:lang w:val="it-IT"/>
                                      </w:rPr>
                                      <w:t>15 - 30 minuti</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anchor>
                  </w:drawing>
                </mc:Choice>
                <mc:Fallback>
                  <w:pict>
                    <v:group w14:anchorId="37254B20" id="그룹 3995" o:spid="_x0000_s1363" style="position:absolute;margin-left:8.65pt;margin-top:5.85pt;width:166.4pt;height:218.9pt;z-index:251658378;mso-width-relative:margin" coordorigin="106" coordsize="21130,2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">
                      <v:group id="그룹 3996" o:spid="_x0000_s1364" style="position:absolute;left:106;width:21130;height:27800" coordorigin="106" coordsize="21130,2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xEN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7Pp/B6E56AXD0BAAD//wMAUEsBAi0AFAAGAAgAAAAhANvh9svuAAAAhQEAABMAAAAAAAAA&#10;AAAAAAAAAAAAAFtDb250ZW50X1R5cGVzXS54bWxQSwECLQAUAAYACAAAACEAWvQsW78AAAAVAQAA&#10;CwAAAAAAAAAAAAAAAAAfAQAAX3JlbHMvLnJlbHNQSwECLQAUAAYACAAAACEAtnsRDcYAAADdAAAA&#10;DwAAAAAAAAAAAAAAAAAHAgAAZHJzL2Rvd25yZXYueG1sUEsFBgAAAAADAAMAtwAAAPoCAAAAAA==&#10;">
                        <v:shape id="그림 3997" o:spid="_x0000_s1365" type="#_x0000_t75" style="position:absolute;left:106;width:2113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">
                          <v:imagedata r:id="rId166" o:title=""/>
                        </v:shape>
                        <v:shape id="Text Box 3998" o:spid="_x0000_s1366" type="#_x0000_t202" style="position:absolute;left:13713;top:26340;width:7302;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" stroked="f">
                          <v:textbox style="mso-fit-shape-to-text:t" inset="0,0,0,0">
                            <w:txbxContent>
                              <w:p w14:paraId="4AFA2AC7"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D</w:t>
                                </w:r>
                              </w:p>
                            </w:txbxContent>
                          </v:textbox>
                        </v:shape>
                      </v:group>
                      <v:shape id="Text Box 3999" o:spid="_x0000_s1367" type="#_x0000_t202" style="position:absolute;left:11658;top:838;width:8585;height:10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" fillcolor="white [3212]" stroked="f" strokeweight=".5pt">
                        <v:textbox inset="0,0,0,0">
                          <w:txbxContent>
                            <w:p w14:paraId="3533D844" w14:textId="77777777" w:rsidR="00D97785" w:rsidRPr="008A6AF4" w:rsidRDefault="00D97785" w:rsidP="00BE1C70">
                              <w:pPr>
                                <w:jc w:val="center"/>
                                <w:rPr>
                                  <w:rFonts w:ascii="Arial" w:hAnsi="Arial" w:cs="Arial"/>
                                  <w:b/>
                                  <w:bCs/>
                                  <w:sz w:val="28"/>
                                  <w:szCs w:val="28"/>
                                </w:rPr>
                              </w:pPr>
                              <w:r w:rsidRPr="008A6AF4">
                                <w:rPr>
                                  <w:rFonts w:ascii="Arial" w:eastAsia="Times New Roman" w:hAnsi="Arial" w:cs="Arial"/>
                                  <w:b/>
                                  <w:bCs/>
                                  <w:sz w:val="28"/>
                                  <w:szCs w:val="28"/>
                                  <w:lang w:val="it-IT"/>
                                </w:rPr>
                                <w:t>15 - 30 minuti</w:t>
                              </w:r>
                            </w:p>
                          </w:txbxContent>
                        </v:textbox>
                      </v:shape>
                      <w10:wrap type="square"/>
                    </v:group>
                  </w:pict>
                </mc:Fallback>
              </mc:AlternateContent>
            </w:r>
          </w:p>
          <w:p w14:paraId="58FB28FD" w14:textId="77777777" w:rsidR="00BE1C70" w:rsidRPr="00C35766" w:rsidRDefault="00BE1C70" w:rsidP="00603A86">
            <w:pPr>
              <w:ind w:right="1248"/>
              <w:rPr>
                <w:rFonts w:ascii="Times New Roman" w:eastAsia="Times New Roman" w:hAnsi="Times New Roman" w:cs="Times New Roman"/>
                <w:bCs/>
              </w:rPr>
            </w:pPr>
          </w:p>
          <w:p w14:paraId="366050C5" w14:textId="77777777" w:rsidR="00BE1C70" w:rsidRPr="00C35766" w:rsidRDefault="00BE1C70" w:rsidP="008A6AF4">
            <w:pPr>
              <w:pStyle w:val="a3"/>
              <w:numPr>
                <w:ilvl w:val="0"/>
                <w:numId w:val="81"/>
              </w:numPr>
              <w:rPr>
                <w:b/>
              </w:rPr>
            </w:pPr>
            <w:r w:rsidRPr="00C35766">
              <w:rPr>
                <w:rFonts w:eastAsia="Times New Roman"/>
                <w:b/>
                <w:bCs/>
                <w:lang w:val="it-IT"/>
              </w:rPr>
              <w:t xml:space="preserve">Attenda 15-30 minuti </w:t>
            </w:r>
          </w:p>
          <w:p w14:paraId="28076DC2" w14:textId="77777777" w:rsidR="00BE1C70" w:rsidRPr="00C35766" w:rsidRDefault="00BE1C70" w:rsidP="00603A86">
            <w:pPr>
              <w:pStyle w:val="a3"/>
              <w:numPr>
                <w:ilvl w:val="0"/>
                <w:numId w:val="0"/>
              </w:numPr>
              <w:ind w:left="471"/>
              <w:rPr>
                <w:b/>
              </w:rPr>
            </w:pPr>
          </w:p>
          <w:p w14:paraId="400A7D4C" w14:textId="77777777" w:rsidR="00BE1C70" w:rsidRPr="00C35766" w:rsidRDefault="00BE1C70" w:rsidP="00603A86">
            <w:pPr>
              <w:pStyle w:val="AAAA"/>
              <w:framePr w:hSpace="0" w:wrap="auto" w:vAnchor="margin" w:hAnchor="text" w:yAlign="inline"/>
              <w:ind w:left="4477" w:hanging="270"/>
              <w:rPr>
                <w:lang w:val="pt-BR"/>
              </w:rPr>
            </w:pPr>
            <w:r w:rsidRPr="00C35766">
              <w:rPr>
                <w:b/>
                <w:bCs/>
              </w:rPr>
              <w:t>a</w:t>
            </w:r>
            <w:r w:rsidRPr="00C35766">
              <w:t>.</w:t>
            </w:r>
            <w:r w:rsidRPr="00C35766">
              <w:tab/>
              <w:t>Lasci la siringa pre-riempita a temperatura ambiente per 15-30 minuti in modo che si possa scaldare.</w:t>
            </w:r>
          </w:p>
          <w:p w14:paraId="6D75B3EF" w14:textId="77777777" w:rsidR="00BE1C70" w:rsidRPr="00C35766" w:rsidRDefault="00BE1C70" w:rsidP="00603A86">
            <w:pPr>
              <w:pStyle w:val="Default"/>
              <w:ind w:left="4117" w:hanging="3757"/>
              <w:rPr>
                <w:rFonts w:ascii="Times New Roman" w:hAnsi="Times New Roman" w:cs="Times New Roman"/>
                <w:color w:val="211D1E"/>
                <w:sz w:val="20"/>
                <w:szCs w:val="20"/>
                <w:lang w:val="pt-BR"/>
              </w:rPr>
            </w:pPr>
          </w:p>
          <w:p w14:paraId="5784C42B" w14:textId="77777777" w:rsidR="00BE1C70" w:rsidRPr="00C35766" w:rsidRDefault="00BE1C70" w:rsidP="00603A86">
            <w:pPr>
              <w:pStyle w:val="a3"/>
              <w:numPr>
                <w:ilvl w:val="0"/>
                <w:numId w:val="39"/>
              </w:numPr>
              <w:ind w:left="4117" w:hanging="3757"/>
              <w:rPr>
                <w:rFonts w:eastAsia="Times New Roman"/>
                <w:lang w:val="pt-BR"/>
              </w:rPr>
            </w:pPr>
            <w:r w:rsidRPr="00C35766">
              <w:rPr>
                <w:rFonts w:eastAsia="Times New Roman"/>
                <w:b/>
                <w:bCs/>
                <w:lang w:val="it-IT"/>
              </w:rPr>
              <w:t>Non</w:t>
            </w:r>
            <w:r w:rsidRPr="00C35766">
              <w:rPr>
                <w:rFonts w:eastAsia="Times New Roman"/>
                <w:lang w:val="it-IT"/>
              </w:rPr>
              <w:t xml:space="preserve"> riscaldi la siringa pre-riempita utilizzando fonti di calore come acqua calda o microonde.</w:t>
            </w:r>
          </w:p>
        </w:tc>
      </w:tr>
    </w:tbl>
    <w:tbl>
      <w:tblPr>
        <w:tblStyle w:val="ac"/>
        <w:tblW w:w="0" w:type="auto"/>
        <w:tblLook w:val="04A0" w:firstRow="1" w:lastRow="0" w:firstColumn="1" w:lastColumn="0" w:noHBand="0" w:noVBand="1"/>
      </w:tblPr>
      <w:tblGrid>
        <w:gridCol w:w="9550"/>
      </w:tblGrid>
      <w:tr w:rsidR="00BE1C70" w:rsidRPr="002A37A2" w14:paraId="1B5004CC" w14:textId="77777777" w:rsidTr="00603A86">
        <w:trPr>
          <w:trHeight w:val="5933"/>
        </w:trPr>
        <w:tc>
          <w:tcPr>
            <w:tcW w:w="9550" w:type="dxa"/>
          </w:tcPr>
          <w:p w14:paraId="49FA7816" w14:textId="77777777" w:rsidR="00BE1C70" w:rsidRPr="00C35766" w:rsidRDefault="00BE1C70" w:rsidP="00603A86">
            <w:pPr>
              <w:ind w:left="224" w:right="1248"/>
              <w:rPr>
                <w:rFonts w:ascii="Times New Roman" w:eastAsia="Times New Roman" w:hAnsi="Times New Roman" w:cs="Times New Roman"/>
                <w:b/>
                <w:bCs/>
                <w:spacing w:val="-1"/>
                <w:lang w:val="pt-BR"/>
              </w:rPr>
            </w:pPr>
          </w:p>
          <w:p w14:paraId="28DDB9C9" w14:textId="77777777" w:rsidR="00BE1C70" w:rsidRPr="00C35766" w:rsidRDefault="00BE1C70" w:rsidP="00603A86">
            <w:pPr>
              <w:ind w:right="1248"/>
              <w:rPr>
                <w:rFonts w:ascii="Times New Roman" w:hAnsi="Times New Roman" w:cs="Times New Roman"/>
                <w:lang w:val="pt-BR"/>
              </w:rPr>
            </w:pPr>
          </w:p>
          <w:p w14:paraId="5D2D2D08" w14:textId="77777777" w:rsidR="00BE1C70" w:rsidRPr="00C35766" w:rsidRDefault="00BE1C70" w:rsidP="00603A86">
            <w:pPr>
              <w:ind w:right="1248"/>
              <w:rPr>
                <w:rFonts w:ascii="Times New Roman" w:hAnsi="Times New Roman" w:cs="Times New Roman"/>
                <w:lang w:val="pt-BR"/>
              </w:rPr>
            </w:pPr>
            <w:r w:rsidRPr="00C35766">
              <w:rPr>
                <w:rFonts w:ascii="Times New Roman" w:hAnsi="Times New Roman" w:cs="Times New Roman"/>
                <w:noProof/>
                <w:lang w:eastAsia="ko-KR"/>
              </w:rPr>
              <mc:AlternateContent>
                <mc:Choice Requires="wpg">
                  <w:drawing>
                    <wp:anchor distT="0" distB="0" distL="114300" distR="114300" simplePos="0" relativeHeight="251658379" behindDoc="0" locked="0" layoutInCell="1" allowOverlap="1" wp14:anchorId="581141E2" wp14:editId="0BCE8955">
                      <wp:simplePos x="0" y="0"/>
                      <wp:positionH relativeFrom="column">
                        <wp:posOffset>34290</wp:posOffset>
                      </wp:positionH>
                      <wp:positionV relativeFrom="paragraph">
                        <wp:posOffset>49530</wp:posOffset>
                      </wp:positionV>
                      <wp:extent cx="2091055" cy="3554730"/>
                      <wp:effectExtent l="0" t="0" r="4445" b="7620"/>
                      <wp:wrapSquare wrapText="bothSides"/>
                      <wp:docPr id="4000" name="그룹 4000"/>
                      <wp:cNvGraphicFramePr/>
                      <a:graphic xmlns:a="http://schemas.openxmlformats.org/drawingml/2006/main">
                        <a:graphicData uri="http://schemas.microsoft.com/office/word/2010/wordprocessingGroup">
                          <wpg:wgp>
                            <wpg:cNvGrpSpPr/>
                            <wpg:grpSpPr>
                              <a:xfrm>
                                <a:off x="0" y="0"/>
                                <a:ext cx="2091055" cy="3554730"/>
                                <a:chOff x="0" y="0"/>
                                <a:chExt cx="1819275" cy="3219450"/>
                              </a:xfrm>
                            </wpg:grpSpPr>
                            <wpg:grpSp>
                              <wpg:cNvPr id="4001" name="그룹 4001"/>
                              <wpg:cNvGrpSpPr/>
                              <wpg:grpSpPr>
                                <a:xfrm>
                                  <a:off x="0" y="0"/>
                                  <a:ext cx="1819275" cy="3219450"/>
                                  <a:chOff x="0" y="0"/>
                                  <a:chExt cx="1819275" cy="3219450"/>
                                </a:xfrm>
                              </wpg:grpSpPr>
                              <pic:pic xmlns:pic="http://schemas.openxmlformats.org/drawingml/2006/picture">
                                <pic:nvPicPr>
                                  <pic:cNvPr id="4002" name="그림 400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003" name="Text Box 4003"/>
                                <wps:cNvSpPr txBox="1"/>
                                <wps:spPr>
                                  <a:xfrm>
                                    <a:off x="1104900" y="3076575"/>
                                    <a:ext cx="687923" cy="142875"/>
                                  </a:xfrm>
                                  <a:prstGeom prst="rect">
                                    <a:avLst/>
                                  </a:prstGeom>
                                  <a:solidFill>
                                    <a:prstClr val="white"/>
                                  </a:solidFill>
                                  <a:ln>
                                    <a:noFill/>
                                  </a:ln>
                                </wps:spPr>
                                <wps:txbx>
                                  <w:txbxContent>
                                    <w:p w14:paraId="0F8DFE2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004" name="Text Box 4004"/>
                              <wps:cNvSpPr txBox="1"/>
                              <wps:spPr>
                                <a:xfrm>
                                  <a:off x="518160" y="2257441"/>
                                  <a:ext cx="1274663" cy="77059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0B146" w14:textId="77777777" w:rsidR="00D97785" w:rsidRPr="00824699" w:rsidRDefault="00D97785" w:rsidP="00BE1C70">
                                    <w:pPr>
                                      <w:rPr>
                                        <w:rFonts w:ascii="Arial" w:hAnsi="Arial" w:cs="Arial"/>
                                        <w:b/>
                                        <w:sz w:val="18"/>
                                        <w:lang w:val="it-IT"/>
                                      </w:rPr>
                                    </w:pPr>
                                    <w:r w:rsidRPr="008A6AF4">
                                      <w:rPr>
                                        <w:rFonts w:ascii="Arial" w:eastAsia="Times New Roman" w:hAnsi="Arial" w:cs="Arial"/>
                                        <w:b/>
                                        <w:bCs/>
                                        <w:sz w:val="18"/>
                                        <w:szCs w:val="18"/>
                                        <w:lang w:val="it-IT"/>
                                      </w:rPr>
                                      <w:t xml:space="preserve">SOLO per la persona che assiste il paziente </w:t>
                                    </w:r>
                                  </w:p>
                                  <w:p w14:paraId="441DA192" w14:textId="77777777" w:rsidR="00D97785" w:rsidRPr="00824699" w:rsidRDefault="00D97785" w:rsidP="00BE1C70">
                                    <w:pPr>
                                      <w:rPr>
                                        <w:rFonts w:ascii="Arial" w:hAnsi="Arial" w:cs="Arial"/>
                                        <w:b/>
                                        <w:sz w:val="6"/>
                                        <w:lang w:val="it-IT"/>
                                      </w:rPr>
                                    </w:pPr>
                                  </w:p>
                                  <w:p w14:paraId="3FCC4165" w14:textId="77777777" w:rsidR="00D97785" w:rsidRPr="008A6AF4" w:rsidRDefault="00D97785" w:rsidP="00BE1C70">
                                    <w:pPr>
                                      <w:rPr>
                                        <w:rFonts w:ascii="Arial" w:hAnsi="Arial" w:cs="Arial"/>
                                        <w:b/>
                                        <w:sz w:val="18"/>
                                        <w:lang w:val="de-CH"/>
                                      </w:rPr>
                                    </w:pPr>
                                    <w:r w:rsidRPr="008A6AF4">
                                      <w:rPr>
                                        <w:rFonts w:ascii="Arial" w:eastAsia="Times New Roman" w:hAnsi="Arial" w:cs="Arial"/>
                                        <w:b/>
                                        <w:bCs/>
                                        <w:sz w:val="18"/>
                                        <w:szCs w:val="18"/>
                                        <w:lang w:val="it-IT"/>
                                      </w:rPr>
                                      <w:t>Autoiniezione e iniezione da parte di un assistente</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81141E2" id="그룹 4000" o:spid="_x0000_s1368" style="position:absolute;margin-left:2.7pt;margin-top:3.9pt;width:164.65pt;height:279.9pt;z-index:251658379;mso-width-relative:margin;mso-height-relative:margin" coordsize="18192,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">
                      <v:group id="그룹 4001" o:spid="_x0000_s1369" style="position:absolute;width:18192;height:32194" coordsize="18192,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shape id="그림 4002" o:spid="_x0000_s1370"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">
                          <v:imagedata r:id="rId44" o:title=""/>
                        </v:shape>
                        <v:shape id="Text Box 4003" o:spid="_x0000_s1371" type="#_x0000_t202" style="position:absolute;left:11049;top:30765;width:687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" stroked="f">
                          <v:textbox inset="0,0,0,0">
                            <w:txbxContent>
                              <w:p w14:paraId="0F8DFE2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E</w:t>
                                </w:r>
                              </w:p>
                            </w:txbxContent>
                          </v:textbox>
                        </v:shape>
                      </v:group>
                      <v:shape id="Text Box 4004" o:spid="_x0000_s1372" type="#_x0000_t202" style="position:absolute;left:5181;top:22574;width:12747;height:7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" fillcolor="white [3212]" stroked="f" strokeweight=".5pt">
                        <v:textbox inset="0,0,0,0">
                          <w:txbxContent>
                            <w:p w14:paraId="6080B146" w14:textId="77777777" w:rsidR="00D97785" w:rsidRPr="00824699" w:rsidRDefault="00D97785" w:rsidP="00BE1C70">
                              <w:pPr>
                                <w:rPr>
                                  <w:rFonts w:ascii="Arial" w:hAnsi="Arial" w:cs="Arial"/>
                                  <w:b/>
                                  <w:sz w:val="18"/>
                                  <w:lang w:val="it-IT"/>
                                </w:rPr>
                              </w:pPr>
                              <w:r w:rsidRPr="008A6AF4">
                                <w:rPr>
                                  <w:rFonts w:ascii="Arial" w:eastAsia="Times New Roman" w:hAnsi="Arial" w:cs="Arial"/>
                                  <w:b/>
                                  <w:bCs/>
                                  <w:sz w:val="18"/>
                                  <w:szCs w:val="18"/>
                                  <w:lang w:val="it-IT"/>
                                </w:rPr>
                                <w:t xml:space="preserve">SOLO per la persona che assiste il paziente </w:t>
                              </w:r>
                            </w:p>
                            <w:p w14:paraId="441DA192" w14:textId="77777777" w:rsidR="00D97785" w:rsidRPr="00824699" w:rsidRDefault="00D97785" w:rsidP="00BE1C70">
                              <w:pPr>
                                <w:rPr>
                                  <w:rFonts w:ascii="Arial" w:hAnsi="Arial" w:cs="Arial"/>
                                  <w:b/>
                                  <w:sz w:val="6"/>
                                  <w:lang w:val="it-IT"/>
                                </w:rPr>
                              </w:pPr>
                            </w:p>
                            <w:p w14:paraId="3FCC4165" w14:textId="77777777" w:rsidR="00D97785" w:rsidRPr="008A6AF4" w:rsidRDefault="00D97785" w:rsidP="00BE1C70">
                              <w:pPr>
                                <w:rPr>
                                  <w:rFonts w:ascii="Arial" w:hAnsi="Arial" w:cs="Arial"/>
                                  <w:b/>
                                  <w:sz w:val="18"/>
                                  <w:lang w:val="de-CH"/>
                                </w:rPr>
                              </w:pPr>
                              <w:r w:rsidRPr="008A6AF4">
                                <w:rPr>
                                  <w:rFonts w:ascii="Arial" w:eastAsia="Times New Roman" w:hAnsi="Arial" w:cs="Arial"/>
                                  <w:b/>
                                  <w:bCs/>
                                  <w:sz w:val="18"/>
                                  <w:szCs w:val="18"/>
                                  <w:lang w:val="it-IT"/>
                                </w:rPr>
                                <w:t>Autoiniezione e iniezione da parte di un assistente</w:t>
                              </w:r>
                            </w:p>
                          </w:txbxContent>
                        </v:textbox>
                      </v:shape>
                      <w10:wrap type="square"/>
                    </v:group>
                  </w:pict>
                </mc:Fallback>
              </mc:AlternateContent>
            </w:r>
          </w:p>
          <w:p w14:paraId="29258405" w14:textId="77777777" w:rsidR="00BE1C70" w:rsidRPr="00C35766" w:rsidRDefault="00BE1C70" w:rsidP="008A6AF4">
            <w:pPr>
              <w:pStyle w:val="a3"/>
              <w:numPr>
                <w:ilvl w:val="0"/>
                <w:numId w:val="81"/>
              </w:numPr>
              <w:rPr>
                <w:b/>
              </w:rPr>
            </w:pPr>
            <w:r w:rsidRPr="00C35766">
              <w:rPr>
                <w:rFonts w:eastAsia="Times New Roman"/>
                <w:b/>
                <w:bCs/>
                <w:lang w:val="it-IT"/>
              </w:rPr>
              <w:t>Scelga un sito d’iniezione appropriato</w:t>
            </w:r>
          </w:p>
          <w:p w14:paraId="1F466DD0" w14:textId="77777777" w:rsidR="00BE1C70" w:rsidRPr="00C35766" w:rsidRDefault="00BE1C70" w:rsidP="00603A86">
            <w:pPr>
              <w:pStyle w:val="a3"/>
            </w:pPr>
          </w:p>
          <w:p w14:paraId="6BEF8EAA" w14:textId="77777777" w:rsidR="00BE1C70" w:rsidRPr="00C35766" w:rsidRDefault="00BE1C70" w:rsidP="008A6AF4">
            <w:pPr>
              <w:pStyle w:val="AAAA"/>
              <w:framePr w:hSpace="0" w:wrap="auto" w:vAnchor="margin" w:hAnchor="text" w:yAlign="inline"/>
              <w:ind w:left="4477" w:hanging="270"/>
            </w:pPr>
            <w:r w:rsidRPr="00C35766">
              <w:rPr>
                <w:b/>
                <w:bCs/>
              </w:rPr>
              <w:t>a.</w:t>
            </w:r>
            <w:r w:rsidRPr="00C35766">
              <w:tab/>
              <w:t>Può eseguire l’iniezione:</w:t>
            </w:r>
          </w:p>
          <w:p w14:paraId="6041023F" w14:textId="1E77675B" w:rsidR="00BE1C70" w:rsidRPr="00C35766" w:rsidRDefault="00BE1C70" w:rsidP="008A6AF4">
            <w:pPr>
              <w:pStyle w:val="a3"/>
              <w:ind w:leftChars="1949" w:left="4738" w:hanging="450"/>
              <w:rPr>
                <w:lang w:val="es-ES"/>
              </w:rPr>
            </w:pPr>
            <w:r w:rsidRPr="00C35766">
              <w:rPr>
                <w:rFonts w:eastAsia="Times New Roman"/>
                <w:lang w:val="it-IT"/>
              </w:rPr>
              <w:t xml:space="preserve"> </w:t>
            </w:r>
            <w:r w:rsidR="009918A1">
              <w:rPr>
                <w:rFonts w:eastAsia="Times New Roman"/>
                <w:lang w:val="it-IT"/>
              </w:rPr>
              <w:t xml:space="preserve">  </w:t>
            </w:r>
            <w:r w:rsidRPr="00C35766">
              <w:rPr>
                <w:rFonts w:eastAsia="Times New Roman"/>
                <w:lang w:val="it-IT"/>
              </w:rPr>
              <w:t>-</w:t>
            </w:r>
            <w:r w:rsidRPr="00C35766">
              <w:rPr>
                <w:rFonts w:eastAsia="Times New Roman"/>
                <w:lang w:val="it-IT"/>
              </w:rPr>
              <w:tab/>
              <w:t>nella parte anteriore della coscia</w:t>
            </w:r>
          </w:p>
          <w:p w14:paraId="390019B5" w14:textId="37FE83E2" w:rsidR="00BE1C70" w:rsidRPr="00C35766" w:rsidRDefault="00BE1C70" w:rsidP="008A6AF4">
            <w:pPr>
              <w:pStyle w:val="a3"/>
              <w:ind w:leftChars="1949" w:left="4738" w:hanging="450"/>
              <w:rPr>
                <w:lang w:val="es-ES"/>
              </w:rPr>
            </w:pPr>
            <w:r w:rsidRPr="00C35766">
              <w:rPr>
                <w:rFonts w:eastAsia="Times New Roman"/>
                <w:lang w:val="it-IT"/>
              </w:rPr>
              <w:t xml:space="preserve"> </w:t>
            </w:r>
            <w:r w:rsidR="009918A1">
              <w:rPr>
                <w:rFonts w:eastAsia="Times New Roman"/>
                <w:lang w:val="it-IT"/>
              </w:rPr>
              <w:t xml:space="preserve">  </w:t>
            </w:r>
            <w:r w:rsidRPr="00C35766">
              <w:rPr>
                <w:rFonts w:eastAsia="Times New Roman"/>
                <w:lang w:val="it-IT"/>
              </w:rPr>
              <w:t>-</w:t>
            </w:r>
            <w:r w:rsidRPr="00C35766">
              <w:rPr>
                <w:rFonts w:eastAsia="Times New Roman"/>
                <w:lang w:val="it-IT"/>
              </w:rPr>
              <w:tab/>
              <w:t>nell’addome, ad eccezione dell'area di 5 cm intorno  all'ombelico</w:t>
            </w:r>
          </w:p>
          <w:p w14:paraId="53E70108" w14:textId="74F348E4" w:rsidR="00BE1C70" w:rsidRPr="00C35766" w:rsidRDefault="00BE1C70" w:rsidP="008A6AF4">
            <w:pPr>
              <w:pStyle w:val="a3"/>
              <w:ind w:leftChars="1949" w:left="4738" w:hanging="450"/>
              <w:rPr>
                <w:lang w:val="es-ES"/>
              </w:rPr>
            </w:pPr>
            <w:r w:rsidRPr="00C35766">
              <w:rPr>
                <w:rFonts w:eastAsia="Times New Roman"/>
                <w:lang w:val="it-IT"/>
              </w:rPr>
              <w:t xml:space="preserve"> </w:t>
            </w:r>
            <w:r w:rsidR="009918A1">
              <w:rPr>
                <w:rFonts w:eastAsia="Times New Roman"/>
                <w:lang w:val="it-IT"/>
              </w:rPr>
              <w:t xml:space="preserve">  </w:t>
            </w:r>
            <w:r w:rsidRPr="00C35766">
              <w:rPr>
                <w:rFonts w:eastAsia="Times New Roman"/>
                <w:lang w:val="it-IT"/>
              </w:rPr>
              <w:t>-</w:t>
            </w:r>
            <w:r w:rsidRPr="00C35766">
              <w:rPr>
                <w:rFonts w:eastAsia="Times New Roman"/>
                <w:lang w:val="it-IT"/>
              </w:rPr>
              <w:tab/>
              <w:t xml:space="preserve">nella zona esterna della parte superiore del braccio (SOLO se Lei è una  persona che assiste il paziente). </w:t>
            </w:r>
          </w:p>
          <w:p w14:paraId="601F664C" w14:textId="77777777" w:rsidR="00BE1C70" w:rsidRPr="00C35766" w:rsidRDefault="00BE1C70" w:rsidP="00603A86">
            <w:pPr>
              <w:pStyle w:val="a3"/>
              <w:ind w:left="4297" w:hanging="450"/>
              <w:rPr>
                <w:lang w:val="es-ES"/>
              </w:rPr>
            </w:pPr>
          </w:p>
          <w:p w14:paraId="2FA45C02" w14:textId="77777777" w:rsidR="00BE1C70" w:rsidRPr="00C35766" w:rsidRDefault="00BE1C70" w:rsidP="00603A86">
            <w:pPr>
              <w:pStyle w:val="a3"/>
              <w:framePr w:hSpace="142" w:wrap="around" w:vAnchor="text" w:hAnchor="margin" w:y="67"/>
              <w:numPr>
                <w:ilvl w:val="0"/>
                <w:numId w:val="17"/>
              </w:numPr>
              <w:ind w:left="4297" w:hanging="450"/>
              <w:rPr>
                <w:lang w:val="es-ES"/>
              </w:rPr>
            </w:pPr>
            <w:r w:rsidRPr="00C35766">
              <w:rPr>
                <w:b/>
                <w:bCs/>
                <w:lang w:val="es-ES"/>
              </w:rPr>
              <w:t>Non</w:t>
            </w:r>
            <w:r w:rsidRPr="00C35766">
              <w:rPr>
                <w:lang w:val="es-ES"/>
              </w:rPr>
              <w:t xml:space="preserve"> esegua </w:t>
            </w:r>
            <w:r w:rsidRPr="00C35766">
              <w:rPr>
                <w:rFonts w:eastAsia="Times New Roman"/>
                <w:lang w:val="it-IT"/>
              </w:rPr>
              <w:t>l’iniezione</w:t>
            </w:r>
            <w:r w:rsidRPr="00C35766">
              <w:rPr>
                <w:lang w:val="es-ES"/>
              </w:rPr>
              <w:t xml:space="preserve"> in aree cutanee entro 5 cm </w:t>
            </w:r>
            <w:r w:rsidRPr="00C35766">
              <w:rPr>
                <w:rFonts w:eastAsia="Times New Roman"/>
                <w:lang w:val="it-IT"/>
              </w:rPr>
              <w:t xml:space="preserve"> dal Suo ombelico o in un’area arrossata, dura, dolorante, danneggiata, livida, o  che presenta cicatrici. </w:t>
            </w:r>
          </w:p>
          <w:p w14:paraId="4F6A8FDE" w14:textId="796F86E3" w:rsidR="00BE1C70" w:rsidRPr="00C35766" w:rsidRDefault="00BE1C70" w:rsidP="008A6AF4">
            <w:pPr>
              <w:pStyle w:val="a3"/>
              <w:numPr>
                <w:ilvl w:val="0"/>
                <w:numId w:val="17"/>
              </w:numPr>
              <w:ind w:left="4297" w:hanging="450"/>
              <w:rPr>
                <w:lang w:val="es-ES"/>
              </w:rPr>
            </w:pPr>
            <w:r w:rsidRPr="00C35766">
              <w:rPr>
                <w:rFonts w:eastAsia="Times New Roman"/>
                <w:lang w:val="it-IT"/>
              </w:rPr>
              <w:t xml:space="preserve">Se </w:t>
            </w:r>
            <w:r w:rsidR="00576144">
              <w:rPr>
                <w:rFonts w:eastAsia="Times New Roman"/>
                <w:lang w:val="it-IT"/>
              </w:rPr>
              <w:t>s</w:t>
            </w:r>
            <w:r w:rsidR="009918A1" w:rsidRPr="009918A1">
              <w:rPr>
                <w:rFonts w:eastAsia="Times New Roman"/>
                <w:lang w:val="it-IT"/>
              </w:rPr>
              <w:t>uo figlio ha</w:t>
            </w:r>
            <w:r w:rsidRPr="00C35766">
              <w:rPr>
                <w:rFonts w:eastAsia="Times New Roman"/>
                <w:lang w:val="it-IT"/>
              </w:rPr>
              <w:t xml:space="preserve"> la psoriasi, </w:t>
            </w:r>
            <w:r w:rsidRPr="00C35766">
              <w:rPr>
                <w:rFonts w:eastAsia="Times New Roman"/>
                <w:b/>
                <w:bCs/>
                <w:lang w:val="it-IT"/>
              </w:rPr>
              <w:t>non</w:t>
            </w:r>
            <w:r w:rsidRPr="00C35766">
              <w:rPr>
                <w:rFonts w:eastAsia="Times New Roman"/>
                <w:lang w:val="it-IT"/>
              </w:rPr>
              <w:t xml:space="preserve"> esegua l’iniezione su nessuna macchia in rilievo,  ispessita, arrossata o squamosa né su nessuna lesione cutanea. </w:t>
            </w:r>
          </w:p>
          <w:p w14:paraId="461E1B01" w14:textId="77777777" w:rsidR="00BE1C70" w:rsidRPr="00C35766" w:rsidRDefault="00BE1C70" w:rsidP="00603A86">
            <w:pPr>
              <w:pStyle w:val="a3"/>
              <w:numPr>
                <w:ilvl w:val="0"/>
                <w:numId w:val="17"/>
              </w:numPr>
              <w:ind w:left="4297" w:hanging="450"/>
              <w:rPr>
                <w:lang w:val="fr-FR"/>
              </w:rPr>
            </w:pPr>
            <w:r w:rsidRPr="00C35766">
              <w:rPr>
                <w:rFonts w:eastAsia="Times New Roman"/>
                <w:b/>
                <w:bCs/>
                <w:lang w:val="it-IT"/>
              </w:rPr>
              <w:t xml:space="preserve">Non </w:t>
            </w:r>
            <w:r w:rsidRPr="00C35766">
              <w:rPr>
                <w:rFonts w:eastAsia="Times New Roman"/>
                <w:lang w:val="it-IT"/>
              </w:rPr>
              <w:t>esegua l’iniezione attraverso gli indumenti.</w:t>
            </w:r>
          </w:p>
          <w:p w14:paraId="0BFEC9A9" w14:textId="77777777" w:rsidR="00BE1C70" w:rsidRPr="00C35766" w:rsidRDefault="00BE1C70" w:rsidP="00603A86">
            <w:pPr>
              <w:pStyle w:val="a3"/>
              <w:rPr>
                <w:lang w:val="fr-FR"/>
              </w:rPr>
            </w:pPr>
          </w:p>
          <w:p w14:paraId="488B1922" w14:textId="11621AA2" w:rsidR="00BE1C70" w:rsidRPr="00C35766" w:rsidRDefault="00BE1C70" w:rsidP="008A6AF4">
            <w:pPr>
              <w:pStyle w:val="AAAA"/>
              <w:framePr w:hSpace="0" w:wrap="auto" w:vAnchor="margin" w:hAnchor="text" w:yAlign="inline"/>
              <w:ind w:left="4477" w:hanging="270"/>
              <w:rPr>
                <w:lang w:val="fr-FR"/>
              </w:rPr>
            </w:pPr>
            <w:r w:rsidRPr="00C35766">
              <w:rPr>
                <w:b/>
                <w:bCs/>
              </w:rPr>
              <w:t>b.</w:t>
            </w:r>
            <w:r w:rsidRPr="00C35766">
              <w:t xml:space="preserve"> </w:t>
            </w:r>
            <w:r w:rsidRPr="00C35766">
              <w:tab/>
              <w:t>Esegua una rotazione del sito d’iniezione ogni volta che somministra un</w:t>
            </w:r>
            <w:r w:rsidR="0020740E">
              <w:t>’</w:t>
            </w:r>
            <w:r w:rsidRPr="00C35766">
              <w:t>iniezione. Ogni nuovo sito d’iniezione deve essere ad almeno 3 cm di distanza dal sito d’iniezione utilizzato in precedenza.</w:t>
            </w:r>
          </w:p>
        </w:tc>
      </w:tr>
      <w:tr w:rsidR="00BE1C70" w:rsidRPr="002A37A2" w14:paraId="594345E3" w14:textId="77777777" w:rsidTr="00603A86">
        <w:trPr>
          <w:trHeight w:val="5945"/>
        </w:trPr>
        <w:tc>
          <w:tcPr>
            <w:tcW w:w="9550" w:type="dxa"/>
          </w:tcPr>
          <w:p w14:paraId="67D4B89C" w14:textId="77777777" w:rsidR="00BE1C70" w:rsidRPr="00C35766" w:rsidRDefault="00BE1C70" w:rsidP="00603A86">
            <w:pPr>
              <w:pStyle w:val="1"/>
              <w:spacing w:before="76"/>
              <w:ind w:left="0" w:right="2736"/>
              <w:rPr>
                <w:rFonts w:eastAsiaTheme="minorEastAsia" w:cs="Times New Roman"/>
                <w:lang w:val="fr-FR" w:eastAsia="ko-KR"/>
              </w:rPr>
            </w:pPr>
          </w:p>
          <w:p w14:paraId="66BB22D8" w14:textId="77777777" w:rsidR="00BE1C70" w:rsidRPr="00C35766" w:rsidRDefault="00BE1C70" w:rsidP="00603A86">
            <w:pPr>
              <w:pStyle w:val="1"/>
              <w:spacing w:before="76"/>
              <w:ind w:left="0" w:right="2736"/>
              <w:rPr>
                <w:rFonts w:eastAsiaTheme="minorEastAsia" w:cs="Times New Roman"/>
                <w:lang w:val="fr-FR" w:eastAsia="ko-KR"/>
              </w:rPr>
            </w:pPr>
            <w:r w:rsidRPr="00C35766">
              <w:rPr>
                <w:rFonts w:eastAsiaTheme="minorEastAsia" w:cs="Times New Roman"/>
                <w:noProof/>
                <w:lang w:eastAsia="ko-KR"/>
              </w:rPr>
              <mc:AlternateContent>
                <mc:Choice Requires="wpg">
                  <w:drawing>
                    <wp:anchor distT="0" distB="0" distL="114300" distR="114300" simplePos="0" relativeHeight="251658364" behindDoc="0" locked="0" layoutInCell="1" allowOverlap="1" wp14:anchorId="5065BEF9" wp14:editId="0EC22148">
                      <wp:simplePos x="0" y="0"/>
                      <wp:positionH relativeFrom="column">
                        <wp:posOffset>-17145</wp:posOffset>
                      </wp:positionH>
                      <wp:positionV relativeFrom="paragraph">
                        <wp:posOffset>100965</wp:posOffset>
                      </wp:positionV>
                      <wp:extent cx="2172335" cy="2787015"/>
                      <wp:effectExtent l="0" t="0" r="0" b="0"/>
                      <wp:wrapSquare wrapText="bothSides"/>
                      <wp:docPr id="4005" name="그룹 4005"/>
                      <wp:cNvGraphicFramePr/>
                      <a:graphic xmlns:a="http://schemas.openxmlformats.org/drawingml/2006/main">
                        <a:graphicData uri="http://schemas.microsoft.com/office/word/2010/wordprocessingGroup">
                          <wpg:wgp>
                            <wpg:cNvGrpSpPr/>
                            <wpg:grpSpPr>
                              <a:xfrm>
                                <a:off x="0" y="0"/>
                                <a:ext cx="2172335" cy="2787015"/>
                                <a:chOff x="0" y="0"/>
                                <a:chExt cx="2407920" cy="3092450"/>
                              </a:xfrm>
                            </wpg:grpSpPr>
                            <pic:pic xmlns:pic="http://schemas.openxmlformats.org/drawingml/2006/picture">
                              <pic:nvPicPr>
                                <pic:cNvPr id="4006" name="그림 400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007" name="Text Box 4007"/>
                              <wps:cNvSpPr txBox="1"/>
                              <wps:spPr>
                                <a:xfrm>
                                  <a:off x="1670050" y="2946400"/>
                                  <a:ext cx="719758" cy="146050"/>
                                </a:xfrm>
                                <a:prstGeom prst="rect">
                                  <a:avLst/>
                                </a:prstGeom>
                                <a:solidFill>
                                  <a:prstClr val="white"/>
                                </a:solidFill>
                                <a:ln>
                                  <a:noFill/>
                                </a:ln>
                              </wps:spPr>
                              <wps:txbx>
                                <w:txbxContent>
                                  <w:p w14:paraId="7D3B11A5"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65BEF9" id="그룹 4005" o:spid="_x0000_s1373" style="position:absolute;margin-left:-1.35pt;margin-top:7.95pt;width:171.05pt;height:219.45pt;z-index:251658364;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">
                      <v:shape id="그림 4006" o:spid="_x0000_s1374"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">
                        <v:imagedata r:id="rId46" o:title=""/>
                      </v:shape>
                      <v:shape id="Text Box 4007" o:spid="_x0000_s1375"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" stroked="f">
                        <v:textbox inset="0,0,0,0">
                          <w:txbxContent>
                            <w:p w14:paraId="7D3B11A5"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F</w:t>
                              </w:r>
                            </w:p>
                          </w:txbxContent>
                        </v:textbox>
                      </v:shape>
                      <w10:wrap type="square"/>
                    </v:group>
                  </w:pict>
                </mc:Fallback>
              </mc:AlternateContent>
            </w:r>
          </w:p>
          <w:p w14:paraId="3434A112" w14:textId="77777777" w:rsidR="00BE1C70" w:rsidRPr="00C35766" w:rsidRDefault="00BE1C70" w:rsidP="008A6AF4">
            <w:pPr>
              <w:pStyle w:val="a3"/>
              <w:numPr>
                <w:ilvl w:val="0"/>
                <w:numId w:val="81"/>
              </w:numPr>
            </w:pPr>
            <w:r w:rsidRPr="00C35766">
              <w:rPr>
                <w:rFonts w:eastAsia="Times New Roman"/>
                <w:b/>
                <w:bCs/>
                <w:lang w:val="it-IT"/>
              </w:rPr>
              <w:t>Si lavi le mani.</w:t>
            </w:r>
          </w:p>
          <w:p w14:paraId="6213F8E4" w14:textId="77777777" w:rsidR="00BE1C70" w:rsidRPr="00C35766" w:rsidRDefault="00BE1C70" w:rsidP="00603A86">
            <w:pPr>
              <w:pStyle w:val="a3"/>
              <w:numPr>
                <w:ilvl w:val="0"/>
                <w:numId w:val="0"/>
              </w:numPr>
              <w:ind w:left="471"/>
            </w:pPr>
          </w:p>
          <w:p w14:paraId="33403C5D" w14:textId="77777777" w:rsidR="00BE1C70" w:rsidRPr="00C35766" w:rsidRDefault="00BE1C70" w:rsidP="008A6AF4">
            <w:pPr>
              <w:pStyle w:val="AAAA"/>
              <w:framePr w:hSpace="0" w:wrap="auto" w:vAnchor="margin" w:hAnchor="text" w:yAlign="inline"/>
              <w:ind w:left="4477" w:hanging="270"/>
              <w:rPr>
                <w:lang w:val="es-ES"/>
              </w:rPr>
            </w:pPr>
            <w:r w:rsidRPr="00C35766">
              <w:rPr>
                <w:b/>
                <w:bCs/>
              </w:rPr>
              <w:t>a.</w:t>
            </w:r>
            <w:r w:rsidRPr="00C35766">
              <w:t xml:space="preserve"> </w:t>
            </w:r>
            <w:r w:rsidRPr="00C35766">
              <w:tab/>
              <w:t xml:space="preserve">Si lavi le mani con acqua e sapone e le asciughi  accuratamente. </w:t>
            </w:r>
          </w:p>
          <w:p w14:paraId="42588717" w14:textId="77777777" w:rsidR="00BE1C70" w:rsidRPr="00C35766" w:rsidRDefault="00BE1C70" w:rsidP="00603A86">
            <w:pPr>
              <w:spacing w:line="252" w:lineRule="exact"/>
              <w:rPr>
                <w:rFonts w:ascii="Times New Roman" w:hAnsi="Times New Roman" w:cs="Times New Roman"/>
                <w:lang w:val="es-ES"/>
              </w:rPr>
            </w:pPr>
          </w:p>
        </w:tc>
      </w:tr>
      <w:tr w:rsidR="00BE1C70" w:rsidRPr="002A37A2" w14:paraId="56495FB4" w14:textId="77777777" w:rsidTr="00603A86">
        <w:trPr>
          <w:trHeight w:val="5499"/>
        </w:trPr>
        <w:tc>
          <w:tcPr>
            <w:tcW w:w="9550" w:type="dxa"/>
          </w:tcPr>
          <w:p w14:paraId="04DCE8B7" w14:textId="77777777" w:rsidR="00BE1C70" w:rsidRPr="00C35766" w:rsidRDefault="00BE1C70" w:rsidP="00603A86">
            <w:pPr>
              <w:ind w:left="104"/>
              <w:rPr>
                <w:rFonts w:ascii="Times New Roman" w:eastAsia="Times New Roman" w:hAnsi="Times New Roman" w:cs="Times New Roman"/>
                <w:b/>
                <w:bCs/>
                <w:spacing w:val="-1"/>
                <w:lang w:val="es-ES"/>
              </w:rPr>
            </w:pPr>
          </w:p>
          <w:p w14:paraId="29D86064" w14:textId="77777777" w:rsidR="00BE1C70" w:rsidRPr="00C35766" w:rsidRDefault="00BE1C70" w:rsidP="00603A86">
            <w:pPr>
              <w:pStyle w:val="a3"/>
              <w:rPr>
                <w:lang w:val="es-ES"/>
              </w:rPr>
            </w:pPr>
          </w:p>
          <w:p w14:paraId="6CF6A0BC" w14:textId="77777777" w:rsidR="00BE1C70" w:rsidRPr="00C35766" w:rsidRDefault="00BE1C70" w:rsidP="00603A86">
            <w:pPr>
              <w:pStyle w:val="a3"/>
              <w:rPr>
                <w:lang w:val="es-ES"/>
              </w:rPr>
            </w:pPr>
            <w:r w:rsidRPr="00C35766">
              <w:rPr>
                <w:noProof/>
                <w:lang w:eastAsia="ko-KR"/>
              </w:rPr>
              <mc:AlternateContent>
                <mc:Choice Requires="wpg">
                  <w:drawing>
                    <wp:anchor distT="0" distB="0" distL="114300" distR="114300" simplePos="0" relativeHeight="251658365" behindDoc="0" locked="0" layoutInCell="1" allowOverlap="1" wp14:anchorId="7119BE39" wp14:editId="1178A55E">
                      <wp:simplePos x="0" y="0"/>
                      <wp:positionH relativeFrom="column">
                        <wp:posOffset>71120</wp:posOffset>
                      </wp:positionH>
                      <wp:positionV relativeFrom="paragraph">
                        <wp:posOffset>137795</wp:posOffset>
                      </wp:positionV>
                      <wp:extent cx="2345055" cy="3005455"/>
                      <wp:effectExtent l="0" t="0" r="0" b="4445"/>
                      <wp:wrapSquare wrapText="bothSides"/>
                      <wp:docPr id="4008" name="그룹 4008"/>
                      <wp:cNvGraphicFramePr/>
                      <a:graphic xmlns:a="http://schemas.openxmlformats.org/drawingml/2006/main">
                        <a:graphicData uri="http://schemas.microsoft.com/office/word/2010/wordprocessingGroup">
                          <wpg:wgp>
                            <wpg:cNvGrpSpPr/>
                            <wpg:grpSpPr>
                              <a:xfrm>
                                <a:off x="0" y="0"/>
                                <a:ext cx="2345055" cy="3005455"/>
                                <a:chOff x="0" y="0"/>
                                <a:chExt cx="2255520" cy="2921000"/>
                              </a:xfrm>
                            </wpg:grpSpPr>
                            <pic:pic xmlns:pic="http://schemas.openxmlformats.org/drawingml/2006/picture">
                              <pic:nvPicPr>
                                <pic:cNvPr id="4009" name="그림 400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010" name="Text Box 4010"/>
                              <wps:cNvSpPr txBox="1"/>
                              <wps:spPr>
                                <a:xfrm>
                                  <a:off x="1536701" y="2774950"/>
                                  <a:ext cx="681431" cy="146050"/>
                                </a:xfrm>
                                <a:prstGeom prst="rect">
                                  <a:avLst/>
                                </a:prstGeom>
                                <a:solidFill>
                                  <a:prstClr val="white"/>
                                </a:solidFill>
                                <a:ln>
                                  <a:noFill/>
                                </a:ln>
                              </wps:spPr>
                              <wps:txbx>
                                <w:txbxContent>
                                  <w:p w14:paraId="2EF44C54"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9BE39" id="그룹 4008" o:spid="_x0000_s1376" style="position:absolute;margin-left:5.6pt;margin-top:10.85pt;width:184.65pt;height:236.65pt;z-index:251658365;mso-width-relative:margin;mso-height-relative:margin" coordsize="22555,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">
                      <v:shape id="그림 4009" o:spid="_x0000_s1377"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">
                        <v:imagedata r:id="rId48" o:title=""/>
                      </v:shape>
                      <v:shape id="Text Box 4010" o:spid="_x0000_s1378" type="#_x0000_t202" style="position:absolute;left:15367;top:27749;width:681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" stroked="f">
                        <v:textbox inset="0,0,0,0">
                          <w:txbxContent>
                            <w:p w14:paraId="2EF44C54"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G</w:t>
                              </w:r>
                            </w:p>
                          </w:txbxContent>
                        </v:textbox>
                      </v:shape>
                      <w10:wrap type="square"/>
                    </v:group>
                  </w:pict>
                </mc:Fallback>
              </mc:AlternateContent>
            </w:r>
          </w:p>
          <w:p w14:paraId="4C814648" w14:textId="77777777" w:rsidR="00BE1C70" w:rsidRPr="00C35766" w:rsidRDefault="00BE1C70" w:rsidP="00603A86">
            <w:pPr>
              <w:pStyle w:val="a3"/>
              <w:rPr>
                <w:lang w:val="es-ES"/>
              </w:rPr>
            </w:pPr>
          </w:p>
          <w:p w14:paraId="167206E9" w14:textId="77777777" w:rsidR="00BE1C70" w:rsidRPr="00C35766" w:rsidRDefault="00BE1C70" w:rsidP="008A6AF4">
            <w:pPr>
              <w:pStyle w:val="a3"/>
              <w:numPr>
                <w:ilvl w:val="0"/>
                <w:numId w:val="81"/>
              </w:numPr>
              <w:rPr>
                <w:b/>
              </w:rPr>
            </w:pPr>
            <w:r w:rsidRPr="00C35766">
              <w:rPr>
                <w:rFonts w:eastAsia="Times New Roman"/>
                <w:b/>
                <w:bCs/>
                <w:lang w:val="it-IT"/>
              </w:rPr>
              <w:t>Pulisca il sito d’iniezione</w:t>
            </w:r>
          </w:p>
          <w:p w14:paraId="2F7FC873" w14:textId="77777777" w:rsidR="00BE1C70" w:rsidRPr="00C35766" w:rsidRDefault="00BE1C70" w:rsidP="00603A86">
            <w:pPr>
              <w:pStyle w:val="a3"/>
            </w:pPr>
          </w:p>
          <w:p w14:paraId="5439B945" w14:textId="77777777" w:rsidR="00BE1C70" w:rsidRPr="00C35766" w:rsidRDefault="00BE1C70" w:rsidP="00603A86">
            <w:pPr>
              <w:pStyle w:val="a3"/>
              <w:ind w:left="456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Pulisca il sito d’iniezione con un tampone imbevuto di alcol eseguendo un movimento circolare.</w:t>
            </w:r>
          </w:p>
          <w:p w14:paraId="45856F92" w14:textId="77777777" w:rsidR="00BE1C70" w:rsidRPr="00C35766" w:rsidRDefault="00BE1C70" w:rsidP="00603A86">
            <w:pPr>
              <w:pStyle w:val="a3"/>
              <w:ind w:left="4567" w:hanging="360"/>
              <w:rPr>
                <w:lang w:val="es-ES"/>
              </w:rPr>
            </w:pPr>
            <w:r w:rsidRPr="00C35766">
              <w:rPr>
                <w:rFonts w:eastAsia="Times New Roman"/>
                <w:b/>
                <w:bCs/>
                <w:lang w:val="it-IT"/>
              </w:rPr>
              <w:t>b.</w:t>
            </w:r>
            <w:r w:rsidRPr="00C35766">
              <w:rPr>
                <w:rFonts w:eastAsia="Times New Roman"/>
                <w:lang w:val="it-IT"/>
              </w:rPr>
              <w:t xml:space="preserve"> </w:t>
            </w:r>
            <w:r w:rsidRPr="00C35766">
              <w:rPr>
                <w:rFonts w:eastAsia="Times New Roman"/>
                <w:lang w:val="it-IT"/>
              </w:rPr>
              <w:tab/>
              <w:t>Lasci asciugare la pelle prima dell’iniezione.</w:t>
            </w:r>
          </w:p>
          <w:p w14:paraId="2B161646" w14:textId="77777777" w:rsidR="00BE1C70" w:rsidRPr="00C35766" w:rsidRDefault="00BE1C70" w:rsidP="00603A86">
            <w:pPr>
              <w:pStyle w:val="a3"/>
              <w:rPr>
                <w:lang w:val="es-ES"/>
              </w:rPr>
            </w:pPr>
          </w:p>
          <w:p w14:paraId="096133EE" w14:textId="77777777" w:rsidR="00BE1C70" w:rsidRPr="00C35766" w:rsidRDefault="00BE1C70" w:rsidP="00603A86">
            <w:pPr>
              <w:pStyle w:val="a3"/>
              <w:rPr>
                <w:lang w:val="es-ES"/>
              </w:rPr>
            </w:pPr>
          </w:p>
          <w:p w14:paraId="7111E349" w14:textId="25D0540A" w:rsidR="00BE1C70" w:rsidRPr="00C35766" w:rsidRDefault="00BE1C70" w:rsidP="008A6AF4">
            <w:pPr>
              <w:pStyle w:val="a3"/>
              <w:numPr>
                <w:ilvl w:val="0"/>
                <w:numId w:val="17"/>
              </w:numPr>
              <w:ind w:left="4297" w:hanging="450"/>
              <w:rPr>
                <w:lang w:val="it-IT"/>
              </w:rPr>
            </w:pPr>
            <w:r w:rsidRPr="00C35766">
              <w:rPr>
                <w:rFonts w:eastAsia="Times New Roman"/>
                <w:b/>
                <w:bCs/>
                <w:lang w:val="it-IT"/>
              </w:rPr>
              <w:t>Non</w:t>
            </w:r>
            <w:r w:rsidRPr="00C35766">
              <w:rPr>
                <w:rFonts w:eastAsia="Times New Roman"/>
                <w:lang w:val="it-IT"/>
              </w:rPr>
              <w:t xml:space="preserve"> soffi sul sito d’iniezione né lo tocchi nuovamente prima di </w:t>
            </w:r>
            <w:r w:rsidRPr="008A6AF4">
              <w:rPr>
                <w:lang w:val="es-ES"/>
              </w:rPr>
              <w:t>eseguire</w:t>
            </w:r>
            <w:r w:rsidRPr="00C35766">
              <w:rPr>
                <w:rFonts w:eastAsia="Times New Roman"/>
                <w:lang w:val="it-IT"/>
              </w:rPr>
              <w:t xml:space="preserve"> l’iniezione.</w:t>
            </w:r>
          </w:p>
        </w:tc>
      </w:tr>
      <w:tr w:rsidR="00BE1C70" w:rsidRPr="00494E69" w14:paraId="507387C3" w14:textId="77777777" w:rsidTr="00603A86">
        <w:trPr>
          <w:trHeight w:val="5669"/>
        </w:trPr>
        <w:tc>
          <w:tcPr>
            <w:tcW w:w="9550" w:type="dxa"/>
          </w:tcPr>
          <w:p w14:paraId="57E963B7" w14:textId="297FD2E3" w:rsidR="00BE1C70" w:rsidRPr="00C35766" w:rsidRDefault="00BE1C70" w:rsidP="00603A86">
            <w:pPr>
              <w:ind w:left="104"/>
              <w:rPr>
                <w:rFonts w:ascii="Times New Roman" w:hAnsi="Times New Roman" w:cs="Times New Roman"/>
                <w:b/>
                <w:spacing w:val="-1"/>
                <w:lang w:val="it-IT"/>
              </w:rPr>
            </w:pPr>
          </w:p>
          <w:p w14:paraId="273A4485" w14:textId="45AA1DDB" w:rsidR="00BE1C70" w:rsidRPr="00C35766" w:rsidRDefault="00F3069E" w:rsidP="00603A86">
            <w:pPr>
              <w:pStyle w:val="Default"/>
              <w:rPr>
                <w:rFonts w:ascii="Times New Roman" w:hAnsi="Times New Roman" w:cs="Times New Roman"/>
                <w:lang w:val="it-IT"/>
              </w:rPr>
            </w:pPr>
            <w:r w:rsidRPr="00C35766">
              <w:rPr>
                <w:rFonts w:ascii="Times New Roman" w:hAnsi="Times New Roman" w:cs="Times New Roman"/>
                <w:noProof/>
                <w:lang w:eastAsia="ko-KR"/>
              </w:rPr>
              <mc:AlternateContent>
                <mc:Choice Requires="wpg">
                  <w:drawing>
                    <wp:anchor distT="0" distB="0" distL="114300" distR="114300" simplePos="0" relativeHeight="251658366" behindDoc="0" locked="0" layoutInCell="1" allowOverlap="1" wp14:anchorId="32602A65" wp14:editId="023BB08F">
                      <wp:simplePos x="0" y="0"/>
                      <wp:positionH relativeFrom="column">
                        <wp:posOffset>51435</wp:posOffset>
                      </wp:positionH>
                      <wp:positionV relativeFrom="paragraph">
                        <wp:posOffset>81280</wp:posOffset>
                      </wp:positionV>
                      <wp:extent cx="2365375" cy="3139440"/>
                      <wp:effectExtent l="0" t="0" r="0" b="3810"/>
                      <wp:wrapSquare wrapText="bothSides"/>
                      <wp:docPr id="4011" name="그룹 4011"/>
                      <wp:cNvGraphicFramePr/>
                      <a:graphic xmlns:a="http://schemas.openxmlformats.org/drawingml/2006/main">
                        <a:graphicData uri="http://schemas.microsoft.com/office/word/2010/wordprocessingGroup">
                          <wpg:wgp>
                            <wpg:cNvGrpSpPr/>
                            <wpg:grpSpPr>
                              <a:xfrm>
                                <a:off x="0" y="0"/>
                                <a:ext cx="2365375" cy="3139440"/>
                                <a:chOff x="2532" y="0"/>
                                <a:chExt cx="2365390" cy="3140668"/>
                              </a:xfrm>
                            </wpg:grpSpPr>
                            <pic:pic xmlns:pic="http://schemas.openxmlformats.org/drawingml/2006/picture">
                              <pic:nvPicPr>
                                <pic:cNvPr id="4012" name="그림 401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2532" y="0"/>
                                  <a:ext cx="2365390" cy="2907030"/>
                                </a:xfrm>
                                <a:prstGeom prst="rect">
                                  <a:avLst/>
                                </a:prstGeom>
                                <a:noFill/>
                                <a:ln>
                                  <a:noFill/>
                                </a:ln>
                              </pic:spPr>
                            </pic:pic>
                            <wps:wsp>
                              <wps:cNvPr id="4013" name="Text Box 4013"/>
                              <wps:cNvSpPr txBox="1"/>
                              <wps:spPr>
                                <a:xfrm>
                                  <a:off x="1612899" y="2920350"/>
                                  <a:ext cx="741050" cy="220318"/>
                                </a:xfrm>
                                <a:prstGeom prst="rect">
                                  <a:avLst/>
                                </a:prstGeom>
                                <a:solidFill>
                                  <a:prstClr val="white"/>
                                </a:solidFill>
                                <a:ln>
                                  <a:noFill/>
                                </a:ln>
                              </wps:spPr>
                              <wps:txbx>
                                <w:txbxContent>
                                  <w:p w14:paraId="25A20ABA"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602A65" id="그룹 4011" o:spid="_x0000_s1379" style="position:absolute;margin-left:4.05pt;margin-top:6.4pt;width:186.25pt;height:247.2pt;z-index:251658366;mso-height-relative:margin" coordorigin="25" coordsize="23653,31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">
                      <v:shape id="그림 4012" o:spid="_x0000_s1380" type="#_x0000_t75" style="position:absolute;left:25;width:2365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">
                        <v:imagedata r:id="rId168" o:title=""/>
                      </v:shape>
                      <v:shape id="Text Box 4013" o:spid="_x0000_s1381" type="#_x0000_t202" style="position:absolute;left:16128;top:29203;width:741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" stroked="f">
                        <v:textbox inset="0,0,0,0">
                          <w:txbxContent>
                            <w:p w14:paraId="25A20ABA"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H</w:t>
                              </w:r>
                            </w:p>
                          </w:txbxContent>
                        </v:textbox>
                      </v:shape>
                      <w10:wrap type="square"/>
                    </v:group>
                  </w:pict>
                </mc:Fallback>
              </mc:AlternateContent>
            </w:r>
          </w:p>
          <w:p w14:paraId="01636741" w14:textId="77777777" w:rsidR="00BE1C70" w:rsidRPr="00C35766" w:rsidRDefault="00BE1C70" w:rsidP="008A6AF4">
            <w:pPr>
              <w:pStyle w:val="a3"/>
              <w:numPr>
                <w:ilvl w:val="0"/>
                <w:numId w:val="81"/>
              </w:numPr>
            </w:pPr>
            <w:r w:rsidRPr="00C35766">
              <w:rPr>
                <w:rFonts w:eastAsia="Times New Roman"/>
                <w:b/>
                <w:bCs/>
                <w:lang w:val="it-IT"/>
              </w:rPr>
              <w:t>Rimuova il cappuccio</w:t>
            </w:r>
          </w:p>
          <w:p w14:paraId="5D7CE049" w14:textId="77777777" w:rsidR="00BE1C70" w:rsidRPr="00C35766" w:rsidRDefault="00BE1C70" w:rsidP="00603A86">
            <w:pPr>
              <w:pStyle w:val="a3"/>
              <w:numPr>
                <w:ilvl w:val="0"/>
                <w:numId w:val="0"/>
              </w:numPr>
              <w:ind w:left="471"/>
            </w:pPr>
          </w:p>
          <w:p w14:paraId="1AB528CA" w14:textId="77777777" w:rsidR="00BE1C70" w:rsidRPr="00C35766" w:rsidRDefault="00BE1C70" w:rsidP="008A6AF4">
            <w:pPr>
              <w:pStyle w:val="a3"/>
              <w:ind w:left="4567" w:hanging="360"/>
            </w:pPr>
            <w:r w:rsidRPr="00C35766">
              <w:rPr>
                <w:rFonts w:eastAsia="Times New Roman"/>
                <w:b/>
                <w:bCs/>
                <w:lang w:val="it-IT"/>
              </w:rPr>
              <w:t>a</w:t>
            </w:r>
            <w:r w:rsidRPr="00C35766">
              <w:rPr>
                <w:rFonts w:eastAsia="Times New Roman"/>
                <w:lang w:val="it-IT"/>
              </w:rPr>
              <w:t>.</w:t>
            </w:r>
            <w:r w:rsidRPr="00C35766">
              <w:rPr>
                <w:rFonts w:eastAsia="Times New Roman"/>
                <w:lang w:val="it-IT"/>
              </w:rPr>
              <w:tab/>
              <w:t xml:space="preserve">Rimuova il cappuccio tenendo il corpo della siringa pre-riempita con una mano. Tiri delicatamente il cappuccio con l'altra mano. </w:t>
            </w:r>
          </w:p>
          <w:p w14:paraId="32EA8B46" w14:textId="77777777" w:rsidR="00BE1C70" w:rsidRPr="00C35766" w:rsidRDefault="00BE1C70" w:rsidP="00603A86">
            <w:pPr>
              <w:pStyle w:val="a3"/>
            </w:pPr>
          </w:p>
          <w:p w14:paraId="7E2FE959" w14:textId="058DA378" w:rsidR="008A6AF4" w:rsidRDefault="008A6AF4" w:rsidP="008A6AF4">
            <w:pPr>
              <w:pStyle w:val="a3"/>
              <w:numPr>
                <w:ilvl w:val="0"/>
                <w:numId w:val="18"/>
              </w:numPr>
              <w:rPr>
                <w:lang w:val="fr-FR"/>
              </w:rPr>
            </w:pPr>
            <w:r w:rsidRPr="008A6AF4">
              <w:rPr>
                <w:b/>
                <w:lang w:val="fr-FR"/>
              </w:rPr>
              <w:t>Non</w:t>
            </w:r>
            <w:r w:rsidRPr="008A6AF4">
              <w:rPr>
                <w:lang w:val="fr-FR"/>
              </w:rPr>
              <w:t xml:space="preserve"> </w:t>
            </w:r>
            <w:r>
              <w:rPr>
                <w:lang w:val="fr-FR"/>
              </w:rPr>
              <w:t>tir</w:t>
            </w:r>
            <w:r w:rsidR="005314EC">
              <w:rPr>
                <w:lang w:val="fr-FR"/>
              </w:rPr>
              <w:t>i</w:t>
            </w:r>
            <w:r>
              <w:rPr>
                <w:lang w:val="fr-FR"/>
              </w:rPr>
              <w:t xml:space="preserve"> </w:t>
            </w:r>
            <w:r w:rsidRPr="008A6AF4">
              <w:rPr>
                <w:lang w:val="fr-FR"/>
              </w:rPr>
              <w:t>mai indietro lo stantuffo</w:t>
            </w:r>
          </w:p>
          <w:p w14:paraId="738DFB2C" w14:textId="77777777" w:rsidR="008A6AF4" w:rsidRPr="008A6AF4" w:rsidRDefault="008A6AF4" w:rsidP="008A6AF4">
            <w:pPr>
              <w:pStyle w:val="a3"/>
              <w:numPr>
                <w:ilvl w:val="0"/>
                <w:numId w:val="0"/>
              </w:numPr>
              <w:rPr>
                <w:lang w:val="fr-FR"/>
              </w:rPr>
            </w:pPr>
          </w:p>
          <w:p w14:paraId="6AEDD79D" w14:textId="4A1E0EF0" w:rsidR="00BE1C70" w:rsidRPr="00C35766" w:rsidRDefault="00BE1C70" w:rsidP="00603A86">
            <w:pPr>
              <w:pStyle w:val="a3"/>
              <w:numPr>
                <w:ilvl w:val="0"/>
                <w:numId w:val="18"/>
              </w:numPr>
              <w:ind w:left="4297" w:hanging="3313"/>
              <w:rPr>
                <w:lang w:val="fr-FR"/>
              </w:rPr>
            </w:pPr>
            <w:r w:rsidRPr="00C35766">
              <w:rPr>
                <w:rFonts w:eastAsia="Times New Roman"/>
                <w:b/>
                <w:bCs/>
                <w:lang w:val="it-IT"/>
              </w:rPr>
              <w:t>Non</w:t>
            </w:r>
            <w:r w:rsidRPr="00C35766">
              <w:rPr>
                <w:rFonts w:eastAsia="Times New Roman"/>
                <w:lang w:val="it-IT"/>
              </w:rPr>
              <w:t xml:space="preserve"> rimuova il cappuccio fino a quando non è pronto per effettuare l'iniezione </w:t>
            </w:r>
          </w:p>
          <w:p w14:paraId="4175A469" w14:textId="77777777" w:rsidR="00BE1C70" w:rsidRPr="00C35766" w:rsidRDefault="00BE1C70" w:rsidP="00603A86">
            <w:pPr>
              <w:pStyle w:val="a3"/>
              <w:numPr>
                <w:ilvl w:val="0"/>
                <w:numId w:val="0"/>
              </w:numPr>
              <w:ind w:left="4297" w:hanging="3313"/>
              <w:rPr>
                <w:lang w:val="fr-FR"/>
              </w:rPr>
            </w:pPr>
          </w:p>
          <w:p w14:paraId="59312C15" w14:textId="77777777" w:rsidR="00BE1C70" w:rsidRPr="00C35766" w:rsidRDefault="00BE1C70" w:rsidP="00603A86">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tocchi l’ago. Ciò potrebbe comportare una lesione da puntura da ago.</w:t>
            </w:r>
            <w:r w:rsidRPr="00C35766">
              <w:rPr>
                <w:rFonts w:eastAsia="Times New Roman"/>
                <w:b/>
                <w:bCs/>
                <w:lang w:val="it-IT"/>
              </w:rPr>
              <w:t xml:space="preserve"> </w:t>
            </w:r>
          </w:p>
          <w:p w14:paraId="4E74F699" w14:textId="77777777" w:rsidR="00BE1C70" w:rsidRPr="00C35766" w:rsidRDefault="00BE1C70" w:rsidP="00603A86">
            <w:pPr>
              <w:pStyle w:val="a4"/>
              <w:ind w:left="4297" w:hanging="3313"/>
              <w:rPr>
                <w:rFonts w:ascii="Times New Roman" w:hAnsi="Times New Roman" w:cs="Times New Roman"/>
                <w:lang w:val="it-IT"/>
              </w:rPr>
            </w:pPr>
          </w:p>
          <w:p w14:paraId="782524AB" w14:textId="5ADBD51C" w:rsidR="00BE1C70" w:rsidRPr="00AF25F1" w:rsidRDefault="00BE1C70" w:rsidP="00603A86">
            <w:pPr>
              <w:pStyle w:val="a3"/>
              <w:numPr>
                <w:ilvl w:val="0"/>
                <w:numId w:val="18"/>
              </w:numPr>
              <w:ind w:left="4297" w:hanging="3313"/>
              <w:rPr>
                <w:lang w:val="it-IT"/>
              </w:rPr>
            </w:pPr>
            <w:r w:rsidRPr="00C35766">
              <w:rPr>
                <w:rFonts w:eastAsia="Times New Roman"/>
                <w:b/>
                <w:bCs/>
                <w:lang w:val="it-IT"/>
              </w:rPr>
              <w:t>Non</w:t>
            </w:r>
            <w:r w:rsidRPr="00C35766">
              <w:rPr>
                <w:rFonts w:eastAsia="Times New Roman"/>
                <w:lang w:val="it-IT"/>
              </w:rPr>
              <w:t xml:space="preserve"> riposizioni il cappuccio sulla siringa pre-riempita. Smaltisca immediatamente il cappuccio nel contenitore per lo smaltimento di oggetti taglienti.</w:t>
            </w:r>
          </w:p>
          <w:p w14:paraId="0F48EA14" w14:textId="77777777" w:rsidR="00F3069E" w:rsidRDefault="00F3069E" w:rsidP="00AF25F1">
            <w:pPr>
              <w:pStyle w:val="a4"/>
              <w:rPr>
                <w:lang w:val="it-IT"/>
              </w:rPr>
            </w:pPr>
          </w:p>
          <w:p w14:paraId="3E8B8942" w14:textId="5E25568B" w:rsidR="00F3069E" w:rsidRPr="00C35766" w:rsidRDefault="00F3069E" w:rsidP="00603A86">
            <w:pPr>
              <w:pStyle w:val="a3"/>
              <w:numPr>
                <w:ilvl w:val="0"/>
                <w:numId w:val="18"/>
              </w:numPr>
              <w:ind w:left="4297" w:hanging="3313"/>
              <w:rPr>
                <w:lang w:val="it-IT"/>
              </w:rPr>
            </w:pPr>
            <w:r>
              <w:rPr>
                <w:rFonts w:eastAsia="Times New Roman"/>
                <w:lang w:val="it-IT"/>
              </w:rPr>
              <w:t>È normale vedere fuoriuscire alcune gocce di liquido dall'ago.</w:t>
            </w:r>
          </w:p>
          <w:p w14:paraId="43FCB333" w14:textId="77777777" w:rsidR="00BE1C70" w:rsidRPr="00C35766" w:rsidRDefault="00BE1C70" w:rsidP="00603A86">
            <w:pPr>
              <w:pStyle w:val="a3"/>
              <w:numPr>
                <w:ilvl w:val="0"/>
                <w:numId w:val="0"/>
              </w:numPr>
              <w:ind w:left="1384"/>
              <w:rPr>
                <w:lang w:val="it-IT"/>
              </w:rPr>
            </w:pPr>
          </w:p>
        </w:tc>
      </w:tr>
      <w:tr w:rsidR="00BE1C70" w:rsidRPr="002A37A2" w14:paraId="50620FBF" w14:textId="77777777" w:rsidTr="00603A86">
        <w:trPr>
          <w:trHeight w:val="6650"/>
        </w:trPr>
        <w:tc>
          <w:tcPr>
            <w:tcW w:w="9550" w:type="dxa"/>
          </w:tcPr>
          <w:p w14:paraId="7B2C34AE" w14:textId="77777777" w:rsidR="00BE1C70" w:rsidRPr="00C35766" w:rsidRDefault="00BE1C70" w:rsidP="00603A86">
            <w:pPr>
              <w:ind w:left="104"/>
              <w:rPr>
                <w:rFonts w:ascii="Times New Roman" w:hAnsi="Times New Roman" w:cs="Times New Roman"/>
                <w:b/>
                <w:spacing w:val="-1"/>
                <w:lang w:val="it-IT"/>
              </w:rPr>
            </w:pPr>
          </w:p>
          <w:p w14:paraId="69EDE62D" w14:textId="77777777" w:rsidR="00BE1C70" w:rsidRPr="00C35766" w:rsidRDefault="00BE1C70" w:rsidP="00603A86">
            <w:pPr>
              <w:ind w:left="104"/>
              <w:rPr>
                <w:rFonts w:ascii="Times New Roman" w:hAnsi="Times New Roman" w:cs="Times New Roman"/>
                <w:lang w:val="it-IT"/>
              </w:rPr>
            </w:pPr>
            <w:r w:rsidRPr="00C35766">
              <w:rPr>
                <w:rFonts w:ascii="Times New Roman" w:hAnsi="Times New Roman" w:cs="Times New Roman"/>
                <w:noProof/>
                <w:lang w:eastAsia="ko-KR"/>
              </w:rPr>
              <mc:AlternateContent>
                <mc:Choice Requires="wpg">
                  <w:drawing>
                    <wp:anchor distT="0" distB="0" distL="114300" distR="114300" simplePos="0" relativeHeight="251658380" behindDoc="0" locked="0" layoutInCell="1" allowOverlap="1" wp14:anchorId="7EBDD2FF" wp14:editId="63CE0D84">
                      <wp:simplePos x="0" y="0"/>
                      <wp:positionH relativeFrom="column">
                        <wp:posOffset>77470</wp:posOffset>
                      </wp:positionH>
                      <wp:positionV relativeFrom="paragraph">
                        <wp:posOffset>64770</wp:posOffset>
                      </wp:positionV>
                      <wp:extent cx="2166620" cy="3810635"/>
                      <wp:effectExtent l="0" t="0" r="5080" b="0"/>
                      <wp:wrapSquare wrapText="bothSides"/>
                      <wp:docPr id="4014" name="그룹 4014"/>
                      <wp:cNvGraphicFramePr/>
                      <a:graphic xmlns:a="http://schemas.openxmlformats.org/drawingml/2006/main">
                        <a:graphicData uri="http://schemas.microsoft.com/office/word/2010/wordprocessingGroup">
                          <wpg:wgp>
                            <wpg:cNvGrpSpPr/>
                            <wpg:grpSpPr>
                              <a:xfrm>
                                <a:off x="0" y="0"/>
                                <a:ext cx="2166620" cy="3810635"/>
                                <a:chOff x="6869" y="0"/>
                                <a:chExt cx="2167486" cy="3761753"/>
                              </a:xfrm>
                            </wpg:grpSpPr>
                            <wpg:grpSp>
                              <wpg:cNvPr id="4015" name="그룹 4015"/>
                              <wpg:cNvGrpSpPr/>
                              <wpg:grpSpPr>
                                <a:xfrm>
                                  <a:off x="6869" y="0"/>
                                  <a:ext cx="2167486" cy="3761753"/>
                                  <a:chOff x="58628" y="0"/>
                                  <a:chExt cx="2167486" cy="3761753"/>
                                </a:xfrm>
                              </wpg:grpSpPr>
                              <pic:pic xmlns:pic="http://schemas.openxmlformats.org/drawingml/2006/picture">
                                <pic:nvPicPr>
                                  <pic:cNvPr id="4016" name="그림 4016"/>
                                  <pic:cNvPicPr>
                                    <a:picLocks noChangeAspect="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58628" y="0"/>
                                    <a:ext cx="2167486" cy="3593595"/>
                                  </a:xfrm>
                                  <a:prstGeom prst="rect">
                                    <a:avLst/>
                                  </a:prstGeom>
                                  <a:noFill/>
                                  <a:ln>
                                    <a:noFill/>
                                  </a:ln>
                                </pic:spPr>
                              </pic:pic>
                              <wps:wsp>
                                <wps:cNvPr id="4017" name="Text Box 4017"/>
                                <wps:cNvSpPr txBox="1"/>
                                <wps:spPr>
                                  <a:xfrm>
                                    <a:off x="1475659" y="3617675"/>
                                    <a:ext cx="719850" cy="144078"/>
                                  </a:xfrm>
                                  <a:prstGeom prst="rect">
                                    <a:avLst/>
                                  </a:prstGeom>
                                  <a:solidFill>
                                    <a:prstClr val="white"/>
                                  </a:solidFill>
                                  <a:ln>
                                    <a:noFill/>
                                  </a:ln>
                                </wps:spPr>
                                <wps:txbx>
                                  <w:txbxContent>
                                    <w:p w14:paraId="2592787E"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018" name="Text Box 4018"/>
                              <wps:cNvSpPr txBox="1"/>
                              <wps:spPr>
                                <a:xfrm>
                                  <a:off x="22858" y="1694930"/>
                                  <a:ext cx="2125930" cy="26722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E30142" w14:textId="77777777" w:rsidR="00D97785" w:rsidRPr="008A6AF4" w:rsidRDefault="00D97785" w:rsidP="00BE1C70">
                                    <w:pPr>
                                      <w:jc w:val="center"/>
                                      <w:rPr>
                                        <w:rFonts w:ascii="Arial" w:hAnsi="Arial" w:cs="Arial"/>
                                        <w:b/>
                                        <w:bCs/>
                                        <w:color w:val="FFFFFF" w:themeColor="background1"/>
                                        <w:sz w:val="28"/>
                                        <w:szCs w:val="28"/>
                                      </w:rPr>
                                    </w:pPr>
                                    <w:r w:rsidRPr="008A6AF4">
                                      <w:rPr>
                                        <w:rFonts w:ascii="Arial" w:eastAsia="Times New Roman" w:hAnsi="Arial" w:cs="Arial"/>
                                        <w:b/>
                                        <w:bCs/>
                                        <w:color w:val="FFFFFF"/>
                                        <w:sz w:val="28"/>
                                        <w:szCs w:val="28"/>
                                        <w:lang w:val="it-IT"/>
                                      </w:rPr>
                                      <w:t>OPPURE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EBDD2FF" id="그룹 4014" o:spid="_x0000_s1382" style="position:absolute;left:0;text-align:left;margin-left:6.1pt;margin-top:5.1pt;width:170.6pt;height:300.05pt;z-index:251658380;mso-width-relative:margin;mso-height-relative:margin" coordorigin="68" coordsize="21674,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">
                      <v:group id="그룹 4015" o:spid="_x0000_s1383" style="position:absolute;left:68;width:21675;height:37617" coordorigin="586" coordsize="21674,3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">
                        <v:shape id="그림 4016" o:spid="_x0000_s1384" type="#_x0000_t75" style="position:absolute;left:586;width:21675;height:35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">
                          <v:imagedata r:id="rId170" o:title=""/>
                        </v:shape>
                        <v:shape id="Text Box 4017" o:spid="_x0000_s1385" type="#_x0000_t202" style="position:absolute;left:14756;top:36176;width:7199;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" stroked="f">
                          <v:textbox style="mso-fit-shape-to-text:t" inset="0,0,0,0">
                            <w:txbxContent>
                              <w:p w14:paraId="2592787E"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I</w:t>
                                </w:r>
                              </w:p>
                            </w:txbxContent>
                          </v:textbox>
                        </v:shape>
                      </v:group>
                      <v:shape id="Text Box 4018" o:spid="_x0000_s1386" type="#_x0000_t202" style="position:absolute;left:228;top:16949;width:21259;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" fillcolor="black [3213]" stroked="f" strokeweight=".5pt">
                        <v:textbox inset="0,0,0,0">
                          <w:txbxContent>
                            <w:p w14:paraId="55E30142" w14:textId="77777777" w:rsidR="00D97785" w:rsidRPr="008A6AF4" w:rsidRDefault="00D97785" w:rsidP="00BE1C70">
                              <w:pPr>
                                <w:jc w:val="center"/>
                                <w:rPr>
                                  <w:rFonts w:ascii="Arial" w:hAnsi="Arial" w:cs="Arial"/>
                                  <w:b/>
                                  <w:bCs/>
                                  <w:color w:val="FFFFFF" w:themeColor="background1"/>
                                  <w:sz w:val="28"/>
                                  <w:szCs w:val="28"/>
                                </w:rPr>
                              </w:pPr>
                              <w:r w:rsidRPr="008A6AF4">
                                <w:rPr>
                                  <w:rFonts w:ascii="Arial" w:eastAsia="Times New Roman" w:hAnsi="Arial" w:cs="Arial"/>
                                  <w:b/>
                                  <w:bCs/>
                                  <w:color w:val="FFFFFF"/>
                                  <w:sz w:val="28"/>
                                  <w:szCs w:val="28"/>
                                  <w:lang w:val="it-IT"/>
                                </w:rPr>
                                <w:t>OPPURE</w:t>
                              </w:r>
                            </w:p>
                          </w:txbxContent>
                        </v:textbox>
                      </v:shape>
                      <w10:wrap type="square"/>
                    </v:group>
                  </w:pict>
                </mc:Fallback>
              </mc:AlternateContent>
            </w:r>
          </w:p>
          <w:p w14:paraId="66A44CFF" w14:textId="77777777" w:rsidR="00BE1C70" w:rsidRPr="00C35766" w:rsidRDefault="00BE1C70" w:rsidP="00603A86">
            <w:pPr>
              <w:pStyle w:val="1"/>
              <w:spacing w:before="76"/>
              <w:ind w:left="0" w:right="2736"/>
              <w:rPr>
                <w:rFonts w:eastAsiaTheme="minorEastAsia" w:cs="Times New Roman"/>
                <w:lang w:val="it-IT"/>
              </w:rPr>
            </w:pPr>
          </w:p>
          <w:p w14:paraId="482ACE1E" w14:textId="77777777" w:rsidR="00BE1C70" w:rsidRPr="00C35766" w:rsidRDefault="00BE1C70" w:rsidP="008A6AF4">
            <w:pPr>
              <w:pStyle w:val="a3"/>
              <w:numPr>
                <w:ilvl w:val="0"/>
                <w:numId w:val="81"/>
              </w:numPr>
              <w:rPr>
                <w:b/>
                <w:lang w:val="es-ES"/>
              </w:rPr>
            </w:pPr>
            <w:r w:rsidRPr="00C35766">
              <w:rPr>
                <w:rFonts w:eastAsia="Times New Roman"/>
                <w:b/>
                <w:bCs/>
                <w:lang w:val="it-IT"/>
              </w:rPr>
              <w:t xml:space="preserve">Inserisca la siringa pre-riempita nel sito d’iniezione </w:t>
            </w:r>
          </w:p>
          <w:p w14:paraId="2D323BED" w14:textId="77777777" w:rsidR="00BE1C70" w:rsidRPr="00C35766" w:rsidRDefault="00BE1C70" w:rsidP="00603A86">
            <w:pPr>
              <w:pStyle w:val="a3"/>
              <w:numPr>
                <w:ilvl w:val="0"/>
                <w:numId w:val="0"/>
              </w:numPr>
              <w:ind w:left="111"/>
              <w:rPr>
                <w:b/>
                <w:lang w:val="es-ES"/>
              </w:rPr>
            </w:pPr>
          </w:p>
          <w:p w14:paraId="7B31C391" w14:textId="77777777" w:rsidR="00BE1C70" w:rsidRPr="00C35766" w:rsidRDefault="00BE1C70" w:rsidP="00603A86">
            <w:pPr>
              <w:pStyle w:val="a3"/>
              <w:numPr>
                <w:ilvl w:val="0"/>
                <w:numId w:val="0"/>
              </w:numPr>
              <w:ind w:left="111"/>
              <w:rPr>
                <w:b/>
                <w:lang w:val="es-ES"/>
              </w:rPr>
            </w:pPr>
          </w:p>
          <w:p w14:paraId="12E9F10E" w14:textId="4BCCA17D" w:rsidR="00BE1C70" w:rsidRPr="00C35766" w:rsidRDefault="00BE1C70" w:rsidP="009918A1">
            <w:pPr>
              <w:pStyle w:val="a3"/>
              <w:ind w:left="4477" w:hanging="270"/>
              <w:rPr>
                <w:lang w:val="es-ES"/>
              </w:rPr>
            </w:pPr>
            <w:r w:rsidRPr="00C35766">
              <w:rPr>
                <w:rFonts w:eastAsia="Times New Roman"/>
                <w:b/>
                <w:bCs/>
                <w:lang w:val="it-IT"/>
              </w:rPr>
              <w:t>a.</w:t>
            </w:r>
            <w:r w:rsidRPr="00C35766">
              <w:rPr>
                <w:rFonts w:eastAsia="Times New Roman"/>
                <w:lang w:val="it-IT"/>
              </w:rPr>
              <w:tab/>
              <w:t>Con una mano stringa delicatamente la pelle per creare una piega nel sito d’iniezione</w:t>
            </w:r>
            <w:r w:rsidR="009918A1">
              <w:rPr>
                <w:rFonts w:eastAsia="Times New Roman"/>
                <w:lang w:val="it-IT"/>
              </w:rPr>
              <w:t>.</w:t>
            </w:r>
          </w:p>
          <w:p w14:paraId="33D172D0" w14:textId="77777777" w:rsidR="00BE1C70" w:rsidRPr="00C35766" w:rsidRDefault="00BE1C70" w:rsidP="00603A86">
            <w:pPr>
              <w:pStyle w:val="a3"/>
              <w:ind w:left="4477" w:hanging="270"/>
              <w:rPr>
                <w:lang w:val="es-ES"/>
              </w:rPr>
            </w:pPr>
          </w:p>
          <w:p w14:paraId="052E6F68" w14:textId="77777777" w:rsidR="00BE1C70" w:rsidRPr="00C35766" w:rsidRDefault="00BE1C70" w:rsidP="00603A86">
            <w:pPr>
              <w:pStyle w:val="a3"/>
              <w:ind w:left="4477" w:hanging="270"/>
              <w:rPr>
                <w:lang w:val="es-ES"/>
              </w:rPr>
            </w:pPr>
            <w:r w:rsidRPr="00C35766">
              <w:rPr>
                <w:rFonts w:eastAsia="Times New Roman"/>
                <w:b/>
                <w:bCs/>
                <w:lang w:val="it-IT"/>
              </w:rPr>
              <w:t>b</w:t>
            </w:r>
            <w:r w:rsidRPr="00C35766">
              <w:rPr>
                <w:rFonts w:eastAsia="Times New Roman"/>
                <w:lang w:val="it-IT"/>
              </w:rPr>
              <w:t>.</w:t>
            </w:r>
            <w:r w:rsidRPr="00C35766">
              <w:rPr>
                <w:rFonts w:eastAsia="Times New Roman"/>
                <w:lang w:val="it-IT"/>
              </w:rPr>
              <w:tab/>
              <w:t>Tenendo la siringa pre-riempita dal corpo, inserisca  l'ago completamente nella piega della pelle con un’angolatura di 45  gradi con un movimento rapido, come quando si lancia una freccetta.</w:t>
            </w:r>
          </w:p>
          <w:p w14:paraId="61749417" w14:textId="77777777" w:rsidR="00BE1C70" w:rsidRPr="00C35766" w:rsidRDefault="00BE1C70" w:rsidP="00603A86">
            <w:pPr>
              <w:pStyle w:val="a3"/>
              <w:rPr>
                <w:lang w:val="es-ES"/>
              </w:rPr>
            </w:pPr>
          </w:p>
        </w:tc>
      </w:tr>
      <w:tr w:rsidR="00BE1C70" w:rsidRPr="002A37A2" w14:paraId="1BD8A98F" w14:textId="77777777" w:rsidTr="00603A86">
        <w:trPr>
          <w:trHeight w:val="4819"/>
        </w:trPr>
        <w:tc>
          <w:tcPr>
            <w:tcW w:w="9550" w:type="dxa"/>
          </w:tcPr>
          <w:p w14:paraId="5D02E09C" w14:textId="77777777" w:rsidR="00BE1C70" w:rsidRPr="00C35766" w:rsidRDefault="00BE1C70" w:rsidP="00603A86">
            <w:pPr>
              <w:ind w:left="104"/>
              <w:rPr>
                <w:rFonts w:ascii="Times New Roman" w:eastAsia="Times New Roman" w:hAnsi="Times New Roman" w:cs="Times New Roman"/>
                <w:b/>
                <w:bCs/>
                <w:spacing w:val="-1"/>
                <w:lang w:val="es-ES"/>
              </w:rPr>
            </w:pPr>
          </w:p>
          <w:p w14:paraId="526FB2C9" w14:textId="77777777" w:rsidR="00BE1C70" w:rsidRPr="00C35766" w:rsidRDefault="00BE1C70" w:rsidP="00603A86">
            <w:pPr>
              <w:ind w:left="104"/>
              <w:rPr>
                <w:rFonts w:ascii="Times New Roman" w:hAnsi="Times New Roman" w:cs="Times New Roman"/>
                <w:lang w:val="es-ES" w:eastAsia="ko-KR"/>
              </w:rPr>
            </w:pPr>
            <w:r w:rsidRPr="00C35766">
              <w:rPr>
                <w:rFonts w:ascii="Times New Roman" w:hAnsi="Times New Roman" w:cs="Times New Roman"/>
                <w:noProof/>
                <w:lang w:eastAsia="ko-KR"/>
              </w:rPr>
              <mc:AlternateContent>
                <mc:Choice Requires="wpg">
                  <w:drawing>
                    <wp:anchor distT="0" distB="0" distL="114300" distR="114300" simplePos="0" relativeHeight="251658367" behindDoc="0" locked="0" layoutInCell="1" allowOverlap="1" wp14:anchorId="6B866DC9" wp14:editId="314369B9">
                      <wp:simplePos x="0" y="0"/>
                      <wp:positionH relativeFrom="column">
                        <wp:posOffset>68580</wp:posOffset>
                      </wp:positionH>
                      <wp:positionV relativeFrom="paragraph">
                        <wp:posOffset>48260</wp:posOffset>
                      </wp:positionV>
                      <wp:extent cx="2185035" cy="2757170"/>
                      <wp:effectExtent l="0" t="0" r="5715" b="5080"/>
                      <wp:wrapSquare wrapText="bothSides"/>
                      <wp:docPr id="4019" name="그룹 4019"/>
                      <wp:cNvGraphicFramePr/>
                      <a:graphic xmlns:a="http://schemas.openxmlformats.org/drawingml/2006/main">
                        <a:graphicData uri="http://schemas.microsoft.com/office/word/2010/wordprocessingGroup">
                          <wpg:wgp>
                            <wpg:cNvGrpSpPr/>
                            <wpg:grpSpPr>
                              <a:xfrm>
                                <a:off x="0" y="0"/>
                                <a:ext cx="2185035" cy="2757170"/>
                                <a:chOff x="0" y="11665"/>
                                <a:chExt cx="2185035" cy="2757170"/>
                              </a:xfrm>
                            </wpg:grpSpPr>
                            <pic:pic xmlns:pic="http://schemas.openxmlformats.org/drawingml/2006/picture">
                              <pic:nvPicPr>
                                <pic:cNvPr id="4020" name="그림 4020"/>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11665"/>
                                  <a:ext cx="2185035" cy="2558579"/>
                                </a:xfrm>
                                <a:prstGeom prst="rect">
                                  <a:avLst/>
                                </a:prstGeom>
                                <a:noFill/>
                                <a:ln>
                                  <a:noFill/>
                                </a:ln>
                              </pic:spPr>
                            </pic:pic>
                            <wps:wsp>
                              <wps:cNvPr id="4021" name="Text Box 4021"/>
                              <wps:cNvSpPr txBox="1"/>
                              <wps:spPr>
                                <a:xfrm>
                                  <a:off x="1466580" y="2570244"/>
                                  <a:ext cx="693487" cy="198591"/>
                                </a:xfrm>
                                <a:prstGeom prst="rect">
                                  <a:avLst/>
                                </a:prstGeom>
                                <a:solidFill>
                                  <a:prstClr val="white"/>
                                </a:solidFill>
                                <a:ln>
                                  <a:noFill/>
                                </a:ln>
                              </wps:spPr>
                              <wps:txbx>
                                <w:txbxContent>
                                  <w:p w14:paraId="1A1382FA"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866DC9" id="그룹 4019" o:spid="_x0000_s1387" style="position:absolute;left:0;text-align:left;margin-left:5.4pt;margin-top:3.8pt;width:172.05pt;height:217.1pt;z-index:251658367;mso-height-relative:margin" coordorigin=",116" coordsize="21850,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">
                      <v:shape id="그림 4020" o:spid="_x0000_s1388" type="#_x0000_t75" style="position:absolute;top:116;width:21850;height:2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">
                        <v:imagedata r:id="rId172" o:title=""/>
                      </v:shape>
                      <v:shape id="Text Box 4021" o:spid="_x0000_s1389" type="#_x0000_t202" style="position:absolute;left:14665;top:25702;width:6935;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" stroked="f">
                        <v:textbox inset="0,0,0,0">
                          <w:txbxContent>
                            <w:p w14:paraId="1A1382FA"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J</w:t>
                              </w:r>
                            </w:p>
                          </w:txbxContent>
                        </v:textbox>
                      </v:shape>
                      <w10:wrap type="square"/>
                    </v:group>
                  </w:pict>
                </mc:Fallback>
              </mc:AlternateContent>
            </w:r>
          </w:p>
          <w:p w14:paraId="222ABB5D" w14:textId="77777777" w:rsidR="00BE1C70" w:rsidRPr="00C35766" w:rsidRDefault="00BE1C70" w:rsidP="00603A86">
            <w:pPr>
              <w:pStyle w:val="Default"/>
              <w:rPr>
                <w:rFonts w:ascii="Times New Roman" w:hAnsi="Times New Roman" w:cs="Times New Roman"/>
                <w:lang w:val="es-ES"/>
              </w:rPr>
            </w:pPr>
          </w:p>
          <w:p w14:paraId="5C62994E" w14:textId="77777777" w:rsidR="00BE1C70" w:rsidRPr="00C35766" w:rsidRDefault="00BE1C70" w:rsidP="008A6AF4">
            <w:pPr>
              <w:pStyle w:val="a3"/>
              <w:numPr>
                <w:ilvl w:val="0"/>
                <w:numId w:val="81"/>
              </w:numPr>
            </w:pPr>
            <w:r w:rsidRPr="00C35766">
              <w:rPr>
                <w:rFonts w:eastAsia="Times New Roman"/>
                <w:b/>
                <w:bCs/>
                <w:lang w:val="it-IT"/>
              </w:rPr>
              <w:t>Esegua l’iniezione</w:t>
            </w:r>
          </w:p>
          <w:p w14:paraId="4DA019DB" w14:textId="77777777" w:rsidR="00BE1C70" w:rsidRPr="00C35766" w:rsidRDefault="00BE1C70" w:rsidP="00603A86">
            <w:pPr>
              <w:pStyle w:val="a3"/>
            </w:pPr>
          </w:p>
          <w:p w14:paraId="120CBC34" w14:textId="77777777" w:rsidR="00BE1C70" w:rsidRPr="00C35766" w:rsidRDefault="00BE1C70" w:rsidP="008A6AF4">
            <w:pPr>
              <w:pStyle w:val="a3"/>
              <w:ind w:left="4477" w:hanging="270"/>
              <w:rPr>
                <w:lang w:val="it-IT"/>
              </w:rPr>
            </w:pPr>
            <w:r w:rsidRPr="00C35766">
              <w:rPr>
                <w:rFonts w:eastAsia="Times New Roman"/>
                <w:b/>
                <w:bCs/>
                <w:lang w:val="it-IT"/>
              </w:rPr>
              <w:t>a.</w:t>
            </w:r>
            <w:r w:rsidRPr="00C35766">
              <w:rPr>
                <w:rFonts w:eastAsia="Times New Roman"/>
                <w:lang w:val="it-IT"/>
              </w:rPr>
              <w:tab/>
              <w:t>Una volta inserito l'ago, lasci andare la  pelle pizzicata.</w:t>
            </w:r>
          </w:p>
          <w:p w14:paraId="0D9CE1F9" w14:textId="77777777" w:rsidR="00BE1C70" w:rsidRPr="00C35766" w:rsidRDefault="00BE1C70" w:rsidP="008A6AF4">
            <w:pPr>
              <w:pStyle w:val="a3"/>
              <w:ind w:left="4477" w:hanging="270"/>
              <w:rPr>
                <w:lang w:val="it-IT"/>
              </w:rPr>
            </w:pPr>
            <w:r w:rsidRPr="00C35766">
              <w:rPr>
                <w:rFonts w:eastAsia="Times New Roman"/>
                <w:b/>
                <w:bCs/>
                <w:lang w:val="it-IT"/>
              </w:rPr>
              <w:t>b.</w:t>
            </w:r>
            <w:r w:rsidRPr="00C35766">
              <w:rPr>
                <w:rFonts w:eastAsia="Times New Roman"/>
                <w:lang w:val="it-IT"/>
              </w:rPr>
              <w:tab/>
              <w:t>Sping</w:t>
            </w:r>
            <w:r>
              <w:rPr>
                <w:rFonts w:eastAsia="Times New Roman"/>
                <w:lang w:val="it-IT"/>
              </w:rPr>
              <w:t>a</w:t>
            </w:r>
            <w:r w:rsidRPr="00C35766">
              <w:rPr>
                <w:rFonts w:eastAsia="Times New Roman"/>
                <w:lang w:val="it-IT"/>
              </w:rPr>
              <w:t xml:space="preserve"> lentamente e completamente lo stantuffo verso il basso fino a</w:t>
            </w:r>
            <w:r>
              <w:rPr>
                <w:rFonts w:eastAsia="Times New Roman"/>
                <w:lang w:val="it-IT"/>
              </w:rPr>
              <w:t>d</w:t>
            </w:r>
            <w:r w:rsidRPr="00C35766">
              <w:rPr>
                <w:rFonts w:eastAsia="Times New Roman"/>
                <w:lang w:val="it-IT"/>
              </w:rPr>
              <w:t xml:space="preserve"> iniettare tutto il liquido e a svuotare la siringa.</w:t>
            </w:r>
          </w:p>
          <w:p w14:paraId="5695C115" w14:textId="77777777" w:rsidR="00BE1C70" w:rsidRPr="00C35766" w:rsidRDefault="00BE1C70" w:rsidP="00603A86">
            <w:pPr>
              <w:pStyle w:val="a3"/>
              <w:rPr>
                <w:lang w:val="it-IT"/>
              </w:rPr>
            </w:pPr>
          </w:p>
          <w:p w14:paraId="4A1D223D" w14:textId="77777777" w:rsidR="00BE1C70" w:rsidRPr="00C35766" w:rsidRDefault="00BE1C70" w:rsidP="00603A86">
            <w:pPr>
              <w:pStyle w:val="a3"/>
              <w:rPr>
                <w:lang w:val="it-IT"/>
              </w:rPr>
            </w:pPr>
          </w:p>
          <w:p w14:paraId="5AB74F4E" w14:textId="4129176A" w:rsidR="00BE1C70" w:rsidRPr="00C35766" w:rsidRDefault="00BE1C70" w:rsidP="008A6AF4">
            <w:pPr>
              <w:pStyle w:val="a3"/>
              <w:numPr>
                <w:ilvl w:val="0"/>
                <w:numId w:val="18"/>
              </w:numPr>
              <w:ind w:left="4297" w:hanging="3313"/>
              <w:rPr>
                <w:lang w:val="es-ES"/>
              </w:rPr>
            </w:pPr>
            <w:r w:rsidRPr="00C35766">
              <w:rPr>
                <w:rFonts w:eastAsia="Times New Roman"/>
                <w:b/>
                <w:bCs/>
                <w:lang w:val="it-IT"/>
              </w:rPr>
              <w:t>Non</w:t>
            </w:r>
            <w:r w:rsidRPr="00C35766">
              <w:rPr>
                <w:rFonts w:eastAsia="Times New Roman"/>
                <w:lang w:val="it-IT"/>
              </w:rPr>
              <w:t xml:space="preserve"> cambi la posizione della siringa pre-riempita una volta iniziata l’iniezione.</w:t>
            </w:r>
          </w:p>
          <w:p w14:paraId="456A58AC" w14:textId="77777777" w:rsidR="00BE1C70" w:rsidRPr="00C35766" w:rsidRDefault="00BE1C70" w:rsidP="00603A86">
            <w:pPr>
              <w:pStyle w:val="a3"/>
              <w:rPr>
                <w:lang w:val="es-ES" w:eastAsia="ko-KR"/>
              </w:rPr>
            </w:pPr>
            <w:r w:rsidRPr="00C35766">
              <w:rPr>
                <w:color w:val="211D1E"/>
                <w:sz w:val="20"/>
                <w:szCs w:val="20"/>
                <w:lang w:val="es-ES"/>
              </w:rPr>
              <w:t xml:space="preserve"> </w:t>
            </w:r>
          </w:p>
        </w:tc>
      </w:tr>
      <w:tr w:rsidR="00BE1C70" w:rsidRPr="002A37A2" w14:paraId="222EAD57" w14:textId="77777777" w:rsidTr="00603A86">
        <w:trPr>
          <w:trHeight w:val="5374"/>
        </w:trPr>
        <w:tc>
          <w:tcPr>
            <w:tcW w:w="9550" w:type="dxa"/>
          </w:tcPr>
          <w:p w14:paraId="61ED9C14" w14:textId="77777777" w:rsidR="00BE1C70" w:rsidRPr="00C35766" w:rsidRDefault="00BE1C70" w:rsidP="00603A86">
            <w:pPr>
              <w:ind w:left="104"/>
              <w:rPr>
                <w:rFonts w:ascii="Times New Roman" w:eastAsia="Times New Roman" w:hAnsi="Times New Roman" w:cs="Times New Roman"/>
                <w:b/>
                <w:bCs/>
                <w:spacing w:val="-1"/>
                <w:lang w:val="es-ES"/>
              </w:rPr>
            </w:pPr>
          </w:p>
          <w:p w14:paraId="73898FE4" w14:textId="77777777" w:rsidR="00BE1C70" w:rsidRPr="00C35766" w:rsidRDefault="00BE1C70" w:rsidP="00603A86">
            <w:pPr>
              <w:rPr>
                <w:rFonts w:ascii="Times New Roman" w:eastAsia="Times New Roman" w:hAnsi="Times New Roman" w:cs="Times New Roman"/>
                <w:lang w:val="es-ES"/>
              </w:rPr>
            </w:pPr>
            <w:r>
              <w:rPr>
                <w:rFonts w:ascii="Times New Roman" w:eastAsia="Times New Roman" w:hAnsi="Times New Roman" w:cs="Times New Roman"/>
                <w:noProof/>
                <w:lang w:eastAsia="ko-KR"/>
              </w:rPr>
              <mc:AlternateContent>
                <mc:Choice Requires="wpg">
                  <w:drawing>
                    <wp:anchor distT="0" distB="0" distL="114300" distR="114300" simplePos="0" relativeHeight="251658381" behindDoc="1" locked="0" layoutInCell="1" allowOverlap="1" wp14:anchorId="5A7301AA" wp14:editId="548945B1">
                      <wp:simplePos x="0" y="0"/>
                      <wp:positionH relativeFrom="column">
                        <wp:posOffset>67945</wp:posOffset>
                      </wp:positionH>
                      <wp:positionV relativeFrom="paragraph">
                        <wp:posOffset>131445</wp:posOffset>
                      </wp:positionV>
                      <wp:extent cx="2178685" cy="2880995"/>
                      <wp:effectExtent l="0" t="0" r="0" b="0"/>
                      <wp:wrapSquare wrapText="bothSides"/>
                      <wp:docPr id="4022" name="그룹 4022"/>
                      <wp:cNvGraphicFramePr/>
                      <a:graphic xmlns:a="http://schemas.openxmlformats.org/drawingml/2006/main">
                        <a:graphicData uri="http://schemas.microsoft.com/office/word/2010/wordprocessingGroup">
                          <wpg:wgp>
                            <wpg:cNvGrpSpPr/>
                            <wpg:grpSpPr>
                              <a:xfrm>
                                <a:off x="0" y="0"/>
                                <a:ext cx="2178685" cy="2880995"/>
                                <a:chOff x="9162" y="-1"/>
                                <a:chExt cx="2178910" cy="2881662"/>
                              </a:xfrm>
                            </wpg:grpSpPr>
                            <pic:pic xmlns:pic="http://schemas.openxmlformats.org/drawingml/2006/picture">
                              <pic:nvPicPr>
                                <pic:cNvPr id="4023" name="그림 4023"/>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9162" y="-1"/>
                                  <a:ext cx="2178910" cy="2682815"/>
                                </a:xfrm>
                                <a:prstGeom prst="rect">
                                  <a:avLst/>
                                </a:prstGeom>
                                <a:ln w="12700">
                                  <a:noFill/>
                                </a:ln>
                              </pic:spPr>
                            </pic:pic>
                            <wps:wsp>
                              <wps:cNvPr id="4028" name="Text Box 4028"/>
                              <wps:cNvSpPr txBox="1"/>
                              <wps:spPr>
                                <a:xfrm>
                                  <a:off x="1466850" y="2705099"/>
                                  <a:ext cx="702603" cy="176562"/>
                                </a:xfrm>
                                <a:prstGeom prst="rect">
                                  <a:avLst/>
                                </a:prstGeom>
                                <a:solidFill>
                                  <a:prstClr val="white"/>
                                </a:solidFill>
                                <a:ln>
                                  <a:noFill/>
                                </a:ln>
                              </wps:spPr>
                              <wps:txbx>
                                <w:txbxContent>
                                  <w:p w14:paraId="4FD53262" w14:textId="77777777" w:rsidR="00D97785" w:rsidRPr="00DA0ECF" w:rsidRDefault="00D97785" w:rsidP="00BE1C70">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301AA" id="그룹 4022" o:spid="_x0000_s1390" style="position:absolute;margin-left:5.35pt;margin-top:10.35pt;width:171.55pt;height:226.85pt;z-index:-251658099;mso-width-relative:margin;mso-height-relative:margin" coordorigin="91" coordsize="21789,28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&#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">
                      <v:shape id="그림 4023" o:spid="_x0000_s1391" type="#_x0000_t75" style="position:absolute;left:91;width:21789;height:2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" strokeweight="1pt">
                        <v:imagedata r:id="rId174" o:title=""/>
                      </v:shape>
                      <v:shape id="Text Box 4028" o:spid="_x0000_s1392" type="#_x0000_t202" style="position:absolute;left:14668;top:27050;width:7026;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" stroked="f">
                        <v:textbox inset="0,0,0,0">
                          <w:txbxContent>
                            <w:p w14:paraId="4FD53262" w14:textId="77777777" w:rsidR="00D97785" w:rsidRPr="00DA0ECF" w:rsidRDefault="00D97785" w:rsidP="00BE1C70">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K</w:t>
                              </w:r>
                            </w:p>
                          </w:txbxContent>
                        </v:textbox>
                      </v:shape>
                      <w10:wrap type="square"/>
                    </v:group>
                  </w:pict>
                </mc:Fallback>
              </mc:AlternateContent>
            </w:r>
          </w:p>
          <w:p w14:paraId="7F621BDB" w14:textId="77777777" w:rsidR="00BE1C70" w:rsidRPr="00C35766" w:rsidRDefault="00BE1C70" w:rsidP="00603A86">
            <w:pPr>
              <w:pStyle w:val="a3"/>
              <w:rPr>
                <w:lang w:val="es-ES"/>
              </w:rPr>
            </w:pPr>
          </w:p>
          <w:p w14:paraId="71D38E7A" w14:textId="77777777" w:rsidR="00BE1C70" w:rsidRPr="00C35766" w:rsidRDefault="00BE1C70" w:rsidP="008A6AF4">
            <w:pPr>
              <w:pStyle w:val="a3"/>
              <w:numPr>
                <w:ilvl w:val="0"/>
                <w:numId w:val="81"/>
              </w:numPr>
              <w:rPr>
                <w:b/>
                <w:lang w:val="es-ES"/>
              </w:rPr>
            </w:pPr>
            <w:r w:rsidRPr="00C35766">
              <w:rPr>
                <w:rFonts w:eastAsia="Times New Roman"/>
                <w:b/>
                <w:bCs/>
                <w:lang w:val="it-IT"/>
              </w:rPr>
              <w:t xml:space="preserve">Rimuova la siringa pre-riempita dal </w:t>
            </w:r>
            <w:r w:rsidRPr="00C35766">
              <w:rPr>
                <w:b/>
                <w:lang w:val="it-IT"/>
              </w:rPr>
              <w:t>sito d’</w:t>
            </w:r>
            <w:r w:rsidRPr="00C35766">
              <w:rPr>
                <w:rFonts w:eastAsia="Times New Roman"/>
                <w:b/>
                <w:bCs/>
                <w:lang w:val="it-IT"/>
              </w:rPr>
              <w:t xml:space="preserve">iniezione </w:t>
            </w:r>
            <w:r>
              <w:rPr>
                <w:rFonts w:eastAsia="Times New Roman"/>
                <w:b/>
                <w:bCs/>
                <w:lang w:val="it-IT"/>
              </w:rPr>
              <w:t xml:space="preserve">e </w:t>
            </w:r>
            <w:r w:rsidRPr="00C35766">
              <w:rPr>
                <w:rFonts w:eastAsia="Times New Roman"/>
                <w:b/>
                <w:bCs/>
                <w:lang w:val="it-IT"/>
              </w:rPr>
              <w:t>si occupi del sito d’iniezione</w:t>
            </w:r>
          </w:p>
          <w:p w14:paraId="5C0DCA24" w14:textId="77777777" w:rsidR="00BE1C70" w:rsidRPr="00C35766" w:rsidRDefault="00BE1C70" w:rsidP="00603A86">
            <w:pPr>
              <w:pStyle w:val="a3"/>
              <w:numPr>
                <w:ilvl w:val="0"/>
                <w:numId w:val="0"/>
              </w:numPr>
              <w:ind w:left="471"/>
              <w:rPr>
                <w:b/>
                <w:lang w:val="es-ES"/>
              </w:rPr>
            </w:pPr>
          </w:p>
          <w:p w14:paraId="1810AF9B" w14:textId="77777777" w:rsidR="00BE1C70" w:rsidRPr="00C35766" w:rsidRDefault="00BE1C70" w:rsidP="00603A86">
            <w:pPr>
              <w:pStyle w:val="a3"/>
              <w:ind w:left="4387" w:hanging="360"/>
              <w:rPr>
                <w:lang w:val="es-ES"/>
              </w:rPr>
            </w:pPr>
            <w:r w:rsidRPr="00C35766">
              <w:rPr>
                <w:rFonts w:eastAsia="Times New Roman"/>
                <w:b/>
                <w:bCs/>
                <w:lang w:val="it-IT"/>
              </w:rPr>
              <w:t>a.</w:t>
            </w:r>
            <w:r w:rsidRPr="00C35766">
              <w:rPr>
                <w:rFonts w:eastAsia="Times New Roman"/>
                <w:lang w:val="it-IT"/>
              </w:rPr>
              <w:t xml:space="preserve"> </w:t>
            </w:r>
            <w:r w:rsidRPr="00C35766">
              <w:rPr>
                <w:rFonts w:eastAsia="Times New Roman"/>
                <w:lang w:val="it-IT"/>
              </w:rPr>
              <w:tab/>
              <w:t>Una volta svuotata la siringa pre-riempita, la rimuova  dalla pelle con la stessa angolazione con cui l’ha inserita.</w:t>
            </w:r>
          </w:p>
          <w:p w14:paraId="532D8FB2" w14:textId="77777777" w:rsidR="00BE1C70" w:rsidRPr="00C35766" w:rsidRDefault="00BE1C70" w:rsidP="00603A86">
            <w:pPr>
              <w:pStyle w:val="a3"/>
              <w:ind w:left="4387" w:hanging="360"/>
              <w:rPr>
                <w:rFonts w:eastAsia="Times New Roman"/>
                <w:lang w:val="es-ES"/>
              </w:rPr>
            </w:pPr>
            <w:r w:rsidRPr="00C35766">
              <w:rPr>
                <w:rFonts w:eastAsia="Times New Roman"/>
                <w:b/>
                <w:bCs/>
                <w:lang w:val="it-IT"/>
              </w:rPr>
              <w:t>b.</w:t>
            </w:r>
            <w:r w:rsidRPr="00C35766">
              <w:rPr>
                <w:rFonts w:eastAsia="Times New Roman"/>
                <w:b/>
                <w:bCs/>
                <w:lang w:val="it-IT"/>
              </w:rPr>
              <w:tab/>
            </w:r>
            <w:r w:rsidRPr="00C35766">
              <w:rPr>
                <w:rFonts w:eastAsia="Times New Roman"/>
                <w:lang w:val="it-IT"/>
              </w:rPr>
              <w:t>Medichi il sito d’iniezione premendo delicatamente  su di esso, senza strofinare, un batuffolo di cotone idrofilo o una garza e,  se necessario, applichi un cerotto. Può verificarsi un sanguinamento.</w:t>
            </w:r>
          </w:p>
          <w:p w14:paraId="15EE76F5" w14:textId="77777777" w:rsidR="00BE1C70" w:rsidRPr="00C35766" w:rsidRDefault="00BE1C70" w:rsidP="00603A86">
            <w:pPr>
              <w:pStyle w:val="a3"/>
              <w:rPr>
                <w:lang w:val="es-ES"/>
              </w:rPr>
            </w:pPr>
            <w:r w:rsidRPr="00C35766">
              <w:rPr>
                <w:lang w:val="es-ES"/>
              </w:rPr>
              <w:t xml:space="preserve"> </w:t>
            </w:r>
          </w:p>
          <w:p w14:paraId="78565FEE" w14:textId="7A207988" w:rsidR="00BE1C70" w:rsidRPr="00C35766" w:rsidRDefault="009918A1" w:rsidP="008A6AF4">
            <w:pPr>
              <w:pStyle w:val="a3"/>
              <w:numPr>
                <w:ilvl w:val="0"/>
                <w:numId w:val="0"/>
              </w:numPr>
              <w:rPr>
                <w:lang w:val="es-ES"/>
              </w:rPr>
            </w:pPr>
            <w:r w:rsidRPr="00C35766">
              <w:rPr>
                <w:rFonts w:eastAsia="맑은 고딕"/>
                <w:lang w:val="it-IT"/>
              </w:rPr>
              <w:t>•</w:t>
            </w:r>
            <w:r>
              <w:rPr>
                <w:rFonts w:eastAsia="Times New Roman"/>
                <w:lang w:val="it-IT"/>
              </w:rPr>
              <w:t xml:space="preserve"> </w:t>
            </w:r>
            <w:r w:rsidR="00BE1C70" w:rsidRPr="00C35766">
              <w:rPr>
                <w:rFonts w:eastAsia="Times New Roman"/>
                <w:b/>
                <w:bCs/>
                <w:lang w:val="it-IT"/>
              </w:rPr>
              <w:t>Non</w:t>
            </w:r>
            <w:r w:rsidR="00BE1C70" w:rsidRPr="00C35766">
              <w:rPr>
                <w:rFonts w:eastAsia="Times New Roman"/>
                <w:lang w:val="it-IT"/>
              </w:rPr>
              <w:t xml:space="preserve"> riutilizzi la siringa pre-riempita.</w:t>
            </w:r>
          </w:p>
          <w:p w14:paraId="24AB1FE1" w14:textId="2509AFAB" w:rsidR="00BE1C70" w:rsidRPr="008A6AF4" w:rsidRDefault="009918A1" w:rsidP="008A6AF4">
            <w:pPr>
              <w:pStyle w:val="a3"/>
              <w:numPr>
                <w:ilvl w:val="0"/>
                <w:numId w:val="0"/>
              </w:numPr>
              <w:rPr>
                <w:rFonts w:eastAsia="Times New Roman"/>
                <w:lang w:val="it-IT"/>
              </w:rPr>
            </w:pPr>
            <w:r w:rsidRPr="00C35766">
              <w:rPr>
                <w:rFonts w:eastAsia="맑은 고딕"/>
                <w:lang w:val="it-IT"/>
              </w:rPr>
              <w:t>•</w:t>
            </w:r>
            <w:r>
              <w:rPr>
                <w:rFonts w:eastAsia="Times New Roman"/>
                <w:lang w:val="it-IT"/>
              </w:rPr>
              <w:t xml:space="preserve"> </w:t>
            </w:r>
            <w:r w:rsidR="00BE1C70" w:rsidRPr="00C35766">
              <w:rPr>
                <w:rFonts w:eastAsia="Times New Roman"/>
                <w:b/>
                <w:bCs/>
                <w:lang w:val="it-IT"/>
              </w:rPr>
              <w:t>Non</w:t>
            </w:r>
            <w:r w:rsidR="00BE1C70" w:rsidRPr="00C35766">
              <w:rPr>
                <w:rFonts w:eastAsia="Times New Roman"/>
                <w:lang w:val="it-IT"/>
              </w:rPr>
              <w:t xml:space="preserve"> tocchi l'ago e non lo copra col cappuccio. </w:t>
            </w:r>
          </w:p>
          <w:p w14:paraId="53F2BC4D" w14:textId="5A75DFC9" w:rsidR="00BE1C70" w:rsidRPr="00C35766" w:rsidRDefault="009918A1" w:rsidP="008A6AF4">
            <w:pPr>
              <w:pStyle w:val="a3"/>
              <w:numPr>
                <w:ilvl w:val="0"/>
                <w:numId w:val="0"/>
              </w:numPr>
              <w:rPr>
                <w:lang w:val="fr-FR"/>
              </w:rPr>
            </w:pPr>
            <w:r w:rsidRPr="00C35766">
              <w:rPr>
                <w:rFonts w:eastAsia="맑은 고딕"/>
                <w:lang w:val="it-IT"/>
              </w:rPr>
              <w:t>•</w:t>
            </w:r>
            <w:r>
              <w:rPr>
                <w:rFonts w:eastAsia="Times New Roman"/>
                <w:lang w:val="it-IT"/>
              </w:rPr>
              <w:t xml:space="preserve"> </w:t>
            </w:r>
            <w:r w:rsidR="00BE1C70" w:rsidRPr="009918A1">
              <w:rPr>
                <w:rFonts w:eastAsia="Times New Roman"/>
                <w:b/>
                <w:lang w:val="it-IT"/>
              </w:rPr>
              <w:t>Non</w:t>
            </w:r>
            <w:r w:rsidR="00BE1C70" w:rsidRPr="00C35766">
              <w:rPr>
                <w:rFonts w:eastAsia="Times New Roman"/>
                <w:lang w:val="it-IT"/>
              </w:rPr>
              <w:t xml:space="preserve"> strofini il sito d’iniezione.</w:t>
            </w:r>
            <w:r w:rsidR="00BE1C70" w:rsidRPr="00824699">
              <w:rPr>
                <w:noProof/>
                <w:lang w:val="it-IT"/>
              </w:rPr>
              <w:t xml:space="preserve"> </w:t>
            </w:r>
          </w:p>
        </w:tc>
      </w:tr>
      <w:tr w:rsidR="00BE1C70" w:rsidRPr="002A37A2" w14:paraId="31E8518D" w14:textId="77777777" w:rsidTr="00603A86">
        <w:trPr>
          <w:trHeight w:val="5380"/>
        </w:trPr>
        <w:tc>
          <w:tcPr>
            <w:tcW w:w="9550" w:type="dxa"/>
          </w:tcPr>
          <w:p w14:paraId="73BCB480" w14:textId="72BA5600" w:rsidR="00BE1C70" w:rsidRPr="00C35766" w:rsidRDefault="00BE1C70" w:rsidP="00603A86">
            <w:pPr>
              <w:ind w:left="104"/>
              <w:rPr>
                <w:rFonts w:ascii="Times New Roman" w:eastAsia="Times New Roman" w:hAnsi="Times New Roman" w:cs="Times New Roman"/>
                <w:b/>
                <w:bCs/>
                <w:spacing w:val="-1"/>
                <w:lang w:val="fr-FR"/>
              </w:rPr>
            </w:pPr>
          </w:p>
          <w:p w14:paraId="296580CC" w14:textId="71824265" w:rsidR="00BE1C70" w:rsidRPr="00C35766" w:rsidRDefault="009918A1" w:rsidP="00603A86">
            <w:pPr>
              <w:pStyle w:val="a3"/>
              <w:rPr>
                <w:lang w:val="fr-FR"/>
              </w:rPr>
            </w:pPr>
            <w:r>
              <w:rPr>
                <w:rFonts w:eastAsia="Times New Roman"/>
                <w:b/>
                <w:bCs/>
                <w:noProof/>
                <w:spacing w:val="-1"/>
                <w:lang w:eastAsia="ko-KR"/>
              </w:rPr>
              <mc:AlternateContent>
                <mc:Choice Requires="wpg">
                  <w:drawing>
                    <wp:anchor distT="0" distB="0" distL="114300" distR="114300" simplePos="0" relativeHeight="251658382" behindDoc="0" locked="0" layoutInCell="1" allowOverlap="1" wp14:anchorId="147CD62B" wp14:editId="456BD2F8">
                      <wp:simplePos x="0" y="0"/>
                      <wp:positionH relativeFrom="column">
                        <wp:posOffset>-635</wp:posOffset>
                      </wp:positionH>
                      <wp:positionV relativeFrom="paragraph">
                        <wp:posOffset>13335</wp:posOffset>
                      </wp:positionV>
                      <wp:extent cx="2277110" cy="2984500"/>
                      <wp:effectExtent l="0" t="0" r="8890" b="6350"/>
                      <wp:wrapSquare wrapText="bothSides"/>
                      <wp:docPr id="4030" name="그룹 4030"/>
                      <wp:cNvGraphicFramePr/>
                      <a:graphic xmlns:a="http://schemas.openxmlformats.org/drawingml/2006/main">
                        <a:graphicData uri="http://schemas.microsoft.com/office/word/2010/wordprocessingGroup">
                          <wpg:wgp>
                            <wpg:cNvGrpSpPr/>
                            <wpg:grpSpPr>
                              <a:xfrm>
                                <a:off x="0" y="0"/>
                                <a:ext cx="2277110" cy="2984500"/>
                                <a:chOff x="0" y="2138"/>
                                <a:chExt cx="2277374" cy="2985306"/>
                              </a:xfrm>
                            </wpg:grpSpPr>
                            <pic:pic xmlns:pic="http://schemas.openxmlformats.org/drawingml/2006/picture">
                              <pic:nvPicPr>
                                <pic:cNvPr id="4031" name="그림 403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2138"/>
                                  <a:ext cx="2277374" cy="2737019"/>
                                </a:xfrm>
                                <a:prstGeom prst="rect">
                                  <a:avLst/>
                                </a:prstGeom>
                                <a:ln w="12700">
                                  <a:noFill/>
                                </a:ln>
                              </pic:spPr>
                            </pic:pic>
                            <wps:wsp>
                              <wps:cNvPr id="4032" name="Text Box 4032"/>
                              <wps:cNvSpPr txBox="1"/>
                              <wps:spPr>
                                <a:xfrm>
                                  <a:off x="1548985" y="2746521"/>
                                  <a:ext cx="719591" cy="240923"/>
                                </a:xfrm>
                                <a:prstGeom prst="rect">
                                  <a:avLst/>
                                </a:prstGeom>
                                <a:solidFill>
                                  <a:prstClr val="white"/>
                                </a:solidFill>
                                <a:ln>
                                  <a:noFill/>
                                </a:ln>
                              </wps:spPr>
                              <wps:txbx>
                                <w:txbxContent>
                                  <w:p w14:paraId="52656FCB" w14:textId="77777777" w:rsidR="00D97785" w:rsidRPr="00DA0ECF" w:rsidRDefault="00D97785" w:rsidP="00BE1C70">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7CD62B" id="그룹 4030" o:spid="_x0000_s1393" style="position:absolute;margin-left:-.05pt;margin-top:1.05pt;width:179.3pt;height:235pt;z-index:251658382;mso-width-relative:margin;mso-height-relative:margin" coordorigin=",21" coordsize="22773,29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">
                      <v:shape id="그림 4031" o:spid="_x0000_s1394" type="#_x0000_t75" style="position:absolute;top:21;width:22773;height:27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" strokeweight="1pt">
                        <v:imagedata r:id="rId176" o:title=""/>
                      </v:shape>
                      <v:shape id="Text Box 4032" o:spid="_x0000_s1395" type="#_x0000_t202" style="position:absolute;left:15489;top:27465;width:719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" stroked="f">
                        <v:textbox inset="0,0,0,0">
                          <w:txbxContent>
                            <w:p w14:paraId="52656FCB" w14:textId="77777777" w:rsidR="00D97785" w:rsidRPr="00DA0ECF" w:rsidRDefault="00D97785" w:rsidP="00BE1C70">
                              <w:pPr>
                                <w:pStyle w:val="af0"/>
                                <w:jc w:val="right"/>
                                <w:rPr>
                                  <w:rFonts w:ascii="맑은 고딕" w:eastAsia="맑은 고딕" w:hAnsi="맑은 고딕" w:cs="맑은 고딕"/>
                                  <w:noProof/>
                                  <w:spacing w:val="-1"/>
                                  <w:lang w:eastAsia="ko-KR"/>
                                </w:rPr>
                              </w:pPr>
                              <w:r>
                                <w:rPr>
                                  <w:rFonts w:ascii="Times New Roman" w:eastAsia="Times New Roman" w:hAnsi="Times New Roman" w:cs="Times New Roman"/>
                                  <w:lang w:val="it-IT"/>
                                </w:rPr>
                                <w:t>Figura L</w:t>
                              </w:r>
                            </w:p>
                          </w:txbxContent>
                        </v:textbox>
                      </v:shape>
                      <w10:wrap type="square"/>
                    </v:group>
                  </w:pict>
                </mc:Fallback>
              </mc:AlternateContent>
            </w:r>
          </w:p>
          <w:p w14:paraId="360AD3F9" w14:textId="049C0A9E" w:rsidR="00BE1C70" w:rsidRPr="008A6AF4" w:rsidRDefault="00BE1C70" w:rsidP="008A6AF4">
            <w:pPr>
              <w:pStyle w:val="a3"/>
              <w:numPr>
                <w:ilvl w:val="0"/>
                <w:numId w:val="81"/>
              </w:numPr>
              <w:rPr>
                <w:b/>
              </w:rPr>
            </w:pPr>
            <w:r w:rsidRPr="00C35766">
              <w:rPr>
                <w:rFonts w:eastAsia="Times New Roman"/>
                <w:b/>
                <w:bCs/>
                <w:lang w:val="it-IT"/>
              </w:rPr>
              <w:t>Smaltisca la siringa pre-riempita</w:t>
            </w:r>
          </w:p>
          <w:p w14:paraId="714FFB87" w14:textId="77777777" w:rsidR="009918A1" w:rsidRPr="00C35766" w:rsidRDefault="009918A1" w:rsidP="008A6AF4">
            <w:pPr>
              <w:pStyle w:val="a3"/>
              <w:numPr>
                <w:ilvl w:val="0"/>
                <w:numId w:val="0"/>
              </w:numPr>
              <w:rPr>
                <w:b/>
              </w:rPr>
            </w:pPr>
          </w:p>
          <w:p w14:paraId="5872C455" w14:textId="77777777" w:rsidR="00BE1C70" w:rsidRPr="00C35766" w:rsidRDefault="00BE1C70" w:rsidP="00603A86">
            <w:pPr>
              <w:pStyle w:val="a3"/>
              <w:ind w:left="3937" w:hanging="3937"/>
              <w:rPr>
                <w:b/>
                <w:lang w:val="es-ES"/>
              </w:rPr>
            </w:pPr>
            <w:r w:rsidRPr="00C35766">
              <w:rPr>
                <w:rFonts w:eastAsia="맑은 고딕"/>
                <w:lang w:val="it-IT"/>
              </w:rPr>
              <w:t>•</w:t>
            </w:r>
            <w:r w:rsidRPr="00C35766">
              <w:rPr>
                <w:rFonts w:eastAsia="Times New Roman"/>
                <w:lang w:val="it-IT"/>
              </w:rPr>
              <w:tab/>
            </w:r>
            <w:r w:rsidRPr="00C35766">
              <w:rPr>
                <w:rFonts w:eastAsia="Times New Roman"/>
                <w:b/>
                <w:bCs/>
                <w:lang w:val="it-IT"/>
              </w:rPr>
              <w:t>Non</w:t>
            </w:r>
            <w:r w:rsidRPr="00C35766">
              <w:rPr>
                <w:rFonts w:eastAsia="Times New Roman"/>
                <w:lang w:val="it-IT"/>
              </w:rPr>
              <w:t xml:space="preserve"> riposizioni il cappuccio sulla siringa pre-riempita.</w:t>
            </w:r>
          </w:p>
          <w:p w14:paraId="45E2D8A8" w14:textId="77777777" w:rsidR="00BE1C70" w:rsidRPr="00C35766" w:rsidRDefault="00BE1C70" w:rsidP="008A6AF4">
            <w:pPr>
              <w:pStyle w:val="a3"/>
              <w:ind w:left="4387" w:hanging="360"/>
              <w:rPr>
                <w:lang w:val="it-IT"/>
              </w:rPr>
            </w:pPr>
            <w:r w:rsidRPr="00C35766">
              <w:rPr>
                <w:rFonts w:eastAsia="Times New Roman"/>
                <w:b/>
                <w:bCs/>
                <w:lang w:val="it-IT"/>
              </w:rPr>
              <w:t>a.</w:t>
            </w:r>
            <w:r w:rsidRPr="00C35766">
              <w:rPr>
                <w:rFonts w:eastAsia="Times New Roman"/>
                <w:lang w:val="it-IT"/>
              </w:rPr>
              <w:tab/>
              <w:t>Getti via la siringa pre-riempita usata in un  contenitore speciale per lo smaltimento di oggetti taglienti, come da istruzioni  del medico, del farmacista o dell’infermiere.</w:t>
            </w:r>
          </w:p>
          <w:p w14:paraId="2A9E6E76" w14:textId="77777777" w:rsidR="00BE1C70" w:rsidRPr="00C35766" w:rsidRDefault="00BE1C70" w:rsidP="008A6AF4">
            <w:pPr>
              <w:pStyle w:val="a3"/>
              <w:ind w:left="4387" w:hanging="360"/>
              <w:rPr>
                <w:lang w:val="pt-BR"/>
              </w:rPr>
            </w:pPr>
            <w:r w:rsidRPr="00C35766">
              <w:rPr>
                <w:rFonts w:eastAsia="Times New Roman"/>
                <w:b/>
                <w:bCs/>
                <w:lang w:val="it-IT"/>
              </w:rPr>
              <w:t>b.</w:t>
            </w:r>
            <w:r w:rsidRPr="00C35766">
              <w:rPr>
                <w:rFonts w:eastAsia="Times New Roman"/>
                <w:lang w:val="it-IT"/>
              </w:rPr>
              <w:tab/>
              <w:t>Il tampone imbevuto di alcol e l’imballaggio possono essere messi nei rifiuti domestici.</w:t>
            </w:r>
          </w:p>
          <w:p w14:paraId="1B007F02" w14:textId="77777777" w:rsidR="00BE1C70" w:rsidRPr="00C35766" w:rsidRDefault="00BE1C70" w:rsidP="00603A86">
            <w:pPr>
              <w:pStyle w:val="a3"/>
              <w:ind w:left="3937" w:hanging="3937"/>
              <w:rPr>
                <w:lang w:val="pt-BR"/>
              </w:rPr>
            </w:pPr>
            <w:r w:rsidRPr="00C35766">
              <w:rPr>
                <w:rFonts w:eastAsia="맑은 고딕"/>
                <w:lang w:val="it-IT"/>
              </w:rPr>
              <w:t>•</w:t>
            </w:r>
            <w:r w:rsidRPr="00C35766">
              <w:rPr>
                <w:rFonts w:eastAsia="Times New Roman"/>
                <w:lang w:val="it-IT"/>
              </w:rPr>
              <w:tab/>
              <w:t>Tenga sempre le siringa pre-riempita e il contenitore speciale per rifiuti taglienti fuori dalla vista e dalla portata dei bambini.</w:t>
            </w:r>
            <w:r w:rsidRPr="00824699">
              <w:rPr>
                <w:noProof/>
                <w:lang w:val="it-IT"/>
              </w:rPr>
              <w:t xml:space="preserve"> </w:t>
            </w:r>
          </w:p>
          <w:p w14:paraId="7D1536E8" w14:textId="77777777" w:rsidR="00BE1C70" w:rsidRPr="00C35766" w:rsidRDefault="00BE1C70" w:rsidP="00603A86">
            <w:pPr>
              <w:pStyle w:val="a3"/>
              <w:rPr>
                <w:spacing w:val="-1"/>
                <w:lang w:val="pt-BR"/>
              </w:rPr>
            </w:pPr>
            <w:r w:rsidRPr="00C35766">
              <w:rPr>
                <w:noProof/>
                <w:lang w:eastAsia="ko-KR"/>
              </w:rPr>
              <mc:AlternateContent>
                <mc:Choice Requires="wps">
                  <w:drawing>
                    <wp:anchor distT="0" distB="0" distL="114300" distR="114300" simplePos="0" relativeHeight="251658368" behindDoc="0" locked="0" layoutInCell="1" allowOverlap="1" wp14:anchorId="32E9A33B" wp14:editId="4827CAAD">
                      <wp:simplePos x="0" y="0"/>
                      <wp:positionH relativeFrom="column">
                        <wp:posOffset>1424940</wp:posOffset>
                      </wp:positionH>
                      <wp:positionV relativeFrom="paragraph">
                        <wp:posOffset>535940</wp:posOffset>
                      </wp:positionV>
                      <wp:extent cx="719758" cy="146050"/>
                      <wp:effectExtent l="0" t="0" r="4445" b="6350"/>
                      <wp:wrapSquare wrapText="bothSides"/>
                      <wp:docPr id="4033" name="Text Box 4033"/>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4DC44C3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E9A33B" id="Text Box 4033" o:spid="_x0000_s1396" type="#_x0000_t202" style="position:absolute;margin-left:112.2pt;margin-top:42.2pt;width:56.65pt;height:11.5pt;z-index:25165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eFHwIAAEMEAAAOAAAAZHJzL2Uyb0RvYy54bWysU02P2jAQvVfqf7B8LwHUXbo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" stroked="f">
                      <v:textbox style="mso-fit-shape-to-text:t" inset="0,0,0,0">
                        <w:txbxContent>
                          <w:p w14:paraId="4DC44C3D" w14:textId="77777777" w:rsidR="00D97785" w:rsidRDefault="00D97785" w:rsidP="00BE1C70">
                            <w:pPr>
                              <w:pStyle w:val="af0"/>
                              <w:jc w:val="right"/>
                              <w:rPr>
                                <w:rFonts w:ascii="Times New Roman" w:hAnsi="Times New Roman" w:cs="Times New Roman"/>
                                <w:noProof/>
                                <w:spacing w:val="-1"/>
                              </w:rPr>
                            </w:pPr>
                            <w:r>
                              <w:rPr>
                                <w:rFonts w:ascii="Times New Roman" w:eastAsia="Times New Roman" w:hAnsi="Times New Roman" w:cs="Times New Roman"/>
                                <w:lang w:val="it-IT"/>
                              </w:rPr>
                              <w:t>Figura L</w:t>
                            </w:r>
                          </w:p>
                        </w:txbxContent>
                      </v:textbox>
                      <w10:wrap type="square"/>
                    </v:shape>
                  </w:pict>
                </mc:Fallback>
              </mc:AlternateContent>
            </w:r>
          </w:p>
        </w:tc>
      </w:tr>
    </w:tbl>
    <w:p w14:paraId="6D658935" w14:textId="50117B6D" w:rsidR="00953B2E" w:rsidRPr="00BE1C70" w:rsidRDefault="00953B2E" w:rsidP="005C2D5B">
      <w:pPr>
        <w:rPr>
          <w:lang w:val="fr-FR" w:eastAsia="ko-KR"/>
        </w:rPr>
      </w:pPr>
    </w:p>
    <w:sectPr w:rsidR="00953B2E" w:rsidRPr="00BE1C70" w:rsidSect="00491CE0">
      <w:footerReference w:type="default" r:id="rId177"/>
      <w:pgSz w:w="12240" w:h="15840"/>
      <w:pgMar w:top="1060" w:right="1340" w:bottom="860" w:left="1300"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082EA1" w14:textId="77777777" w:rsidR="009C58F3" w:rsidRDefault="009C58F3">
      <w:r>
        <w:separator/>
      </w:r>
    </w:p>
  </w:endnote>
  <w:endnote w:type="continuationSeparator" w:id="0">
    <w:p w14:paraId="47E94289" w14:textId="77777777" w:rsidR="009C58F3" w:rsidRDefault="009C58F3">
      <w:r>
        <w:continuationSeparator/>
      </w:r>
    </w:p>
  </w:endnote>
  <w:endnote w:type="continuationNotice" w:id="1">
    <w:p w14:paraId="553E5932" w14:textId="77777777" w:rsidR="009C58F3" w:rsidRDefault="009C58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noProof/>
        <w:sz w:val="16"/>
        <w:szCs w:val="16"/>
        <w:lang w:val="ko-KR" w:eastAsia="ko-KR"/>
      </w:rPr>
      <w:id w:val="-2076731370"/>
      <w:docPartObj>
        <w:docPartGallery w:val="Page Numbers (Bottom of Page)"/>
        <w:docPartUnique/>
      </w:docPartObj>
    </w:sdtPr>
    <w:sdtContent>
      <w:p w14:paraId="4ADA3455" w14:textId="515A2FC8" w:rsidR="00D97785" w:rsidRDefault="00D97785">
        <w:pPr>
          <w:pStyle w:val="a6"/>
          <w:jc w:val="center"/>
          <w:rPr>
            <w:rFonts w:ascii="Arial" w:hAnsi="Arial" w:cs="Arial"/>
            <w:noProof/>
            <w:sz w:val="16"/>
            <w:szCs w:val="16"/>
            <w:lang w:val="ko-KR" w:eastAsia="ko-KR"/>
          </w:rPr>
        </w:pPr>
        <w:r>
          <w:rPr>
            <w:rFonts w:ascii="Arial" w:hAnsi="Arial" w:cs="Arial"/>
            <w:noProof/>
            <w:sz w:val="16"/>
            <w:szCs w:val="16"/>
            <w:lang w:val="ko-KR" w:eastAsia="ko-KR"/>
          </w:rPr>
          <w:fldChar w:fldCharType="begin"/>
        </w:r>
        <w:r>
          <w:rPr>
            <w:rFonts w:ascii="Arial" w:hAnsi="Arial" w:cs="Arial"/>
            <w:noProof/>
            <w:sz w:val="16"/>
            <w:szCs w:val="16"/>
            <w:lang w:val="ko-KR" w:eastAsia="ko-KR"/>
          </w:rPr>
          <w:instrText>PAGE   \* MERGEFORMAT</w:instrText>
        </w:r>
        <w:r>
          <w:rPr>
            <w:rFonts w:ascii="Arial" w:hAnsi="Arial" w:cs="Arial"/>
            <w:noProof/>
            <w:sz w:val="16"/>
            <w:szCs w:val="16"/>
            <w:lang w:val="ko-KR" w:eastAsia="ko-KR"/>
          </w:rPr>
          <w:fldChar w:fldCharType="separate"/>
        </w:r>
        <w:r w:rsidR="00F3069E">
          <w:rPr>
            <w:rFonts w:ascii="Arial" w:hAnsi="Arial" w:cs="Arial"/>
            <w:noProof/>
            <w:sz w:val="16"/>
            <w:szCs w:val="16"/>
            <w:lang w:val="ko-KR" w:eastAsia="ko-KR"/>
          </w:rPr>
          <w:t>110</w:t>
        </w:r>
        <w:r>
          <w:rPr>
            <w:rFonts w:ascii="Arial" w:hAnsi="Arial" w:cs="Arial"/>
            <w:noProof/>
            <w:sz w:val="16"/>
            <w:szCs w:val="16"/>
            <w:lang w:val="ko-KR" w:eastAsia="ko-KR"/>
          </w:rPr>
          <w:fldChar w:fldCharType="end"/>
        </w:r>
      </w:p>
    </w:sdtContent>
  </w:sdt>
  <w:p w14:paraId="30167A58" w14:textId="77777777" w:rsidR="00D97785" w:rsidRDefault="00D97785">
    <w:pPr>
      <w:pStyle w:val="a6"/>
      <w:rPr>
        <w:rFonts w:ascii="Arial" w:hAnsi="Arial" w:cs="Arial"/>
        <w:noProof/>
        <w:sz w:val="16"/>
        <w:szCs w:val="16"/>
        <w:lang w:val="ko-KR" w:eastAsia="ko-K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CADE4" w14:textId="77777777" w:rsidR="00D97785" w:rsidRDefault="00D97785">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1B5B62D2" wp14:editId="1BEAC372">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B14A2" w14:textId="52C25A65" w:rsidR="00D97785" w:rsidRDefault="00D97785">
                          <w:pPr>
                            <w:pStyle w:val="a6"/>
                            <w:jc w:val="center"/>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sidR="00F76E64">
                            <w:rPr>
                              <w:rFonts w:ascii="Arial" w:eastAsia="Arial" w:hAnsi="Arial" w:cs="Arial"/>
                              <w:noProof/>
                              <w:sz w:val="16"/>
                              <w:szCs w:val="16"/>
                            </w:rPr>
                            <w:t>230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B5B62D2" id="_x0000_t202" coordsize="21600,21600" o:spt="202" path="m,l,21600r21600,l21600,xe">
              <v:stroke joinstyle="miter"/>
              <v:path gradientshapeok="t" o:connecttype="rect"/>
            </v:shapetype>
            <v:shape id="Text Box 27" o:spid="_x0000_s1397"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0C8B14A2" w14:textId="52C25A65" w:rsidR="00D97785" w:rsidRDefault="00D97785">
                    <w:pPr>
                      <w:pStyle w:val="a6"/>
                      <w:jc w:val="center"/>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sidR="00F76E64">
                      <w:rPr>
                        <w:rFonts w:ascii="Arial" w:eastAsia="Arial" w:hAnsi="Arial" w:cs="Arial"/>
                        <w:noProof/>
                        <w:sz w:val="16"/>
                        <w:szCs w:val="16"/>
                      </w:rPr>
                      <w:t>230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07AD9" w14:textId="77777777" w:rsidR="009C58F3" w:rsidRDefault="009C58F3">
      <w:r>
        <w:separator/>
      </w:r>
    </w:p>
  </w:footnote>
  <w:footnote w:type="continuationSeparator" w:id="0">
    <w:p w14:paraId="40C47260" w14:textId="77777777" w:rsidR="009C58F3" w:rsidRDefault="009C58F3">
      <w:r>
        <w:continuationSeparator/>
      </w:r>
    </w:p>
  </w:footnote>
  <w:footnote w:type="continuationNotice" w:id="1">
    <w:p w14:paraId="6C574EF0" w14:textId="77777777" w:rsidR="009C58F3" w:rsidRDefault="009C58F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B0022DD"/>
    <w:multiLevelType w:val="hybridMultilevel"/>
    <w:tmpl w:val="78783959"/>
    <w:lvl w:ilvl="0" w:tplc="E69EF69A">
      <w:start w:val="1"/>
      <w:numFmt w:val="ideographDigital"/>
      <w:lvlText w:val=""/>
      <w:lvlJc w:val="left"/>
    </w:lvl>
    <w:lvl w:ilvl="1" w:tplc="30022E16">
      <w:start w:val="1"/>
      <w:numFmt w:val="ideographDigital"/>
      <w:lvlText w:val=""/>
      <w:lvlJc w:val="left"/>
    </w:lvl>
    <w:lvl w:ilvl="2" w:tplc="4DDAFCBA">
      <w:start w:val="1"/>
      <w:numFmt w:val="decimal"/>
      <w:lvlText w:val=""/>
      <w:lvlJc w:val="left"/>
    </w:lvl>
    <w:lvl w:ilvl="3" w:tplc="19D66C0E">
      <w:numFmt w:val="decimal"/>
      <w:lvlText w:val=""/>
      <w:lvlJc w:val="left"/>
    </w:lvl>
    <w:lvl w:ilvl="4" w:tplc="E076C5F8">
      <w:numFmt w:val="decimal"/>
      <w:lvlText w:val=""/>
      <w:lvlJc w:val="left"/>
    </w:lvl>
    <w:lvl w:ilvl="5" w:tplc="6BB67F74">
      <w:numFmt w:val="decimal"/>
      <w:lvlText w:val=""/>
      <w:lvlJc w:val="left"/>
    </w:lvl>
    <w:lvl w:ilvl="6" w:tplc="2D7C3774">
      <w:numFmt w:val="decimal"/>
      <w:lvlText w:val=""/>
      <w:lvlJc w:val="left"/>
    </w:lvl>
    <w:lvl w:ilvl="7" w:tplc="B5B0A5F0">
      <w:numFmt w:val="decimal"/>
      <w:lvlText w:val=""/>
      <w:lvlJc w:val="left"/>
    </w:lvl>
    <w:lvl w:ilvl="8" w:tplc="786647CC">
      <w:numFmt w:val="decimal"/>
      <w:lvlText w:val=""/>
      <w:lvlJc w:val="left"/>
    </w:lvl>
  </w:abstractNum>
  <w:abstractNum w:abstractNumId="1" w15:restartNumberingAfterBreak="0">
    <w:nsid w:val="001308DD"/>
    <w:multiLevelType w:val="hybridMultilevel"/>
    <w:tmpl w:val="339C2F6A"/>
    <w:lvl w:ilvl="0" w:tplc="30FEE69C">
      <w:start w:val="1"/>
      <w:numFmt w:val="decimal"/>
      <w:lvlText w:val="%1."/>
      <w:lvlJc w:val="left"/>
      <w:pPr>
        <w:ind w:hanging="562"/>
      </w:pPr>
      <w:rPr>
        <w:rFonts w:ascii="Times New Roman" w:eastAsia="Times New Roman" w:hAnsi="Times New Roman" w:hint="default"/>
        <w:b/>
        <w:bCs/>
        <w:sz w:val="22"/>
        <w:szCs w:val="22"/>
      </w:rPr>
    </w:lvl>
    <w:lvl w:ilvl="1" w:tplc="9AF6419E">
      <w:start w:val="1"/>
      <w:numFmt w:val="bullet"/>
      <w:lvlText w:val="•"/>
      <w:lvlJc w:val="left"/>
      <w:rPr>
        <w:rFonts w:hint="default"/>
      </w:rPr>
    </w:lvl>
    <w:lvl w:ilvl="2" w:tplc="B29697D2">
      <w:start w:val="1"/>
      <w:numFmt w:val="bullet"/>
      <w:lvlText w:val="•"/>
      <w:lvlJc w:val="left"/>
      <w:rPr>
        <w:rFonts w:hint="default"/>
      </w:rPr>
    </w:lvl>
    <w:lvl w:ilvl="3" w:tplc="E9A03AB2">
      <w:start w:val="1"/>
      <w:numFmt w:val="bullet"/>
      <w:lvlText w:val="•"/>
      <w:lvlJc w:val="left"/>
      <w:rPr>
        <w:rFonts w:hint="default"/>
      </w:rPr>
    </w:lvl>
    <w:lvl w:ilvl="4" w:tplc="263E76BE">
      <w:start w:val="1"/>
      <w:numFmt w:val="bullet"/>
      <w:lvlText w:val="•"/>
      <w:lvlJc w:val="left"/>
      <w:rPr>
        <w:rFonts w:hint="default"/>
      </w:rPr>
    </w:lvl>
    <w:lvl w:ilvl="5" w:tplc="C546C9EA">
      <w:start w:val="1"/>
      <w:numFmt w:val="bullet"/>
      <w:lvlText w:val="•"/>
      <w:lvlJc w:val="left"/>
      <w:rPr>
        <w:rFonts w:hint="default"/>
      </w:rPr>
    </w:lvl>
    <w:lvl w:ilvl="6" w:tplc="B6463F5A">
      <w:start w:val="1"/>
      <w:numFmt w:val="bullet"/>
      <w:lvlText w:val="•"/>
      <w:lvlJc w:val="left"/>
      <w:rPr>
        <w:rFonts w:hint="default"/>
      </w:rPr>
    </w:lvl>
    <w:lvl w:ilvl="7" w:tplc="D662278E">
      <w:start w:val="1"/>
      <w:numFmt w:val="bullet"/>
      <w:lvlText w:val="•"/>
      <w:lvlJc w:val="left"/>
      <w:rPr>
        <w:rFonts w:hint="default"/>
      </w:rPr>
    </w:lvl>
    <w:lvl w:ilvl="8" w:tplc="E964306A">
      <w:start w:val="1"/>
      <w:numFmt w:val="bullet"/>
      <w:lvlText w:val="•"/>
      <w:lvlJc w:val="left"/>
      <w:rPr>
        <w:rFonts w:hint="default"/>
      </w:rPr>
    </w:lvl>
  </w:abstractNum>
  <w:abstractNum w:abstractNumId="2" w15:restartNumberingAfterBreak="0">
    <w:nsid w:val="0160738D"/>
    <w:multiLevelType w:val="hybridMultilevel"/>
    <w:tmpl w:val="FF08613C"/>
    <w:lvl w:ilvl="0" w:tplc="9D845C82">
      <w:start w:val="1"/>
      <w:numFmt w:val="decimal"/>
      <w:lvlText w:val="%1."/>
      <w:lvlJc w:val="left"/>
      <w:pPr>
        <w:ind w:left="468" w:hanging="360"/>
      </w:pPr>
      <w:rPr>
        <w:rFonts w:ascii="Times New Roman" w:hAnsi="Times New Roman" w:cs="Times New Roman" w:hint="default"/>
        <w:b/>
      </w:rPr>
    </w:lvl>
    <w:lvl w:ilvl="1" w:tplc="7D5A4360" w:tentative="1">
      <w:start w:val="1"/>
      <w:numFmt w:val="upperLetter"/>
      <w:lvlText w:val="%2."/>
      <w:lvlJc w:val="left"/>
      <w:pPr>
        <w:ind w:left="908" w:hanging="400"/>
      </w:pPr>
    </w:lvl>
    <w:lvl w:ilvl="2" w:tplc="475CF13E" w:tentative="1">
      <w:start w:val="1"/>
      <w:numFmt w:val="lowerRoman"/>
      <w:lvlText w:val="%3."/>
      <w:lvlJc w:val="right"/>
      <w:pPr>
        <w:ind w:left="1308" w:hanging="400"/>
      </w:pPr>
    </w:lvl>
    <w:lvl w:ilvl="3" w:tplc="9C40BC36" w:tentative="1">
      <w:start w:val="1"/>
      <w:numFmt w:val="decimal"/>
      <w:lvlText w:val="%4."/>
      <w:lvlJc w:val="left"/>
      <w:pPr>
        <w:ind w:left="1708" w:hanging="400"/>
      </w:pPr>
    </w:lvl>
    <w:lvl w:ilvl="4" w:tplc="0A04BFB4" w:tentative="1">
      <w:start w:val="1"/>
      <w:numFmt w:val="upperLetter"/>
      <w:lvlText w:val="%5."/>
      <w:lvlJc w:val="left"/>
      <w:pPr>
        <w:ind w:left="2108" w:hanging="400"/>
      </w:pPr>
    </w:lvl>
    <w:lvl w:ilvl="5" w:tplc="E0FA7D64" w:tentative="1">
      <w:start w:val="1"/>
      <w:numFmt w:val="lowerRoman"/>
      <w:lvlText w:val="%6."/>
      <w:lvlJc w:val="right"/>
      <w:pPr>
        <w:ind w:left="2508" w:hanging="400"/>
      </w:pPr>
    </w:lvl>
    <w:lvl w:ilvl="6" w:tplc="F07C8306" w:tentative="1">
      <w:start w:val="1"/>
      <w:numFmt w:val="decimal"/>
      <w:lvlText w:val="%7."/>
      <w:lvlJc w:val="left"/>
      <w:pPr>
        <w:ind w:left="2908" w:hanging="400"/>
      </w:pPr>
    </w:lvl>
    <w:lvl w:ilvl="7" w:tplc="E4C631E2" w:tentative="1">
      <w:start w:val="1"/>
      <w:numFmt w:val="upperLetter"/>
      <w:lvlText w:val="%8."/>
      <w:lvlJc w:val="left"/>
      <w:pPr>
        <w:ind w:left="3308" w:hanging="400"/>
      </w:pPr>
    </w:lvl>
    <w:lvl w:ilvl="8" w:tplc="3926C794" w:tentative="1">
      <w:start w:val="1"/>
      <w:numFmt w:val="lowerRoman"/>
      <w:lvlText w:val="%9."/>
      <w:lvlJc w:val="right"/>
      <w:pPr>
        <w:ind w:left="3708" w:hanging="400"/>
      </w:pPr>
    </w:lvl>
  </w:abstractNum>
  <w:abstractNum w:abstractNumId="3" w15:restartNumberingAfterBreak="0">
    <w:nsid w:val="01C21A86"/>
    <w:multiLevelType w:val="hybridMultilevel"/>
    <w:tmpl w:val="339C2F6A"/>
    <w:lvl w:ilvl="0" w:tplc="6A62C4BC">
      <w:start w:val="1"/>
      <w:numFmt w:val="decimal"/>
      <w:lvlText w:val="%1."/>
      <w:lvlJc w:val="left"/>
      <w:pPr>
        <w:ind w:hanging="562"/>
      </w:pPr>
      <w:rPr>
        <w:rFonts w:ascii="Times New Roman" w:eastAsia="Times New Roman" w:hAnsi="Times New Roman" w:hint="default"/>
        <w:b/>
        <w:bCs/>
        <w:sz w:val="22"/>
        <w:szCs w:val="22"/>
      </w:rPr>
    </w:lvl>
    <w:lvl w:ilvl="1" w:tplc="F00ED12C">
      <w:start w:val="1"/>
      <w:numFmt w:val="bullet"/>
      <w:lvlText w:val="•"/>
      <w:lvlJc w:val="left"/>
      <w:rPr>
        <w:rFonts w:hint="default"/>
      </w:rPr>
    </w:lvl>
    <w:lvl w:ilvl="2" w:tplc="0784BCBA">
      <w:start w:val="1"/>
      <w:numFmt w:val="bullet"/>
      <w:lvlText w:val="•"/>
      <w:lvlJc w:val="left"/>
      <w:rPr>
        <w:rFonts w:hint="default"/>
      </w:rPr>
    </w:lvl>
    <w:lvl w:ilvl="3" w:tplc="D7AC7F2C">
      <w:start w:val="1"/>
      <w:numFmt w:val="bullet"/>
      <w:lvlText w:val="•"/>
      <w:lvlJc w:val="left"/>
      <w:rPr>
        <w:rFonts w:hint="default"/>
      </w:rPr>
    </w:lvl>
    <w:lvl w:ilvl="4" w:tplc="456CA5CC">
      <w:start w:val="1"/>
      <w:numFmt w:val="bullet"/>
      <w:lvlText w:val="•"/>
      <w:lvlJc w:val="left"/>
      <w:rPr>
        <w:rFonts w:hint="default"/>
      </w:rPr>
    </w:lvl>
    <w:lvl w:ilvl="5" w:tplc="269699E4">
      <w:start w:val="1"/>
      <w:numFmt w:val="bullet"/>
      <w:lvlText w:val="•"/>
      <w:lvlJc w:val="left"/>
      <w:rPr>
        <w:rFonts w:hint="default"/>
      </w:rPr>
    </w:lvl>
    <w:lvl w:ilvl="6" w:tplc="3466AC68">
      <w:start w:val="1"/>
      <w:numFmt w:val="bullet"/>
      <w:lvlText w:val="•"/>
      <w:lvlJc w:val="left"/>
      <w:rPr>
        <w:rFonts w:hint="default"/>
      </w:rPr>
    </w:lvl>
    <w:lvl w:ilvl="7" w:tplc="B3C652CC">
      <w:start w:val="1"/>
      <w:numFmt w:val="bullet"/>
      <w:lvlText w:val="•"/>
      <w:lvlJc w:val="left"/>
      <w:rPr>
        <w:rFonts w:hint="default"/>
      </w:rPr>
    </w:lvl>
    <w:lvl w:ilvl="8" w:tplc="B7AA80D4">
      <w:start w:val="1"/>
      <w:numFmt w:val="bullet"/>
      <w:lvlText w:val="•"/>
      <w:lvlJc w:val="left"/>
      <w:rPr>
        <w:rFonts w:hint="default"/>
      </w:rPr>
    </w:lvl>
  </w:abstractNum>
  <w:abstractNum w:abstractNumId="4"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 w15:restartNumberingAfterBreak="0">
    <w:nsid w:val="042E0F8A"/>
    <w:multiLevelType w:val="hybridMultilevel"/>
    <w:tmpl w:val="F08486F8"/>
    <w:lvl w:ilvl="0" w:tplc="30EC2388">
      <w:start w:val="1"/>
      <w:numFmt w:val="decimal"/>
      <w:lvlText w:val="%1."/>
      <w:lvlJc w:val="left"/>
      <w:pPr>
        <w:ind w:left="468" w:hanging="360"/>
      </w:pPr>
      <w:rPr>
        <w:rFonts w:ascii="Times New Roman" w:hAnsi="Times New Roman" w:cs="Times New Roman" w:hint="default"/>
        <w:b/>
      </w:rPr>
    </w:lvl>
    <w:lvl w:ilvl="1" w:tplc="8E2A7C74" w:tentative="1">
      <w:start w:val="1"/>
      <w:numFmt w:val="upperLetter"/>
      <w:lvlText w:val="%2."/>
      <w:lvlJc w:val="left"/>
      <w:pPr>
        <w:ind w:left="908" w:hanging="400"/>
      </w:pPr>
    </w:lvl>
    <w:lvl w:ilvl="2" w:tplc="F514B618" w:tentative="1">
      <w:start w:val="1"/>
      <w:numFmt w:val="lowerRoman"/>
      <w:lvlText w:val="%3."/>
      <w:lvlJc w:val="right"/>
      <w:pPr>
        <w:ind w:left="1308" w:hanging="400"/>
      </w:pPr>
    </w:lvl>
    <w:lvl w:ilvl="3" w:tplc="25AA7068" w:tentative="1">
      <w:start w:val="1"/>
      <w:numFmt w:val="decimal"/>
      <w:lvlText w:val="%4."/>
      <w:lvlJc w:val="left"/>
      <w:pPr>
        <w:ind w:left="1708" w:hanging="400"/>
      </w:pPr>
    </w:lvl>
    <w:lvl w:ilvl="4" w:tplc="C72C62B8" w:tentative="1">
      <w:start w:val="1"/>
      <w:numFmt w:val="upperLetter"/>
      <w:lvlText w:val="%5."/>
      <w:lvlJc w:val="left"/>
      <w:pPr>
        <w:ind w:left="2108" w:hanging="400"/>
      </w:pPr>
    </w:lvl>
    <w:lvl w:ilvl="5" w:tplc="9F82F090" w:tentative="1">
      <w:start w:val="1"/>
      <w:numFmt w:val="lowerRoman"/>
      <w:lvlText w:val="%6."/>
      <w:lvlJc w:val="right"/>
      <w:pPr>
        <w:ind w:left="2508" w:hanging="400"/>
      </w:pPr>
    </w:lvl>
    <w:lvl w:ilvl="6" w:tplc="8C5AE91C" w:tentative="1">
      <w:start w:val="1"/>
      <w:numFmt w:val="decimal"/>
      <w:lvlText w:val="%7."/>
      <w:lvlJc w:val="left"/>
      <w:pPr>
        <w:ind w:left="2908" w:hanging="400"/>
      </w:pPr>
    </w:lvl>
    <w:lvl w:ilvl="7" w:tplc="92AC6E9E" w:tentative="1">
      <w:start w:val="1"/>
      <w:numFmt w:val="upperLetter"/>
      <w:lvlText w:val="%8."/>
      <w:lvlJc w:val="left"/>
      <w:pPr>
        <w:ind w:left="3308" w:hanging="400"/>
      </w:pPr>
    </w:lvl>
    <w:lvl w:ilvl="8" w:tplc="1526CF46" w:tentative="1">
      <w:start w:val="1"/>
      <w:numFmt w:val="lowerRoman"/>
      <w:lvlText w:val="%9."/>
      <w:lvlJc w:val="right"/>
      <w:pPr>
        <w:ind w:left="3708" w:hanging="400"/>
      </w:pPr>
    </w:lvl>
  </w:abstractNum>
  <w:abstractNum w:abstractNumId="6" w15:restartNumberingAfterBreak="0">
    <w:nsid w:val="04E578FA"/>
    <w:multiLevelType w:val="hybridMultilevel"/>
    <w:tmpl w:val="D36EAE72"/>
    <w:lvl w:ilvl="0" w:tplc="1D14CAFA">
      <w:start w:val="1"/>
      <w:numFmt w:val="decimal"/>
      <w:lvlText w:val="%1."/>
      <w:lvlJc w:val="left"/>
      <w:pPr>
        <w:ind w:hanging="562"/>
      </w:pPr>
      <w:rPr>
        <w:rFonts w:ascii="Times New Roman" w:eastAsia="Times New Roman" w:hAnsi="Times New Roman" w:hint="default"/>
        <w:b/>
        <w:bCs/>
        <w:sz w:val="22"/>
        <w:szCs w:val="22"/>
      </w:rPr>
    </w:lvl>
    <w:lvl w:ilvl="1" w:tplc="87A8CF34">
      <w:start w:val="1"/>
      <w:numFmt w:val="bullet"/>
      <w:lvlText w:val=""/>
      <w:lvlJc w:val="left"/>
      <w:pPr>
        <w:ind w:hanging="360"/>
      </w:pPr>
      <w:rPr>
        <w:rFonts w:ascii="Symbol" w:eastAsia="Symbol" w:hAnsi="Symbol" w:hint="default"/>
        <w:sz w:val="22"/>
        <w:szCs w:val="22"/>
      </w:rPr>
    </w:lvl>
    <w:lvl w:ilvl="2" w:tplc="8C064634">
      <w:start w:val="1"/>
      <w:numFmt w:val="bullet"/>
      <w:lvlText w:val=""/>
      <w:lvlJc w:val="left"/>
      <w:pPr>
        <w:ind w:hanging="360"/>
      </w:pPr>
      <w:rPr>
        <w:rFonts w:ascii="Symbol" w:eastAsia="Symbol" w:hAnsi="Symbol" w:hint="default"/>
        <w:sz w:val="22"/>
        <w:szCs w:val="22"/>
      </w:rPr>
    </w:lvl>
    <w:lvl w:ilvl="3" w:tplc="8970EF2C">
      <w:start w:val="1"/>
      <w:numFmt w:val="bullet"/>
      <w:lvlText w:val="•"/>
      <w:lvlJc w:val="left"/>
      <w:rPr>
        <w:rFonts w:hint="default"/>
      </w:rPr>
    </w:lvl>
    <w:lvl w:ilvl="4" w:tplc="324A8BA6">
      <w:start w:val="1"/>
      <w:numFmt w:val="bullet"/>
      <w:lvlText w:val="•"/>
      <w:lvlJc w:val="left"/>
      <w:rPr>
        <w:rFonts w:hint="default"/>
      </w:rPr>
    </w:lvl>
    <w:lvl w:ilvl="5" w:tplc="F914FFC0">
      <w:start w:val="1"/>
      <w:numFmt w:val="bullet"/>
      <w:lvlText w:val="•"/>
      <w:lvlJc w:val="left"/>
      <w:rPr>
        <w:rFonts w:hint="default"/>
      </w:rPr>
    </w:lvl>
    <w:lvl w:ilvl="6" w:tplc="F0D81A2C">
      <w:start w:val="1"/>
      <w:numFmt w:val="bullet"/>
      <w:lvlText w:val="•"/>
      <w:lvlJc w:val="left"/>
      <w:rPr>
        <w:rFonts w:hint="default"/>
      </w:rPr>
    </w:lvl>
    <w:lvl w:ilvl="7" w:tplc="6F64B106">
      <w:start w:val="1"/>
      <w:numFmt w:val="bullet"/>
      <w:lvlText w:val="•"/>
      <w:lvlJc w:val="left"/>
      <w:rPr>
        <w:rFonts w:hint="default"/>
      </w:rPr>
    </w:lvl>
    <w:lvl w:ilvl="8" w:tplc="B4800184">
      <w:start w:val="1"/>
      <w:numFmt w:val="bullet"/>
      <w:lvlText w:val="•"/>
      <w:lvlJc w:val="left"/>
      <w:rPr>
        <w:rFonts w:hint="default"/>
      </w:rPr>
    </w:lvl>
  </w:abstractNum>
  <w:abstractNum w:abstractNumId="7" w15:restartNumberingAfterBreak="0">
    <w:nsid w:val="06895608"/>
    <w:multiLevelType w:val="hybridMultilevel"/>
    <w:tmpl w:val="3E4EBD1E"/>
    <w:lvl w:ilvl="0" w:tplc="06064E06">
      <w:start w:val="1"/>
      <w:numFmt w:val="bullet"/>
      <w:lvlText w:val="-"/>
      <w:lvlJc w:val="left"/>
      <w:pPr>
        <w:ind w:hanging="567"/>
      </w:pPr>
      <w:rPr>
        <w:rFonts w:ascii="Times New Roman" w:eastAsia="Times New Roman" w:hAnsi="Times New Roman" w:hint="default"/>
        <w:sz w:val="22"/>
        <w:szCs w:val="22"/>
      </w:rPr>
    </w:lvl>
    <w:lvl w:ilvl="1" w:tplc="9F5E6CFA">
      <w:start w:val="1"/>
      <w:numFmt w:val="bullet"/>
      <w:lvlText w:val="•"/>
      <w:lvlJc w:val="left"/>
      <w:rPr>
        <w:rFonts w:hint="default"/>
      </w:rPr>
    </w:lvl>
    <w:lvl w:ilvl="2" w:tplc="DC7C36CA">
      <w:start w:val="1"/>
      <w:numFmt w:val="bullet"/>
      <w:lvlText w:val=""/>
      <w:lvlJc w:val="left"/>
      <w:rPr>
        <w:rFonts w:ascii="Symbol" w:hAnsi="Symbol" w:hint="default"/>
        <w:sz w:val="26"/>
        <w:szCs w:val="26"/>
      </w:rPr>
    </w:lvl>
    <w:lvl w:ilvl="3" w:tplc="D62293FA">
      <w:start w:val="1"/>
      <w:numFmt w:val="bullet"/>
      <w:lvlText w:val="•"/>
      <w:lvlJc w:val="left"/>
      <w:rPr>
        <w:rFonts w:hint="default"/>
      </w:rPr>
    </w:lvl>
    <w:lvl w:ilvl="4" w:tplc="5C8E077E">
      <w:start w:val="1"/>
      <w:numFmt w:val="bullet"/>
      <w:lvlText w:val="•"/>
      <w:lvlJc w:val="left"/>
      <w:rPr>
        <w:rFonts w:hint="default"/>
      </w:rPr>
    </w:lvl>
    <w:lvl w:ilvl="5" w:tplc="AB9C0BA2">
      <w:start w:val="1"/>
      <w:numFmt w:val="bullet"/>
      <w:lvlText w:val="•"/>
      <w:lvlJc w:val="left"/>
      <w:rPr>
        <w:rFonts w:hint="default"/>
      </w:rPr>
    </w:lvl>
    <w:lvl w:ilvl="6" w:tplc="A3BCF1F4">
      <w:start w:val="1"/>
      <w:numFmt w:val="bullet"/>
      <w:lvlText w:val="•"/>
      <w:lvlJc w:val="left"/>
      <w:rPr>
        <w:rFonts w:hint="default"/>
      </w:rPr>
    </w:lvl>
    <w:lvl w:ilvl="7" w:tplc="A852F574">
      <w:start w:val="1"/>
      <w:numFmt w:val="bullet"/>
      <w:lvlText w:val="•"/>
      <w:lvlJc w:val="left"/>
      <w:rPr>
        <w:rFonts w:hint="default"/>
      </w:rPr>
    </w:lvl>
    <w:lvl w:ilvl="8" w:tplc="0E18EE78">
      <w:start w:val="1"/>
      <w:numFmt w:val="bullet"/>
      <w:lvlText w:val="•"/>
      <w:lvlJc w:val="left"/>
      <w:rPr>
        <w:rFonts w:hint="default"/>
      </w:rPr>
    </w:lvl>
  </w:abstractNum>
  <w:abstractNum w:abstractNumId="8" w15:restartNumberingAfterBreak="0">
    <w:nsid w:val="07DA5CDE"/>
    <w:multiLevelType w:val="hybridMultilevel"/>
    <w:tmpl w:val="339C2F6A"/>
    <w:lvl w:ilvl="0" w:tplc="E0E2EE06">
      <w:start w:val="1"/>
      <w:numFmt w:val="decimal"/>
      <w:lvlText w:val="%1."/>
      <w:lvlJc w:val="left"/>
      <w:pPr>
        <w:ind w:hanging="562"/>
      </w:pPr>
      <w:rPr>
        <w:rFonts w:ascii="Times New Roman" w:eastAsia="Times New Roman" w:hAnsi="Times New Roman" w:hint="default"/>
        <w:b/>
        <w:bCs/>
        <w:sz w:val="22"/>
        <w:szCs w:val="22"/>
      </w:rPr>
    </w:lvl>
    <w:lvl w:ilvl="1" w:tplc="14E03054">
      <w:start w:val="1"/>
      <w:numFmt w:val="bullet"/>
      <w:lvlText w:val="•"/>
      <w:lvlJc w:val="left"/>
      <w:rPr>
        <w:rFonts w:hint="default"/>
      </w:rPr>
    </w:lvl>
    <w:lvl w:ilvl="2" w:tplc="79B6BB84">
      <w:start w:val="1"/>
      <w:numFmt w:val="bullet"/>
      <w:lvlText w:val="•"/>
      <w:lvlJc w:val="left"/>
      <w:rPr>
        <w:rFonts w:hint="default"/>
      </w:rPr>
    </w:lvl>
    <w:lvl w:ilvl="3" w:tplc="62AA8386">
      <w:start w:val="1"/>
      <w:numFmt w:val="bullet"/>
      <w:lvlText w:val="•"/>
      <w:lvlJc w:val="left"/>
      <w:rPr>
        <w:rFonts w:hint="default"/>
      </w:rPr>
    </w:lvl>
    <w:lvl w:ilvl="4" w:tplc="1FB4910E">
      <w:start w:val="1"/>
      <w:numFmt w:val="bullet"/>
      <w:lvlText w:val="•"/>
      <w:lvlJc w:val="left"/>
      <w:rPr>
        <w:rFonts w:hint="default"/>
      </w:rPr>
    </w:lvl>
    <w:lvl w:ilvl="5" w:tplc="4D9CEADE">
      <w:start w:val="1"/>
      <w:numFmt w:val="bullet"/>
      <w:lvlText w:val="•"/>
      <w:lvlJc w:val="left"/>
      <w:rPr>
        <w:rFonts w:hint="default"/>
      </w:rPr>
    </w:lvl>
    <w:lvl w:ilvl="6" w:tplc="E57EB45C">
      <w:start w:val="1"/>
      <w:numFmt w:val="bullet"/>
      <w:lvlText w:val="•"/>
      <w:lvlJc w:val="left"/>
      <w:rPr>
        <w:rFonts w:hint="default"/>
      </w:rPr>
    </w:lvl>
    <w:lvl w:ilvl="7" w:tplc="E2267698">
      <w:start w:val="1"/>
      <w:numFmt w:val="bullet"/>
      <w:lvlText w:val="•"/>
      <w:lvlJc w:val="left"/>
      <w:rPr>
        <w:rFonts w:hint="default"/>
      </w:rPr>
    </w:lvl>
    <w:lvl w:ilvl="8" w:tplc="05F6FC7C">
      <w:start w:val="1"/>
      <w:numFmt w:val="bullet"/>
      <w:lvlText w:val="•"/>
      <w:lvlJc w:val="left"/>
      <w:rPr>
        <w:rFonts w:hint="default"/>
      </w:rPr>
    </w:lvl>
  </w:abstractNum>
  <w:abstractNum w:abstractNumId="9" w15:restartNumberingAfterBreak="0">
    <w:nsid w:val="07DD551D"/>
    <w:multiLevelType w:val="hybridMultilevel"/>
    <w:tmpl w:val="9FFAA5F2"/>
    <w:lvl w:ilvl="0" w:tplc="349839C6">
      <w:start w:val="1"/>
      <w:numFmt w:val="bullet"/>
      <w:lvlText w:val=""/>
      <w:lvlJc w:val="left"/>
      <w:pPr>
        <w:ind w:left="1384" w:hanging="400"/>
      </w:pPr>
      <w:rPr>
        <w:rFonts w:ascii="Symbol" w:hAnsi="Symbol" w:hint="default"/>
        <w:sz w:val="22"/>
        <w:szCs w:val="22"/>
      </w:rPr>
    </w:lvl>
    <w:lvl w:ilvl="1" w:tplc="B1326566">
      <w:start w:val="1"/>
      <w:numFmt w:val="bullet"/>
      <w:lvlText w:val=""/>
      <w:lvlJc w:val="left"/>
      <w:pPr>
        <w:ind w:left="1784" w:hanging="400"/>
      </w:pPr>
      <w:rPr>
        <w:rFonts w:ascii="Wingdings" w:hAnsi="Wingdings" w:hint="default"/>
      </w:rPr>
    </w:lvl>
    <w:lvl w:ilvl="2" w:tplc="60400954" w:tentative="1">
      <w:start w:val="1"/>
      <w:numFmt w:val="bullet"/>
      <w:lvlText w:val=""/>
      <w:lvlJc w:val="left"/>
      <w:pPr>
        <w:ind w:left="2184" w:hanging="400"/>
      </w:pPr>
      <w:rPr>
        <w:rFonts w:ascii="Wingdings" w:hAnsi="Wingdings" w:hint="default"/>
      </w:rPr>
    </w:lvl>
    <w:lvl w:ilvl="3" w:tplc="46ACA626" w:tentative="1">
      <w:start w:val="1"/>
      <w:numFmt w:val="bullet"/>
      <w:lvlText w:val=""/>
      <w:lvlJc w:val="left"/>
      <w:pPr>
        <w:ind w:left="2584" w:hanging="400"/>
      </w:pPr>
      <w:rPr>
        <w:rFonts w:ascii="Wingdings" w:hAnsi="Wingdings" w:hint="default"/>
      </w:rPr>
    </w:lvl>
    <w:lvl w:ilvl="4" w:tplc="8F2E5044" w:tentative="1">
      <w:start w:val="1"/>
      <w:numFmt w:val="bullet"/>
      <w:lvlText w:val=""/>
      <w:lvlJc w:val="left"/>
      <w:pPr>
        <w:ind w:left="2984" w:hanging="400"/>
      </w:pPr>
      <w:rPr>
        <w:rFonts w:ascii="Wingdings" w:hAnsi="Wingdings" w:hint="default"/>
      </w:rPr>
    </w:lvl>
    <w:lvl w:ilvl="5" w:tplc="C6ECF478" w:tentative="1">
      <w:start w:val="1"/>
      <w:numFmt w:val="bullet"/>
      <w:lvlText w:val=""/>
      <w:lvlJc w:val="left"/>
      <w:pPr>
        <w:ind w:left="3384" w:hanging="400"/>
      </w:pPr>
      <w:rPr>
        <w:rFonts w:ascii="Wingdings" w:hAnsi="Wingdings" w:hint="default"/>
      </w:rPr>
    </w:lvl>
    <w:lvl w:ilvl="6" w:tplc="4EAEF49C" w:tentative="1">
      <w:start w:val="1"/>
      <w:numFmt w:val="bullet"/>
      <w:lvlText w:val=""/>
      <w:lvlJc w:val="left"/>
      <w:pPr>
        <w:ind w:left="3784" w:hanging="400"/>
      </w:pPr>
      <w:rPr>
        <w:rFonts w:ascii="Wingdings" w:hAnsi="Wingdings" w:hint="default"/>
      </w:rPr>
    </w:lvl>
    <w:lvl w:ilvl="7" w:tplc="9EEC688A" w:tentative="1">
      <w:start w:val="1"/>
      <w:numFmt w:val="bullet"/>
      <w:lvlText w:val=""/>
      <w:lvlJc w:val="left"/>
      <w:pPr>
        <w:ind w:left="4184" w:hanging="400"/>
      </w:pPr>
      <w:rPr>
        <w:rFonts w:ascii="Wingdings" w:hAnsi="Wingdings" w:hint="default"/>
      </w:rPr>
    </w:lvl>
    <w:lvl w:ilvl="8" w:tplc="E3049554" w:tentative="1">
      <w:start w:val="1"/>
      <w:numFmt w:val="bullet"/>
      <w:lvlText w:val=""/>
      <w:lvlJc w:val="left"/>
      <w:pPr>
        <w:ind w:left="4584" w:hanging="400"/>
      </w:pPr>
      <w:rPr>
        <w:rFonts w:ascii="Wingdings" w:hAnsi="Wingdings" w:hint="default"/>
      </w:rPr>
    </w:lvl>
  </w:abstractNum>
  <w:abstractNum w:abstractNumId="10" w15:restartNumberingAfterBreak="0">
    <w:nsid w:val="0B492342"/>
    <w:multiLevelType w:val="hybridMultilevel"/>
    <w:tmpl w:val="28A00D86"/>
    <w:lvl w:ilvl="0" w:tplc="3D10F514">
      <w:start w:val="1"/>
      <w:numFmt w:val="decimal"/>
      <w:lvlText w:val="%1."/>
      <w:lvlJc w:val="left"/>
      <w:pPr>
        <w:ind w:left="760" w:hanging="360"/>
      </w:pPr>
      <w:rPr>
        <w:rFonts w:hint="default"/>
      </w:rPr>
    </w:lvl>
    <w:lvl w:ilvl="1" w:tplc="BD5CFA38" w:tentative="1">
      <w:start w:val="1"/>
      <w:numFmt w:val="upperLetter"/>
      <w:lvlText w:val="%2."/>
      <w:lvlJc w:val="left"/>
      <w:pPr>
        <w:ind w:left="1200" w:hanging="400"/>
      </w:pPr>
    </w:lvl>
    <w:lvl w:ilvl="2" w:tplc="C6BC9180" w:tentative="1">
      <w:start w:val="1"/>
      <w:numFmt w:val="lowerRoman"/>
      <w:lvlText w:val="%3."/>
      <w:lvlJc w:val="right"/>
      <w:pPr>
        <w:ind w:left="1600" w:hanging="400"/>
      </w:pPr>
    </w:lvl>
    <w:lvl w:ilvl="3" w:tplc="80885C6E" w:tentative="1">
      <w:start w:val="1"/>
      <w:numFmt w:val="decimal"/>
      <w:lvlText w:val="%4."/>
      <w:lvlJc w:val="left"/>
      <w:pPr>
        <w:ind w:left="2000" w:hanging="400"/>
      </w:pPr>
    </w:lvl>
    <w:lvl w:ilvl="4" w:tplc="59E4F23E" w:tentative="1">
      <w:start w:val="1"/>
      <w:numFmt w:val="upperLetter"/>
      <w:lvlText w:val="%5."/>
      <w:lvlJc w:val="left"/>
      <w:pPr>
        <w:ind w:left="2400" w:hanging="400"/>
      </w:pPr>
    </w:lvl>
    <w:lvl w:ilvl="5" w:tplc="DA8A8282" w:tentative="1">
      <w:start w:val="1"/>
      <w:numFmt w:val="lowerRoman"/>
      <w:lvlText w:val="%6."/>
      <w:lvlJc w:val="right"/>
      <w:pPr>
        <w:ind w:left="2800" w:hanging="400"/>
      </w:pPr>
    </w:lvl>
    <w:lvl w:ilvl="6" w:tplc="31E47752" w:tentative="1">
      <w:start w:val="1"/>
      <w:numFmt w:val="decimal"/>
      <w:lvlText w:val="%7."/>
      <w:lvlJc w:val="left"/>
      <w:pPr>
        <w:ind w:left="3200" w:hanging="400"/>
      </w:pPr>
    </w:lvl>
    <w:lvl w:ilvl="7" w:tplc="F61EA52C" w:tentative="1">
      <w:start w:val="1"/>
      <w:numFmt w:val="upperLetter"/>
      <w:lvlText w:val="%8."/>
      <w:lvlJc w:val="left"/>
      <w:pPr>
        <w:ind w:left="3600" w:hanging="400"/>
      </w:pPr>
    </w:lvl>
    <w:lvl w:ilvl="8" w:tplc="23222172" w:tentative="1">
      <w:start w:val="1"/>
      <w:numFmt w:val="lowerRoman"/>
      <w:lvlText w:val="%9."/>
      <w:lvlJc w:val="right"/>
      <w:pPr>
        <w:ind w:left="4000" w:hanging="400"/>
      </w:pPr>
    </w:lvl>
  </w:abstractNum>
  <w:abstractNum w:abstractNumId="11" w15:restartNumberingAfterBreak="0">
    <w:nsid w:val="0C5550FC"/>
    <w:multiLevelType w:val="hybridMultilevel"/>
    <w:tmpl w:val="FF08613C"/>
    <w:lvl w:ilvl="0" w:tplc="9D845C82">
      <w:start w:val="1"/>
      <w:numFmt w:val="decimal"/>
      <w:lvlText w:val="%1."/>
      <w:lvlJc w:val="left"/>
      <w:pPr>
        <w:ind w:left="468" w:hanging="360"/>
      </w:pPr>
      <w:rPr>
        <w:rFonts w:ascii="Times New Roman" w:hAnsi="Times New Roman" w:cs="Times New Roman" w:hint="default"/>
        <w:b/>
      </w:rPr>
    </w:lvl>
    <w:lvl w:ilvl="1" w:tplc="7D5A4360" w:tentative="1">
      <w:start w:val="1"/>
      <w:numFmt w:val="upperLetter"/>
      <w:lvlText w:val="%2."/>
      <w:lvlJc w:val="left"/>
      <w:pPr>
        <w:ind w:left="908" w:hanging="400"/>
      </w:pPr>
    </w:lvl>
    <w:lvl w:ilvl="2" w:tplc="475CF13E" w:tentative="1">
      <w:start w:val="1"/>
      <w:numFmt w:val="lowerRoman"/>
      <w:lvlText w:val="%3."/>
      <w:lvlJc w:val="right"/>
      <w:pPr>
        <w:ind w:left="1308" w:hanging="400"/>
      </w:pPr>
    </w:lvl>
    <w:lvl w:ilvl="3" w:tplc="9C40BC36" w:tentative="1">
      <w:start w:val="1"/>
      <w:numFmt w:val="decimal"/>
      <w:lvlText w:val="%4."/>
      <w:lvlJc w:val="left"/>
      <w:pPr>
        <w:ind w:left="1708" w:hanging="400"/>
      </w:pPr>
    </w:lvl>
    <w:lvl w:ilvl="4" w:tplc="0A04BFB4" w:tentative="1">
      <w:start w:val="1"/>
      <w:numFmt w:val="upperLetter"/>
      <w:lvlText w:val="%5."/>
      <w:lvlJc w:val="left"/>
      <w:pPr>
        <w:ind w:left="2108" w:hanging="400"/>
      </w:pPr>
    </w:lvl>
    <w:lvl w:ilvl="5" w:tplc="E0FA7D64" w:tentative="1">
      <w:start w:val="1"/>
      <w:numFmt w:val="lowerRoman"/>
      <w:lvlText w:val="%6."/>
      <w:lvlJc w:val="right"/>
      <w:pPr>
        <w:ind w:left="2508" w:hanging="400"/>
      </w:pPr>
    </w:lvl>
    <w:lvl w:ilvl="6" w:tplc="F07C8306" w:tentative="1">
      <w:start w:val="1"/>
      <w:numFmt w:val="decimal"/>
      <w:lvlText w:val="%7."/>
      <w:lvlJc w:val="left"/>
      <w:pPr>
        <w:ind w:left="2908" w:hanging="400"/>
      </w:pPr>
    </w:lvl>
    <w:lvl w:ilvl="7" w:tplc="E4C631E2" w:tentative="1">
      <w:start w:val="1"/>
      <w:numFmt w:val="upperLetter"/>
      <w:lvlText w:val="%8."/>
      <w:lvlJc w:val="left"/>
      <w:pPr>
        <w:ind w:left="3308" w:hanging="400"/>
      </w:pPr>
    </w:lvl>
    <w:lvl w:ilvl="8" w:tplc="3926C794" w:tentative="1">
      <w:start w:val="1"/>
      <w:numFmt w:val="lowerRoman"/>
      <w:lvlText w:val="%9."/>
      <w:lvlJc w:val="right"/>
      <w:pPr>
        <w:ind w:left="3708" w:hanging="400"/>
      </w:pPr>
    </w:lvl>
  </w:abstractNum>
  <w:abstractNum w:abstractNumId="12" w15:restartNumberingAfterBreak="0">
    <w:nsid w:val="0CF41E08"/>
    <w:multiLevelType w:val="hybridMultilevel"/>
    <w:tmpl w:val="F66879C4"/>
    <w:lvl w:ilvl="0" w:tplc="BDBA040A">
      <w:start w:val="1"/>
      <w:numFmt w:val="decimal"/>
      <w:lvlText w:val="%1"/>
      <w:lvlJc w:val="left"/>
      <w:pPr>
        <w:ind w:left="57" w:firstLine="113"/>
      </w:pPr>
      <w:rPr>
        <w:rFonts w:ascii="Times New Roman" w:eastAsia="바탕" w:hAnsi="Times New Roman"/>
        <w:w w:val="99"/>
        <w:position w:val="8"/>
        <w:sz w:val="22"/>
        <w:szCs w:val="22"/>
        <w:vertAlign w:val="superscript"/>
      </w:rPr>
    </w:lvl>
    <w:lvl w:ilvl="1" w:tplc="5F2224CC">
      <w:start w:val="1"/>
      <w:numFmt w:val="bullet"/>
      <w:lvlText w:val="•"/>
      <w:lvlJc w:val="left"/>
      <w:rPr>
        <w:rFonts w:hint="default"/>
      </w:rPr>
    </w:lvl>
    <w:lvl w:ilvl="2" w:tplc="2FBA5DB0">
      <w:start w:val="1"/>
      <w:numFmt w:val="bullet"/>
      <w:lvlText w:val="•"/>
      <w:lvlJc w:val="left"/>
      <w:rPr>
        <w:rFonts w:hint="default"/>
      </w:rPr>
    </w:lvl>
    <w:lvl w:ilvl="3" w:tplc="87B80B10">
      <w:start w:val="1"/>
      <w:numFmt w:val="bullet"/>
      <w:lvlText w:val="•"/>
      <w:lvlJc w:val="left"/>
      <w:rPr>
        <w:rFonts w:hint="default"/>
      </w:rPr>
    </w:lvl>
    <w:lvl w:ilvl="4" w:tplc="DD4A108E">
      <w:start w:val="1"/>
      <w:numFmt w:val="bullet"/>
      <w:lvlText w:val="•"/>
      <w:lvlJc w:val="left"/>
      <w:rPr>
        <w:rFonts w:hint="default"/>
      </w:rPr>
    </w:lvl>
    <w:lvl w:ilvl="5" w:tplc="64A6BD5C">
      <w:start w:val="1"/>
      <w:numFmt w:val="bullet"/>
      <w:lvlText w:val="•"/>
      <w:lvlJc w:val="left"/>
      <w:rPr>
        <w:rFonts w:hint="default"/>
      </w:rPr>
    </w:lvl>
    <w:lvl w:ilvl="6" w:tplc="F8CC6B5A">
      <w:start w:val="1"/>
      <w:numFmt w:val="bullet"/>
      <w:lvlText w:val="•"/>
      <w:lvlJc w:val="left"/>
      <w:rPr>
        <w:rFonts w:hint="default"/>
      </w:rPr>
    </w:lvl>
    <w:lvl w:ilvl="7" w:tplc="C2327508">
      <w:start w:val="1"/>
      <w:numFmt w:val="bullet"/>
      <w:lvlText w:val="•"/>
      <w:lvlJc w:val="left"/>
      <w:rPr>
        <w:rFonts w:hint="default"/>
      </w:rPr>
    </w:lvl>
    <w:lvl w:ilvl="8" w:tplc="352EA714">
      <w:start w:val="1"/>
      <w:numFmt w:val="bullet"/>
      <w:lvlText w:val="•"/>
      <w:lvlJc w:val="left"/>
      <w:rPr>
        <w:rFonts w:hint="default"/>
      </w:rPr>
    </w:lvl>
  </w:abstractNum>
  <w:abstractNum w:abstractNumId="13" w15:restartNumberingAfterBreak="0">
    <w:nsid w:val="0FAA2FDE"/>
    <w:multiLevelType w:val="hybridMultilevel"/>
    <w:tmpl w:val="3D02C536"/>
    <w:lvl w:ilvl="0" w:tplc="E1563E20">
      <w:start w:val="1"/>
      <w:numFmt w:val="bullet"/>
      <w:lvlText w:val="•"/>
      <w:lvlJc w:val="left"/>
      <w:pPr>
        <w:ind w:left="1024" w:hanging="400"/>
      </w:pPr>
      <w:rPr>
        <w:rFonts w:ascii="Times New Roman" w:eastAsia="Times New Roman" w:hAnsi="Times New Roman" w:hint="default"/>
        <w:sz w:val="22"/>
        <w:szCs w:val="22"/>
      </w:rPr>
    </w:lvl>
    <w:lvl w:ilvl="1" w:tplc="C5340DF6" w:tentative="1">
      <w:start w:val="1"/>
      <w:numFmt w:val="bullet"/>
      <w:lvlText w:val=""/>
      <w:lvlJc w:val="left"/>
      <w:pPr>
        <w:ind w:left="1424" w:hanging="400"/>
      </w:pPr>
      <w:rPr>
        <w:rFonts w:ascii="Wingdings" w:hAnsi="Wingdings" w:hint="default"/>
      </w:rPr>
    </w:lvl>
    <w:lvl w:ilvl="2" w:tplc="03787B16" w:tentative="1">
      <w:start w:val="1"/>
      <w:numFmt w:val="bullet"/>
      <w:lvlText w:val=""/>
      <w:lvlJc w:val="left"/>
      <w:pPr>
        <w:ind w:left="1824" w:hanging="400"/>
      </w:pPr>
      <w:rPr>
        <w:rFonts w:ascii="Wingdings" w:hAnsi="Wingdings" w:hint="default"/>
      </w:rPr>
    </w:lvl>
    <w:lvl w:ilvl="3" w:tplc="7BAC1640" w:tentative="1">
      <w:start w:val="1"/>
      <w:numFmt w:val="bullet"/>
      <w:lvlText w:val=""/>
      <w:lvlJc w:val="left"/>
      <w:pPr>
        <w:ind w:left="2224" w:hanging="400"/>
      </w:pPr>
      <w:rPr>
        <w:rFonts w:ascii="Wingdings" w:hAnsi="Wingdings" w:hint="default"/>
      </w:rPr>
    </w:lvl>
    <w:lvl w:ilvl="4" w:tplc="DAD60020" w:tentative="1">
      <w:start w:val="1"/>
      <w:numFmt w:val="bullet"/>
      <w:lvlText w:val=""/>
      <w:lvlJc w:val="left"/>
      <w:pPr>
        <w:ind w:left="2624" w:hanging="400"/>
      </w:pPr>
      <w:rPr>
        <w:rFonts w:ascii="Wingdings" w:hAnsi="Wingdings" w:hint="default"/>
      </w:rPr>
    </w:lvl>
    <w:lvl w:ilvl="5" w:tplc="3EAA8914" w:tentative="1">
      <w:start w:val="1"/>
      <w:numFmt w:val="bullet"/>
      <w:lvlText w:val=""/>
      <w:lvlJc w:val="left"/>
      <w:pPr>
        <w:ind w:left="3024" w:hanging="400"/>
      </w:pPr>
      <w:rPr>
        <w:rFonts w:ascii="Wingdings" w:hAnsi="Wingdings" w:hint="default"/>
      </w:rPr>
    </w:lvl>
    <w:lvl w:ilvl="6" w:tplc="322AD078" w:tentative="1">
      <w:start w:val="1"/>
      <w:numFmt w:val="bullet"/>
      <w:lvlText w:val=""/>
      <w:lvlJc w:val="left"/>
      <w:pPr>
        <w:ind w:left="3424" w:hanging="400"/>
      </w:pPr>
      <w:rPr>
        <w:rFonts w:ascii="Wingdings" w:hAnsi="Wingdings" w:hint="default"/>
      </w:rPr>
    </w:lvl>
    <w:lvl w:ilvl="7" w:tplc="326CDA12" w:tentative="1">
      <w:start w:val="1"/>
      <w:numFmt w:val="bullet"/>
      <w:lvlText w:val=""/>
      <w:lvlJc w:val="left"/>
      <w:pPr>
        <w:ind w:left="3824" w:hanging="400"/>
      </w:pPr>
      <w:rPr>
        <w:rFonts w:ascii="Wingdings" w:hAnsi="Wingdings" w:hint="default"/>
      </w:rPr>
    </w:lvl>
    <w:lvl w:ilvl="8" w:tplc="6AD281EE" w:tentative="1">
      <w:start w:val="1"/>
      <w:numFmt w:val="bullet"/>
      <w:lvlText w:val=""/>
      <w:lvlJc w:val="left"/>
      <w:pPr>
        <w:ind w:left="4224" w:hanging="400"/>
      </w:pPr>
      <w:rPr>
        <w:rFonts w:ascii="Wingdings" w:hAnsi="Wingdings" w:hint="default"/>
      </w:rPr>
    </w:lvl>
  </w:abstractNum>
  <w:abstractNum w:abstractNumId="14" w15:restartNumberingAfterBreak="0">
    <w:nsid w:val="127F4863"/>
    <w:multiLevelType w:val="hybridMultilevel"/>
    <w:tmpl w:val="0732769C"/>
    <w:lvl w:ilvl="0" w:tplc="BA666ECE">
      <w:start w:val="1"/>
      <w:numFmt w:val="decimal"/>
      <w:lvlText w:val="%1"/>
      <w:lvlJc w:val="left"/>
      <w:pPr>
        <w:ind w:left="57" w:firstLine="113"/>
      </w:pPr>
      <w:rPr>
        <w:rFonts w:ascii="Times New Roman" w:eastAsia="Times New Roman" w:hAnsi="Times New Roman" w:cs="Times New Roman"/>
        <w:w w:val="99"/>
        <w:position w:val="8"/>
        <w:sz w:val="22"/>
        <w:szCs w:val="22"/>
        <w:vertAlign w:val="superscript"/>
      </w:rPr>
    </w:lvl>
    <w:lvl w:ilvl="1" w:tplc="5F2224CC">
      <w:start w:val="1"/>
      <w:numFmt w:val="bullet"/>
      <w:lvlText w:val="•"/>
      <w:lvlJc w:val="left"/>
      <w:rPr>
        <w:rFonts w:hint="default"/>
      </w:rPr>
    </w:lvl>
    <w:lvl w:ilvl="2" w:tplc="2FBA5DB0">
      <w:start w:val="1"/>
      <w:numFmt w:val="bullet"/>
      <w:lvlText w:val="•"/>
      <w:lvlJc w:val="left"/>
      <w:rPr>
        <w:rFonts w:hint="default"/>
      </w:rPr>
    </w:lvl>
    <w:lvl w:ilvl="3" w:tplc="87B80B10">
      <w:start w:val="1"/>
      <w:numFmt w:val="bullet"/>
      <w:lvlText w:val="•"/>
      <w:lvlJc w:val="left"/>
      <w:rPr>
        <w:rFonts w:hint="default"/>
      </w:rPr>
    </w:lvl>
    <w:lvl w:ilvl="4" w:tplc="DD4A108E">
      <w:start w:val="1"/>
      <w:numFmt w:val="bullet"/>
      <w:lvlText w:val="•"/>
      <w:lvlJc w:val="left"/>
      <w:rPr>
        <w:rFonts w:hint="default"/>
      </w:rPr>
    </w:lvl>
    <w:lvl w:ilvl="5" w:tplc="64A6BD5C">
      <w:start w:val="1"/>
      <w:numFmt w:val="bullet"/>
      <w:lvlText w:val="•"/>
      <w:lvlJc w:val="left"/>
      <w:rPr>
        <w:rFonts w:hint="default"/>
      </w:rPr>
    </w:lvl>
    <w:lvl w:ilvl="6" w:tplc="F8CC6B5A">
      <w:start w:val="1"/>
      <w:numFmt w:val="bullet"/>
      <w:lvlText w:val="•"/>
      <w:lvlJc w:val="left"/>
      <w:rPr>
        <w:rFonts w:hint="default"/>
      </w:rPr>
    </w:lvl>
    <w:lvl w:ilvl="7" w:tplc="C2327508">
      <w:start w:val="1"/>
      <w:numFmt w:val="bullet"/>
      <w:lvlText w:val="•"/>
      <w:lvlJc w:val="left"/>
      <w:rPr>
        <w:rFonts w:hint="default"/>
      </w:rPr>
    </w:lvl>
    <w:lvl w:ilvl="8" w:tplc="352EA714">
      <w:start w:val="1"/>
      <w:numFmt w:val="bullet"/>
      <w:lvlText w:val="•"/>
      <w:lvlJc w:val="left"/>
      <w:rPr>
        <w:rFonts w:hint="default"/>
      </w:rPr>
    </w:lvl>
  </w:abstractNum>
  <w:abstractNum w:abstractNumId="15" w15:restartNumberingAfterBreak="0">
    <w:nsid w:val="141D4C66"/>
    <w:multiLevelType w:val="hybridMultilevel"/>
    <w:tmpl w:val="5ED0E810"/>
    <w:lvl w:ilvl="0" w:tplc="08FE46A8">
      <w:start w:val="1"/>
      <w:numFmt w:val="bullet"/>
      <w:lvlText w:val=""/>
      <w:lvlJc w:val="left"/>
      <w:pPr>
        <w:ind w:left="720" w:hanging="360"/>
      </w:pPr>
      <w:rPr>
        <w:rFonts w:ascii="Symbol" w:hAnsi="Symbol" w:hint="default"/>
      </w:rPr>
    </w:lvl>
    <w:lvl w:ilvl="1" w:tplc="22880F4C" w:tentative="1">
      <w:start w:val="1"/>
      <w:numFmt w:val="bullet"/>
      <w:lvlText w:val="o"/>
      <w:lvlJc w:val="left"/>
      <w:pPr>
        <w:ind w:left="1440" w:hanging="360"/>
      </w:pPr>
      <w:rPr>
        <w:rFonts w:ascii="Courier New" w:hAnsi="Courier New" w:cs="Courier New" w:hint="default"/>
      </w:rPr>
    </w:lvl>
    <w:lvl w:ilvl="2" w:tplc="2D207A72" w:tentative="1">
      <w:start w:val="1"/>
      <w:numFmt w:val="bullet"/>
      <w:lvlText w:val=""/>
      <w:lvlJc w:val="left"/>
      <w:pPr>
        <w:ind w:left="2160" w:hanging="360"/>
      </w:pPr>
      <w:rPr>
        <w:rFonts w:ascii="Wingdings" w:hAnsi="Wingdings" w:hint="default"/>
      </w:rPr>
    </w:lvl>
    <w:lvl w:ilvl="3" w:tplc="F36890AA" w:tentative="1">
      <w:start w:val="1"/>
      <w:numFmt w:val="bullet"/>
      <w:lvlText w:val=""/>
      <w:lvlJc w:val="left"/>
      <w:pPr>
        <w:ind w:left="2880" w:hanging="360"/>
      </w:pPr>
      <w:rPr>
        <w:rFonts w:ascii="Symbol" w:hAnsi="Symbol" w:hint="default"/>
      </w:rPr>
    </w:lvl>
    <w:lvl w:ilvl="4" w:tplc="64CC6E22" w:tentative="1">
      <w:start w:val="1"/>
      <w:numFmt w:val="bullet"/>
      <w:lvlText w:val="o"/>
      <w:lvlJc w:val="left"/>
      <w:pPr>
        <w:ind w:left="3600" w:hanging="360"/>
      </w:pPr>
      <w:rPr>
        <w:rFonts w:ascii="Courier New" w:hAnsi="Courier New" w:cs="Courier New" w:hint="default"/>
      </w:rPr>
    </w:lvl>
    <w:lvl w:ilvl="5" w:tplc="771E4168" w:tentative="1">
      <w:start w:val="1"/>
      <w:numFmt w:val="bullet"/>
      <w:lvlText w:val=""/>
      <w:lvlJc w:val="left"/>
      <w:pPr>
        <w:ind w:left="4320" w:hanging="360"/>
      </w:pPr>
      <w:rPr>
        <w:rFonts w:ascii="Wingdings" w:hAnsi="Wingdings" w:hint="default"/>
      </w:rPr>
    </w:lvl>
    <w:lvl w:ilvl="6" w:tplc="C5164FE2" w:tentative="1">
      <w:start w:val="1"/>
      <w:numFmt w:val="bullet"/>
      <w:lvlText w:val=""/>
      <w:lvlJc w:val="left"/>
      <w:pPr>
        <w:ind w:left="5040" w:hanging="360"/>
      </w:pPr>
      <w:rPr>
        <w:rFonts w:ascii="Symbol" w:hAnsi="Symbol" w:hint="default"/>
      </w:rPr>
    </w:lvl>
    <w:lvl w:ilvl="7" w:tplc="2AD45260" w:tentative="1">
      <w:start w:val="1"/>
      <w:numFmt w:val="bullet"/>
      <w:lvlText w:val="o"/>
      <w:lvlJc w:val="left"/>
      <w:pPr>
        <w:ind w:left="5760" w:hanging="360"/>
      </w:pPr>
      <w:rPr>
        <w:rFonts w:ascii="Courier New" w:hAnsi="Courier New" w:cs="Courier New" w:hint="default"/>
      </w:rPr>
    </w:lvl>
    <w:lvl w:ilvl="8" w:tplc="C246ACF0" w:tentative="1">
      <w:start w:val="1"/>
      <w:numFmt w:val="bullet"/>
      <w:lvlText w:val=""/>
      <w:lvlJc w:val="left"/>
      <w:pPr>
        <w:ind w:left="6480" w:hanging="360"/>
      </w:pPr>
      <w:rPr>
        <w:rFonts w:ascii="Wingdings" w:hAnsi="Wingdings" w:hint="default"/>
      </w:rPr>
    </w:lvl>
  </w:abstractNum>
  <w:abstractNum w:abstractNumId="16" w15:restartNumberingAfterBreak="0">
    <w:nsid w:val="14BB08A6"/>
    <w:multiLevelType w:val="hybridMultilevel"/>
    <w:tmpl w:val="3E3022CA"/>
    <w:lvl w:ilvl="0" w:tplc="34249B2A">
      <w:start w:val="1"/>
      <w:numFmt w:val="decimal"/>
      <w:lvlText w:val="%1."/>
      <w:lvlJc w:val="left"/>
      <w:pPr>
        <w:ind w:left="471" w:hanging="360"/>
      </w:pPr>
      <w:rPr>
        <w:rFonts w:hint="default"/>
        <w:b/>
      </w:rPr>
    </w:lvl>
    <w:lvl w:ilvl="1" w:tplc="3B12B378">
      <w:start w:val="1"/>
      <w:numFmt w:val="upperLetter"/>
      <w:lvlText w:val="%2."/>
      <w:lvlJc w:val="left"/>
      <w:pPr>
        <w:ind w:left="911" w:hanging="400"/>
      </w:pPr>
    </w:lvl>
    <w:lvl w:ilvl="2" w:tplc="9C947110" w:tentative="1">
      <w:start w:val="1"/>
      <w:numFmt w:val="lowerRoman"/>
      <w:lvlText w:val="%3."/>
      <w:lvlJc w:val="right"/>
      <w:pPr>
        <w:ind w:left="1311" w:hanging="400"/>
      </w:pPr>
    </w:lvl>
    <w:lvl w:ilvl="3" w:tplc="CB868E3A" w:tentative="1">
      <w:start w:val="1"/>
      <w:numFmt w:val="decimal"/>
      <w:lvlText w:val="%4."/>
      <w:lvlJc w:val="left"/>
      <w:pPr>
        <w:ind w:left="1711" w:hanging="400"/>
      </w:pPr>
    </w:lvl>
    <w:lvl w:ilvl="4" w:tplc="D17C3812" w:tentative="1">
      <w:start w:val="1"/>
      <w:numFmt w:val="upperLetter"/>
      <w:lvlText w:val="%5."/>
      <w:lvlJc w:val="left"/>
      <w:pPr>
        <w:ind w:left="2111" w:hanging="400"/>
      </w:pPr>
    </w:lvl>
    <w:lvl w:ilvl="5" w:tplc="9A4CBD78" w:tentative="1">
      <w:start w:val="1"/>
      <w:numFmt w:val="lowerRoman"/>
      <w:lvlText w:val="%6."/>
      <w:lvlJc w:val="right"/>
      <w:pPr>
        <w:ind w:left="2511" w:hanging="400"/>
      </w:pPr>
    </w:lvl>
    <w:lvl w:ilvl="6" w:tplc="2ECA8666" w:tentative="1">
      <w:start w:val="1"/>
      <w:numFmt w:val="decimal"/>
      <w:lvlText w:val="%7."/>
      <w:lvlJc w:val="left"/>
      <w:pPr>
        <w:ind w:left="2911" w:hanging="400"/>
      </w:pPr>
    </w:lvl>
    <w:lvl w:ilvl="7" w:tplc="771CF820" w:tentative="1">
      <w:start w:val="1"/>
      <w:numFmt w:val="upperLetter"/>
      <w:lvlText w:val="%8."/>
      <w:lvlJc w:val="left"/>
      <w:pPr>
        <w:ind w:left="3311" w:hanging="400"/>
      </w:pPr>
    </w:lvl>
    <w:lvl w:ilvl="8" w:tplc="6AD83D26" w:tentative="1">
      <w:start w:val="1"/>
      <w:numFmt w:val="lowerRoman"/>
      <w:lvlText w:val="%9."/>
      <w:lvlJc w:val="right"/>
      <w:pPr>
        <w:ind w:left="3711" w:hanging="400"/>
      </w:pPr>
    </w:lvl>
  </w:abstractNum>
  <w:abstractNum w:abstractNumId="17" w15:restartNumberingAfterBreak="0">
    <w:nsid w:val="1573096C"/>
    <w:multiLevelType w:val="hybridMultilevel"/>
    <w:tmpl w:val="339C2F6A"/>
    <w:lvl w:ilvl="0" w:tplc="E4D6A87A">
      <w:start w:val="1"/>
      <w:numFmt w:val="decimal"/>
      <w:lvlText w:val="%1."/>
      <w:lvlJc w:val="left"/>
      <w:pPr>
        <w:ind w:hanging="562"/>
      </w:pPr>
      <w:rPr>
        <w:rFonts w:ascii="Times New Roman" w:eastAsia="Times New Roman" w:hAnsi="Times New Roman" w:hint="default"/>
        <w:b/>
        <w:bCs/>
        <w:sz w:val="22"/>
        <w:szCs w:val="22"/>
      </w:rPr>
    </w:lvl>
    <w:lvl w:ilvl="1" w:tplc="CD885D00">
      <w:start w:val="1"/>
      <w:numFmt w:val="bullet"/>
      <w:lvlText w:val="•"/>
      <w:lvlJc w:val="left"/>
      <w:rPr>
        <w:rFonts w:hint="default"/>
      </w:rPr>
    </w:lvl>
    <w:lvl w:ilvl="2" w:tplc="1C7652BA">
      <w:start w:val="1"/>
      <w:numFmt w:val="bullet"/>
      <w:lvlText w:val="•"/>
      <w:lvlJc w:val="left"/>
      <w:rPr>
        <w:rFonts w:hint="default"/>
      </w:rPr>
    </w:lvl>
    <w:lvl w:ilvl="3" w:tplc="33886374">
      <w:start w:val="1"/>
      <w:numFmt w:val="bullet"/>
      <w:lvlText w:val="•"/>
      <w:lvlJc w:val="left"/>
      <w:rPr>
        <w:rFonts w:hint="default"/>
      </w:rPr>
    </w:lvl>
    <w:lvl w:ilvl="4" w:tplc="ED740E0E">
      <w:start w:val="1"/>
      <w:numFmt w:val="bullet"/>
      <w:lvlText w:val="•"/>
      <w:lvlJc w:val="left"/>
      <w:rPr>
        <w:rFonts w:hint="default"/>
      </w:rPr>
    </w:lvl>
    <w:lvl w:ilvl="5" w:tplc="8B584930">
      <w:start w:val="1"/>
      <w:numFmt w:val="bullet"/>
      <w:lvlText w:val="•"/>
      <w:lvlJc w:val="left"/>
      <w:rPr>
        <w:rFonts w:hint="default"/>
      </w:rPr>
    </w:lvl>
    <w:lvl w:ilvl="6" w:tplc="40E2B110">
      <w:start w:val="1"/>
      <w:numFmt w:val="bullet"/>
      <w:lvlText w:val="•"/>
      <w:lvlJc w:val="left"/>
      <w:rPr>
        <w:rFonts w:hint="default"/>
      </w:rPr>
    </w:lvl>
    <w:lvl w:ilvl="7" w:tplc="30244148">
      <w:start w:val="1"/>
      <w:numFmt w:val="bullet"/>
      <w:lvlText w:val="•"/>
      <w:lvlJc w:val="left"/>
      <w:rPr>
        <w:rFonts w:hint="default"/>
      </w:rPr>
    </w:lvl>
    <w:lvl w:ilvl="8" w:tplc="C3587F50">
      <w:start w:val="1"/>
      <w:numFmt w:val="bullet"/>
      <w:lvlText w:val="•"/>
      <w:lvlJc w:val="left"/>
      <w:rPr>
        <w:rFonts w:hint="default"/>
      </w:rPr>
    </w:lvl>
  </w:abstractNum>
  <w:abstractNum w:abstractNumId="18" w15:restartNumberingAfterBreak="0">
    <w:nsid w:val="160A2539"/>
    <w:multiLevelType w:val="hybridMultilevel"/>
    <w:tmpl w:val="B11621AC"/>
    <w:lvl w:ilvl="0" w:tplc="C650967C">
      <w:start w:val="1"/>
      <w:numFmt w:val="decimal"/>
      <w:lvlText w:val="%1."/>
      <w:lvlJc w:val="left"/>
      <w:pPr>
        <w:ind w:left="805" w:hanging="360"/>
      </w:pPr>
      <w:rPr>
        <w:rFonts w:ascii="Times New Roman" w:hAnsi="Times New Roman" w:cs="Times New Roman" w:hint="default"/>
        <w:b/>
      </w:rPr>
    </w:lvl>
    <w:lvl w:ilvl="1" w:tplc="83A00C52" w:tentative="1">
      <w:start w:val="1"/>
      <w:numFmt w:val="upperLetter"/>
      <w:lvlText w:val="%2."/>
      <w:lvlJc w:val="left"/>
      <w:pPr>
        <w:ind w:left="1245" w:hanging="400"/>
      </w:pPr>
    </w:lvl>
    <w:lvl w:ilvl="2" w:tplc="2758D158" w:tentative="1">
      <w:start w:val="1"/>
      <w:numFmt w:val="lowerRoman"/>
      <w:lvlText w:val="%3."/>
      <w:lvlJc w:val="right"/>
      <w:pPr>
        <w:ind w:left="1645" w:hanging="400"/>
      </w:pPr>
    </w:lvl>
    <w:lvl w:ilvl="3" w:tplc="B3485894" w:tentative="1">
      <w:start w:val="1"/>
      <w:numFmt w:val="decimal"/>
      <w:lvlText w:val="%4."/>
      <w:lvlJc w:val="left"/>
      <w:pPr>
        <w:ind w:left="2045" w:hanging="400"/>
      </w:pPr>
    </w:lvl>
    <w:lvl w:ilvl="4" w:tplc="8DD21F4E" w:tentative="1">
      <w:start w:val="1"/>
      <w:numFmt w:val="upperLetter"/>
      <w:lvlText w:val="%5."/>
      <w:lvlJc w:val="left"/>
      <w:pPr>
        <w:ind w:left="2445" w:hanging="400"/>
      </w:pPr>
    </w:lvl>
    <w:lvl w:ilvl="5" w:tplc="56C647E2" w:tentative="1">
      <w:start w:val="1"/>
      <w:numFmt w:val="lowerRoman"/>
      <w:lvlText w:val="%6."/>
      <w:lvlJc w:val="right"/>
      <w:pPr>
        <w:ind w:left="2845" w:hanging="400"/>
      </w:pPr>
    </w:lvl>
    <w:lvl w:ilvl="6" w:tplc="19EE24B6" w:tentative="1">
      <w:start w:val="1"/>
      <w:numFmt w:val="decimal"/>
      <w:lvlText w:val="%7."/>
      <w:lvlJc w:val="left"/>
      <w:pPr>
        <w:ind w:left="3245" w:hanging="400"/>
      </w:pPr>
    </w:lvl>
    <w:lvl w:ilvl="7" w:tplc="DC949404" w:tentative="1">
      <w:start w:val="1"/>
      <w:numFmt w:val="upperLetter"/>
      <w:lvlText w:val="%8."/>
      <w:lvlJc w:val="left"/>
      <w:pPr>
        <w:ind w:left="3645" w:hanging="400"/>
      </w:pPr>
    </w:lvl>
    <w:lvl w:ilvl="8" w:tplc="C95ED16A" w:tentative="1">
      <w:start w:val="1"/>
      <w:numFmt w:val="lowerRoman"/>
      <w:lvlText w:val="%9."/>
      <w:lvlJc w:val="right"/>
      <w:pPr>
        <w:ind w:left="4045" w:hanging="400"/>
      </w:pPr>
    </w:lvl>
  </w:abstractNum>
  <w:abstractNum w:abstractNumId="19" w15:restartNumberingAfterBreak="0">
    <w:nsid w:val="175967BB"/>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0" w15:restartNumberingAfterBreak="0">
    <w:nsid w:val="1A0E5234"/>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1" w15:restartNumberingAfterBreak="0">
    <w:nsid w:val="1A3C22E2"/>
    <w:multiLevelType w:val="hybridMultilevel"/>
    <w:tmpl w:val="B11621AC"/>
    <w:lvl w:ilvl="0" w:tplc="C650967C">
      <w:start w:val="1"/>
      <w:numFmt w:val="decimal"/>
      <w:lvlText w:val="%1."/>
      <w:lvlJc w:val="left"/>
      <w:pPr>
        <w:ind w:left="805" w:hanging="360"/>
      </w:pPr>
      <w:rPr>
        <w:rFonts w:ascii="Times New Roman" w:hAnsi="Times New Roman" w:cs="Times New Roman" w:hint="default"/>
        <w:b/>
      </w:rPr>
    </w:lvl>
    <w:lvl w:ilvl="1" w:tplc="83A00C52" w:tentative="1">
      <w:start w:val="1"/>
      <w:numFmt w:val="upperLetter"/>
      <w:lvlText w:val="%2."/>
      <w:lvlJc w:val="left"/>
      <w:pPr>
        <w:ind w:left="1245" w:hanging="400"/>
      </w:pPr>
    </w:lvl>
    <w:lvl w:ilvl="2" w:tplc="2758D158" w:tentative="1">
      <w:start w:val="1"/>
      <w:numFmt w:val="lowerRoman"/>
      <w:lvlText w:val="%3."/>
      <w:lvlJc w:val="right"/>
      <w:pPr>
        <w:ind w:left="1645" w:hanging="400"/>
      </w:pPr>
    </w:lvl>
    <w:lvl w:ilvl="3" w:tplc="B3485894" w:tentative="1">
      <w:start w:val="1"/>
      <w:numFmt w:val="decimal"/>
      <w:lvlText w:val="%4."/>
      <w:lvlJc w:val="left"/>
      <w:pPr>
        <w:ind w:left="2045" w:hanging="400"/>
      </w:pPr>
    </w:lvl>
    <w:lvl w:ilvl="4" w:tplc="8DD21F4E" w:tentative="1">
      <w:start w:val="1"/>
      <w:numFmt w:val="upperLetter"/>
      <w:lvlText w:val="%5."/>
      <w:lvlJc w:val="left"/>
      <w:pPr>
        <w:ind w:left="2445" w:hanging="400"/>
      </w:pPr>
    </w:lvl>
    <w:lvl w:ilvl="5" w:tplc="56C647E2" w:tentative="1">
      <w:start w:val="1"/>
      <w:numFmt w:val="lowerRoman"/>
      <w:lvlText w:val="%6."/>
      <w:lvlJc w:val="right"/>
      <w:pPr>
        <w:ind w:left="2845" w:hanging="400"/>
      </w:pPr>
    </w:lvl>
    <w:lvl w:ilvl="6" w:tplc="19EE24B6" w:tentative="1">
      <w:start w:val="1"/>
      <w:numFmt w:val="decimal"/>
      <w:lvlText w:val="%7."/>
      <w:lvlJc w:val="left"/>
      <w:pPr>
        <w:ind w:left="3245" w:hanging="400"/>
      </w:pPr>
    </w:lvl>
    <w:lvl w:ilvl="7" w:tplc="DC949404" w:tentative="1">
      <w:start w:val="1"/>
      <w:numFmt w:val="upperLetter"/>
      <w:lvlText w:val="%8."/>
      <w:lvlJc w:val="left"/>
      <w:pPr>
        <w:ind w:left="3645" w:hanging="400"/>
      </w:pPr>
    </w:lvl>
    <w:lvl w:ilvl="8" w:tplc="C95ED16A" w:tentative="1">
      <w:start w:val="1"/>
      <w:numFmt w:val="lowerRoman"/>
      <w:lvlText w:val="%9."/>
      <w:lvlJc w:val="right"/>
      <w:pPr>
        <w:ind w:left="4045" w:hanging="400"/>
      </w:pPr>
    </w:lvl>
  </w:abstractNum>
  <w:abstractNum w:abstractNumId="22" w15:restartNumberingAfterBreak="0">
    <w:nsid w:val="1B320F7A"/>
    <w:multiLevelType w:val="hybridMultilevel"/>
    <w:tmpl w:val="E2C09F78"/>
    <w:lvl w:ilvl="0" w:tplc="1DC2FAA8">
      <w:start w:val="1"/>
      <w:numFmt w:val="bullet"/>
      <w:lvlText w:val=""/>
      <w:lvlJc w:val="left"/>
      <w:pPr>
        <w:ind w:hanging="176"/>
      </w:pPr>
      <w:rPr>
        <w:rFonts w:ascii="Symbol" w:eastAsia="Symbol" w:hAnsi="Symbol" w:hint="default"/>
        <w:sz w:val="22"/>
        <w:szCs w:val="22"/>
      </w:rPr>
    </w:lvl>
    <w:lvl w:ilvl="1" w:tplc="8A60EDC0">
      <w:start w:val="1"/>
      <w:numFmt w:val="bullet"/>
      <w:lvlText w:val="•"/>
      <w:lvlJc w:val="left"/>
      <w:rPr>
        <w:rFonts w:hint="default"/>
      </w:rPr>
    </w:lvl>
    <w:lvl w:ilvl="2" w:tplc="6264FC5E">
      <w:start w:val="1"/>
      <w:numFmt w:val="bullet"/>
      <w:lvlText w:val="•"/>
      <w:lvlJc w:val="left"/>
      <w:rPr>
        <w:rFonts w:hint="default"/>
      </w:rPr>
    </w:lvl>
    <w:lvl w:ilvl="3" w:tplc="57549192">
      <w:start w:val="1"/>
      <w:numFmt w:val="bullet"/>
      <w:lvlText w:val="•"/>
      <w:lvlJc w:val="left"/>
      <w:rPr>
        <w:rFonts w:hint="default"/>
      </w:rPr>
    </w:lvl>
    <w:lvl w:ilvl="4" w:tplc="FE0A7F56">
      <w:start w:val="1"/>
      <w:numFmt w:val="bullet"/>
      <w:lvlText w:val="•"/>
      <w:lvlJc w:val="left"/>
      <w:rPr>
        <w:rFonts w:hint="default"/>
      </w:rPr>
    </w:lvl>
    <w:lvl w:ilvl="5" w:tplc="8362E61A">
      <w:start w:val="1"/>
      <w:numFmt w:val="bullet"/>
      <w:lvlText w:val="•"/>
      <w:lvlJc w:val="left"/>
      <w:rPr>
        <w:rFonts w:hint="default"/>
      </w:rPr>
    </w:lvl>
    <w:lvl w:ilvl="6" w:tplc="F7841F2A">
      <w:start w:val="1"/>
      <w:numFmt w:val="bullet"/>
      <w:lvlText w:val="•"/>
      <w:lvlJc w:val="left"/>
      <w:rPr>
        <w:rFonts w:hint="default"/>
      </w:rPr>
    </w:lvl>
    <w:lvl w:ilvl="7" w:tplc="0816A9D2">
      <w:start w:val="1"/>
      <w:numFmt w:val="bullet"/>
      <w:lvlText w:val="•"/>
      <w:lvlJc w:val="left"/>
      <w:rPr>
        <w:rFonts w:hint="default"/>
      </w:rPr>
    </w:lvl>
    <w:lvl w:ilvl="8" w:tplc="8872E634">
      <w:start w:val="1"/>
      <w:numFmt w:val="bullet"/>
      <w:lvlText w:val="•"/>
      <w:lvlJc w:val="left"/>
      <w:rPr>
        <w:rFonts w:hint="default"/>
      </w:rPr>
    </w:lvl>
  </w:abstractNum>
  <w:abstractNum w:abstractNumId="23" w15:restartNumberingAfterBreak="0">
    <w:nsid w:val="1CC0291D"/>
    <w:multiLevelType w:val="hybridMultilevel"/>
    <w:tmpl w:val="13620C16"/>
    <w:lvl w:ilvl="0" w:tplc="1390C746">
      <w:start w:val="1"/>
      <w:numFmt w:val="decimal"/>
      <w:lvlText w:val="%1"/>
      <w:lvlJc w:val="left"/>
      <w:pPr>
        <w:ind w:left="57" w:firstLine="113"/>
      </w:pPr>
      <w:rPr>
        <w:rFonts w:ascii="Times New Roman" w:eastAsia="Calibri" w:hAnsi="Times New Roman" w:cs="Times New Roman"/>
        <w:w w:val="99"/>
        <w:position w:val="8"/>
        <w:sz w:val="22"/>
        <w:szCs w:val="22"/>
        <w:vertAlign w:val="superscript"/>
      </w:rPr>
    </w:lvl>
    <w:lvl w:ilvl="1" w:tplc="5F2224CC">
      <w:start w:val="1"/>
      <w:numFmt w:val="bullet"/>
      <w:lvlText w:val="•"/>
      <w:lvlJc w:val="left"/>
      <w:rPr>
        <w:rFonts w:hint="default"/>
      </w:rPr>
    </w:lvl>
    <w:lvl w:ilvl="2" w:tplc="2FBA5DB0">
      <w:start w:val="1"/>
      <w:numFmt w:val="bullet"/>
      <w:lvlText w:val="•"/>
      <w:lvlJc w:val="left"/>
      <w:rPr>
        <w:rFonts w:hint="default"/>
      </w:rPr>
    </w:lvl>
    <w:lvl w:ilvl="3" w:tplc="87B80B10">
      <w:start w:val="1"/>
      <w:numFmt w:val="bullet"/>
      <w:lvlText w:val="•"/>
      <w:lvlJc w:val="left"/>
      <w:rPr>
        <w:rFonts w:hint="default"/>
      </w:rPr>
    </w:lvl>
    <w:lvl w:ilvl="4" w:tplc="DD4A108E">
      <w:start w:val="1"/>
      <w:numFmt w:val="bullet"/>
      <w:lvlText w:val="•"/>
      <w:lvlJc w:val="left"/>
      <w:rPr>
        <w:rFonts w:hint="default"/>
      </w:rPr>
    </w:lvl>
    <w:lvl w:ilvl="5" w:tplc="64A6BD5C">
      <w:start w:val="1"/>
      <w:numFmt w:val="bullet"/>
      <w:lvlText w:val="•"/>
      <w:lvlJc w:val="left"/>
      <w:rPr>
        <w:rFonts w:hint="default"/>
      </w:rPr>
    </w:lvl>
    <w:lvl w:ilvl="6" w:tplc="F8CC6B5A">
      <w:start w:val="1"/>
      <w:numFmt w:val="bullet"/>
      <w:lvlText w:val="•"/>
      <w:lvlJc w:val="left"/>
      <w:rPr>
        <w:rFonts w:hint="default"/>
      </w:rPr>
    </w:lvl>
    <w:lvl w:ilvl="7" w:tplc="C2327508">
      <w:start w:val="1"/>
      <w:numFmt w:val="bullet"/>
      <w:lvlText w:val="•"/>
      <w:lvlJc w:val="left"/>
      <w:rPr>
        <w:rFonts w:hint="default"/>
      </w:rPr>
    </w:lvl>
    <w:lvl w:ilvl="8" w:tplc="352EA714">
      <w:start w:val="1"/>
      <w:numFmt w:val="bullet"/>
      <w:lvlText w:val="•"/>
      <w:lvlJc w:val="left"/>
      <w:rPr>
        <w:rFonts w:hint="default"/>
      </w:rPr>
    </w:lvl>
  </w:abstractNum>
  <w:abstractNum w:abstractNumId="24" w15:restartNumberingAfterBreak="0">
    <w:nsid w:val="1CC7411D"/>
    <w:multiLevelType w:val="hybridMultilevel"/>
    <w:tmpl w:val="28A00D86"/>
    <w:lvl w:ilvl="0" w:tplc="4080EA52">
      <w:start w:val="1"/>
      <w:numFmt w:val="decimal"/>
      <w:lvlText w:val="%1."/>
      <w:lvlJc w:val="left"/>
      <w:pPr>
        <w:ind w:left="360" w:hanging="360"/>
      </w:pPr>
      <w:rPr>
        <w:rFonts w:hint="default"/>
      </w:rPr>
    </w:lvl>
    <w:lvl w:ilvl="1" w:tplc="06EC0BB6" w:tentative="1">
      <w:start w:val="1"/>
      <w:numFmt w:val="upperLetter"/>
      <w:lvlText w:val="%2."/>
      <w:lvlJc w:val="left"/>
      <w:pPr>
        <w:ind w:left="800" w:hanging="400"/>
      </w:pPr>
    </w:lvl>
    <w:lvl w:ilvl="2" w:tplc="C45236D0" w:tentative="1">
      <w:start w:val="1"/>
      <w:numFmt w:val="lowerRoman"/>
      <w:lvlText w:val="%3."/>
      <w:lvlJc w:val="right"/>
      <w:pPr>
        <w:ind w:left="1200" w:hanging="400"/>
      </w:pPr>
    </w:lvl>
    <w:lvl w:ilvl="3" w:tplc="450E78EA" w:tentative="1">
      <w:start w:val="1"/>
      <w:numFmt w:val="decimal"/>
      <w:lvlText w:val="%4."/>
      <w:lvlJc w:val="left"/>
      <w:pPr>
        <w:ind w:left="1600" w:hanging="400"/>
      </w:pPr>
    </w:lvl>
    <w:lvl w:ilvl="4" w:tplc="237A5F96" w:tentative="1">
      <w:start w:val="1"/>
      <w:numFmt w:val="upperLetter"/>
      <w:lvlText w:val="%5."/>
      <w:lvlJc w:val="left"/>
      <w:pPr>
        <w:ind w:left="2000" w:hanging="400"/>
      </w:pPr>
    </w:lvl>
    <w:lvl w:ilvl="5" w:tplc="9B7C6CEC" w:tentative="1">
      <w:start w:val="1"/>
      <w:numFmt w:val="lowerRoman"/>
      <w:lvlText w:val="%6."/>
      <w:lvlJc w:val="right"/>
      <w:pPr>
        <w:ind w:left="2400" w:hanging="400"/>
      </w:pPr>
    </w:lvl>
    <w:lvl w:ilvl="6" w:tplc="2376C706" w:tentative="1">
      <w:start w:val="1"/>
      <w:numFmt w:val="decimal"/>
      <w:lvlText w:val="%7."/>
      <w:lvlJc w:val="left"/>
      <w:pPr>
        <w:ind w:left="2800" w:hanging="400"/>
      </w:pPr>
    </w:lvl>
    <w:lvl w:ilvl="7" w:tplc="B156D864" w:tentative="1">
      <w:start w:val="1"/>
      <w:numFmt w:val="upperLetter"/>
      <w:lvlText w:val="%8."/>
      <w:lvlJc w:val="left"/>
      <w:pPr>
        <w:ind w:left="3200" w:hanging="400"/>
      </w:pPr>
    </w:lvl>
    <w:lvl w:ilvl="8" w:tplc="1AA44F8C" w:tentative="1">
      <w:start w:val="1"/>
      <w:numFmt w:val="lowerRoman"/>
      <w:lvlText w:val="%9."/>
      <w:lvlJc w:val="right"/>
      <w:pPr>
        <w:ind w:left="3600" w:hanging="400"/>
      </w:pPr>
    </w:lvl>
  </w:abstractNum>
  <w:abstractNum w:abstractNumId="25" w15:restartNumberingAfterBreak="0">
    <w:nsid w:val="20FC0A53"/>
    <w:multiLevelType w:val="hybridMultilevel"/>
    <w:tmpl w:val="AE847DD8"/>
    <w:lvl w:ilvl="0" w:tplc="96688EB2">
      <w:start w:val="1"/>
      <w:numFmt w:val="lowerLetter"/>
      <w:lvlText w:val="%1"/>
      <w:lvlJc w:val="left"/>
      <w:pPr>
        <w:ind w:left="0" w:firstLine="0"/>
      </w:pPr>
      <w:rPr>
        <w:rFonts w:ascii="Times New Roman" w:eastAsia="바탕" w:hAnsi="Times New Roman" w:hint="default"/>
        <w:position w:val="6"/>
        <w:sz w:val="22"/>
        <w:szCs w:val="22"/>
        <w:vertAlign w:val="superscript"/>
      </w:rPr>
    </w:lvl>
    <w:lvl w:ilvl="1" w:tplc="2E1EA206">
      <w:start w:val="1"/>
      <w:numFmt w:val="bullet"/>
      <w:lvlText w:val="•"/>
      <w:lvlJc w:val="left"/>
      <w:rPr>
        <w:rFonts w:hint="default"/>
      </w:rPr>
    </w:lvl>
    <w:lvl w:ilvl="2" w:tplc="37123E90">
      <w:start w:val="1"/>
      <w:numFmt w:val="bullet"/>
      <w:lvlText w:val="•"/>
      <w:lvlJc w:val="left"/>
      <w:rPr>
        <w:rFonts w:hint="default"/>
      </w:rPr>
    </w:lvl>
    <w:lvl w:ilvl="3" w:tplc="8AF8DB58">
      <w:start w:val="1"/>
      <w:numFmt w:val="bullet"/>
      <w:lvlText w:val="•"/>
      <w:lvlJc w:val="left"/>
      <w:rPr>
        <w:rFonts w:hint="default"/>
      </w:rPr>
    </w:lvl>
    <w:lvl w:ilvl="4" w:tplc="39EC6DC4">
      <w:start w:val="1"/>
      <w:numFmt w:val="bullet"/>
      <w:lvlText w:val="•"/>
      <w:lvlJc w:val="left"/>
      <w:rPr>
        <w:rFonts w:hint="default"/>
      </w:rPr>
    </w:lvl>
    <w:lvl w:ilvl="5" w:tplc="77FA1BC2">
      <w:start w:val="1"/>
      <w:numFmt w:val="bullet"/>
      <w:lvlText w:val="•"/>
      <w:lvlJc w:val="left"/>
      <w:rPr>
        <w:rFonts w:hint="default"/>
      </w:rPr>
    </w:lvl>
    <w:lvl w:ilvl="6" w:tplc="3904DB5E">
      <w:start w:val="1"/>
      <w:numFmt w:val="bullet"/>
      <w:lvlText w:val="•"/>
      <w:lvlJc w:val="left"/>
      <w:rPr>
        <w:rFonts w:hint="default"/>
      </w:rPr>
    </w:lvl>
    <w:lvl w:ilvl="7" w:tplc="3D0ED09C">
      <w:start w:val="1"/>
      <w:numFmt w:val="bullet"/>
      <w:lvlText w:val="•"/>
      <w:lvlJc w:val="left"/>
      <w:rPr>
        <w:rFonts w:hint="default"/>
      </w:rPr>
    </w:lvl>
    <w:lvl w:ilvl="8" w:tplc="9AEA6DAC">
      <w:start w:val="1"/>
      <w:numFmt w:val="bullet"/>
      <w:lvlText w:val="•"/>
      <w:lvlJc w:val="left"/>
      <w:rPr>
        <w:rFonts w:hint="default"/>
      </w:rPr>
    </w:lvl>
  </w:abstractNum>
  <w:abstractNum w:abstractNumId="26" w15:restartNumberingAfterBreak="0">
    <w:nsid w:val="22723AF5"/>
    <w:multiLevelType w:val="hybridMultilevel"/>
    <w:tmpl w:val="F8D48708"/>
    <w:lvl w:ilvl="0" w:tplc="3E5E0C16">
      <w:start w:val="1"/>
      <w:numFmt w:val="bullet"/>
      <w:lvlText w:val="•"/>
      <w:lvlJc w:val="left"/>
      <w:pPr>
        <w:ind w:left="1384" w:hanging="400"/>
      </w:pPr>
      <w:rPr>
        <w:rFonts w:ascii="Times New Roman" w:eastAsia="Times New Roman" w:hAnsi="Times New Roman" w:hint="default"/>
        <w:sz w:val="22"/>
        <w:szCs w:val="22"/>
      </w:rPr>
    </w:lvl>
    <w:lvl w:ilvl="1" w:tplc="01E4F88C">
      <w:start w:val="1"/>
      <w:numFmt w:val="bullet"/>
      <w:lvlText w:val=""/>
      <w:lvlJc w:val="left"/>
      <w:pPr>
        <w:ind w:left="1784" w:hanging="400"/>
      </w:pPr>
      <w:rPr>
        <w:rFonts w:ascii="Wingdings" w:hAnsi="Wingdings" w:hint="default"/>
      </w:rPr>
    </w:lvl>
    <w:lvl w:ilvl="2" w:tplc="DB609564">
      <w:start w:val="1"/>
      <w:numFmt w:val="bullet"/>
      <w:lvlText w:val=""/>
      <w:lvlJc w:val="left"/>
      <w:pPr>
        <w:ind w:left="2184" w:hanging="400"/>
      </w:pPr>
      <w:rPr>
        <w:rFonts w:ascii="Wingdings" w:hAnsi="Wingdings" w:hint="default"/>
      </w:rPr>
    </w:lvl>
    <w:lvl w:ilvl="3" w:tplc="AEFA1BA4">
      <w:start w:val="1"/>
      <w:numFmt w:val="bullet"/>
      <w:lvlText w:val=""/>
      <w:lvlJc w:val="left"/>
      <w:pPr>
        <w:ind w:left="2584" w:hanging="400"/>
      </w:pPr>
      <w:rPr>
        <w:rFonts w:ascii="Wingdings" w:hAnsi="Wingdings" w:hint="default"/>
      </w:rPr>
    </w:lvl>
    <w:lvl w:ilvl="4" w:tplc="B55AC978">
      <w:start w:val="1"/>
      <w:numFmt w:val="bullet"/>
      <w:lvlText w:val=""/>
      <w:lvlJc w:val="left"/>
      <w:pPr>
        <w:ind w:left="2984" w:hanging="400"/>
      </w:pPr>
      <w:rPr>
        <w:rFonts w:ascii="Wingdings" w:hAnsi="Wingdings" w:hint="default"/>
      </w:rPr>
    </w:lvl>
    <w:lvl w:ilvl="5" w:tplc="991AEACE" w:tentative="1">
      <w:start w:val="1"/>
      <w:numFmt w:val="bullet"/>
      <w:lvlText w:val=""/>
      <w:lvlJc w:val="left"/>
      <w:pPr>
        <w:ind w:left="3384" w:hanging="400"/>
      </w:pPr>
      <w:rPr>
        <w:rFonts w:ascii="Wingdings" w:hAnsi="Wingdings" w:hint="default"/>
      </w:rPr>
    </w:lvl>
    <w:lvl w:ilvl="6" w:tplc="83828594" w:tentative="1">
      <w:start w:val="1"/>
      <w:numFmt w:val="bullet"/>
      <w:lvlText w:val=""/>
      <w:lvlJc w:val="left"/>
      <w:pPr>
        <w:ind w:left="3784" w:hanging="400"/>
      </w:pPr>
      <w:rPr>
        <w:rFonts w:ascii="Wingdings" w:hAnsi="Wingdings" w:hint="default"/>
      </w:rPr>
    </w:lvl>
    <w:lvl w:ilvl="7" w:tplc="E13A2F26" w:tentative="1">
      <w:start w:val="1"/>
      <w:numFmt w:val="bullet"/>
      <w:lvlText w:val=""/>
      <w:lvlJc w:val="left"/>
      <w:pPr>
        <w:ind w:left="4184" w:hanging="400"/>
      </w:pPr>
      <w:rPr>
        <w:rFonts w:ascii="Wingdings" w:hAnsi="Wingdings" w:hint="default"/>
      </w:rPr>
    </w:lvl>
    <w:lvl w:ilvl="8" w:tplc="40B85A6A" w:tentative="1">
      <w:start w:val="1"/>
      <w:numFmt w:val="bullet"/>
      <w:lvlText w:val=""/>
      <w:lvlJc w:val="left"/>
      <w:pPr>
        <w:ind w:left="4584" w:hanging="400"/>
      </w:pPr>
      <w:rPr>
        <w:rFonts w:ascii="Wingdings" w:hAnsi="Wingdings" w:hint="default"/>
      </w:rPr>
    </w:lvl>
  </w:abstractNum>
  <w:abstractNum w:abstractNumId="27" w15:restartNumberingAfterBreak="0">
    <w:nsid w:val="27065451"/>
    <w:multiLevelType w:val="hybridMultilevel"/>
    <w:tmpl w:val="3E3022CA"/>
    <w:lvl w:ilvl="0" w:tplc="34249B2A">
      <w:start w:val="1"/>
      <w:numFmt w:val="decimal"/>
      <w:lvlText w:val="%1."/>
      <w:lvlJc w:val="left"/>
      <w:pPr>
        <w:ind w:left="471" w:hanging="360"/>
      </w:pPr>
      <w:rPr>
        <w:rFonts w:hint="default"/>
        <w:b/>
      </w:rPr>
    </w:lvl>
    <w:lvl w:ilvl="1" w:tplc="3B12B378">
      <w:start w:val="1"/>
      <w:numFmt w:val="upperLetter"/>
      <w:lvlText w:val="%2."/>
      <w:lvlJc w:val="left"/>
      <w:pPr>
        <w:ind w:left="911" w:hanging="400"/>
      </w:pPr>
    </w:lvl>
    <w:lvl w:ilvl="2" w:tplc="9C947110" w:tentative="1">
      <w:start w:val="1"/>
      <w:numFmt w:val="lowerRoman"/>
      <w:lvlText w:val="%3."/>
      <w:lvlJc w:val="right"/>
      <w:pPr>
        <w:ind w:left="1311" w:hanging="400"/>
      </w:pPr>
    </w:lvl>
    <w:lvl w:ilvl="3" w:tplc="CB868E3A" w:tentative="1">
      <w:start w:val="1"/>
      <w:numFmt w:val="decimal"/>
      <w:lvlText w:val="%4."/>
      <w:lvlJc w:val="left"/>
      <w:pPr>
        <w:ind w:left="1711" w:hanging="400"/>
      </w:pPr>
    </w:lvl>
    <w:lvl w:ilvl="4" w:tplc="D17C3812" w:tentative="1">
      <w:start w:val="1"/>
      <w:numFmt w:val="upperLetter"/>
      <w:lvlText w:val="%5."/>
      <w:lvlJc w:val="left"/>
      <w:pPr>
        <w:ind w:left="2111" w:hanging="400"/>
      </w:pPr>
    </w:lvl>
    <w:lvl w:ilvl="5" w:tplc="9A4CBD78" w:tentative="1">
      <w:start w:val="1"/>
      <w:numFmt w:val="lowerRoman"/>
      <w:lvlText w:val="%6."/>
      <w:lvlJc w:val="right"/>
      <w:pPr>
        <w:ind w:left="2511" w:hanging="400"/>
      </w:pPr>
    </w:lvl>
    <w:lvl w:ilvl="6" w:tplc="2ECA8666" w:tentative="1">
      <w:start w:val="1"/>
      <w:numFmt w:val="decimal"/>
      <w:lvlText w:val="%7."/>
      <w:lvlJc w:val="left"/>
      <w:pPr>
        <w:ind w:left="2911" w:hanging="400"/>
      </w:pPr>
    </w:lvl>
    <w:lvl w:ilvl="7" w:tplc="771CF820" w:tentative="1">
      <w:start w:val="1"/>
      <w:numFmt w:val="upperLetter"/>
      <w:lvlText w:val="%8."/>
      <w:lvlJc w:val="left"/>
      <w:pPr>
        <w:ind w:left="3311" w:hanging="400"/>
      </w:pPr>
    </w:lvl>
    <w:lvl w:ilvl="8" w:tplc="6AD83D26" w:tentative="1">
      <w:start w:val="1"/>
      <w:numFmt w:val="lowerRoman"/>
      <w:lvlText w:val="%9."/>
      <w:lvlJc w:val="right"/>
      <w:pPr>
        <w:ind w:left="3711" w:hanging="400"/>
      </w:pPr>
    </w:lvl>
  </w:abstractNum>
  <w:abstractNum w:abstractNumId="28" w15:restartNumberingAfterBreak="0">
    <w:nsid w:val="29F72400"/>
    <w:multiLevelType w:val="hybridMultilevel"/>
    <w:tmpl w:val="C0DAEC28"/>
    <w:lvl w:ilvl="0" w:tplc="77543550">
      <w:start w:val="1"/>
      <w:numFmt w:val="lowerLetter"/>
      <w:lvlText w:val="%1"/>
      <w:lvlJc w:val="left"/>
      <w:pPr>
        <w:ind w:hanging="360"/>
      </w:pPr>
      <w:rPr>
        <w:rFonts w:ascii="Times New Roman" w:eastAsia="Times New Roman" w:hAnsi="Times New Roman" w:hint="default"/>
        <w:position w:val="6"/>
        <w:sz w:val="22"/>
        <w:szCs w:val="22"/>
        <w:vertAlign w:val="superscript"/>
      </w:rPr>
    </w:lvl>
    <w:lvl w:ilvl="1" w:tplc="2E1EA206">
      <w:start w:val="1"/>
      <w:numFmt w:val="bullet"/>
      <w:lvlText w:val="•"/>
      <w:lvlJc w:val="left"/>
      <w:rPr>
        <w:rFonts w:hint="default"/>
      </w:rPr>
    </w:lvl>
    <w:lvl w:ilvl="2" w:tplc="37123E90">
      <w:start w:val="1"/>
      <w:numFmt w:val="bullet"/>
      <w:lvlText w:val="•"/>
      <w:lvlJc w:val="left"/>
      <w:rPr>
        <w:rFonts w:hint="default"/>
      </w:rPr>
    </w:lvl>
    <w:lvl w:ilvl="3" w:tplc="8AF8DB58">
      <w:start w:val="1"/>
      <w:numFmt w:val="bullet"/>
      <w:lvlText w:val="•"/>
      <w:lvlJc w:val="left"/>
      <w:rPr>
        <w:rFonts w:hint="default"/>
      </w:rPr>
    </w:lvl>
    <w:lvl w:ilvl="4" w:tplc="39EC6DC4">
      <w:start w:val="1"/>
      <w:numFmt w:val="bullet"/>
      <w:lvlText w:val="•"/>
      <w:lvlJc w:val="left"/>
      <w:rPr>
        <w:rFonts w:hint="default"/>
      </w:rPr>
    </w:lvl>
    <w:lvl w:ilvl="5" w:tplc="77FA1BC2">
      <w:start w:val="1"/>
      <w:numFmt w:val="bullet"/>
      <w:lvlText w:val="•"/>
      <w:lvlJc w:val="left"/>
      <w:rPr>
        <w:rFonts w:hint="default"/>
      </w:rPr>
    </w:lvl>
    <w:lvl w:ilvl="6" w:tplc="3904DB5E">
      <w:start w:val="1"/>
      <w:numFmt w:val="bullet"/>
      <w:lvlText w:val="•"/>
      <w:lvlJc w:val="left"/>
      <w:rPr>
        <w:rFonts w:hint="default"/>
      </w:rPr>
    </w:lvl>
    <w:lvl w:ilvl="7" w:tplc="3D0ED09C">
      <w:start w:val="1"/>
      <w:numFmt w:val="bullet"/>
      <w:lvlText w:val="•"/>
      <w:lvlJc w:val="left"/>
      <w:rPr>
        <w:rFonts w:hint="default"/>
      </w:rPr>
    </w:lvl>
    <w:lvl w:ilvl="8" w:tplc="9AEA6DAC">
      <w:start w:val="1"/>
      <w:numFmt w:val="bullet"/>
      <w:lvlText w:val="•"/>
      <w:lvlJc w:val="left"/>
      <w:rPr>
        <w:rFonts w:hint="default"/>
      </w:rPr>
    </w:lvl>
  </w:abstractNum>
  <w:abstractNum w:abstractNumId="29" w15:restartNumberingAfterBreak="0">
    <w:nsid w:val="2B0E05AD"/>
    <w:multiLevelType w:val="hybridMultilevel"/>
    <w:tmpl w:val="CE5C424C"/>
    <w:lvl w:ilvl="0" w:tplc="14AAFBD4">
      <w:start w:val="1"/>
      <w:numFmt w:val="upperLetter"/>
      <w:lvlText w:val="%1."/>
      <w:lvlJc w:val="left"/>
      <w:pPr>
        <w:ind w:hanging="550"/>
      </w:pPr>
      <w:rPr>
        <w:rFonts w:ascii="Times New Roman" w:eastAsia="Times New Roman" w:hAnsi="Times New Roman" w:hint="default"/>
        <w:b/>
        <w:bCs/>
        <w:spacing w:val="-2"/>
        <w:sz w:val="22"/>
        <w:szCs w:val="22"/>
      </w:rPr>
    </w:lvl>
    <w:lvl w:ilvl="1" w:tplc="86EEE59C">
      <w:start w:val="1"/>
      <w:numFmt w:val="bullet"/>
      <w:lvlText w:val=""/>
      <w:lvlJc w:val="left"/>
      <w:pPr>
        <w:ind w:hanging="360"/>
      </w:pPr>
      <w:rPr>
        <w:rFonts w:ascii="Symbol" w:eastAsia="Symbol" w:hAnsi="Symbol" w:hint="default"/>
        <w:sz w:val="22"/>
        <w:szCs w:val="22"/>
      </w:rPr>
    </w:lvl>
    <w:lvl w:ilvl="2" w:tplc="1AAC91BC">
      <w:start w:val="1"/>
      <w:numFmt w:val="bullet"/>
      <w:lvlText w:val="•"/>
      <w:lvlJc w:val="left"/>
      <w:rPr>
        <w:rFonts w:hint="default"/>
      </w:rPr>
    </w:lvl>
    <w:lvl w:ilvl="3" w:tplc="42180004">
      <w:start w:val="1"/>
      <w:numFmt w:val="bullet"/>
      <w:lvlText w:val="•"/>
      <w:lvlJc w:val="left"/>
      <w:rPr>
        <w:rFonts w:hint="default"/>
      </w:rPr>
    </w:lvl>
    <w:lvl w:ilvl="4" w:tplc="F6DE647C">
      <w:start w:val="1"/>
      <w:numFmt w:val="bullet"/>
      <w:lvlText w:val="•"/>
      <w:lvlJc w:val="left"/>
      <w:rPr>
        <w:rFonts w:hint="default"/>
      </w:rPr>
    </w:lvl>
    <w:lvl w:ilvl="5" w:tplc="764CA23C">
      <w:start w:val="1"/>
      <w:numFmt w:val="bullet"/>
      <w:lvlText w:val="•"/>
      <w:lvlJc w:val="left"/>
      <w:rPr>
        <w:rFonts w:hint="default"/>
      </w:rPr>
    </w:lvl>
    <w:lvl w:ilvl="6" w:tplc="41F261C6">
      <w:start w:val="1"/>
      <w:numFmt w:val="bullet"/>
      <w:lvlText w:val="•"/>
      <w:lvlJc w:val="left"/>
      <w:rPr>
        <w:rFonts w:hint="default"/>
      </w:rPr>
    </w:lvl>
    <w:lvl w:ilvl="7" w:tplc="4D1699FA">
      <w:start w:val="1"/>
      <w:numFmt w:val="bullet"/>
      <w:lvlText w:val="•"/>
      <w:lvlJc w:val="left"/>
      <w:rPr>
        <w:rFonts w:hint="default"/>
      </w:rPr>
    </w:lvl>
    <w:lvl w:ilvl="8" w:tplc="9C1C7BCC">
      <w:start w:val="1"/>
      <w:numFmt w:val="bullet"/>
      <w:lvlText w:val="•"/>
      <w:lvlJc w:val="left"/>
      <w:rPr>
        <w:rFonts w:hint="default"/>
      </w:rPr>
    </w:lvl>
  </w:abstractNum>
  <w:abstractNum w:abstractNumId="30" w15:restartNumberingAfterBreak="0">
    <w:nsid w:val="2CAD1466"/>
    <w:multiLevelType w:val="hybridMultilevel"/>
    <w:tmpl w:val="339C2F6A"/>
    <w:lvl w:ilvl="0" w:tplc="E4D6A87A">
      <w:start w:val="1"/>
      <w:numFmt w:val="decimal"/>
      <w:lvlText w:val="%1."/>
      <w:lvlJc w:val="left"/>
      <w:pPr>
        <w:ind w:hanging="562"/>
      </w:pPr>
      <w:rPr>
        <w:rFonts w:ascii="Times New Roman" w:eastAsia="Times New Roman" w:hAnsi="Times New Roman" w:hint="default"/>
        <w:b/>
        <w:bCs/>
        <w:sz w:val="22"/>
        <w:szCs w:val="22"/>
      </w:rPr>
    </w:lvl>
    <w:lvl w:ilvl="1" w:tplc="CD885D00">
      <w:start w:val="1"/>
      <w:numFmt w:val="bullet"/>
      <w:lvlText w:val="•"/>
      <w:lvlJc w:val="left"/>
      <w:rPr>
        <w:rFonts w:hint="default"/>
      </w:rPr>
    </w:lvl>
    <w:lvl w:ilvl="2" w:tplc="1C7652BA">
      <w:start w:val="1"/>
      <w:numFmt w:val="bullet"/>
      <w:lvlText w:val="•"/>
      <w:lvlJc w:val="left"/>
      <w:rPr>
        <w:rFonts w:hint="default"/>
      </w:rPr>
    </w:lvl>
    <w:lvl w:ilvl="3" w:tplc="33886374">
      <w:start w:val="1"/>
      <w:numFmt w:val="bullet"/>
      <w:lvlText w:val="•"/>
      <w:lvlJc w:val="left"/>
      <w:rPr>
        <w:rFonts w:hint="default"/>
      </w:rPr>
    </w:lvl>
    <w:lvl w:ilvl="4" w:tplc="ED740E0E">
      <w:start w:val="1"/>
      <w:numFmt w:val="bullet"/>
      <w:lvlText w:val="•"/>
      <w:lvlJc w:val="left"/>
      <w:rPr>
        <w:rFonts w:hint="default"/>
      </w:rPr>
    </w:lvl>
    <w:lvl w:ilvl="5" w:tplc="8B584930">
      <w:start w:val="1"/>
      <w:numFmt w:val="bullet"/>
      <w:lvlText w:val="•"/>
      <w:lvlJc w:val="left"/>
      <w:rPr>
        <w:rFonts w:hint="default"/>
      </w:rPr>
    </w:lvl>
    <w:lvl w:ilvl="6" w:tplc="40E2B110">
      <w:start w:val="1"/>
      <w:numFmt w:val="bullet"/>
      <w:lvlText w:val="•"/>
      <w:lvlJc w:val="left"/>
      <w:rPr>
        <w:rFonts w:hint="default"/>
      </w:rPr>
    </w:lvl>
    <w:lvl w:ilvl="7" w:tplc="30244148">
      <w:start w:val="1"/>
      <w:numFmt w:val="bullet"/>
      <w:lvlText w:val="•"/>
      <w:lvlJc w:val="left"/>
      <w:rPr>
        <w:rFonts w:hint="default"/>
      </w:rPr>
    </w:lvl>
    <w:lvl w:ilvl="8" w:tplc="C3587F50">
      <w:start w:val="1"/>
      <w:numFmt w:val="bullet"/>
      <w:lvlText w:val="•"/>
      <w:lvlJc w:val="left"/>
      <w:rPr>
        <w:rFonts w:hint="default"/>
      </w:rPr>
    </w:lvl>
  </w:abstractNum>
  <w:abstractNum w:abstractNumId="31" w15:restartNumberingAfterBreak="0">
    <w:nsid w:val="2CD64ED9"/>
    <w:multiLevelType w:val="hybridMultilevel"/>
    <w:tmpl w:val="FF08613C"/>
    <w:lvl w:ilvl="0" w:tplc="9D845C82">
      <w:start w:val="1"/>
      <w:numFmt w:val="decimal"/>
      <w:lvlText w:val="%1."/>
      <w:lvlJc w:val="left"/>
      <w:pPr>
        <w:ind w:left="468" w:hanging="360"/>
      </w:pPr>
      <w:rPr>
        <w:rFonts w:ascii="Times New Roman" w:hAnsi="Times New Roman" w:cs="Times New Roman" w:hint="default"/>
        <w:b/>
      </w:rPr>
    </w:lvl>
    <w:lvl w:ilvl="1" w:tplc="7D5A4360" w:tentative="1">
      <w:start w:val="1"/>
      <w:numFmt w:val="upperLetter"/>
      <w:lvlText w:val="%2."/>
      <w:lvlJc w:val="left"/>
      <w:pPr>
        <w:ind w:left="908" w:hanging="400"/>
      </w:pPr>
    </w:lvl>
    <w:lvl w:ilvl="2" w:tplc="475CF13E" w:tentative="1">
      <w:start w:val="1"/>
      <w:numFmt w:val="lowerRoman"/>
      <w:lvlText w:val="%3."/>
      <w:lvlJc w:val="right"/>
      <w:pPr>
        <w:ind w:left="1308" w:hanging="400"/>
      </w:pPr>
    </w:lvl>
    <w:lvl w:ilvl="3" w:tplc="9C40BC36" w:tentative="1">
      <w:start w:val="1"/>
      <w:numFmt w:val="decimal"/>
      <w:lvlText w:val="%4."/>
      <w:lvlJc w:val="left"/>
      <w:pPr>
        <w:ind w:left="1708" w:hanging="400"/>
      </w:pPr>
    </w:lvl>
    <w:lvl w:ilvl="4" w:tplc="0A04BFB4" w:tentative="1">
      <w:start w:val="1"/>
      <w:numFmt w:val="upperLetter"/>
      <w:lvlText w:val="%5."/>
      <w:lvlJc w:val="left"/>
      <w:pPr>
        <w:ind w:left="2108" w:hanging="400"/>
      </w:pPr>
    </w:lvl>
    <w:lvl w:ilvl="5" w:tplc="E0FA7D64" w:tentative="1">
      <w:start w:val="1"/>
      <w:numFmt w:val="lowerRoman"/>
      <w:lvlText w:val="%6."/>
      <w:lvlJc w:val="right"/>
      <w:pPr>
        <w:ind w:left="2508" w:hanging="400"/>
      </w:pPr>
    </w:lvl>
    <w:lvl w:ilvl="6" w:tplc="F07C8306" w:tentative="1">
      <w:start w:val="1"/>
      <w:numFmt w:val="decimal"/>
      <w:lvlText w:val="%7."/>
      <w:lvlJc w:val="left"/>
      <w:pPr>
        <w:ind w:left="2908" w:hanging="400"/>
      </w:pPr>
    </w:lvl>
    <w:lvl w:ilvl="7" w:tplc="E4C631E2" w:tentative="1">
      <w:start w:val="1"/>
      <w:numFmt w:val="upperLetter"/>
      <w:lvlText w:val="%8."/>
      <w:lvlJc w:val="left"/>
      <w:pPr>
        <w:ind w:left="3308" w:hanging="400"/>
      </w:pPr>
    </w:lvl>
    <w:lvl w:ilvl="8" w:tplc="3926C794" w:tentative="1">
      <w:start w:val="1"/>
      <w:numFmt w:val="lowerRoman"/>
      <w:lvlText w:val="%9."/>
      <w:lvlJc w:val="right"/>
      <w:pPr>
        <w:ind w:left="3708" w:hanging="400"/>
      </w:pPr>
    </w:lvl>
  </w:abstractNum>
  <w:abstractNum w:abstractNumId="32" w15:restartNumberingAfterBreak="0">
    <w:nsid w:val="2DD87C5A"/>
    <w:multiLevelType w:val="hybridMultilevel"/>
    <w:tmpl w:val="339C2F6A"/>
    <w:lvl w:ilvl="0" w:tplc="6A62C4BC">
      <w:start w:val="1"/>
      <w:numFmt w:val="decimal"/>
      <w:lvlText w:val="%1."/>
      <w:lvlJc w:val="left"/>
      <w:pPr>
        <w:ind w:hanging="562"/>
      </w:pPr>
      <w:rPr>
        <w:rFonts w:ascii="Times New Roman" w:eastAsia="Times New Roman" w:hAnsi="Times New Roman" w:hint="default"/>
        <w:b/>
        <w:bCs/>
        <w:sz w:val="22"/>
        <w:szCs w:val="22"/>
      </w:rPr>
    </w:lvl>
    <w:lvl w:ilvl="1" w:tplc="F00ED12C">
      <w:start w:val="1"/>
      <w:numFmt w:val="bullet"/>
      <w:lvlText w:val="•"/>
      <w:lvlJc w:val="left"/>
      <w:rPr>
        <w:rFonts w:hint="default"/>
      </w:rPr>
    </w:lvl>
    <w:lvl w:ilvl="2" w:tplc="0784BCBA">
      <w:start w:val="1"/>
      <w:numFmt w:val="bullet"/>
      <w:lvlText w:val="•"/>
      <w:lvlJc w:val="left"/>
      <w:rPr>
        <w:rFonts w:hint="default"/>
      </w:rPr>
    </w:lvl>
    <w:lvl w:ilvl="3" w:tplc="D7AC7F2C">
      <w:start w:val="1"/>
      <w:numFmt w:val="bullet"/>
      <w:lvlText w:val="•"/>
      <w:lvlJc w:val="left"/>
      <w:rPr>
        <w:rFonts w:hint="default"/>
      </w:rPr>
    </w:lvl>
    <w:lvl w:ilvl="4" w:tplc="456CA5CC">
      <w:start w:val="1"/>
      <w:numFmt w:val="bullet"/>
      <w:lvlText w:val="•"/>
      <w:lvlJc w:val="left"/>
      <w:rPr>
        <w:rFonts w:hint="default"/>
      </w:rPr>
    </w:lvl>
    <w:lvl w:ilvl="5" w:tplc="269699E4">
      <w:start w:val="1"/>
      <w:numFmt w:val="bullet"/>
      <w:lvlText w:val="•"/>
      <w:lvlJc w:val="left"/>
      <w:rPr>
        <w:rFonts w:hint="default"/>
      </w:rPr>
    </w:lvl>
    <w:lvl w:ilvl="6" w:tplc="3466AC68">
      <w:start w:val="1"/>
      <w:numFmt w:val="bullet"/>
      <w:lvlText w:val="•"/>
      <w:lvlJc w:val="left"/>
      <w:rPr>
        <w:rFonts w:hint="default"/>
      </w:rPr>
    </w:lvl>
    <w:lvl w:ilvl="7" w:tplc="B3C652CC">
      <w:start w:val="1"/>
      <w:numFmt w:val="bullet"/>
      <w:lvlText w:val="•"/>
      <w:lvlJc w:val="left"/>
      <w:rPr>
        <w:rFonts w:hint="default"/>
      </w:rPr>
    </w:lvl>
    <w:lvl w:ilvl="8" w:tplc="B7AA80D4">
      <w:start w:val="1"/>
      <w:numFmt w:val="bullet"/>
      <w:lvlText w:val="•"/>
      <w:lvlJc w:val="left"/>
      <w:rPr>
        <w:rFonts w:hint="default"/>
      </w:rPr>
    </w:lvl>
  </w:abstractNum>
  <w:abstractNum w:abstractNumId="33" w15:restartNumberingAfterBreak="0">
    <w:nsid w:val="30EA472F"/>
    <w:multiLevelType w:val="multilevel"/>
    <w:tmpl w:val="481AA0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35" w15:restartNumberingAfterBreak="0">
    <w:nsid w:val="337B2914"/>
    <w:multiLevelType w:val="hybridMultilevel"/>
    <w:tmpl w:val="5F4A02AC"/>
    <w:lvl w:ilvl="0" w:tplc="00B224B8">
      <w:start w:val="1"/>
      <w:numFmt w:val="bullet"/>
      <w:lvlText w:val=""/>
      <w:lvlJc w:val="left"/>
      <w:pPr>
        <w:ind w:hanging="180"/>
      </w:pPr>
      <w:rPr>
        <w:rFonts w:ascii="Symbol" w:eastAsia="Symbol" w:hAnsi="Symbol" w:hint="default"/>
        <w:sz w:val="22"/>
        <w:szCs w:val="22"/>
      </w:rPr>
    </w:lvl>
    <w:lvl w:ilvl="1" w:tplc="2680577A">
      <w:start w:val="1"/>
      <w:numFmt w:val="bullet"/>
      <w:lvlText w:val="•"/>
      <w:lvlJc w:val="left"/>
      <w:rPr>
        <w:rFonts w:hint="default"/>
      </w:rPr>
    </w:lvl>
    <w:lvl w:ilvl="2" w:tplc="6D50ED74">
      <w:start w:val="1"/>
      <w:numFmt w:val="bullet"/>
      <w:lvlText w:val="•"/>
      <w:lvlJc w:val="left"/>
      <w:rPr>
        <w:rFonts w:hint="default"/>
      </w:rPr>
    </w:lvl>
    <w:lvl w:ilvl="3" w:tplc="26D05FC2">
      <w:start w:val="1"/>
      <w:numFmt w:val="bullet"/>
      <w:lvlText w:val="•"/>
      <w:lvlJc w:val="left"/>
      <w:rPr>
        <w:rFonts w:hint="default"/>
      </w:rPr>
    </w:lvl>
    <w:lvl w:ilvl="4" w:tplc="2D989DB8">
      <w:start w:val="1"/>
      <w:numFmt w:val="bullet"/>
      <w:lvlText w:val="•"/>
      <w:lvlJc w:val="left"/>
      <w:rPr>
        <w:rFonts w:hint="default"/>
      </w:rPr>
    </w:lvl>
    <w:lvl w:ilvl="5" w:tplc="22126454">
      <w:start w:val="1"/>
      <w:numFmt w:val="bullet"/>
      <w:lvlText w:val="•"/>
      <w:lvlJc w:val="left"/>
      <w:rPr>
        <w:rFonts w:hint="default"/>
      </w:rPr>
    </w:lvl>
    <w:lvl w:ilvl="6" w:tplc="7A86043C">
      <w:start w:val="1"/>
      <w:numFmt w:val="bullet"/>
      <w:lvlText w:val="•"/>
      <w:lvlJc w:val="left"/>
      <w:rPr>
        <w:rFonts w:hint="default"/>
      </w:rPr>
    </w:lvl>
    <w:lvl w:ilvl="7" w:tplc="C714E2AA">
      <w:start w:val="1"/>
      <w:numFmt w:val="bullet"/>
      <w:lvlText w:val="•"/>
      <w:lvlJc w:val="left"/>
      <w:rPr>
        <w:rFonts w:hint="default"/>
      </w:rPr>
    </w:lvl>
    <w:lvl w:ilvl="8" w:tplc="43023A0E">
      <w:start w:val="1"/>
      <w:numFmt w:val="bullet"/>
      <w:lvlText w:val="•"/>
      <w:lvlJc w:val="left"/>
      <w:rPr>
        <w:rFonts w:hint="default"/>
      </w:rPr>
    </w:lvl>
  </w:abstractNum>
  <w:abstractNum w:abstractNumId="36" w15:restartNumberingAfterBreak="0">
    <w:nsid w:val="34653D49"/>
    <w:multiLevelType w:val="hybridMultilevel"/>
    <w:tmpl w:val="82F21D2C"/>
    <w:lvl w:ilvl="0" w:tplc="BA606A20">
      <w:start w:val="1"/>
      <w:numFmt w:val="bullet"/>
      <w:lvlText w:val="•"/>
      <w:lvlJc w:val="left"/>
      <w:pPr>
        <w:ind w:left="911" w:hanging="400"/>
      </w:pPr>
      <w:rPr>
        <w:rFonts w:ascii="Times New Roman" w:eastAsia="Times New Roman" w:hAnsi="Times New Roman" w:hint="default"/>
        <w:sz w:val="22"/>
        <w:szCs w:val="22"/>
      </w:rPr>
    </w:lvl>
    <w:lvl w:ilvl="1" w:tplc="B5FACEC0" w:tentative="1">
      <w:start w:val="1"/>
      <w:numFmt w:val="bullet"/>
      <w:lvlText w:val=""/>
      <w:lvlJc w:val="left"/>
      <w:pPr>
        <w:ind w:left="1311" w:hanging="400"/>
      </w:pPr>
      <w:rPr>
        <w:rFonts w:ascii="Wingdings" w:hAnsi="Wingdings" w:hint="default"/>
      </w:rPr>
    </w:lvl>
    <w:lvl w:ilvl="2" w:tplc="41AE2862" w:tentative="1">
      <w:start w:val="1"/>
      <w:numFmt w:val="bullet"/>
      <w:lvlText w:val=""/>
      <w:lvlJc w:val="left"/>
      <w:pPr>
        <w:ind w:left="1711" w:hanging="400"/>
      </w:pPr>
      <w:rPr>
        <w:rFonts w:ascii="Wingdings" w:hAnsi="Wingdings" w:hint="default"/>
      </w:rPr>
    </w:lvl>
    <w:lvl w:ilvl="3" w:tplc="9C14472E" w:tentative="1">
      <w:start w:val="1"/>
      <w:numFmt w:val="bullet"/>
      <w:lvlText w:val=""/>
      <w:lvlJc w:val="left"/>
      <w:pPr>
        <w:ind w:left="2111" w:hanging="400"/>
      </w:pPr>
      <w:rPr>
        <w:rFonts w:ascii="Wingdings" w:hAnsi="Wingdings" w:hint="default"/>
      </w:rPr>
    </w:lvl>
    <w:lvl w:ilvl="4" w:tplc="2DDE25E8" w:tentative="1">
      <w:start w:val="1"/>
      <w:numFmt w:val="bullet"/>
      <w:lvlText w:val=""/>
      <w:lvlJc w:val="left"/>
      <w:pPr>
        <w:ind w:left="2511" w:hanging="400"/>
      </w:pPr>
      <w:rPr>
        <w:rFonts w:ascii="Wingdings" w:hAnsi="Wingdings" w:hint="default"/>
      </w:rPr>
    </w:lvl>
    <w:lvl w:ilvl="5" w:tplc="A798DD5E" w:tentative="1">
      <w:start w:val="1"/>
      <w:numFmt w:val="bullet"/>
      <w:lvlText w:val=""/>
      <w:lvlJc w:val="left"/>
      <w:pPr>
        <w:ind w:left="2911" w:hanging="400"/>
      </w:pPr>
      <w:rPr>
        <w:rFonts w:ascii="Wingdings" w:hAnsi="Wingdings" w:hint="default"/>
      </w:rPr>
    </w:lvl>
    <w:lvl w:ilvl="6" w:tplc="1F3A63C4" w:tentative="1">
      <w:start w:val="1"/>
      <w:numFmt w:val="bullet"/>
      <w:lvlText w:val=""/>
      <w:lvlJc w:val="left"/>
      <w:pPr>
        <w:ind w:left="3311" w:hanging="400"/>
      </w:pPr>
      <w:rPr>
        <w:rFonts w:ascii="Wingdings" w:hAnsi="Wingdings" w:hint="default"/>
      </w:rPr>
    </w:lvl>
    <w:lvl w:ilvl="7" w:tplc="D07E1E20" w:tentative="1">
      <w:start w:val="1"/>
      <w:numFmt w:val="bullet"/>
      <w:lvlText w:val=""/>
      <w:lvlJc w:val="left"/>
      <w:pPr>
        <w:ind w:left="3711" w:hanging="400"/>
      </w:pPr>
      <w:rPr>
        <w:rFonts w:ascii="Wingdings" w:hAnsi="Wingdings" w:hint="default"/>
      </w:rPr>
    </w:lvl>
    <w:lvl w:ilvl="8" w:tplc="150A646C" w:tentative="1">
      <w:start w:val="1"/>
      <w:numFmt w:val="bullet"/>
      <w:lvlText w:val=""/>
      <w:lvlJc w:val="left"/>
      <w:pPr>
        <w:ind w:left="4111" w:hanging="400"/>
      </w:pPr>
      <w:rPr>
        <w:rFonts w:ascii="Wingdings" w:hAnsi="Wingdings" w:hint="default"/>
      </w:rPr>
    </w:lvl>
  </w:abstractNum>
  <w:abstractNum w:abstractNumId="37" w15:restartNumberingAfterBreak="0">
    <w:nsid w:val="35A236F9"/>
    <w:multiLevelType w:val="hybridMultilevel"/>
    <w:tmpl w:val="EF7C0E1A"/>
    <w:lvl w:ilvl="0" w:tplc="E13686E8">
      <w:start w:val="1"/>
      <w:numFmt w:val="upperLetter"/>
      <w:lvlText w:val="%1."/>
      <w:lvlJc w:val="left"/>
      <w:pPr>
        <w:ind w:left="760" w:hanging="360"/>
      </w:pPr>
      <w:rPr>
        <w:rFonts w:hint="default"/>
      </w:rPr>
    </w:lvl>
    <w:lvl w:ilvl="1" w:tplc="069E5A1A">
      <w:start w:val="1"/>
      <w:numFmt w:val="upperLetter"/>
      <w:lvlText w:val="%2."/>
      <w:lvlJc w:val="left"/>
      <w:pPr>
        <w:ind w:left="1200" w:hanging="400"/>
      </w:pPr>
    </w:lvl>
    <w:lvl w:ilvl="2" w:tplc="1C1CD156" w:tentative="1">
      <w:start w:val="1"/>
      <w:numFmt w:val="lowerRoman"/>
      <w:lvlText w:val="%3."/>
      <w:lvlJc w:val="right"/>
      <w:pPr>
        <w:ind w:left="1600" w:hanging="400"/>
      </w:pPr>
    </w:lvl>
    <w:lvl w:ilvl="3" w:tplc="77207226" w:tentative="1">
      <w:start w:val="1"/>
      <w:numFmt w:val="decimal"/>
      <w:lvlText w:val="%4."/>
      <w:lvlJc w:val="left"/>
      <w:pPr>
        <w:ind w:left="2000" w:hanging="400"/>
      </w:pPr>
    </w:lvl>
    <w:lvl w:ilvl="4" w:tplc="7D74500C" w:tentative="1">
      <w:start w:val="1"/>
      <w:numFmt w:val="upperLetter"/>
      <w:lvlText w:val="%5."/>
      <w:lvlJc w:val="left"/>
      <w:pPr>
        <w:ind w:left="2400" w:hanging="400"/>
      </w:pPr>
    </w:lvl>
    <w:lvl w:ilvl="5" w:tplc="3A22B544" w:tentative="1">
      <w:start w:val="1"/>
      <w:numFmt w:val="lowerRoman"/>
      <w:lvlText w:val="%6."/>
      <w:lvlJc w:val="right"/>
      <w:pPr>
        <w:ind w:left="2800" w:hanging="400"/>
      </w:pPr>
    </w:lvl>
    <w:lvl w:ilvl="6" w:tplc="85D4B31C" w:tentative="1">
      <w:start w:val="1"/>
      <w:numFmt w:val="decimal"/>
      <w:lvlText w:val="%7."/>
      <w:lvlJc w:val="left"/>
      <w:pPr>
        <w:ind w:left="3200" w:hanging="400"/>
      </w:pPr>
    </w:lvl>
    <w:lvl w:ilvl="7" w:tplc="ADF8A512" w:tentative="1">
      <w:start w:val="1"/>
      <w:numFmt w:val="upperLetter"/>
      <w:lvlText w:val="%8."/>
      <w:lvlJc w:val="left"/>
      <w:pPr>
        <w:ind w:left="3600" w:hanging="400"/>
      </w:pPr>
    </w:lvl>
    <w:lvl w:ilvl="8" w:tplc="0F3E22B4" w:tentative="1">
      <w:start w:val="1"/>
      <w:numFmt w:val="lowerRoman"/>
      <w:lvlText w:val="%9."/>
      <w:lvlJc w:val="right"/>
      <w:pPr>
        <w:ind w:left="4000" w:hanging="400"/>
      </w:pPr>
    </w:lvl>
  </w:abstractNum>
  <w:abstractNum w:abstractNumId="38" w15:restartNumberingAfterBreak="0">
    <w:nsid w:val="37AE3F91"/>
    <w:multiLevelType w:val="hybridMultilevel"/>
    <w:tmpl w:val="EFF42462"/>
    <w:lvl w:ilvl="0" w:tplc="49A221C0">
      <w:start w:val="1"/>
      <w:numFmt w:val="decimal"/>
      <w:lvlText w:val="%1."/>
      <w:lvlJc w:val="left"/>
      <w:pPr>
        <w:ind w:left="471" w:hanging="360"/>
      </w:pPr>
      <w:rPr>
        <w:rFonts w:hint="default"/>
        <w:b/>
      </w:rPr>
    </w:lvl>
    <w:lvl w:ilvl="1" w:tplc="275C6542" w:tentative="1">
      <w:start w:val="1"/>
      <w:numFmt w:val="upperLetter"/>
      <w:lvlText w:val="%2."/>
      <w:lvlJc w:val="left"/>
      <w:pPr>
        <w:ind w:left="911" w:hanging="400"/>
      </w:pPr>
    </w:lvl>
    <w:lvl w:ilvl="2" w:tplc="1CE4B27C" w:tentative="1">
      <w:start w:val="1"/>
      <w:numFmt w:val="lowerRoman"/>
      <w:lvlText w:val="%3."/>
      <w:lvlJc w:val="right"/>
      <w:pPr>
        <w:ind w:left="1311" w:hanging="400"/>
      </w:pPr>
    </w:lvl>
    <w:lvl w:ilvl="3" w:tplc="E9C01DEC" w:tentative="1">
      <w:start w:val="1"/>
      <w:numFmt w:val="decimal"/>
      <w:lvlText w:val="%4."/>
      <w:lvlJc w:val="left"/>
      <w:pPr>
        <w:ind w:left="1711" w:hanging="400"/>
      </w:pPr>
    </w:lvl>
    <w:lvl w:ilvl="4" w:tplc="3EEAFE02" w:tentative="1">
      <w:start w:val="1"/>
      <w:numFmt w:val="upperLetter"/>
      <w:lvlText w:val="%5."/>
      <w:lvlJc w:val="left"/>
      <w:pPr>
        <w:ind w:left="2111" w:hanging="400"/>
      </w:pPr>
    </w:lvl>
    <w:lvl w:ilvl="5" w:tplc="39B2B9D6" w:tentative="1">
      <w:start w:val="1"/>
      <w:numFmt w:val="lowerRoman"/>
      <w:lvlText w:val="%6."/>
      <w:lvlJc w:val="right"/>
      <w:pPr>
        <w:ind w:left="2511" w:hanging="400"/>
      </w:pPr>
    </w:lvl>
    <w:lvl w:ilvl="6" w:tplc="C14C03FE" w:tentative="1">
      <w:start w:val="1"/>
      <w:numFmt w:val="decimal"/>
      <w:lvlText w:val="%7."/>
      <w:lvlJc w:val="left"/>
      <w:pPr>
        <w:ind w:left="2911" w:hanging="400"/>
      </w:pPr>
    </w:lvl>
    <w:lvl w:ilvl="7" w:tplc="7690085A" w:tentative="1">
      <w:start w:val="1"/>
      <w:numFmt w:val="upperLetter"/>
      <w:lvlText w:val="%8."/>
      <w:lvlJc w:val="left"/>
      <w:pPr>
        <w:ind w:left="3311" w:hanging="400"/>
      </w:pPr>
    </w:lvl>
    <w:lvl w:ilvl="8" w:tplc="ABBAAF5C" w:tentative="1">
      <w:start w:val="1"/>
      <w:numFmt w:val="lowerRoman"/>
      <w:lvlText w:val="%9."/>
      <w:lvlJc w:val="right"/>
      <w:pPr>
        <w:ind w:left="3711" w:hanging="400"/>
      </w:pPr>
    </w:lvl>
  </w:abstractNum>
  <w:abstractNum w:abstractNumId="39" w15:restartNumberingAfterBreak="0">
    <w:nsid w:val="3814143A"/>
    <w:multiLevelType w:val="hybridMultilevel"/>
    <w:tmpl w:val="339C2F6A"/>
    <w:lvl w:ilvl="0" w:tplc="E4D6A87A">
      <w:start w:val="1"/>
      <w:numFmt w:val="decimal"/>
      <w:lvlText w:val="%1."/>
      <w:lvlJc w:val="left"/>
      <w:pPr>
        <w:ind w:hanging="562"/>
      </w:pPr>
      <w:rPr>
        <w:rFonts w:ascii="Times New Roman" w:eastAsia="Times New Roman" w:hAnsi="Times New Roman" w:hint="default"/>
        <w:b/>
        <w:bCs/>
        <w:sz w:val="22"/>
        <w:szCs w:val="22"/>
      </w:rPr>
    </w:lvl>
    <w:lvl w:ilvl="1" w:tplc="CD885D00">
      <w:start w:val="1"/>
      <w:numFmt w:val="bullet"/>
      <w:lvlText w:val="•"/>
      <w:lvlJc w:val="left"/>
      <w:rPr>
        <w:rFonts w:hint="default"/>
      </w:rPr>
    </w:lvl>
    <w:lvl w:ilvl="2" w:tplc="1C7652BA">
      <w:start w:val="1"/>
      <w:numFmt w:val="bullet"/>
      <w:lvlText w:val="•"/>
      <w:lvlJc w:val="left"/>
      <w:rPr>
        <w:rFonts w:hint="default"/>
      </w:rPr>
    </w:lvl>
    <w:lvl w:ilvl="3" w:tplc="33886374">
      <w:start w:val="1"/>
      <w:numFmt w:val="bullet"/>
      <w:lvlText w:val="•"/>
      <w:lvlJc w:val="left"/>
      <w:rPr>
        <w:rFonts w:hint="default"/>
      </w:rPr>
    </w:lvl>
    <w:lvl w:ilvl="4" w:tplc="ED740E0E">
      <w:start w:val="1"/>
      <w:numFmt w:val="bullet"/>
      <w:lvlText w:val="•"/>
      <w:lvlJc w:val="left"/>
      <w:rPr>
        <w:rFonts w:hint="default"/>
      </w:rPr>
    </w:lvl>
    <w:lvl w:ilvl="5" w:tplc="8B584930">
      <w:start w:val="1"/>
      <w:numFmt w:val="bullet"/>
      <w:lvlText w:val="•"/>
      <w:lvlJc w:val="left"/>
      <w:rPr>
        <w:rFonts w:hint="default"/>
      </w:rPr>
    </w:lvl>
    <w:lvl w:ilvl="6" w:tplc="40E2B110">
      <w:start w:val="1"/>
      <w:numFmt w:val="bullet"/>
      <w:lvlText w:val="•"/>
      <w:lvlJc w:val="left"/>
      <w:rPr>
        <w:rFonts w:hint="default"/>
      </w:rPr>
    </w:lvl>
    <w:lvl w:ilvl="7" w:tplc="30244148">
      <w:start w:val="1"/>
      <w:numFmt w:val="bullet"/>
      <w:lvlText w:val="•"/>
      <w:lvlJc w:val="left"/>
      <w:rPr>
        <w:rFonts w:hint="default"/>
      </w:rPr>
    </w:lvl>
    <w:lvl w:ilvl="8" w:tplc="C3587F50">
      <w:start w:val="1"/>
      <w:numFmt w:val="bullet"/>
      <w:lvlText w:val="•"/>
      <w:lvlJc w:val="left"/>
      <w:rPr>
        <w:rFonts w:hint="default"/>
      </w:rPr>
    </w:lvl>
  </w:abstractNum>
  <w:abstractNum w:abstractNumId="40" w15:restartNumberingAfterBreak="0">
    <w:nsid w:val="3B7E0A6A"/>
    <w:multiLevelType w:val="hybridMultilevel"/>
    <w:tmpl w:val="520C0D62"/>
    <w:lvl w:ilvl="0" w:tplc="021E742C">
      <w:start w:val="1"/>
      <w:numFmt w:val="bullet"/>
      <w:lvlText w:val=""/>
      <w:lvlJc w:val="left"/>
      <w:pPr>
        <w:ind w:hanging="550"/>
      </w:pPr>
      <w:rPr>
        <w:rFonts w:ascii="Symbol" w:eastAsia="Symbol" w:hAnsi="Symbol" w:hint="default"/>
        <w:sz w:val="22"/>
        <w:szCs w:val="22"/>
      </w:rPr>
    </w:lvl>
    <w:lvl w:ilvl="1" w:tplc="27D43CBE">
      <w:start w:val="1"/>
      <w:numFmt w:val="bullet"/>
      <w:lvlText w:val="•"/>
      <w:lvlJc w:val="left"/>
      <w:rPr>
        <w:rFonts w:hint="default"/>
      </w:rPr>
    </w:lvl>
    <w:lvl w:ilvl="2" w:tplc="D37CD364">
      <w:start w:val="1"/>
      <w:numFmt w:val="bullet"/>
      <w:lvlText w:val="•"/>
      <w:lvlJc w:val="left"/>
      <w:rPr>
        <w:rFonts w:hint="default"/>
      </w:rPr>
    </w:lvl>
    <w:lvl w:ilvl="3" w:tplc="596878BC">
      <w:start w:val="1"/>
      <w:numFmt w:val="bullet"/>
      <w:lvlText w:val="•"/>
      <w:lvlJc w:val="left"/>
      <w:rPr>
        <w:rFonts w:hint="default"/>
      </w:rPr>
    </w:lvl>
    <w:lvl w:ilvl="4" w:tplc="4F58402A">
      <w:start w:val="1"/>
      <w:numFmt w:val="bullet"/>
      <w:lvlText w:val="•"/>
      <w:lvlJc w:val="left"/>
      <w:rPr>
        <w:rFonts w:hint="default"/>
      </w:rPr>
    </w:lvl>
    <w:lvl w:ilvl="5" w:tplc="F9D649C0">
      <w:start w:val="1"/>
      <w:numFmt w:val="bullet"/>
      <w:lvlText w:val="•"/>
      <w:lvlJc w:val="left"/>
      <w:rPr>
        <w:rFonts w:hint="default"/>
      </w:rPr>
    </w:lvl>
    <w:lvl w:ilvl="6" w:tplc="B84E2CDC">
      <w:start w:val="1"/>
      <w:numFmt w:val="bullet"/>
      <w:lvlText w:val="•"/>
      <w:lvlJc w:val="left"/>
      <w:rPr>
        <w:rFonts w:hint="default"/>
      </w:rPr>
    </w:lvl>
    <w:lvl w:ilvl="7" w:tplc="77D0FE18">
      <w:start w:val="1"/>
      <w:numFmt w:val="bullet"/>
      <w:lvlText w:val="•"/>
      <w:lvlJc w:val="left"/>
      <w:rPr>
        <w:rFonts w:hint="default"/>
      </w:rPr>
    </w:lvl>
    <w:lvl w:ilvl="8" w:tplc="82F67D3A">
      <w:start w:val="1"/>
      <w:numFmt w:val="bullet"/>
      <w:lvlText w:val="•"/>
      <w:lvlJc w:val="left"/>
      <w:rPr>
        <w:rFonts w:hint="default"/>
      </w:rPr>
    </w:lvl>
  </w:abstractNum>
  <w:abstractNum w:abstractNumId="41" w15:restartNumberingAfterBreak="0">
    <w:nsid w:val="3C3E4686"/>
    <w:multiLevelType w:val="hybridMultilevel"/>
    <w:tmpl w:val="9A66BE48"/>
    <w:lvl w:ilvl="0" w:tplc="7354C184">
      <w:start w:val="1"/>
      <w:numFmt w:val="decimal"/>
      <w:lvlText w:val="%1"/>
      <w:lvlJc w:val="left"/>
      <w:pPr>
        <w:ind w:hanging="180"/>
      </w:pPr>
      <w:rPr>
        <w:rFonts w:ascii="Times New Roman" w:eastAsia="Times New Roman" w:hAnsi="Times New Roman" w:hint="default"/>
        <w:w w:val="99"/>
        <w:position w:val="8"/>
        <w:sz w:val="22"/>
        <w:szCs w:val="22"/>
        <w:vertAlign w:val="superscript"/>
      </w:rPr>
    </w:lvl>
    <w:lvl w:ilvl="1" w:tplc="5F2224CC">
      <w:start w:val="1"/>
      <w:numFmt w:val="bullet"/>
      <w:lvlText w:val="•"/>
      <w:lvlJc w:val="left"/>
      <w:rPr>
        <w:rFonts w:hint="default"/>
      </w:rPr>
    </w:lvl>
    <w:lvl w:ilvl="2" w:tplc="2FBA5DB0">
      <w:start w:val="1"/>
      <w:numFmt w:val="bullet"/>
      <w:lvlText w:val="•"/>
      <w:lvlJc w:val="left"/>
      <w:rPr>
        <w:rFonts w:hint="default"/>
      </w:rPr>
    </w:lvl>
    <w:lvl w:ilvl="3" w:tplc="87B80B10">
      <w:start w:val="1"/>
      <w:numFmt w:val="bullet"/>
      <w:lvlText w:val="•"/>
      <w:lvlJc w:val="left"/>
      <w:rPr>
        <w:rFonts w:hint="default"/>
      </w:rPr>
    </w:lvl>
    <w:lvl w:ilvl="4" w:tplc="DD4A108E">
      <w:start w:val="1"/>
      <w:numFmt w:val="bullet"/>
      <w:lvlText w:val="•"/>
      <w:lvlJc w:val="left"/>
      <w:rPr>
        <w:rFonts w:hint="default"/>
      </w:rPr>
    </w:lvl>
    <w:lvl w:ilvl="5" w:tplc="64A6BD5C">
      <w:start w:val="1"/>
      <w:numFmt w:val="bullet"/>
      <w:lvlText w:val="•"/>
      <w:lvlJc w:val="left"/>
      <w:rPr>
        <w:rFonts w:hint="default"/>
      </w:rPr>
    </w:lvl>
    <w:lvl w:ilvl="6" w:tplc="F8CC6B5A">
      <w:start w:val="1"/>
      <w:numFmt w:val="bullet"/>
      <w:lvlText w:val="•"/>
      <w:lvlJc w:val="left"/>
      <w:rPr>
        <w:rFonts w:hint="default"/>
      </w:rPr>
    </w:lvl>
    <w:lvl w:ilvl="7" w:tplc="C2327508">
      <w:start w:val="1"/>
      <w:numFmt w:val="bullet"/>
      <w:lvlText w:val="•"/>
      <w:lvlJc w:val="left"/>
      <w:rPr>
        <w:rFonts w:hint="default"/>
      </w:rPr>
    </w:lvl>
    <w:lvl w:ilvl="8" w:tplc="352EA714">
      <w:start w:val="1"/>
      <w:numFmt w:val="bullet"/>
      <w:lvlText w:val="•"/>
      <w:lvlJc w:val="left"/>
      <w:rPr>
        <w:rFonts w:hint="default"/>
      </w:rPr>
    </w:lvl>
  </w:abstractNum>
  <w:abstractNum w:abstractNumId="42" w15:restartNumberingAfterBreak="0">
    <w:nsid w:val="3D3905A0"/>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3" w15:restartNumberingAfterBreak="0">
    <w:nsid w:val="3E3B277C"/>
    <w:multiLevelType w:val="hybridMultilevel"/>
    <w:tmpl w:val="AA284A0C"/>
    <w:lvl w:ilvl="0" w:tplc="F7E22236">
      <w:start w:val="1"/>
      <w:numFmt w:val="decimal"/>
      <w:lvlText w:val="%1."/>
      <w:lvlJc w:val="left"/>
      <w:pPr>
        <w:ind w:hanging="562"/>
      </w:pPr>
      <w:rPr>
        <w:rFonts w:ascii="Times New Roman" w:eastAsia="Times New Roman" w:hAnsi="Times New Roman" w:hint="default"/>
        <w:b/>
        <w:bCs/>
        <w:sz w:val="22"/>
        <w:szCs w:val="22"/>
      </w:rPr>
    </w:lvl>
    <w:lvl w:ilvl="1" w:tplc="D28E36DE">
      <w:start w:val="1"/>
      <w:numFmt w:val="bullet"/>
      <w:lvlText w:val=""/>
      <w:lvlJc w:val="left"/>
      <w:pPr>
        <w:ind w:hanging="360"/>
      </w:pPr>
      <w:rPr>
        <w:rFonts w:ascii="Symbol" w:eastAsia="Symbol" w:hAnsi="Symbol" w:hint="default"/>
        <w:sz w:val="22"/>
        <w:szCs w:val="22"/>
      </w:rPr>
    </w:lvl>
    <w:lvl w:ilvl="2" w:tplc="3D88FBA8">
      <w:start w:val="1"/>
      <w:numFmt w:val="bullet"/>
      <w:lvlText w:val=""/>
      <w:lvlJc w:val="left"/>
      <w:pPr>
        <w:ind w:hanging="360"/>
      </w:pPr>
      <w:rPr>
        <w:rFonts w:ascii="Symbol" w:eastAsia="Symbol" w:hAnsi="Symbol" w:hint="default"/>
        <w:sz w:val="22"/>
        <w:szCs w:val="22"/>
      </w:rPr>
    </w:lvl>
    <w:lvl w:ilvl="3" w:tplc="E264CCAE">
      <w:start w:val="1"/>
      <w:numFmt w:val="bullet"/>
      <w:lvlText w:val=""/>
      <w:lvlJc w:val="left"/>
      <w:pPr>
        <w:ind w:hanging="360"/>
      </w:pPr>
      <w:rPr>
        <w:rFonts w:ascii="Symbol" w:eastAsia="Symbol" w:hAnsi="Symbol" w:hint="default"/>
        <w:sz w:val="22"/>
        <w:szCs w:val="22"/>
      </w:rPr>
    </w:lvl>
    <w:lvl w:ilvl="4" w:tplc="B80632AE">
      <w:start w:val="1"/>
      <w:numFmt w:val="bullet"/>
      <w:lvlText w:val=""/>
      <w:lvlJc w:val="left"/>
      <w:pPr>
        <w:ind w:hanging="360"/>
      </w:pPr>
      <w:rPr>
        <w:rFonts w:ascii="Symbol" w:eastAsia="Symbol" w:hAnsi="Symbol" w:hint="default"/>
        <w:sz w:val="22"/>
        <w:szCs w:val="22"/>
      </w:rPr>
    </w:lvl>
    <w:lvl w:ilvl="5" w:tplc="A11659E2">
      <w:start w:val="1"/>
      <w:numFmt w:val="bullet"/>
      <w:lvlText w:val="•"/>
      <w:lvlJc w:val="left"/>
      <w:rPr>
        <w:rFonts w:hint="default"/>
      </w:rPr>
    </w:lvl>
    <w:lvl w:ilvl="6" w:tplc="C652E8BE">
      <w:start w:val="1"/>
      <w:numFmt w:val="bullet"/>
      <w:lvlText w:val="•"/>
      <w:lvlJc w:val="left"/>
      <w:rPr>
        <w:rFonts w:hint="default"/>
      </w:rPr>
    </w:lvl>
    <w:lvl w:ilvl="7" w:tplc="7A628516">
      <w:start w:val="1"/>
      <w:numFmt w:val="bullet"/>
      <w:lvlText w:val="•"/>
      <w:lvlJc w:val="left"/>
      <w:rPr>
        <w:rFonts w:hint="default"/>
      </w:rPr>
    </w:lvl>
    <w:lvl w:ilvl="8" w:tplc="2D3CCE36">
      <w:start w:val="1"/>
      <w:numFmt w:val="bullet"/>
      <w:lvlText w:val="•"/>
      <w:lvlJc w:val="left"/>
      <w:rPr>
        <w:rFonts w:hint="default"/>
      </w:rPr>
    </w:lvl>
  </w:abstractNum>
  <w:abstractNum w:abstractNumId="44" w15:restartNumberingAfterBreak="0">
    <w:nsid w:val="449C5C33"/>
    <w:multiLevelType w:val="hybridMultilevel"/>
    <w:tmpl w:val="9C52655E"/>
    <w:lvl w:ilvl="0" w:tplc="FABA6B20">
      <w:start w:val="1"/>
      <w:numFmt w:val="decimal"/>
      <w:lvlText w:val="%1."/>
      <w:lvlJc w:val="left"/>
      <w:pPr>
        <w:ind w:hanging="562"/>
      </w:pPr>
      <w:rPr>
        <w:rFonts w:ascii="Times New Roman" w:eastAsia="Times New Roman" w:hAnsi="Times New Roman" w:hint="default"/>
        <w:b/>
        <w:bCs/>
        <w:sz w:val="22"/>
        <w:szCs w:val="22"/>
      </w:rPr>
    </w:lvl>
    <w:lvl w:ilvl="1" w:tplc="35927D1E">
      <w:start w:val="1"/>
      <w:numFmt w:val="bullet"/>
      <w:lvlText w:val=""/>
      <w:lvlJc w:val="left"/>
      <w:pPr>
        <w:ind w:hanging="360"/>
      </w:pPr>
      <w:rPr>
        <w:rFonts w:ascii="Symbol" w:eastAsia="Symbol" w:hAnsi="Symbol" w:hint="default"/>
        <w:sz w:val="22"/>
        <w:szCs w:val="22"/>
      </w:rPr>
    </w:lvl>
    <w:lvl w:ilvl="2" w:tplc="688E8CA2">
      <w:start w:val="1"/>
      <w:numFmt w:val="bullet"/>
      <w:lvlText w:val=""/>
      <w:lvlJc w:val="left"/>
      <w:pPr>
        <w:ind w:hanging="360"/>
      </w:pPr>
      <w:rPr>
        <w:rFonts w:ascii="Symbol" w:eastAsia="Symbol" w:hAnsi="Symbol" w:hint="default"/>
        <w:sz w:val="22"/>
        <w:szCs w:val="22"/>
      </w:rPr>
    </w:lvl>
    <w:lvl w:ilvl="3" w:tplc="ACD850CC">
      <w:start w:val="1"/>
      <w:numFmt w:val="bullet"/>
      <w:lvlText w:val="•"/>
      <w:lvlJc w:val="left"/>
      <w:rPr>
        <w:rFonts w:hint="default"/>
      </w:rPr>
    </w:lvl>
    <w:lvl w:ilvl="4" w:tplc="F93862E4">
      <w:start w:val="1"/>
      <w:numFmt w:val="bullet"/>
      <w:lvlText w:val="•"/>
      <w:lvlJc w:val="left"/>
      <w:rPr>
        <w:rFonts w:hint="default"/>
      </w:rPr>
    </w:lvl>
    <w:lvl w:ilvl="5" w:tplc="53926F12">
      <w:start w:val="1"/>
      <w:numFmt w:val="bullet"/>
      <w:lvlText w:val="•"/>
      <w:lvlJc w:val="left"/>
      <w:rPr>
        <w:rFonts w:hint="default"/>
      </w:rPr>
    </w:lvl>
    <w:lvl w:ilvl="6" w:tplc="7E52ABDA">
      <w:start w:val="1"/>
      <w:numFmt w:val="bullet"/>
      <w:lvlText w:val="•"/>
      <w:lvlJc w:val="left"/>
      <w:rPr>
        <w:rFonts w:hint="default"/>
      </w:rPr>
    </w:lvl>
    <w:lvl w:ilvl="7" w:tplc="5C4ADBC6">
      <w:start w:val="1"/>
      <w:numFmt w:val="bullet"/>
      <w:lvlText w:val="•"/>
      <w:lvlJc w:val="left"/>
      <w:rPr>
        <w:rFonts w:hint="default"/>
      </w:rPr>
    </w:lvl>
    <w:lvl w:ilvl="8" w:tplc="CFCC5B04">
      <w:start w:val="1"/>
      <w:numFmt w:val="bullet"/>
      <w:lvlText w:val="•"/>
      <w:lvlJc w:val="left"/>
      <w:rPr>
        <w:rFonts w:hint="default"/>
      </w:rPr>
    </w:lvl>
  </w:abstractNum>
  <w:abstractNum w:abstractNumId="45" w15:restartNumberingAfterBreak="0">
    <w:nsid w:val="471251D5"/>
    <w:multiLevelType w:val="hybridMultilevel"/>
    <w:tmpl w:val="B11621AC"/>
    <w:lvl w:ilvl="0" w:tplc="C650967C">
      <w:start w:val="1"/>
      <w:numFmt w:val="decimal"/>
      <w:lvlText w:val="%1."/>
      <w:lvlJc w:val="left"/>
      <w:pPr>
        <w:ind w:left="360" w:hanging="360"/>
      </w:pPr>
      <w:rPr>
        <w:rFonts w:ascii="Times New Roman" w:hAnsi="Times New Roman" w:cs="Times New Roman" w:hint="default"/>
        <w:b/>
      </w:rPr>
    </w:lvl>
    <w:lvl w:ilvl="1" w:tplc="83A00C52" w:tentative="1">
      <w:start w:val="1"/>
      <w:numFmt w:val="upperLetter"/>
      <w:lvlText w:val="%2."/>
      <w:lvlJc w:val="left"/>
      <w:pPr>
        <w:ind w:left="800" w:hanging="400"/>
      </w:pPr>
    </w:lvl>
    <w:lvl w:ilvl="2" w:tplc="2758D158" w:tentative="1">
      <w:start w:val="1"/>
      <w:numFmt w:val="lowerRoman"/>
      <w:lvlText w:val="%3."/>
      <w:lvlJc w:val="right"/>
      <w:pPr>
        <w:ind w:left="1200" w:hanging="400"/>
      </w:pPr>
    </w:lvl>
    <w:lvl w:ilvl="3" w:tplc="B3485894" w:tentative="1">
      <w:start w:val="1"/>
      <w:numFmt w:val="decimal"/>
      <w:lvlText w:val="%4."/>
      <w:lvlJc w:val="left"/>
      <w:pPr>
        <w:ind w:left="1600" w:hanging="400"/>
      </w:pPr>
    </w:lvl>
    <w:lvl w:ilvl="4" w:tplc="8DD21F4E" w:tentative="1">
      <w:start w:val="1"/>
      <w:numFmt w:val="upperLetter"/>
      <w:lvlText w:val="%5."/>
      <w:lvlJc w:val="left"/>
      <w:pPr>
        <w:ind w:left="2000" w:hanging="400"/>
      </w:pPr>
    </w:lvl>
    <w:lvl w:ilvl="5" w:tplc="56C647E2" w:tentative="1">
      <w:start w:val="1"/>
      <w:numFmt w:val="lowerRoman"/>
      <w:lvlText w:val="%6."/>
      <w:lvlJc w:val="right"/>
      <w:pPr>
        <w:ind w:left="2400" w:hanging="400"/>
      </w:pPr>
    </w:lvl>
    <w:lvl w:ilvl="6" w:tplc="19EE24B6" w:tentative="1">
      <w:start w:val="1"/>
      <w:numFmt w:val="decimal"/>
      <w:lvlText w:val="%7."/>
      <w:lvlJc w:val="left"/>
      <w:pPr>
        <w:ind w:left="2800" w:hanging="400"/>
      </w:pPr>
    </w:lvl>
    <w:lvl w:ilvl="7" w:tplc="DC949404" w:tentative="1">
      <w:start w:val="1"/>
      <w:numFmt w:val="upperLetter"/>
      <w:lvlText w:val="%8."/>
      <w:lvlJc w:val="left"/>
      <w:pPr>
        <w:ind w:left="3200" w:hanging="400"/>
      </w:pPr>
    </w:lvl>
    <w:lvl w:ilvl="8" w:tplc="C95ED16A" w:tentative="1">
      <w:start w:val="1"/>
      <w:numFmt w:val="lowerRoman"/>
      <w:lvlText w:val="%9."/>
      <w:lvlJc w:val="right"/>
      <w:pPr>
        <w:ind w:left="3600" w:hanging="400"/>
      </w:pPr>
    </w:lvl>
  </w:abstractNum>
  <w:abstractNum w:abstractNumId="46" w15:restartNumberingAfterBreak="0">
    <w:nsid w:val="49895E24"/>
    <w:multiLevelType w:val="hybridMultilevel"/>
    <w:tmpl w:val="28A00D86"/>
    <w:lvl w:ilvl="0" w:tplc="4080EA52">
      <w:start w:val="1"/>
      <w:numFmt w:val="decimal"/>
      <w:lvlText w:val="%1."/>
      <w:lvlJc w:val="left"/>
      <w:pPr>
        <w:ind w:left="760" w:hanging="360"/>
      </w:pPr>
      <w:rPr>
        <w:rFonts w:hint="default"/>
      </w:rPr>
    </w:lvl>
    <w:lvl w:ilvl="1" w:tplc="06EC0BB6" w:tentative="1">
      <w:start w:val="1"/>
      <w:numFmt w:val="upperLetter"/>
      <w:lvlText w:val="%2."/>
      <w:lvlJc w:val="left"/>
      <w:pPr>
        <w:ind w:left="1200" w:hanging="400"/>
      </w:pPr>
    </w:lvl>
    <w:lvl w:ilvl="2" w:tplc="C45236D0" w:tentative="1">
      <w:start w:val="1"/>
      <w:numFmt w:val="lowerRoman"/>
      <w:lvlText w:val="%3."/>
      <w:lvlJc w:val="right"/>
      <w:pPr>
        <w:ind w:left="1600" w:hanging="400"/>
      </w:pPr>
    </w:lvl>
    <w:lvl w:ilvl="3" w:tplc="450E78EA" w:tentative="1">
      <w:start w:val="1"/>
      <w:numFmt w:val="decimal"/>
      <w:lvlText w:val="%4."/>
      <w:lvlJc w:val="left"/>
      <w:pPr>
        <w:ind w:left="2000" w:hanging="400"/>
      </w:pPr>
    </w:lvl>
    <w:lvl w:ilvl="4" w:tplc="237A5F96" w:tentative="1">
      <w:start w:val="1"/>
      <w:numFmt w:val="upperLetter"/>
      <w:lvlText w:val="%5."/>
      <w:lvlJc w:val="left"/>
      <w:pPr>
        <w:ind w:left="2400" w:hanging="400"/>
      </w:pPr>
    </w:lvl>
    <w:lvl w:ilvl="5" w:tplc="9B7C6CEC" w:tentative="1">
      <w:start w:val="1"/>
      <w:numFmt w:val="lowerRoman"/>
      <w:lvlText w:val="%6."/>
      <w:lvlJc w:val="right"/>
      <w:pPr>
        <w:ind w:left="2800" w:hanging="400"/>
      </w:pPr>
    </w:lvl>
    <w:lvl w:ilvl="6" w:tplc="2376C706" w:tentative="1">
      <w:start w:val="1"/>
      <w:numFmt w:val="decimal"/>
      <w:lvlText w:val="%7."/>
      <w:lvlJc w:val="left"/>
      <w:pPr>
        <w:ind w:left="3200" w:hanging="400"/>
      </w:pPr>
    </w:lvl>
    <w:lvl w:ilvl="7" w:tplc="B156D864" w:tentative="1">
      <w:start w:val="1"/>
      <w:numFmt w:val="upperLetter"/>
      <w:lvlText w:val="%8."/>
      <w:lvlJc w:val="left"/>
      <w:pPr>
        <w:ind w:left="3600" w:hanging="400"/>
      </w:pPr>
    </w:lvl>
    <w:lvl w:ilvl="8" w:tplc="1AA44F8C" w:tentative="1">
      <w:start w:val="1"/>
      <w:numFmt w:val="lowerRoman"/>
      <w:lvlText w:val="%9."/>
      <w:lvlJc w:val="right"/>
      <w:pPr>
        <w:ind w:left="4000" w:hanging="400"/>
      </w:pPr>
    </w:lvl>
  </w:abstractNum>
  <w:abstractNum w:abstractNumId="47" w15:restartNumberingAfterBreak="0">
    <w:nsid w:val="50A34B89"/>
    <w:multiLevelType w:val="hybridMultilevel"/>
    <w:tmpl w:val="339C2F6A"/>
    <w:lvl w:ilvl="0" w:tplc="E0E2EE06">
      <w:start w:val="1"/>
      <w:numFmt w:val="decimal"/>
      <w:lvlText w:val="%1."/>
      <w:lvlJc w:val="left"/>
      <w:pPr>
        <w:ind w:hanging="562"/>
      </w:pPr>
      <w:rPr>
        <w:rFonts w:ascii="Times New Roman" w:eastAsia="Times New Roman" w:hAnsi="Times New Roman" w:hint="default"/>
        <w:b/>
        <w:bCs/>
        <w:sz w:val="22"/>
        <w:szCs w:val="22"/>
      </w:rPr>
    </w:lvl>
    <w:lvl w:ilvl="1" w:tplc="14E03054">
      <w:start w:val="1"/>
      <w:numFmt w:val="bullet"/>
      <w:lvlText w:val="•"/>
      <w:lvlJc w:val="left"/>
      <w:rPr>
        <w:rFonts w:hint="default"/>
      </w:rPr>
    </w:lvl>
    <w:lvl w:ilvl="2" w:tplc="79B6BB84">
      <w:start w:val="1"/>
      <w:numFmt w:val="bullet"/>
      <w:lvlText w:val="•"/>
      <w:lvlJc w:val="left"/>
      <w:rPr>
        <w:rFonts w:hint="default"/>
      </w:rPr>
    </w:lvl>
    <w:lvl w:ilvl="3" w:tplc="62AA8386">
      <w:start w:val="1"/>
      <w:numFmt w:val="bullet"/>
      <w:lvlText w:val="•"/>
      <w:lvlJc w:val="left"/>
      <w:rPr>
        <w:rFonts w:hint="default"/>
      </w:rPr>
    </w:lvl>
    <w:lvl w:ilvl="4" w:tplc="1FB4910E">
      <w:start w:val="1"/>
      <w:numFmt w:val="bullet"/>
      <w:lvlText w:val="•"/>
      <w:lvlJc w:val="left"/>
      <w:rPr>
        <w:rFonts w:hint="default"/>
      </w:rPr>
    </w:lvl>
    <w:lvl w:ilvl="5" w:tplc="4D9CEADE">
      <w:start w:val="1"/>
      <w:numFmt w:val="bullet"/>
      <w:lvlText w:val="•"/>
      <w:lvlJc w:val="left"/>
      <w:rPr>
        <w:rFonts w:hint="default"/>
      </w:rPr>
    </w:lvl>
    <w:lvl w:ilvl="6" w:tplc="E57EB45C">
      <w:start w:val="1"/>
      <w:numFmt w:val="bullet"/>
      <w:lvlText w:val="•"/>
      <w:lvlJc w:val="left"/>
      <w:rPr>
        <w:rFonts w:hint="default"/>
      </w:rPr>
    </w:lvl>
    <w:lvl w:ilvl="7" w:tplc="E2267698">
      <w:start w:val="1"/>
      <w:numFmt w:val="bullet"/>
      <w:lvlText w:val="•"/>
      <w:lvlJc w:val="left"/>
      <w:rPr>
        <w:rFonts w:hint="default"/>
      </w:rPr>
    </w:lvl>
    <w:lvl w:ilvl="8" w:tplc="05F6FC7C">
      <w:start w:val="1"/>
      <w:numFmt w:val="bullet"/>
      <w:lvlText w:val="•"/>
      <w:lvlJc w:val="left"/>
      <w:rPr>
        <w:rFonts w:hint="default"/>
      </w:rPr>
    </w:lvl>
  </w:abstractNum>
  <w:abstractNum w:abstractNumId="48" w15:restartNumberingAfterBreak="0">
    <w:nsid w:val="51AD1404"/>
    <w:multiLevelType w:val="multilevel"/>
    <w:tmpl w:val="FD5075CC"/>
    <w:lvl w:ilvl="0">
      <w:start w:val="1"/>
      <w:numFmt w:val="decimal"/>
      <w:lvlText w:val="%1."/>
      <w:lvlJc w:val="left"/>
      <w:pPr>
        <w:ind w:left="567" w:hanging="567"/>
      </w:pPr>
      <w:rPr>
        <w:rFonts w:hint="default"/>
        <w:b/>
      </w:rPr>
    </w:lvl>
    <w:lvl w:ilvl="1">
      <w:start w:val="1"/>
      <w:numFmt w:val="upperLetter"/>
      <w:lvlText w:val="%2."/>
      <w:lvlJc w:val="left"/>
      <w:pPr>
        <w:ind w:left="440" w:hanging="400"/>
      </w:pPr>
      <w:rPr>
        <w:rFonts w:hint="eastAsia"/>
      </w:rPr>
    </w:lvl>
    <w:lvl w:ilvl="2">
      <w:start w:val="1"/>
      <w:numFmt w:val="lowerRoman"/>
      <w:lvlText w:val="%3."/>
      <w:lvlJc w:val="right"/>
      <w:pPr>
        <w:ind w:left="840" w:hanging="400"/>
      </w:pPr>
      <w:rPr>
        <w:rFonts w:hint="eastAsia"/>
      </w:rPr>
    </w:lvl>
    <w:lvl w:ilvl="3">
      <w:start w:val="1"/>
      <w:numFmt w:val="decimal"/>
      <w:lvlText w:val="%4."/>
      <w:lvlJc w:val="left"/>
      <w:pPr>
        <w:ind w:left="1240" w:hanging="400"/>
      </w:pPr>
      <w:rPr>
        <w:rFonts w:hint="eastAsia"/>
      </w:rPr>
    </w:lvl>
    <w:lvl w:ilvl="4">
      <w:start w:val="1"/>
      <w:numFmt w:val="upperLetter"/>
      <w:lvlText w:val="%5."/>
      <w:lvlJc w:val="left"/>
      <w:pPr>
        <w:ind w:left="1640" w:hanging="400"/>
      </w:pPr>
      <w:rPr>
        <w:rFonts w:hint="eastAsia"/>
      </w:rPr>
    </w:lvl>
    <w:lvl w:ilvl="5">
      <w:start w:val="1"/>
      <w:numFmt w:val="lowerRoman"/>
      <w:lvlText w:val="%6."/>
      <w:lvlJc w:val="right"/>
      <w:pPr>
        <w:ind w:left="2040" w:hanging="400"/>
      </w:pPr>
      <w:rPr>
        <w:rFonts w:hint="eastAsia"/>
      </w:rPr>
    </w:lvl>
    <w:lvl w:ilvl="6">
      <w:start w:val="1"/>
      <w:numFmt w:val="decimal"/>
      <w:lvlText w:val="%7."/>
      <w:lvlJc w:val="left"/>
      <w:pPr>
        <w:ind w:left="2440" w:hanging="400"/>
      </w:pPr>
      <w:rPr>
        <w:rFonts w:hint="eastAsia"/>
      </w:rPr>
    </w:lvl>
    <w:lvl w:ilvl="7">
      <w:start w:val="1"/>
      <w:numFmt w:val="upperLetter"/>
      <w:lvlText w:val="%8."/>
      <w:lvlJc w:val="left"/>
      <w:pPr>
        <w:ind w:left="2840" w:hanging="400"/>
      </w:pPr>
      <w:rPr>
        <w:rFonts w:hint="eastAsia"/>
      </w:rPr>
    </w:lvl>
    <w:lvl w:ilvl="8">
      <w:start w:val="1"/>
      <w:numFmt w:val="lowerRoman"/>
      <w:lvlText w:val="%9."/>
      <w:lvlJc w:val="right"/>
      <w:pPr>
        <w:ind w:left="3240" w:hanging="400"/>
      </w:pPr>
      <w:rPr>
        <w:rFonts w:hint="eastAsia"/>
      </w:rPr>
    </w:lvl>
  </w:abstractNum>
  <w:abstractNum w:abstractNumId="49"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50" w15:restartNumberingAfterBreak="0">
    <w:nsid w:val="53D259DE"/>
    <w:multiLevelType w:val="hybridMultilevel"/>
    <w:tmpl w:val="339C2F6A"/>
    <w:lvl w:ilvl="0" w:tplc="E0E2EE06">
      <w:start w:val="1"/>
      <w:numFmt w:val="decimal"/>
      <w:lvlText w:val="%1."/>
      <w:lvlJc w:val="left"/>
      <w:pPr>
        <w:ind w:hanging="562"/>
      </w:pPr>
      <w:rPr>
        <w:rFonts w:ascii="Times New Roman" w:eastAsia="Times New Roman" w:hAnsi="Times New Roman" w:hint="default"/>
        <w:b/>
        <w:bCs/>
        <w:sz w:val="22"/>
        <w:szCs w:val="22"/>
      </w:rPr>
    </w:lvl>
    <w:lvl w:ilvl="1" w:tplc="14E03054">
      <w:start w:val="1"/>
      <w:numFmt w:val="bullet"/>
      <w:lvlText w:val="•"/>
      <w:lvlJc w:val="left"/>
      <w:rPr>
        <w:rFonts w:hint="default"/>
      </w:rPr>
    </w:lvl>
    <w:lvl w:ilvl="2" w:tplc="79B6BB84">
      <w:start w:val="1"/>
      <w:numFmt w:val="bullet"/>
      <w:lvlText w:val="•"/>
      <w:lvlJc w:val="left"/>
      <w:rPr>
        <w:rFonts w:hint="default"/>
      </w:rPr>
    </w:lvl>
    <w:lvl w:ilvl="3" w:tplc="62AA8386">
      <w:start w:val="1"/>
      <w:numFmt w:val="bullet"/>
      <w:lvlText w:val="•"/>
      <w:lvlJc w:val="left"/>
      <w:rPr>
        <w:rFonts w:hint="default"/>
      </w:rPr>
    </w:lvl>
    <w:lvl w:ilvl="4" w:tplc="1FB4910E">
      <w:start w:val="1"/>
      <w:numFmt w:val="bullet"/>
      <w:lvlText w:val="•"/>
      <w:lvlJc w:val="left"/>
      <w:rPr>
        <w:rFonts w:hint="default"/>
      </w:rPr>
    </w:lvl>
    <w:lvl w:ilvl="5" w:tplc="4D9CEADE">
      <w:start w:val="1"/>
      <w:numFmt w:val="bullet"/>
      <w:lvlText w:val="•"/>
      <w:lvlJc w:val="left"/>
      <w:rPr>
        <w:rFonts w:hint="default"/>
      </w:rPr>
    </w:lvl>
    <w:lvl w:ilvl="6" w:tplc="E57EB45C">
      <w:start w:val="1"/>
      <w:numFmt w:val="bullet"/>
      <w:lvlText w:val="•"/>
      <w:lvlJc w:val="left"/>
      <w:rPr>
        <w:rFonts w:hint="default"/>
      </w:rPr>
    </w:lvl>
    <w:lvl w:ilvl="7" w:tplc="E2267698">
      <w:start w:val="1"/>
      <w:numFmt w:val="bullet"/>
      <w:lvlText w:val="•"/>
      <w:lvlJc w:val="left"/>
      <w:rPr>
        <w:rFonts w:hint="default"/>
      </w:rPr>
    </w:lvl>
    <w:lvl w:ilvl="8" w:tplc="05F6FC7C">
      <w:start w:val="1"/>
      <w:numFmt w:val="bullet"/>
      <w:lvlText w:val="•"/>
      <w:lvlJc w:val="left"/>
      <w:rPr>
        <w:rFonts w:hint="default"/>
      </w:rPr>
    </w:lvl>
  </w:abstractNum>
  <w:abstractNum w:abstractNumId="51" w15:restartNumberingAfterBreak="0">
    <w:nsid w:val="57651109"/>
    <w:multiLevelType w:val="hybridMultilevel"/>
    <w:tmpl w:val="41C490C4"/>
    <w:lvl w:ilvl="0" w:tplc="F9B09DE6">
      <w:start w:val="1"/>
      <w:numFmt w:val="bullet"/>
      <w:lvlText w:val=""/>
      <w:lvlJc w:val="left"/>
      <w:pPr>
        <w:ind w:hanging="567"/>
      </w:pPr>
      <w:rPr>
        <w:rFonts w:ascii="Symbol" w:eastAsia="Symbol" w:hAnsi="Symbol" w:hint="default"/>
        <w:w w:val="100"/>
        <w:sz w:val="22"/>
        <w:szCs w:val="22"/>
      </w:rPr>
    </w:lvl>
    <w:lvl w:ilvl="1" w:tplc="2B1EA900">
      <w:start w:val="1"/>
      <w:numFmt w:val="bullet"/>
      <w:lvlText w:val="•"/>
      <w:lvlJc w:val="left"/>
      <w:rPr>
        <w:rFonts w:hint="default"/>
      </w:rPr>
    </w:lvl>
    <w:lvl w:ilvl="2" w:tplc="D796425C">
      <w:start w:val="1"/>
      <w:numFmt w:val="bullet"/>
      <w:lvlText w:val="•"/>
      <w:lvlJc w:val="left"/>
      <w:rPr>
        <w:rFonts w:hint="default"/>
      </w:rPr>
    </w:lvl>
    <w:lvl w:ilvl="3" w:tplc="2298A2BC">
      <w:start w:val="1"/>
      <w:numFmt w:val="bullet"/>
      <w:lvlText w:val="•"/>
      <w:lvlJc w:val="left"/>
      <w:rPr>
        <w:rFonts w:hint="default"/>
      </w:rPr>
    </w:lvl>
    <w:lvl w:ilvl="4" w:tplc="A4A6EC5E">
      <w:start w:val="1"/>
      <w:numFmt w:val="bullet"/>
      <w:lvlText w:val="•"/>
      <w:lvlJc w:val="left"/>
      <w:rPr>
        <w:rFonts w:hint="default"/>
      </w:rPr>
    </w:lvl>
    <w:lvl w:ilvl="5" w:tplc="641C234C">
      <w:start w:val="1"/>
      <w:numFmt w:val="bullet"/>
      <w:lvlText w:val="•"/>
      <w:lvlJc w:val="left"/>
      <w:rPr>
        <w:rFonts w:hint="default"/>
      </w:rPr>
    </w:lvl>
    <w:lvl w:ilvl="6" w:tplc="7A56B63A">
      <w:start w:val="1"/>
      <w:numFmt w:val="bullet"/>
      <w:lvlText w:val="•"/>
      <w:lvlJc w:val="left"/>
      <w:rPr>
        <w:rFonts w:hint="default"/>
      </w:rPr>
    </w:lvl>
    <w:lvl w:ilvl="7" w:tplc="746CE502">
      <w:start w:val="1"/>
      <w:numFmt w:val="bullet"/>
      <w:lvlText w:val="•"/>
      <w:lvlJc w:val="left"/>
      <w:rPr>
        <w:rFonts w:hint="default"/>
      </w:rPr>
    </w:lvl>
    <w:lvl w:ilvl="8" w:tplc="3A424000">
      <w:start w:val="1"/>
      <w:numFmt w:val="bullet"/>
      <w:lvlText w:val="•"/>
      <w:lvlJc w:val="left"/>
      <w:rPr>
        <w:rFonts w:hint="default"/>
      </w:rPr>
    </w:lvl>
  </w:abstractNum>
  <w:abstractNum w:abstractNumId="52" w15:restartNumberingAfterBreak="0">
    <w:nsid w:val="5C114CD4"/>
    <w:multiLevelType w:val="hybridMultilevel"/>
    <w:tmpl w:val="B750072C"/>
    <w:lvl w:ilvl="0" w:tplc="B47EC862">
      <w:start w:val="1"/>
      <w:numFmt w:val="upperLetter"/>
      <w:lvlText w:val="%1."/>
      <w:lvlJc w:val="left"/>
      <w:pPr>
        <w:ind w:left="1032" w:hanging="360"/>
      </w:pPr>
      <w:rPr>
        <w:rFonts w:hint="default"/>
      </w:rPr>
    </w:lvl>
    <w:lvl w:ilvl="1" w:tplc="D70C8A12" w:tentative="1">
      <w:start w:val="1"/>
      <w:numFmt w:val="upperLetter"/>
      <w:lvlText w:val="%2."/>
      <w:lvlJc w:val="left"/>
      <w:pPr>
        <w:ind w:left="1472" w:hanging="400"/>
      </w:pPr>
    </w:lvl>
    <w:lvl w:ilvl="2" w:tplc="462424FC" w:tentative="1">
      <w:start w:val="1"/>
      <w:numFmt w:val="lowerRoman"/>
      <w:lvlText w:val="%3."/>
      <w:lvlJc w:val="right"/>
      <w:pPr>
        <w:ind w:left="1872" w:hanging="400"/>
      </w:pPr>
    </w:lvl>
    <w:lvl w:ilvl="3" w:tplc="4B8E0B8A" w:tentative="1">
      <w:start w:val="1"/>
      <w:numFmt w:val="decimal"/>
      <w:lvlText w:val="%4."/>
      <w:lvlJc w:val="left"/>
      <w:pPr>
        <w:ind w:left="2272" w:hanging="400"/>
      </w:pPr>
    </w:lvl>
    <w:lvl w:ilvl="4" w:tplc="20C68C36" w:tentative="1">
      <w:start w:val="1"/>
      <w:numFmt w:val="upperLetter"/>
      <w:lvlText w:val="%5."/>
      <w:lvlJc w:val="left"/>
      <w:pPr>
        <w:ind w:left="2672" w:hanging="400"/>
      </w:pPr>
    </w:lvl>
    <w:lvl w:ilvl="5" w:tplc="87368B90" w:tentative="1">
      <w:start w:val="1"/>
      <w:numFmt w:val="lowerRoman"/>
      <w:lvlText w:val="%6."/>
      <w:lvlJc w:val="right"/>
      <w:pPr>
        <w:ind w:left="3072" w:hanging="400"/>
      </w:pPr>
    </w:lvl>
    <w:lvl w:ilvl="6" w:tplc="81A66248" w:tentative="1">
      <w:start w:val="1"/>
      <w:numFmt w:val="decimal"/>
      <w:lvlText w:val="%7."/>
      <w:lvlJc w:val="left"/>
      <w:pPr>
        <w:ind w:left="3472" w:hanging="400"/>
      </w:pPr>
    </w:lvl>
    <w:lvl w:ilvl="7" w:tplc="B94645B4" w:tentative="1">
      <w:start w:val="1"/>
      <w:numFmt w:val="upperLetter"/>
      <w:lvlText w:val="%8."/>
      <w:lvlJc w:val="left"/>
      <w:pPr>
        <w:ind w:left="3872" w:hanging="400"/>
      </w:pPr>
    </w:lvl>
    <w:lvl w:ilvl="8" w:tplc="923A3870" w:tentative="1">
      <w:start w:val="1"/>
      <w:numFmt w:val="lowerRoman"/>
      <w:lvlText w:val="%9."/>
      <w:lvlJc w:val="right"/>
      <w:pPr>
        <w:ind w:left="4272" w:hanging="400"/>
      </w:pPr>
    </w:lvl>
  </w:abstractNum>
  <w:abstractNum w:abstractNumId="53" w15:restartNumberingAfterBreak="0">
    <w:nsid w:val="5D4A21ED"/>
    <w:multiLevelType w:val="hybridMultilevel"/>
    <w:tmpl w:val="28A00D86"/>
    <w:lvl w:ilvl="0" w:tplc="4080EA52">
      <w:start w:val="1"/>
      <w:numFmt w:val="decimal"/>
      <w:lvlText w:val="%1."/>
      <w:lvlJc w:val="left"/>
      <w:pPr>
        <w:ind w:left="760" w:hanging="360"/>
      </w:pPr>
      <w:rPr>
        <w:rFonts w:hint="default"/>
      </w:rPr>
    </w:lvl>
    <w:lvl w:ilvl="1" w:tplc="06EC0BB6" w:tentative="1">
      <w:start w:val="1"/>
      <w:numFmt w:val="upperLetter"/>
      <w:lvlText w:val="%2."/>
      <w:lvlJc w:val="left"/>
      <w:pPr>
        <w:ind w:left="1200" w:hanging="400"/>
      </w:pPr>
    </w:lvl>
    <w:lvl w:ilvl="2" w:tplc="C45236D0" w:tentative="1">
      <w:start w:val="1"/>
      <w:numFmt w:val="lowerRoman"/>
      <w:lvlText w:val="%3."/>
      <w:lvlJc w:val="right"/>
      <w:pPr>
        <w:ind w:left="1600" w:hanging="400"/>
      </w:pPr>
    </w:lvl>
    <w:lvl w:ilvl="3" w:tplc="450E78EA" w:tentative="1">
      <w:start w:val="1"/>
      <w:numFmt w:val="decimal"/>
      <w:lvlText w:val="%4."/>
      <w:lvlJc w:val="left"/>
      <w:pPr>
        <w:ind w:left="2000" w:hanging="400"/>
      </w:pPr>
    </w:lvl>
    <w:lvl w:ilvl="4" w:tplc="237A5F96" w:tentative="1">
      <w:start w:val="1"/>
      <w:numFmt w:val="upperLetter"/>
      <w:lvlText w:val="%5."/>
      <w:lvlJc w:val="left"/>
      <w:pPr>
        <w:ind w:left="2400" w:hanging="400"/>
      </w:pPr>
    </w:lvl>
    <w:lvl w:ilvl="5" w:tplc="9B7C6CEC" w:tentative="1">
      <w:start w:val="1"/>
      <w:numFmt w:val="lowerRoman"/>
      <w:lvlText w:val="%6."/>
      <w:lvlJc w:val="right"/>
      <w:pPr>
        <w:ind w:left="2800" w:hanging="400"/>
      </w:pPr>
    </w:lvl>
    <w:lvl w:ilvl="6" w:tplc="2376C706" w:tentative="1">
      <w:start w:val="1"/>
      <w:numFmt w:val="decimal"/>
      <w:lvlText w:val="%7."/>
      <w:lvlJc w:val="left"/>
      <w:pPr>
        <w:ind w:left="3200" w:hanging="400"/>
      </w:pPr>
    </w:lvl>
    <w:lvl w:ilvl="7" w:tplc="B156D864" w:tentative="1">
      <w:start w:val="1"/>
      <w:numFmt w:val="upperLetter"/>
      <w:lvlText w:val="%8."/>
      <w:lvlJc w:val="left"/>
      <w:pPr>
        <w:ind w:left="3600" w:hanging="400"/>
      </w:pPr>
    </w:lvl>
    <w:lvl w:ilvl="8" w:tplc="1AA44F8C" w:tentative="1">
      <w:start w:val="1"/>
      <w:numFmt w:val="lowerRoman"/>
      <w:lvlText w:val="%9."/>
      <w:lvlJc w:val="right"/>
      <w:pPr>
        <w:ind w:left="4000" w:hanging="400"/>
      </w:pPr>
    </w:lvl>
  </w:abstractNum>
  <w:abstractNum w:abstractNumId="54"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55" w15:restartNumberingAfterBreak="0">
    <w:nsid w:val="5D8042E1"/>
    <w:multiLevelType w:val="hybridMultilevel"/>
    <w:tmpl w:val="C0DAEC28"/>
    <w:lvl w:ilvl="0" w:tplc="77543550">
      <w:start w:val="1"/>
      <w:numFmt w:val="lowerLetter"/>
      <w:lvlText w:val="%1"/>
      <w:lvlJc w:val="left"/>
      <w:pPr>
        <w:ind w:hanging="360"/>
      </w:pPr>
      <w:rPr>
        <w:rFonts w:ascii="Times New Roman" w:eastAsia="Times New Roman" w:hAnsi="Times New Roman" w:hint="default"/>
        <w:position w:val="6"/>
        <w:sz w:val="22"/>
        <w:szCs w:val="22"/>
        <w:vertAlign w:val="superscript"/>
      </w:rPr>
    </w:lvl>
    <w:lvl w:ilvl="1" w:tplc="2E1EA206">
      <w:start w:val="1"/>
      <w:numFmt w:val="bullet"/>
      <w:lvlText w:val="•"/>
      <w:lvlJc w:val="left"/>
      <w:rPr>
        <w:rFonts w:hint="default"/>
      </w:rPr>
    </w:lvl>
    <w:lvl w:ilvl="2" w:tplc="37123E90">
      <w:start w:val="1"/>
      <w:numFmt w:val="bullet"/>
      <w:lvlText w:val="•"/>
      <w:lvlJc w:val="left"/>
      <w:rPr>
        <w:rFonts w:hint="default"/>
      </w:rPr>
    </w:lvl>
    <w:lvl w:ilvl="3" w:tplc="8AF8DB58">
      <w:start w:val="1"/>
      <w:numFmt w:val="bullet"/>
      <w:lvlText w:val="•"/>
      <w:lvlJc w:val="left"/>
      <w:rPr>
        <w:rFonts w:hint="default"/>
      </w:rPr>
    </w:lvl>
    <w:lvl w:ilvl="4" w:tplc="39EC6DC4">
      <w:start w:val="1"/>
      <w:numFmt w:val="bullet"/>
      <w:lvlText w:val="•"/>
      <w:lvlJc w:val="left"/>
      <w:rPr>
        <w:rFonts w:hint="default"/>
      </w:rPr>
    </w:lvl>
    <w:lvl w:ilvl="5" w:tplc="77FA1BC2">
      <w:start w:val="1"/>
      <w:numFmt w:val="bullet"/>
      <w:lvlText w:val="•"/>
      <w:lvlJc w:val="left"/>
      <w:rPr>
        <w:rFonts w:hint="default"/>
      </w:rPr>
    </w:lvl>
    <w:lvl w:ilvl="6" w:tplc="3904DB5E">
      <w:start w:val="1"/>
      <w:numFmt w:val="bullet"/>
      <w:lvlText w:val="•"/>
      <w:lvlJc w:val="left"/>
      <w:rPr>
        <w:rFonts w:hint="default"/>
      </w:rPr>
    </w:lvl>
    <w:lvl w:ilvl="7" w:tplc="3D0ED09C">
      <w:start w:val="1"/>
      <w:numFmt w:val="bullet"/>
      <w:lvlText w:val="•"/>
      <w:lvlJc w:val="left"/>
      <w:rPr>
        <w:rFonts w:hint="default"/>
      </w:rPr>
    </w:lvl>
    <w:lvl w:ilvl="8" w:tplc="9AEA6DAC">
      <w:start w:val="1"/>
      <w:numFmt w:val="bullet"/>
      <w:lvlText w:val="•"/>
      <w:lvlJc w:val="left"/>
      <w:rPr>
        <w:rFonts w:hint="default"/>
      </w:rPr>
    </w:lvl>
  </w:abstractNum>
  <w:abstractNum w:abstractNumId="56" w15:restartNumberingAfterBreak="0">
    <w:nsid w:val="5D9A231C"/>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7" w15:restartNumberingAfterBreak="0">
    <w:nsid w:val="5E843970"/>
    <w:multiLevelType w:val="hybridMultilevel"/>
    <w:tmpl w:val="28A00D86"/>
    <w:lvl w:ilvl="0" w:tplc="3D10F514">
      <w:start w:val="1"/>
      <w:numFmt w:val="decimal"/>
      <w:lvlText w:val="%1."/>
      <w:lvlJc w:val="left"/>
      <w:pPr>
        <w:ind w:left="760" w:hanging="360"/>
      </w:pPr>
      <w:rPr>
        <w:rFonts w:hint="default"/>
      </w:rPr>
    </w:lvl>
    <w:lvl w:ilvl="1" w:tplc="BD5CFA38" w:tentative="1">
      <w:start w:val="1"/>
      <w:numFmt w:val="upperLetter"/>
      <w:lvlText w:val="%2."/>
      <w:lvlJc w:val="left"/>
      <w:pPr>
        <w:ind w:left="1200" w:hanging="400"/>
      </w:pPr>
    </w:lvl>
    <w:lvl w:ilvl="2" w:tplc="C6BC9180" w:tentative="1">
      <w:start w:val="1"/>
      <w:numFmt w:val="lowerRoman"/>
      <w:lvlText w:val="%3."/>
      <w:lvlJc w:val="right"/>
      <w:pPr>
        <w:ind w:left="1600" w:hanging="400"/>
      </w:pPr>
    </w:lvl>
    <w:lvl w:ilvl="3" w:tplc="80885C6E" w:tentative="1">
      <w:start w:val="1"/>
      <w:numFmt w:val="decimal"/>
      <w:lvlText w:val="%4."/>
      <w:lvlJc w:val="left"/>
      <w:pPr>
        <w:ind w:left="2000" w:hanging="400"/>
      </w:pPr>
    </w:lvl>
    <w:lvl w:ilvl="4" w:tplc="59E4F23E" w:tentative="1">
      <w:start w:val="1"/>
      <w:numFmt w:val="upperLetter"/>
      <w:lvlText w:val="%5."/>
      <w:lvlJc w:val="left"/>
      <w:pPr>
        <w:ind w:left="2400" w:hanging="400"/>
      </w:pPr>
    </w:lvl>
    <w:lvl w:ilvl="5" w:tplc="DA8A8282" w:tentative="1">
      <w:start w:val="1"/>
      <w:numFmt w:val="lowerRoman"/>
      <w:lvlText w:val="%6."/>
      <w:lvlJc w:val="right"/>
      <w:pPr>
        <w:ind w:left="2800" w:hanging="400"/>
      </w:pPr>
    </w:lvl>
    <w:lvl w:ilvl="6" w:tplc="31E47752" w:tentative="1">
      <w:start w:val="1"/>
      <w:numFmt w:val="decimal"/>
      <w:lvlText w:val="%7."/>
      <w:lvlJc w:val="left"/>
      <w:pPr>
        <w:ind w:left="3200" w:hanging="400"/>
      </w:pPr>
    </w:lvl>
    <w:lvl w:ilvl="7" w:tplc="F61EA52C" w:tentative="1">
      <w:start w:val="1"/>
      <w:numFmt w:val="upperLetter"/>
      <w:lvlText w:val="%8."/>
      <w:lvlJc w:val="left"/>
      <w:pPr>
        <w:ind w:left="3600" w:hanging="400"/>
      </w:pPr>
    </w:lvl>
    <w:lvl w:ilvl="8" w:tplc="23222172" w:tentative="1">
      <w:start w:val="1"/>
      <w:numFmt w:val="lowerRoman"/>
      <w:lvlText w:val="%9."/>
      <w:lvlJc w:val="right"/>
      <w:pPr>
        <w:ind w:left="4000" w:hanging="400"/>
      </w:pPr>
    </w:lvl>
  </w:abstractNum>
  <w:abstractNum w:abstractNumId="58" w15:restartNumberingAfterBreak="0">
    <w:nsid w:val="5F051379"/>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9" w15:restartNumberingAfterBreak="0">
    <w:nsid w:val="5FB602BC"/>
    <w:multiLevelType w:val="hybridMultilevel"/>
    <w:tmpl w:val="26FAC844"/>
    <w:lvl w:ilvl="0" w:tplc="9C4801DC">
      <w:start w:val="1"/>
      <w:numFmt w:val="lowerLetter"/>
      <w:lvlText w:val="%1"/>
      <w:lvlJc w:val="left"/>
      <w:pPr>
        <w:ind w:hanging="243"/>
      </w:pPr>
      <w:rPr>
        <w:rFonts w:ascii="Times New Roman" w:eastAsia="Times New Roman" w:hAnsi="Times New Roman" w:hint="default"/>
        <w:w w:val="99"/>
        <w:position w:val="8"/>
        <w:sz w:val="14"/>
        <w:szCs w:val="14"/>
      </w:rPr>
    </w:lvl>
    <w:lvl w:ilvl="1" w:tplc="C8BEA35C">
      <w:start w:val="1"/>
      <w:numFmt w:val="bullet"/>
      <w:lvlText w:val="•"/>
      <w:lvlJc w:val="left"/>
      <w:rPr>
        <w:rFonts w:hint="default"/>
      </w:rPr>
    </w:lvl>
    <w:lvl w:ilvl="2" w:tplc="692633C2">
      <w:start w:val="1"/>
      <w:numFmt w:val="bullet"/>
      <w:lvlText w:val="•"/>
      <w:lvlJc w:val="left"/>
      <w:rPr>
        <w:rFonts w:hint="default"/>
      </w:rPr>
    </w:lvl>
    <w:lvl w:ilvl="3" w:tplc="1F4C1B9A">
      <w:start w:val="1"/>
      <w:numFmt w:val="bullet"/>
      <w:lvlText w:val="•"/>
      <w:lvlJc w:val="left"/>
      <w:rPr>
        <w:rFonts w:hint="default"/>
      </w:rPr>
    </w:lvl>
    <w:lvl w:ilvl="4" w:tplc="4A4A4B32">
      <w:start w:val="1"/>
      <w:numFmt w:val="bullet"/>
      <w:lvlText w:val="•"/>
      <w:lvlJc w:val="left"/>
      <w:rPr>
        <w:rFonts w:hint="default"/>
      </w:rPr>
    </w:lvl>
    <w:lvl w:ilvl="5" w:tplc="55701648">
      <w:start w:val="1"/>
      <w:numFmt w:val="bullet"/>
      <w:lvlText w:val="•"/>
      <w:lvlJc w:val="left"/>
      <w:rPr>
        <w:rFonts w:hint="default"/>
      </w:rPr>
    </w:lvl>
    <w:lvl w:ilvl="6" w:tplc="26E8EF34">
      <w:start w:val="1"/>
      <w:numFmt w:val="bullet"/>
      <w:lvlText w:val="•"/>
      <w:lvlJc w:val="left"/>
      <w:rPr>
        <w:rFonts w:hint="default"/>
      </w:rPr>
    </w:lvl>
    <w:lvl w:ilvl="7" w:tplc="2B22182C">
      <w:start w:val="1"/>
      <w:numFmt w:val="bullet"/>
      <w:lvlText w:val="•"/>
      <w:lvlJc w:val="left"/>
      <w:rPr>
        <w:rFonts w:hint="default"/>
      </w:rPr>
    </w:lvl>
    <w:lvl w:ilvl="8" w:tplc="A4CCB6B2">
      <w:start w:val="1"/>
      <w:numFmt w:val="bullet"/>
      <w:lvlText w:val="•"/>
      <w:lvlJc w:val="left"/>
      <w:rPr>
        <w:rFonts w:hint="default"/>
      </w:rPr>
    </w:lvl>
  </w:abstractNum>
  <w:abstractNum w:abstractNumId="60" w15:restartNumberingAfterBreak="0">
    <w:nsid w:val="60FD1EA0"/>
    <w:multiLevelType w:val="hybridMultilevel"/>
    <w:tmpl w:val="3752BEA8"/>
    <w:lvl w:ilvl="0" w:tplc="4D866E52">
      <w:start w:val="1"/>
      <w:numFmt w:val="bullet"/>
      <w:lvlText w:val=""/>
      <w:lvlJc w:val="left"/>
      <w:pPr>
        <w:ind w:hanging="540"/>
      </w:pPr>
      <w:rPr>
        <w:rFonts w:ascii="Symbol" w:eastAsia="Symbol" w:hAnsi="Symbol" w:hint="default"/>
        <w:sz w:val="22"/>
        <w:szCs w:val="22"/>
      </w:rPr>
    </w:lvl>
    <w:lvl w:ilvl="1" w:tplc="B78AC624">
      <w:start w:val="1"/>
      <w:numFmt w:val="bullet"/>
      <w:lvlText w:val=""/>
      <w:lvlJc w:val="left"/>
      <w:pPr>
        <w:ind w:hanging="360"/>
      </w:pPr>
      <w:rPr>
        <w:rFonts w:ascii="Symbol" w:eastAsia="Symbol" w:hAnsi="Symbol" w:hint="default"/>
        <w:sz w:val="22"/>
        <w:szCs w:val="22"/>
      </w:rPr>
    </w:lvl>
    <w:lvl w:ilvl="2" w:tplc="068CAA50">
      <w:start w:val="1"/>
      <w:numFmt w:val="bullet"/>
      <w:lvlText w:val=""/>
      <w:lvlJc w:val="left"/>
      <w:pPr>
        <w:ind w:hanging="540"/>
      </w:pPr>
      <w:rPr>
        <w:rFonts w:ascii="Symbol" w:eastAsia="Symbol" w:hAnsi="Symbol" w:hint="default"/>
        <w:sz w:val="22"/>
        <w:szCs w:val="22"/>
      </w:rPr>
    </w:lvl>
    <w:lvl w:ilvl="3" w:tplc="67EC2986">
      <w:start w:val="1"/>
      <w:numFmt w:val="bullet"/>
      <w:lvlText w:val="•"/>
      <w:lvlJc w:val="left"/>
      <w:rPr>
        <w:rFonts w:hint="default"/>
      </w:rPr>
    </w:lvl>
    <w:lvl w:ilvl="4" w:tplc="7A5CAF3E">
      <w:start w:val="1"/>
      <w:numFmt w:val="bullet"/>
      <w:lvlText w:val="•"/>
      <w:lvlJc w:val="left"/>
      <w:rPr>
        <w:rFonts w:hint="default"/>
      </w:rPr>
    </w:lvl>
    <w:lvl w:ilvl="5" w:tplc="7F462546">
      <w:start w:val="1"/>
      <w:numFmt w:val="bullet"/>
      <w:lvlText w:val="•"/>
      <w:lvlJc w:val="left"/>
      <w:rPr>
        <w:rFonts w:hint="default"/>
      </w:rPr>
    </w:lvl>
    <w:lvl w:ilvl="6" w:tplc="3F8AE00C">
      <w:start w:val="1"/>
      <w:numFmt w:val="bullet"/>
      <w:lvlText w:val="•"/>
      <w:lvlJc w:val="left"/>
      <w:rPr>
        <w:rFonts w:hint="default"/>
      </w:rPr>
    </w:lvl>
    <w:lvl w:ilvl="7" w:tplc="B226FFEA">
      <w:start w:val="1"/>
      <w:numFmt w:val="bullet"/>
      <w:lvlText w:val="•"/>
      <w:lvlJc w:val="left"/>
      <w:rPr>
        <w:rFonts w:hint="default"/>
      </w:rPr>
    </w:lvl>
    <w:lvl w:ilvl="8" w:tplc="5C1E855A">
      <w:start w:val="1"/>
      <w:numFmt w:val="bullet"/>
      <w:lvlText w:val="•"/>
      <w:lvlJc w:val="left"/>
      <w:rPr>
        <w:rFonts w:hint="default"/>
      </w:rPr>
    </w:lvl>
  </w:abstractNum>
  <w:abstractNum w:abstractNumId="61" w15:restartNumberingAfterBreak="0">
    <w:nsid w:val="61F239C3"/>
    <w:multiLevelType w:val="hybridMultilevel"/>
    <w:tmpl w:val="5700F5CA"/>
    <w:lvl w:ilvl="0" w:tplc="CCFC75CA">
      <w:start w:val="1"/>
      <w:numFmt w:val="decimal"/>
      <w:lvlText w:val="%1."/>
      <w:lvlJc w:val="left"/>
      <w:pPr>
        <w:ind w:left="471" w:hanging="360"/>
      </w:pPr>
      <w:rPr>
        <w:rFonts w:hint="default"/>
        <w:b/>
      </w:rPr>
    </w:lvl>
    <w:lvl w:ilvl="1" w:tplc="275C6542" w:tentative="1">
      <w:start w:val="1"/>
      <w:numFmt w:val="upperLetter"/>
      <w:lvlText w:val="%2."/>
      <w:lvlJc w:val="left"/>
      <w:pPr>
        <w:ind w:left="911" w:hanging="400"/>
      </w:pPr>
    </w:lvl>
    <w:lvl w:ilvl="2" w:tplc="1CE4B27C" w:tentative="1">
      <w:start w:val="1"/>
      <w:numFmt w:val="lowerRoman"/>
      <w:lvlText w:val="%3."/>
      <w:lvlJc w:val="right"/>
      <w:pPr>
        <w:ind w:left="1311" w:hanging="400"/>
      </w:pPr>
    </w:lvl>
    <w:lvl w:ilvl="3" w:tplc="E9C01DEC" w:tentative="1">
      <w:start w:val="1"/>
      <w:numFmt w:val="decimal"/>
      <w:lvlText w:val="%4."/>
      <w:lvlJc w:val="left"/>
      <w:pPr>
        <w:ind w:left="1711" w:hanging="400"/>
      </w:pPr>
    </w:lvl>
    <w:lvl w:ilvl="4" w:tplc="3EEAFE02" w:tentative="1">
      <w:start w:val="1"/>
      <w:numFmt w:val="upperLetter"/>
      <w:lvlText w:val="%5."/>
      <w:lvlJc w:val="left"/>
      <w:pPr>
        <w:ind w:left="2111" w:hanging="400"/>
      </w:pPr>
    </w:lvl>
    <w:lvl w:ilvl="5" w:tplc="39B2B9D6" w:tentative="1">
      <w:start w:val="1"/>
      <w:numFmt w:val="lowerRoman"/>
      <w:lvlText w:val="%6."/>
      <w:lvlJc w:val="right"/>
      <w:pPr>
        <w:ind w:left="2511" w:hanging="400"/>
      </w:pPr>
    </w:lvl>
    <w:lvl w:ilvl="6" w:tplc="C14C03FE" w:tentative="1">
      <w:start w:val="1"/>
      <w:numFmt w:val="decimal"/>
      <w:lvlText w:val="%7."/>
      <w:lvlJc w:val="left"/>
      <w:pPr>
        <w:ind w:left="2911" w:hanging="400"/>
      </w:pPr>
    </w:lvl>
    <w:lvl w:ilvl="7" w:tplc="7690085A" w:tentative="1">
      <w:start w:val="1"/>
      <w:numFmt w:val="upperLetter"/>
      <w:lvlText w:val="%8."/>
      <w:lvlJc w:val="left"/>
      <w:pPr>
        <w:ind w:left="3311" w:hanging="400"/>
      </w:pPr>
    </w:lvl>
    <w:lvl w:ilvl="8" w:tplc="ABBAAF5C" w:tentative="1">
      <w:start w:val="1"/>
      <w:numFmt w:val="lowerRoman"/>
      <w:lvlText w:val="%9."/>
      <w:lvlJc w:val="right"/>
      <w:pPr>
        <w:ind w:left="3711" w:hanging="400"/>
      </w:pPr>
    </w:lvl>
  </w:abstractNum>
  <w:abstractNum w:abstractNumId="62" w15:restartNumberingAfterBreak="0">
    <w:nsid w:val="629A7429"/>
    <w:multiLevelType w:val="hybridMultilevel"/>
    <w:tmpl w:val="1CC037A0"/>
    <w:lvl w:ilvl="0" w:tplc="8960BBD6">
      <w:start w:val="1"/>
      <w:numFmt w:val="bullet"/>
      <w:lvlText w:val=""/>
      <w:lvlJc w:val="left"/>
      <w:pPr>
        <w:ind w:left="1080" w:hanging="360"/>
      </w:pPr>
      <w:rPr>
        <w:rFonts w:ascii="Symbol" w:hAnsi="Symbol" w:hint="default"/>
      </w:rPr>
    </w:lvl>
    <w:lvl w:ilvl="1" w:tplc="87704878" w:tentative="1">
      <w:start w:val="1"/>
      <w:numFmt w:val="bullet"/>
      <w:lvlText w:val="o"/>
      <w:lvlJc w:val="left"/>
      <w:pPr>
        <w:ind w:left="1800" w:hanging="360"/>
      </w:pPr>
      <w:rPr>
        <w:rFonts w:ascii="Courier New" w:hAnsi="Courier New" w:cs="Courier New" w:hint="default"/>
      </w:rPr>
    </w:lvl>
    <w:lvl w:ilvl="2" w:tplc="ACF0F288" w:tentative="1">
      <w:start w:val="1"/>
      <w:numFmt w:val="bullet"/>
      <w:lvlText w:val=""/>
      <w:lvlJc w:val="left"/>
      <w:pPr>
        <w:ind w:left="2520" w:hanging="360"/>
      </w:pPr>
      <w:rPr>
        <w:rFonts w:ascii="Wingdings" w:hAnsi="Wingdings" w:hint="default"/>
      </w:rPr>
    </w:lvl>
    <w:lvl w:ilvl="3" w:tplc="F36E69C0" w:tentative="1">
      <w:start w:val="1"/>
      <w:numFmt w:val="bullet"/>
      <w:lvlText w:val=""/>
      <w:lvlJc w:val="left"/>
      <w:pPr>
        <w:ind w:left="3240" w:hanging="360"/>
      </w:pPr>
      <w:rPr>
        <w:rFonts w:ascii="Symbol" w:hAnsi="Symbol" w:hint="default"/>
      </w:rPr>
    </w:lvl>
    <w:lvl w:ilvl="4" w:tplc="89864978" w:tentative="1">
      <w:start w:val="1"/>
      <w:numFmt w:val="bullet"/>
      <w:lvlText w:val="o"/>
      <w:lvlJc w:val="left"/>
      <w:pPr>
        <w:ind w:left="3960" w:hanging="360"/>
      </w:pPr>
      <w:rPr>
        <w:rFonts w:ascii="Courier New" w:hAnsi="Courier New" w:cs="Courier New" w:hint="default"/>
      </w:rPr>
    </w:lvl>
    <w:lvl w:ilvl="5" w:tplc="11368A3A" w:tentative="1">
      <w:start w:val="1"/>
      <w:numFmt w:val="bullet"/>
      <w:lvlText w:val=""/>
      <w:lvlJc w:val="left"/>
      <w:pPr>
        <w:ind w:left="4680" w:hanging="360"/>
      </w:pPr>
      <w:rPr>
        <w:rFonts w:ascii="Wingdings" w:hAnsi="Wingdings" w:hint="default"/>
      </w:rPr>
    </w:lvl>
    <w:lvl w:ilvl="6" w:tplc="73342808" w:tentative="1">
      <w:start w:val="1"/>
      <w:numFmt w:val="bullet"/>
      <w:lvlText w:val=""/>
      <w:lvlJc w:val="left"/>
      <w:pPr>
        <w:ind w:left="5400" w:hanging="360"/>
      </w:pPr>
      <w:rPr>
        <w:rFonts w:ascii="Symbol" w:hAnsi="Symbol" w:hint="default"/>
      </w:rPr>
    </w:lvl>
    <w:lvl w:ilvl="7" w:tplc="16E6F672" w:tentative="1">
      <w:start w:val="1"/>
      <w:numFmt w:val="bullet"/>
      <w:lvlText w:val="o"/>
      <w:lvlJc w:val="left"/>
      <w:pPr>
        <w:ind w:left="6120" w:hanging="360"/>
      </w:pPr>
      <w:rPr>
        <w:rFonts w:ascii="Courier New" w:hAnsi="Courier New" w:cs="Courier New" w:hint="default"/>
      </w:rPr>
    </w:lvl>
    <w:lvl w:ilvl="8" w:tplc="37AC4AF4" w:tentative="1">
      <w:start w:val="1"/>
      <w:numFmt w:val="bullet"/>
      <w:lvlText w:val=""/>
      <w:lvlJc w:val="left"/>
      <w:pPr>
        <w:ind w:left="6840" w:hanging="360"/>
      </w:pPr>
      <w:rPr>
        <w:rFonts w:ascii="Wingdings" w:hAnsi="Wingdings" w:hint="default"/>
      </w:rPr>
    </w:lvl>
  </w:abstractNum>
  <w:abstractNum w:abstractNumId="63" w15:restartNumberingAfterBreak="0">
    <w:nsid w:val="62D54958"/>
    <w:multiLevelType w:val="hybridMultilevel"/>
    <w:tmpl w:val="0FD4742E"/>
    <w:lvl w:ilvl="0" w:tplc="49A221C0">
      <w:start w:val="1"/>
      <w:numFmt w:val="decimal"/>
      <w:lvlText w:val="%1."/>
      <w:lvlJc w:val="left"/>
      <w:pPr>
        <w:ind w:left="471" w:hanging="360"/>
      </w:pPr>
      <w:rPr>
        <w:rFonts w:hint="default"/>
        <w:b/>
      </w:rPr>
    </w:lvl>
    <w:lvl w:ilvl="1" w:tplc="275C6542" w:tentative="1">
      <w:start w:val="1"/>
      <w:numFmt w:val="upperLetter"/>
      <w:lvlText w:val="%2."/>
      <w:lvlJc w:val="left"/>
      <w:pPr>
        <w:ind w:left="911" w:hanging="400"/>
      </w:pPr>
    </w:lvl>
    <w:lvl w:ilvl="2" w:tplc="1CE4B27C" w:tentative="1">
      <w:start w:val="1"/>
      <w:numFmt w:val="lowerRoman"/>
      <w:lvlText w:val="%3."/>
      <w:lvlJc w:val="right"/>
      <w:pPr>
        <w:ind w:left="1311" w:hanging="400"/>
      </w:pPr>
    </w:lvl>
    <w:lvl w:ilvl="3" w:tplc="E9C01DEC" w:tentative="1">
      <w:start w:val="1"/>
      <w:numFmt w:val="decimal"/>
      <w:lvlText w:val="%4."/>
      <w:lvlJc w:val="left"/>
      <w:pPr>
        <w:ind w:left="1711" w:hanging="400"/>
      </w:pPr>
    </w:lvl>
    <w:lvl w:ilvl="4" w:tplc="3EEAFE02" w:tentative="1">
      <w:start w:val="1"/>
      <w:numFmt w:val="upperLetter"/>
      <w:lvlText w:val="%5."/>
      <w:lvlJc w:val="left"/>
      <w:pPr>
        <w:ind w:left="2111" w:hanging="400"/>
      </w:pPr>
    </w:lvl>
    <w:lvl w:ilvl="5" w:tplc="39B2B9D6" w:tentative="1">
      <w:start w:val="1"/>
      <w:numFmt w:val="lowerRoman"/>
      <w:lvlText w:val="%6."/>
      <w:lvlJc w:val="right"/>
      <w:pPr>
        <w:ind w:left="2511" w:hanging="400"/>
      </w:pPr>
    </w:lvl>
    <w:lvl w:ilvl="6" w:tplc="C14C03FE" w:tentative="1">
      <w:start w:val="1"/>
      <w:numFmt w:val="decimal"/>
      <w:lvlText w:val="%7."/>
      <w:lvlJc w:val="left"/>
      <w:pPr>
        <w:ind w:left="2911" w:hanging="400"/>
      </w:pPr>
    </w:lvl>
    <w:lvl w:ilvl="7" w:tplc="7690085A" w:tentative="1">
      <w:start w:val="1"/>
      <w:numFmt w:val="upperLetter"/>
      <w:lvlText w:val="%8."/>
      <w:lvlJc w:val="left"/>
      <w:pPr>
        <w:ind w:left="3311" w:hanging="400"/>
      </w:pPr>
    </w:lvl>
    <w:lvl w:ilvl="8" w:tplc="ABBAAF5C" w:tentative="1">
      <w:start w:val="1"/>
      <w:numFmt w:val="lowerRoman"/>
      <w:lvlText w:val="%9."/>
      <w:lvlJc w:val="right"/>
      <w:pPr>
        <w:ind w:left="3711" w:hanging="400"/>
      </w:pPr>
    </w:lvl>
  </w:abstractNum>
  <w:abstractNum w:abstractNumId="64" w15:restartNumberingAfterBreak="0">
    <w:nsid w:val="66AD3B42"/>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5" w15:restartNumberingAfterBreak="0">
    <w:nsid w:val="695B13F5"/>
    <w:multiLevelType w:val="hybridMultilevel"/>
    <w:tmpl w:val="F08486F8"/>
    <w:lvl w:ilvl="0" w:tplc="30EC2388">
      <w:start w:val="1"/>
      <w:numFmt w:val="decimal"/>
      <w:lvlText w:val="%1."/>
      <w:lvlJc w:val="left"/>
      <w:pPr>
        <w:ind w:left="360" w:hanging="360"/>
      </w:pPr>
      <w:rPr>
        <w:rFonts w:ascii="Times New Roman" w:hAnsi="Times New Roman" w:cs="Times New Roman" w:hint="default"/>
        <w:b/>
      </w:rPr>
    </w:lvl>
    <w:lvl w:ilvl="1" w:tplc="8E2A7C74" w:tentative="1">
      <w:start w:val="1"/>
      <w:numFmt w:val="upperLetter"/>
      <w:lvlText w:val="%2."/>
      <w:lvlJc w:val="left"/>
      <w:pPr>
        <w:ind w:left="800" w:hanging="400"/>
      </w:pPr>
    </w:lvl>
    <w:lvl w:ilvl="2" w:tplc="F514B618" w:tentative="1">
      <w:start w:val="1"/>
      <w:numFmt w:val="lowerRoman"/>
      <w:lvlText w:val="%3."/>
      <w:lvlJc w:val="right"/>
      <w:pPr>
        <w:ind w:left="1200" w:hanging="400"/>
      </w:pPr>
    </w:lvl>
    <w:lvl w:ilvl="3" w:tplc="25AA7068" w:tentative="1">
      <w:start w:val="1"/>
      <w:numFmt w:val="decimal"/>
      <w:lvlText w:val="%4."/>
      <w:lvlJc w:val="left"/>
      <w:pPr>
        <w:ind w:left="1600" w:hanging="400"/>
      </w:pPr>
    </w:lvl>
    <w:lvl w:ilvl="4" w:tplc="C72C62B8" w:tentative="1">
      <w:start w:val="1"/>
      <w:numFmt w:val="upperLetter"/>
      <w:lvlText w:val="%5."/>
      <w:lvlJc w:val="left"/>
      <w:pPr>
        <w:ind w:left="2000" w:hanging="400"/>
      </w:pPr>
    </w:lvl>
    <w:lvl w:ilvl="5" w:tplc="9F82F090" w:tentative="1">
      <w:start w:val="1"/>
      <w:numFmt w:val="lowerRoman"/>
      <w:lvlText w:val="%6."/>
      <w:lvlJc w:val="right"/>
      <w:pPr>
        <w:ind w:left="2400" w:hanging="400"/>
      </w:pPr>
    </w:lvl>
    <w:lvl w:ilvl="6" w:tplc="8C5AE91C" w:tentative="1">
      <w:start w:val="1"/>
      <w:numFmt w:val="decimal"/>
      <w:lvlText w:val="%7."/>
      <w:lvlJc w:val="left"/>
      <w:pPr>
        <w:ind w:left="2800" w:hanging="400"/>
      </w:pPr>
    </w:lvl>
    <w:lvl w:ilvl="7" w:tplc="92AC6E9E" w:tentative="1">
      <w:start w:val="1"/>
      <w:numFmt w:val="upperLetter"/>
      <w:lvlText w:val="%8."/>
      <w:lvlJc w:val="left"/>
      <w:pPr>
        <w:ind w:left="3200" w:hanging="400"/>
      </w:pPr>
    </w:lvl>
    <w:lvl w:ilvl="8" w:tplc="1526CF46" w:tentative="1">
      <w:start w:val="1"/>
      <w:numFmt w:val="lowerRoman"/>
      <w:lvlText w:val="%9."/>
      <w:lvlJc w:val="right"/>
      <w:pPr>
        <w:ind w:left="3600" w:hanging="400"/>
      </w:pPr>
    </w:lvl>
  </w:abstractNum>
  <w:abstractNum w:abstractNumId="66" w15:restartNumberingAfterBreak="0">
    <w:nsid w:val="69FB1CDB"/>
    <w:multiLevelType w:val="hybridMultilevel"/>
    <w:tmpl w:val="46B62622"/>
    <w:lvl w:ilvl="0" w:tplc="F5D0F8B8">
      <w:start w:val="1"/>
      <w:numFmt w:val="bullet"/>
      <w:lvlText w:val=""/>
      <w:lvlJc w:val="left"/>
      <w:pPr>
        <w:ind w:left="800" w:hanging="400"/>
      </w:pPr>
      <w:rPr>
        <w:rFonts w:ascii="Symbol" w:hAnsi="Symbol" w:cs="Symbol" w:hint="default"/>
      </w:rPr>
    </w:lvl>
    <w:lvl w:ilvl="1" w:tplc="5B30D062" w:tentative="1">
      <w:start w:val="1"/>
      <w:numFmt w:val="bullet"/>
      <w:lvlText w:val=""/>
      <w:lvlJc w:val="left"/>
      <w:pPr>
        <w:ind w:left="1200" w:hanging="400"/>
      </w:pPr>
      <w:rPr>
        <w:rFonts w:ascii="Wingdings" w:hAnsi="Wingdings" w:hint="default"/>
      </w:rPr>
    </w:lvl>
    <w:lvl w:ilvl="2" w:tplc="BE1017F8">
      <w:start w:val="1"/>
      <w:numFmt w:val="bullet"/>
      <w:lvlText w:val=""/>
      <w:lvlJc w:val="left"/>
      <w:pPr>
        <w:ind w:left="1600" w:hanging="400"/>
      </w:pPr>
      <w:rPr>
        <w:rFonts w:ascii="Wingdings" w:hAnsi="Wingdings" w:hint="default"/>
      </w:rPr>
    </w:lvl>
    <w:lvl w:ilvl="3" w:tplc="01464BB0" w:tentative="1">
      <w:start w:val="1"/>
      <w:numFmt w:val="bullet"/>
      <w:lvlText w:val=""/>
      <w:lvlJc w:val="left"/>
      <w:pPr>
        <w:ind w:left="2000" w:hanging="400"/>
      </w:pPr>
      <w:rPr>
        <w:rFonts w:ascii="Wingdings" w:hAnsi="Wingdings" w:hint="default"/>
      </w:rPr>
    </w:lvl>
    <w:lvl w:ilvl="4" w:tplc="2026BC94" w:tentative="1">
      <w:start w:val="1"/>
      <w:numFmt w:val="bullet"/>
      <w:lvlText w:val=""/>
      <w:lvlJc w:val="left"/>
      <w:pPr>
        <w:ind w:left="2400" w:hanging="400"/>
      </w:pPr>
      <w:rPr>
        <w:rFonts w:ascii="Wingdings" w:hAnsi="Wingdings" w:hint="default"/>
      </w:rPr>
    </w:lvl>
    <w:lvl w:ilvl="5" w:tplc="19A65C24" w:tentative="1">
      <w:start w:val="1"/>
      <w:numFmt w:val="bullet"/>
      <w:lvlText w:val=""/>
      <w:lvlJc w:val="left"/>
      <w:pPr>
        <w:ind w:left="2800" w:hanging="400"/>
      </w:pPr>
      <w:rPr>
        <w:rFonts w:ascii="Wingdings" w:hAnsi="Wingdings" w:hint="default"/>
      </w:rPr>
    </w:lvl>
    <w:lvl w:ilvl="6" w:tplc="522601E4" w:tentative="1">
      <w:start w:val="1"/>
      <w:numFmt w:val="bullet"/>
      <w:lvlText w:val=""/>
      <w:lvlJc w:val="left"/>
      <w:pPr>
        <w:ind w:left="3200" w:hanging="400"/>
      </w:pPr>
      <w:rPr>
        <w:rFonts w:ascii="Wingdings" w:hAnsi="Wingdings" w:hint="default"/>
      </w:rPr>
    </w:lvl>
    <w:lvl w:ilvl="7" w:tplc="CA64F1D2" w:tentative="1">
      <w:start w:val="1"/>
      <w:numFmt w:val="bullet"/>
      <w:lvlText w:val=""/>
      <w:lvlJc w:val="left"/>
      <w:pPr>
        <w:ind w:left="3600" w:hanging="400"/>
      </w:pPr>
      <w:rPr>
        <w:rFonts w:ascii="Wingdings" w:hAnsi="Wingdings" w:hint="default"/>
      </w:rPr>
    </w:lvl>
    <w:lvl w:ilvl="8" w:tplc="9F120AF0" w:tentative="1">
      <w:start w:val="1"/>
      <w:numFmt w:val="bullet"/>
      <w:lvlText w:val=""/>
      <w:lvlJc w:val="left"/>
      <w:pPr>
        <w:ind w:left="4000" w:hanging="400"/>
      </w:pPr>
      <w:rPr>
        <w:rFonts w:ascii="Wingdings" w:hAnsi="Wingdings" w:hint="default"/>
      </w:rPr>
    </w:lvl>
  </w:abstractNum>
  <w:abstractNum w:abstractNumId="67" w15:restartNumberingAfterBreak="0">
    <w:nsid w:val="6BD64C2C"/>
    <w:multiLevelType w:val="hybridMultilevel"/>
    <w:tmpl w:val="CBA03BC0"/>
    <w:lvl w:ilvl="0" w:tplc="01B24362">
      <w:start w:val="1"/>
      <w:numFmt w:val="decimal"/>
      <w:lvlText w:val="%1."/>
      <w:lvlJc w:val="left"/>
      <w:pPr>
        <w:ind w:left="471" w:hanging="360"/>
      </w:pPr>
      <w:rPr>
        <w:rFonts w:hint="default"/>
        <w:b/>
      </w:rPr>
    </w:lvl>
    <w:lvl w:ilvl="1" w:tplc="9C60AE0C" w:tentative="1">
      <w:start w:val="1"/>
      <w:numFmt w:val="upperLetter"/>
      <w:lvlText w:val="%2."/>
      <w:lvlJc w:val="left"/>
      <w:pPr>
        <w:ind w:left="911" w:hanging="400"/>
      </w:pPr>
    </w:lvl>
    <w:lvl w:ilvl="2" w:tplc="AFFE3574">
      <w:start w:val="1"/>
      <w:numFmt w:val="lowerRoman"/>
      <w:lvlText w:val="%3."/>
      <w:lvlJc w:val="right"/>
      <w:pPr>
        <w:ind w:left="1311" w:hanging="400"/>
      </w:pPr>
    </w:lvl>
    <w:lvl w:ilvl="3" w:tplc="FADA0200" w:tentative="1">
      <w:start w:val="1"/>
      <w:numFmt w:val="decimal"/>
      <w:lvlText w:val="%4."/>
      <w:lvlJc w:val="left"/>
      <w:pPr>
        <w:ind w:left="1711" w:hanging="400"/>
      </w:pPr>
    </w:lvl>
    <w:lvl w:ilvl="4" w:tplc="3BB4D6EC" w:tentative="1">
      <w:start w:val="1"/>
      <w:numFmt w:val="upperLetter"/>
      <w:lvlText w:val="%5."/>
      <w:lvlJc w:val="left"/>
      <w:pPr>
        <w:ind w:left="2111" w:hanging="400"/>
      </w:pPr>
    </w:lvl>
    <w:lvl w:ilvl="5" w:tplc="95DC932C" w:tentative="1">
      <w:start w:val="1"/>
      <w:numFmt w:val="lowerRoman"/>
      <w:lvlText w:val="%6."/>
      <w:lvlJc w:val="right"/>
      <w:pPr>
        <w:ind w:left="2511" w:hanging="400"/>
      </w:pPr>
    </w:lvl>
    <w:lvl w:ilvl="6" w:tplc="7A3E1B80" w:tentative="1">
      <w:start w:val="1"/>
      <w:numFmt w:val="decimal"/>
      <w:lvlText w:val="%7."/>
      <w:lvlJc w:val="left"/>
      <w:pPr>
        <w:ind w:left="2911" w:hanging="400"/>
      </w:pPr>
    </w:lvl>
    <w:lvl w:ilvl="7" w:tplc="73E207E4" w:tentative="1">
      <w:start w:val="1"/>
      <w:numFmt w:val="upperLetter"/>
      <w:lvlText w:val="%8."/>
      <w:lvlJc w:val="left"/>
      <w:pPr>
        <w:ind w:left="3311" w:hanging="400"/>
      </w:pPr>
    </w:lvl>
    <w:lvl w:ilvl="8" w:tplc="FE92E368" w:tentative="1">
      <w:start w:val="1"/>
      <w:numFmt w:val="lowerRoman"/>
      <w:lvlText w:val="%9."/>
      <w:lvlJc w:val="right"/>
      <w:pPr>
        <w:ind w:left="3711" w:hanging="400"/>
      </w:pPr>
    </w:lvl>
  </w:abstractNum>
  <w:abstractNum w:abstractNumId="68" w15:restartNumberingAfterBreak="0">
    <w:nsid w:val="6DA40C14"/>
    <w:multiLevelType w:val="hybridMultilevel"/>
    <w:tmpl w:val="9A66BE48"/>
    <w:lvl w:ilvl="0" w:tplc="7354C184">
      <w:start w:val="1"/>
      <w:numFmt w:val="decimal"/>
      <w:lvlText w:val="%1"/>
      <w:lvlJc w:val="left"/>
      <w:pPr>
        <w:ind w:hanging="180"/>
      </w:pPr>
      <w:rPr>
        <w:rFonts w:ascii="Times New Roman" w:eastAsia="Times New Roman" w:hAnsi="Times New Roman" w:hint="default"/>
        <w:w w:val="99"/>
        <w:position w:val="8"/>
        <w:sz w:val="22"/>
        <w:szCs w:val="22"/>
        <w:vertAlign w:val="superscript"/>
      </w:rPr>
    </w:lvl>
    <w:lvl w:ilvl="1" w:tplc="5F2224CC">
      <w:start w:val="1"/>
      <w:numFmt w:val="bullet"/>
      <w:lvlText w:val="•"/>
      <w:lvlJc w:val="left"/>
      <w:rPr>
        <w:rFonts w:hint="default"/>
      </w:rPr>
    </w:lvl>
    <w:lvl w:ilvl="2" w:tplc="2FBA5DB0">
      <w:start w:val="1"/>
      <w:numFmt w:val="bullet"/>
      <w:lvlText w:val="•"/>
      <w:lvlJc w:val="left"/>
      <w:rPr>
        <w:rFonts w:hint="default"/>
      </w:rPr>
    </w:lvl>
    <w:lvl w:ilvl="3" w:tplc="87B80B10">
      <w:start w:val="1"/>
      <w:numFmt w:val="bullet"/>
      <w:lvlText w:val="•"/>
      <w:lvlJc w:val="left"/>
      <w:rPr>
        <w:rFonts w:hint="default"/>
      </w:rPr>
    </w:lvl>
    <w:lvl w:ilvl="4" w:tplc="DD4A108E">
      <w:start w:val="1"/>
      <w:numFmt w:val="bullet"/>
      <w:lvlText w:val="•"/>
      <w:lvlJc w:val="left"/>
      <w:rPr>
        <w:rFonts w:hint="default"/>
      </w:rPr>
    </w:lvl>
    <w:lvl w:ilvl="5" w:tplc="64A6BD5C">
      <w:start w:val="1"/>
      <w:numFmt w:val="bullet"/>
      <w:lvlText w:val="•"/>
      <w:lvlJc w:val="left"/>
      <w:rPr>
        <w:rFonts w:hint="default"/>
      </w:rPr>
    </w:lvl>
    <w:lvl w:ilvl="6" w:tplc="F8CC6B5A">
      <w:start w:val="1"/>
      <w:numFmt w:val="bullet"/>
      <w:lvlText w:val="•"/>
      <w:lvlJc w:val="left"/>
      <w:rPr>
        <w:rFonts w:hint="default"/>
      </w:rPr>
    </w:lvl>
    <w:lvl w:ilvl="7" w:tplc="C2327508">
      <w:start w:val="1"/>
      <w:numFmt w:val="bullet"/>
      <w:lvlText w:val="•"/>
      <w:lvlJc w:val="left"/>
      <w:rPr>
        <w:rFonts w:hint="default"/>
      </w:rPr>
    </w:lvl>
    <w:lvl w:ilvl="8" w:tplc="352EA714">
      <w:start w:val="1"/>
      <w:numFmt w:val="bullet"/>
      <w:lvlText w:val="•"/>
      <w:lvlJc w:val="left"/>
      <w:rPr>
        <w:rFonts w:hint="default"/>
      </w:rPr>
    </w:lvl>
  </w:abstractNum>
  <w:abstractNum w:abstractNumId="69" w15:restartNumberingAfterBreak="0">
    <w:nsid w:val="6F46197F"/>
    <w:multiLevelType w:val="hybridMultilevel"/>
    <w:tmpl w:val="861A31A6"/>
    <w:lvl w:ilvl="0" w:tplc="3A3ECDD4">
      <w:start w:val="1"/>
      <w:numFmt w:val="lowerLetter"/>
      <w:lvlText w:val="%1"/>
      <w:lvlJc w:val="left"/>
      <w:pPr>
        <w:ind w:hanging="360"/>
      </w:pPr>
      <w:rPr>
        <w:rFonts w:ascii="Times New Roman" w:eastAsia="Times New Roman" w:hAnsi="Times New Roman" w:hint="default"/>
        <w:position w:val="6"/>
        <w:sz w:val="10"/>
        <w:szCs w:val="10"/>
        <w:vertAlign w:val="superscript"/>
      </w:rPr>
    </w:lvl>
    <w:lvl w:ilvl="1" w:tplc="C3448A1E">
      <w:start w:val="1"/>
      <w:numFmt w:val="bullet"/>
      <w:lvlText w:val="•"/>
      <w:lvlJc w:val="left"/>
      <w:rPr>
        <w:rFonts w:hint="default"/>
      </w:rPr>
    </w:lvl>
    <w:lvl w:ilvl="2" w:tplc="43183B9A">
      <w:start w:val="1"/>
      <w:numFmt w:val="bullet"/>
      <w:lvlText w:val="•"/>
      <w:lvlJc w:val="left"/>
      <w:rPr>
        <w:rFonts w:hint="default"/>
      </w:rPr>
    </w:lvl>
    <w:lvl w:ilvl="3" w:tplc="05E44010">
      <w:start w:val="1"/>
      <w:numFmt w:val="bullet"/>
      <w:lvlText w:val="•"/>
      <w:lvlJc w:val="left"/>
      <w:rPr>
        <w:rFonts w:hint="default"/>
      </w:rPr>
    </w:lvl>
    <w:lvl w:ilvl="4" w:tplc="21565798">
      <w:start w:val="1"/>
      <w:numFmt w:val="bullet"/>
      <w:lvlText w:val="•"/>
      <w:lvlJc w:val="left"/>
      <w:rPr>
        <w:rFonts w:hint="default"/>
      </w:rPr>
    </w:lvl>
    <w:lvl w:ilvl="5" w:tplc="FB50CB7E">
      <w:start w:val="1"/>
      <w:numFmt w:val="bullet"/>
      <w:lvlText w:val="•"/>
      <w:lvlJc w:val="left"/>
      <w:rPr>
        <w:rFonts w:hint="default"/>
      </w:rPr>
    </w:lvl>
    <w:lvl w:ilvl="6" w:tplc="3934F200">
      <w:start w:val="1"/>
      <w:numFmt w:val="bullet"/>
      <w:lvlText w:val="•"/>
      <w:lvlJc w:val="left"/>
      <w:rPr>
        <w:rFonts w:hint="default"/>
      </w:rPr>
    </w:lvl>
    <w:lvl w:ilvl="7" w:tplc="9D98434A">
      <w:start w:val="1"/>
      <w:numFmt w:val="bullet"/>
      <w:lvlText w:val="•"/>
      <w:lvlJc w:val="left"/>
      <w:rPr>
        <w:rFonts w:hint="default"/>
      </w:rPr>
    </w:lvl>
    <w:lvl w:ilvl="8" w:tplc="F6BE6042">
      <w:start w:val="1"/>
      <w:numFmt w:val="bullet"/>
      <w:lvlText w:val="•"/>
      <w:lvlJc w:val="left"/>
      <w:rPr>
        <w:rFonts w:hint="default"/>
      </w:rPr>
    </w:lvl>
  </w:abstractNum>
  <w:abstractNum w:abstractNumId="70" w15:restartNumberingAfterBreak="0">
    <w:nsid w:val="753A059E"/>
    <w:multiLevelType w:val="hybridMultilevel"/>
    <w:tmpl w:val="339C2F6A"/>
    <w:lvl w:ilvl="0" w:tplc="6A62C4BC">
      <w:start w:val="1"/>
      <w:numFmt w:val="decimal"/>
      <w:lvlText w:val="%1."/>
      <w:lvlJc w:val="left"/>
      <w:pPr>
        <w:ind w:hanging="562"/>
      </w:pPr>
      <w:rPr>
        <w:rFonts w:ascii="Times New Roman" w:eastAsia="Times New Roman" w:hAnsi="Times New Roman" w:hint="default"/>
        <w:b/>
        <w:bCs/>
        <w:sz w:val="22"/>
        <w:szCs w:val="22"/>
      </w:rPr>
    </w:lvl>
    <w:lvl w:ilvl="1" w:tplc="F00ED12C">
      <w:start w:val="1"/>
      <w:numFmt w:val="bullet"/>
      <w:lvlText w:val="•"/>
      <w:lvlJc w:val="left"/>
      <w:rPr>
        <w:rFonts w:hint="default"/>
      </w:rPr>
    </w:lvl>
    <w:lvl w:ilvl="2" w:tplc="0784BCBA">
      <w:start w:val="1"/>
      <w:numFmt w:val="bullet"/>
      <w:lvlText w:val="•"/>
      <w:lvlJc w:val="left"/>
      <w:rPr>
        <w:rFonts w:hint="default"/>
      </w:rPr>
    </w:lvl>
    <w:lvl w:ilvl="3" w:tplc="D7AC7F2C">
      <w:start w:val="1"/>
      <w:numFmt w:val="bullet"/>
      <w:lvlText w:val="•"/>
      <w:lvlJc w:val="left"/>
      <w:rPr>
        <w:rFonts w:hint="default"/>
      </w:rPr>
    </w:lvl>
    <w:lvl w:ilvl="4" w:tplc="456CA5CC">
      <w:start w:val="1"/>
      <w:numFmt w:val="bullet"/>
      <w:lvlText w:val="•"/>
      <w:lvlJc w:val="left"/>
      <w:rPr>
        <w:rFonts w:hint="default"/>
      </w:rPr>
    </w:lvl>
    <w:lvl w:ilvl="5" w:tplc="269699E4">
      <w:start w:val="1"/>
      <w:numFmt w:val="bullet"/>
      <w:lvlText w:val="•"/>
      <w:lvlJc w:val="left"/>
      <w:rPr>
        <w:rFonts w:hint="default"/>
      </w:rPr>
    </w:lvl>
    <w:lvl w:ilvl="6" w:tplc="3466AC68">
      <w:start w:val="1"/>
      <w:numFmt w:val="bullet"/>
      <w:lvlText w:val="•"/>
      <w:lvlJc w:val="left"/>
      <w:rPr>
        <w:rFonts w:hint="default"/>
      </w:rPr>
    </w:lvl>
    <w:lvl w:ilvl="7" w:tplc="B3C652CC">
      <w:start w:val="1"/>
      <w:numFmt w:val="bullet"/>
      <w:lvlText w:val="•"/>
      <w:lvlJc w:val="left"/>
      <w:rPr>
        <w:rFonts w:hint="default"/>
      </w:rPr>
    </w:lvl>
    <w:lvl w:ilvl="8" w:tplc="B7AA80D4">
      <w:start w:val="1"/>
      <w:numFmt w:val="bullet"/>
      <w:lvlText w:val="•"/>
      <w:lvlJc w:val="left"/>
      <w:rPr>
        <w:rFonts w:hint="default"/>
      </w:rPr>
    </w:lvl>
  </w:abstractNum>
  <w:abstractNum w:abstractNumId="71"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2" w15:restartNumberingAfterBreak="0">
    <w:nsid w:val="770724A7"/>
    <w:multiLevelType w:val="hybridMultilevel"/>
    <w:tmpl w:val="26FAC844"/>
    <w:lvl w:ilvl="0" w:tplc="9C4801DC">
      <w:start w:val="1"/>
      <w:numFmt w:val="lowerLetter"/>
      <w:lvlText w:val="%1"/>
      <w:lvlJc w:val="left"/>
      <w:pPr>
        <w:ind w:hanging="243"/>
      </w:pPr>
      <w:rPr>
        <w:rFonts w:ascii="Times New Roman" w:eastAsia="Times New Roman" w:hAnsi="Times New Roman" w:hint="default"/>
        <w:w w:val="99"/>
        <w:position w:val="8"/>
        <w:sz w:val="14"/>
        <w:szCs w:val="14"/>
      </w:rPr>
    </w:lvl>
    <w:lvl w:ilvl="1" w:tplc="C8BEA35C">
      <w:start w:val="1"/>
      <w:numFmt w:val="bullet"/>
      <w:lvlText w:val="•"/>
      <w:lvlJc w:val="left"/>
      <w:rPr>
        <w:rFonts w:hint="default"/>
      </w:rPr>
    </w:lvl>
    <w:lvl w:ilvl="2" w:tplc="692633C2">
      <w:start w:val="1"/>
      <w:numFmt w:val="bullet"/>
      <w:lvlText w:val="•"/>
      <w:lvlJc w:val="left"/>
      <w:rPr>
        <w:rFonts w:hint="default"/>
      </w:rPr>
    </w:lvl>
    <w:lvl w:ilvl="3" w:tplc="1F4C1B9A">
      <w:start w:val="1"/>
      <w:numFmt w:val="bullet"/>
      <w:lvlText w:val="•"/>
      <w:lvlJc w:val="left"/>
      <w:rPr>
        <w:rFonts w:hint="default"/>
      </w:rPr>
    </w:lvl>
    <w:lvl w:ilvl="4" w:tplc="4A4A4B32">
      <w:start w:val="1"/>
      <w:numFmt w:val="bullet"/>
      <w:lvlText w:val="•"/>
      <w:lvlJc w:val="left"/>
      <w:rPr>
        <w:rFonts w:hint="default"/>
      </w:rPr>
    </w:lvl>
    <w:lvl w:ilvl="5" w:tplc="55701648">
      <w:start w:val="1"/>
      <w:numFmt w:val="bullet"/>
      <w:lvlText w:val="•"/>
      <w:lvlJc w:val="left"/>
      <w:rPr>
        <w:rFonts w:hint="default"/>
      </w:rPr>
    </w:lvl>
    <w:lvl w:ilvl="6" w:tplc="26E8EF34">
      <w:start w:val="1"/>
      <w:numFmt w:val="bullet"/>
      <w:lvlText w:val="•"/>
      <w:lvlJc w:val="left"/>
      <w:rPr>
        <w:rFonts w:hint="default"/>
      </w:rPr>
    </w:lvl>
    <w:lvl w:ilvl="7" w:tplc="2B22182C">
      <w:start w:val="1"/>
      <w:numFmt w:val="bullet"/>
      <w:lvlText w:val="•"/>
      <w:lvlJc w:val="left"/>
      <w:rPr>
        <w:rFonts w:hint="default"/>
      </w:rPr>
    </w:lvl>
    <w:lvl w:ilvl="8" w:tplc="A4CCB6B2">
      <w:start w:val="1"/>
      <w:numFmt w:val="bullet"/>
      <w:lvlText w:val="•"/>
      <w:lvlJc w:val="left"/>
      <w:rPr>
        <w:rFonts w:hint="default"/>
      </w:rPr>
    </w:lvl>
  </w:abstractNum>
  <w:abstractNum w:abstractNumId="73" w15:restartNumberingAfterBreak="0">
    <w:nsid w:val="774D0E51"/>
    <w:multiLevelType w:val="hybridMultilevel"/>
    <w:tmpl w:val="CBA03BC0"/>
    <w:lvl w:ilvl="0" w:tplc="01B24362">
      <w:start w:val="1"/>
      <w:numFmt w:val="decimal"/>
      <w:lvlText w:val="%1."/>
      <w:lvlJc w:val="left"/>
      <w:pPr>
        <w:ind w:left="471" w:hanging="360"/>
      </w:pPr>
      <w:rPr>
        <w:rFonts w:hint="default"/>
        <w:b/>
      </w:rPr>
    </w:lvl>
    <w:lvl w:ilvl="1" w:tplc="9C60AE0C" w:tentative="1">
      <w:start w:val="1"/>
      <w:numFmt w:val="upperLetter"/>
      <w:lvlText w:val="%2."/>
      <w:lvlJc w:val="left"/>
      <w:pPr>
        <w:ind w:left="911" w:hanging="400"/>
      </w:pPr>
    </w:lvl>
    <w:lvl w:ilvl="2" w:tplc="AFFE3574">
      <w:start w:val="1"/>
      <w:numFmt w:val="lowerRoman"/>
      <w:lvlText w:val="%3."/>
      <w:lvlJc w:val="right"/>
      <w:pPr>
        <w:ind w:left="1311" w:hanging="400"/>
      </w:pPr>
    </w:lvl>
    <w:lvl w:ilvl="3" w:tplc="FADA0200" w:tentative="1">
      <w:start w:val="1"/>
      <w:numFmt w:val="decimal"/>
      <w:lvlText w:val="%4."/>
      <w:lvlJc w:val="left"/>
      <w:pPr>
        <w:ind w:left="1711" w:hanging="400"/>
      </w:pPr>
    </w:lvl>
    <w:lvl w:ilvl="4" w:tplc="3BB4D6EC" w:tentative="1">
      <w:start w:val="1"/>
      <w:numFmt w:val="upperLetter"/>
      <w:lvlText w:val="%5."/>
      <w:lvlJc w:val="left"/>
      <w:pPr>
        <w:ind w:left="2111" w:hanging="400"/>
      </w:pPr>
    </w:lvl>
    <w:lvl w:ilvl="5" w:tplc="95DC932C" w:tentative="1">
      <w:start w:val="1"/>
      <w:numFmt w:val="lowerRoman"/>
      <w:lvlText w:val="%6."/>
      <w:lvlJc w:val="right"/>
      <w:pPr>
        <w:ind w:left="2511" w:hanging="400"/>
      </w:pPr>
    </w:lvl>
    <w:lvl w:ilvl="6" w:tplc="7A3E1B80" w:tentative="1">
      <w:start w:val="1"/>
      <w:numFmt w:val="decimal"/>
      <w:lvlText w:val="%7."/>
      <w:lvlJc w:val="left"/>
      <w:pPr>
        <w:ind w:left="2911" w:hanging="400"/>
      </w:pPr>
    </w:lvl>
    <w:lvl w:ilvl="7" w:tplc="73E207E4" w:tentative="1">
      <w:start w:val="1"/>
      <w:numFmt w:val="upperLetter"/>
      <w:lvlText w:val="%8."/>
      <w:lvlJc w:val="left"/>
      <w:pPr>
        <w:ind w:left="3311" w:hanging="400"/>
      </w:pPr>
    </w:lvl>
    <w:lvl w:ilvl="8" w:tplc="FE92E368" w:tentative="1">
      <w:start w:val="1"/>
      <w:numFmt w:val="lowerRoman"/>
      <w:lvlText w:val="%9."/>
      <w:lvlJc w:val="right"/>
      <w:pPr>
        <w:ind w:left="3711" w:hanging="400"/>
      </w:pPr>
    </w:lvl>
  </w:abstractNum>
  <w:abstractNum w:abstractNumId="74" w15:restartNumberingAfterBreak="0">
    <w:nsid w:val="782E3E2E"/>
    <w:multiLevelType w:val="hybridMultilevel"/>
    <w:tmpl w:val="DD348CDC"/>
    <w:lvl w:ilvl="0" w:tplc="5208660C">
      <w:start w:val="1"/>
      <w:numFmt w:val="upperLetter"/>
      <w:lvlText w:val="%1."/>
      <w:lvlJc w:val="left"/>
      <w:pPr>
        <w:ind w:left="760" w:hanging="360"/>
      </w:pPr>
      <w:rPr>
        <w:rFonts w:hint="default"/>
      </w:rPr>
    </w:lvl>
    <w:lvl w:ilvl="1" w:tplc="4C62C1F2" w:tentative="1">
      <w:start w:val="1"/>
      <w:numFmt w:val="upperLetter"/>
      <w:lvlText w:val="%2."/>
      <w:lvlJc w:val="left"/>
      <w:pPr>
        <w:ind w:left="1200" w:hanging="400"/>
      </w:pPr>
    </w:lvl>
    <w:lvl w:ilvl="2" w:tplc="DCB6D656" w:tentative="1">
      <w:start w:val="1"/>
      <w:numFmt w:val="lowerRoman"/>
      <w:lvlText w:val="%3."/>
      <w:lvlJc w:val="right"/>
      <w:pPr>
        <w:ind w:left="1600" w:hanging="400"/>
      </w:pPr>
    </w:lvl>
    <w:lvl w:ilvl="3" w:tplc="433EED3E" w:tentative="1">
      <w:start w:val="1"/>
      <w:numFmt w:val="decimal"/>
      <w:lvlText w:val="%4."/>
      <w:lvlJc w:val="left"/>
      <w:pPr>
        <w:ind w:left="2000" w:hanging="400"/>
      </w:pPr>
    </w:lvl>
    <w:lvl w:ilvl="4" w:tplc="2BCED9F0" w:tentative="1">
      <w:start w:val="1"/>
      <w:numFmt w:val="upperLetter"/>
      <w:lvlText w:val="%5."/>
      <w:lvlJc w:val="left"/>
      <w:pPr>
        <w:ind w:left="2400" w:hanging="400"/>
      </w:pPr>
    </w:lvl>
    <w:lvl w:ilvl="5" w:tplc="64E29A58" w:tentative="1">
      <w:start w:val="1"/>
      <w:numFmt w:val="lowerRoman"/>
      <w:lvlText w:val="%6."/>
      <w:lvlJc w:val="right"/>
      <w:pPr>
        <w:ind w:left="2800" w:hanging="400"/>
      </w:pPr>
    </w:lvl>
    <w:lvl w:ilvl="6" w:tplc="CEF0766E" w:tentative="1">
      <w:start w:val="1"/>
      <w:numFmt w:val="decimal"/>
      <w:lvlText w:val="%7."/>
      <w:lvlJc w:val="left"/>
      <w:pPr>
        <w:ind w:left="3200" w:hanging="400"/>
      </w:pPr>
    </w:lvl>
    <w:lvl w:ilvl="7" w:tplc="C04E1E02" w:tentative="1">
      <w:start w:val="1"/>
      <w:numFmt w:val="upperLetter"/>
      <w:lvlText w:val="%8."/>
      <w:lvlJc w:val="left"/>
      <w:pPr>
        <w:ind w:left="3600" w:hanging="400"/>
      </w:pPr>
    </w:lvl>
    <w:lvl w:ilvl="8" w:tplc="7E121094" w:tentative="1">
      <w:start w:val="1"/>
      <w:numFmt w:val="lowerRoman"/>
      <w:lvlText w:val="%9."/>
      <w:lvlJc w:val="right"/>
      <w:pPr>
        <w:ind w:left="4000" w:hanging="400"/>
      </w:pPr>
    </w:lvl>
  </w:abstractNum>
  <w:abstractNum w:abstractNumId="75" w15:restartNumberingAfterBreak="0">
    <w:nsid w:val="79C00A99"/>
    <w:multiLevelType w:val="hybridMultilevel"/>
    <w:tmpl w:val="883E5446"/>
    <w:lvl w:ilvl="0" w:tplc="6004CE44">
      <w:start w:val="1"/>
      <w:numFmt w:val="decimal"/>
      <w:lvlText w:val="%1."/>
      <w:lvlJc w:val="left"/>
      <w:pPr>
        <w:ind w:left="710" w:hanging="360"/>
      </w:pPr>
      <w:rPr>
        <w:rFonts w:eastAsia="Times New Roman" w:hint="default"/>
        <w:b/>
      </w:rPr>
    </w:lvl>
    <w:lvl w:ilvl="1" w:tplc="04090019" w:tentative="1">
      <w:start w:val="1"/>
      <w:numFmt w:val="upperLetter"/>
      <w:lvlText w:val="%2."/>
      <w:lvlJc w:val="left"/>
      <w:pPr>
        <w:ind w:left="1150" w:hanging="400"/>
      </w:pPr>
    </w:lvl>
    <w:lvl w:ilvl="2" w:tplc="0409001B" w:tentative="1">
      <w:start w:val="1"/>
      <w:numFmt w:val="lowerRoman"/>
      <w:lvlText w:val="%3."/>
      <w:lvlJc w:val="right"/>
      <w:pPr>
        <w:ind w:left="1550" w:hanging="400"/>
      </w:pPr>
    </w:lvl>
    <w:lvl w:ilvl="3" w:tplc="0409000F" w:tentative="1">
      <w:start w:val="1"/>
      <w:numFmt w:val="decimal"/>
      <w:lvlText w:val="%4."/>
      <w:lvlJc w:val="left"/>
      <w:pPr>
        <w:ind w:left="1950" w:hanging="400"/>
      </w:pPr>
    </w:lvl>
    <w:lvl w:ilvl="4" w:tplc="04090019" w:tentative="1">
      <w:start w:val="1"/>
      <w:numFmt w:val="upperLetter"/>
      <w:lvlText w:val="%5."/>
      <w:lvlJc w:val="left"/>
      <w:pPr>
        <w:ind w:left="2350" w:hanging="400"/>
      </w:pPr>
    </w:lvl>
    <w:lvl w:ilvl="5" w:tplc="0409001B" w:tentative="1">
      <w:start w:val="1"/>
      <w:numFmt w:val="lowerRoman"/>
      <w:lvlText w:val="%6."/>
      <w:lvlJc w:val="right"/>
      <w:pPr>
        <w:ind w:left="2750" w:hanging="400"/>
      </w:pPr>
    </w:lvl>
    <w:lvl w:ilvl="6" w:tplc="0409000F" w:tentative="1">
      <w:start w:val="1"/>
      <w:numFmt w:val="decimal"/>
      <w:lvlText w:val="%7."/>
      <w:lvlJc w:val="left"/>
      <w:pPr>
        <w:ind w:left="3150" w:hanging="400"/>
      </w:pPr>
    </w:lvl>
    <w:lvl w:ilvl="7" w:tplc="04090019" w:tentative="1">
      <w:start w:val="1"/>
      <w:numFmt w:val="upperLetter"/>
      <w:lvlText w:val="%8."/>
      <w:lvlJc w:val="left"/>
      <w:pPr>
        <w:ind w:left="3550" w:hanging="400"/>
      </w:pPr>
    </w:lvl>
    <w:lvl w:ilvl="8" w:tplc="0409001B" w:tentative="1">
      <w:start w:val="1"/>
      <w:numFmt w:val="lowerRoman"/>
      <w:lvlText w:val="%9."/>
      <w:lvlJc w:val="right"/>
      <w:pPr>
        <w:ind w:left="3950" w:hanging="400"/>
      </w:pPr>
    </w:lvl>
  </w:abstractNum>
  <w:abstractNum w:abstractNumId="76"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77" w15:restartNumberingAfterBreak="0">
    <w:nsid w:val="7AA675AE"/>
    <w:multiLevelType w:val="hybridMultilevel"/>
    <w:tmpl w:val="AA284A0C"/>
    <w:lvl w:ilvl="0" w:tplc="6ACA4E26">
      <w:start w:val="1"/>
      <w:numFmt w:val="decimal"/>
      <w:lvlText w:val="%1."/>
      <w:lvlJc w:val="left"/>
      <w:pPr>
        <w:ind w:hanging="562"/>
      </w:pPr>
      <w:rPr>
        <w:rFonts w:ascii="Times New Roman" w:eastAsia="Times New Roman" w:hAnsi="Times New Roman" w:hint="default"/>
        <w:b/>
        <w:bCs/>
        <w:sz w:val="22"/>
        <w:szCs w:val="22"/>
      </w:rPr>
    </w:lvl>
    <w:lvl w:ilvl="1" w:tplc="93EEB30A">
      <w:start w:val="1"/>
      <w:numFmt w:val="bullet"/>
      <w:lvlText w:val=""/>
      <w:lvlJc w:val="left"/>
      <w:pPr>
        <w:ind w:hanging="360"/>
      </w:pPr>
      <w:rPr>
        <w:rFonts w:ascii="Symbol" w:eastAsia="Symbol" w:hAnsi="Symbol" w:hint="default"/>
        <w:sz w:val="22"/>
        <w:szCs w:val="22"/>
      </w:rPr>
    </w:lvl>
    <w:lvl w:ilvl="2" w:tplc="0A444082">
      <w:start w:val="1"/>
      <w:numFmt w:val="bullet"/>
      <w:lvlText w:val=""/>
      <w:lvlJc w:val="left"/>
      <w:pPr>
        <w:ind w:hanging="360"/>
      </w:pPr>
      <w:rPr>
        <w:rFonts w:ascii="Symbol" w:eastAsia="Symbol" w:hAnsi="Symbol" w:hint="default"/>
        <w:sz w:val="22"/>
        <w:szCs w:val="22"/>
      </w:rPr>
    </w:lvl>
    <w:lvl w:ilvl="3" w:tplc="445A8EF6">
      <w:start w:val="1"/>
      <w:numFmt w:val="bullet"/>
      <w:lvlText w:val=""/>
      <w:lvlJc w:val="left"/>
      <w:pPr>
        <w:ind w:hanging="360"/>
      </w:pPr>
      <w:rPr>
        <w:rFonts w:ascii="Symbol" w:eastAsia="Symbol" w:hAnsi="Symbol" w:hint="default"/>
        <w:sz w:val="22"/>
        <w:szCs w:val="22"/>
      </w:rPr>
    </w:lvl>
    <w:lvl w:ilvl="4" w:tplc="E7600A7A">
      <w:start w:val="1"/>
      <w:numFmt w:val="bullet"/>
      <w:lvlText w:val=""/>
      <w:lvlJc w:val="left"/>
      <w:pPr>
        <w:ind w:hanging="360"/>
      </w:pPr>
      <w:rPr>
        <w:rFonts w:ascii="Symbol" w:eastAsia="Symbol" w:hAnsi="Symbol" w:hint="default"/>
        <w:sz w:val="22"/>
        <w:szCs w:val="22"/>
      </w:rPr>
    </w:lvl>
    <w:lvl w:ilvl="5" w:tplc="5DD080BC">
      <w:start w:val="1"/>
      <w:numFmt w:val="bullet"/>
      <w:lvlText w:val="•"/>
      <w:lvlJc w:val="left"/>
      <w:rPr>
        <w:rFonts w:hint="default"/>
      </w:rPr>
    </w:lvl>
    <w:lvl w:ilvl="6" w:tplc="468AADE2">
      <w:start w:val="1"/>
      <w:numFmt w:val="bullet"/>
      <w:lvlText w:val="•"/>
      <w:lvlJc w:val="left"/>
      <w:rPr>
        <w:rFonts w:hint="default"/>
      </w:rPr>
    </w:lvl>
    <w:lvl w:ilvl="7" w:tplc="39643D92">
      <w:start w:val="1"/>
      <w:numFmt w:val="bullet"/>
      <w:lvlText w:val="•"/>
      <w:lvlJc w:val="left"/>
      <w:rPr>
        <w:rFonts w:hint="default"/>
      </w:rPr>
    </w:lvl>
    <w:lvl w:ilvl="8" w:tplc="7B1C6AA8">
      <w:start w:val="1"/>
      <w:numFmt w:val="bullet"/>
      <w:lvlText w:val="•"/>
      <w:lvlJc w:val="left"/>
      <w:rPr>
        <w:rFonts w:hint="default"/>
      </w:rPr>
    </w:lvl>
  </w:abstractNum>
  <w:abstractNum w:abstractNumId="78" w15:restartNumberingAfterBreak="0">
    <w:nsid w:val="7F2A34EF"/>
    <w:multiLevelType w:val="hybridMultilevel"/>
    <w:tmpl w:val="339C2F6A"/>
    <w:lvl w:ilvl="0" w:tplc="30FEE69C">
      <w:start w:val="1"/>
      <w:numFmt w:val="decimal"/>
      <w:lvlText w:val="%1."/>
      <w:lvlJc w:val="left"/>
      <w:pPr>
        <w:ind w:hanging="562"/>
      </w:pPr>
      <w:rPr>
        <w:rFonts w:ascii="Times New Roman" w:eastAsia="Times New Roman" w:hAnsi="Times New Roman" w:hint="default"/>
        <w:b/>
        <w:bCs/>
        <w:sz w:val="22"/>
        <w:szCs w:val="22"/>
      </w:rPr>
    </w:lvl>
    <w:lvl w:ilvl="1" w:tplc="9AF6419E">
      <w:start w:val="1"/>
      <w:numFmt w:val="bullet"/>
      <w:lvlText w:val="•"/>
      <w:lvlJc w:val="left"/>
      <w:rPr>
        <w:rFonts w:hint="default"/>
      </w:rPr>
    </w:lvl>
    <w:lvl w:ilvl="2" w:tplc="B29697D2">
      <w:start w:val="1"/>
      <w:numFmt w:val="bullet"/>
      <w:lvlText w:val="•"/>
      <w:lvlJc w:val="left"/>
      <w:rPr>
        <w:rFonts w:hint="default"/>
      </w:rPr>
    </w:lvl>
    <w:lvl w:ilvl="3" w:tplc="E9A03AB2">
      <w:start w:val="1"/>
      <w:numFmt w:val="bullet"/>
      <w:lvlText w:val="•"/>
      <w:lvlJc w:val="left"/>
      <w:rPr>
        <w:rFonts w:hint="default"/>
      </w:rPr>
    </w:lvl>
    <w:lvl w:ilvl="4" w:tplc="263E76BE">
      <w:start w:val="1"/>
      <w:numFmt w:val="bullet"/>
      <w:lvlText w:val="•"/>
      <w:lvlJc w:val="left"/>
      <w:rPr>
        <w:rFonts w:hint="default"/>
      </w:rPr>
    </w:lvl>
    <w:lvl w:ilvl="5" w:tplc="C546C9EA">
      <w:start w:val="1"/>
      <w:numFmt w:val="bullet"/>
      <w:lvlText w:val="•"/>
      <w:lvlJc w:val="left"/>
      <w:rPr>
        <w:rFonts w:hint="default"/>
      </w:rPr>
    </w:lvl>
    <w:lvl w:ilvl="6" w:tplc="B6463F5A">
      <w:start w:val="1"/>
      <w:numFmt w:val="bullet"/>
      <w:lvlText w:val="•"/>
      <w:lvlJc w:val="left"/>
      <w:rPr>
        <w:rFonts w:hint="default"/>
      </w:rPr>
    </w:lvl>
    <w:lvl w:ilvl="7" w:tplc="D662278E">
      <w:start w:val="1"/>
      <w:numFmt w:val="bullet"/>
      <w:lvlText w:val="•"/>
      <w:lvlJc w:val="left"/>
      <w:rPr>
        <w:rFonts w:hint="default"/>
      </w:rPr>
    </w:lvl>
    <w:lvl w:ilvl="8" w:tplc="E964306A">
      <w:start w:val="1"/>
      <w:numFmt w:val="bullet"/>
      <w:lvlText w:val="•"/>
      <w:lvlJc w:val="left"/>
      <w:rPr>
        <w:rFonts w:hint="default"/>
      </w:rPr>
    </w:lvl>
  </w:abstractNum>
  <w:abstractNum w:abstractNumId="79" w15:restartNumberingAfterBreak="0">
    <w:nsid w:val="7F7D40D5"/>
    <w:multiLevelType w:val="hybridMultilevel"/>
    <w:tmpl w:val="339C2F6A"/>
    <w:lvl w:ilvl="0" w:tplc="30FEE69C">
      <w:start w:val="1"/>
      <w:numFmt w:val="decimal"/>
      <w:lvlText w:val="%1."/>
      <w:lvlJc w:val="left"/>
      <w:pPr>
        <w:ind w:hanging="562"/>
      </w:pPr>
      <w:rPr>
        <w:rFonts w:ascii="Times New Roman" w:eastAsia="Times New Roman" w:hAnsi="Times New Roman" w:hint="default"/>
        <w:b/>
        <w:bCs/>
        <w:sz w:val="22"/>
        <w:szCs w:val="22"/>
      </w:rPr>
    </w:lvl>
    <w:lvl w:ilvl="1" w:tplc="9AF6419E">
      <w:start w:val="1"/>
      <w:numFmt w:val="bullet"/>
      <w:lvlText w:val="•"/>
      <w:lvlJc w:val="left"/>
      <w:rPr>
        <w:rFonts w:hint="default"/>
      </w:rPr>
    </w:lvl>
    <w:lvl w:ilvl="2" w:tplc="B29697D2">
      <w:start w:val="1"/>
      <w:numFmt w:val="bullet"/>
      <w:lvlText w:val="•"/>
      <w:lvlJc w:val="left"/>
      <w:rPr>
        <w:rFonts w:hint="default"/>
      </w:rPr>
    </w:lvl>
    <w:lvl w:ilvl="3" w:tplc="E9A03AB2">
      <w:start w:val="1"/>
      <w:numFmt w:val="bullet"/>
      <w:lvlText w:val="•"/>
      <w:lvlJc w:val="left"/>
      <w:rPr>
        <w:rFonts w:hint="default"/>
      </w:rPr>
    </w:lvl>
    <w:lvl w:ilvl="4" w:tplc="263E76BE">
      <w:start w:val="1"/>
      <w:numFmt w:val="bullet"/>
      <w:lvlText w:val="•"/>
      <w:lvlJc w:val="left"/>
      <w:rPr>
        <w:rFonts w:hint="default"/>
      </w:rPr>
    </w:lvl>
    <w:lvl w:ilvl="5" w:tplc="C546C9EA">
      <w:start w:val="1"/>
      <w:numFmt w:val="bullet"/>
      <w:lvlText w:val="•"/>
      <w:lvlJc w:val="left"/>
      <w:rPr>
        <w:rFonts w:hint="default"/>
      </w:rPr>
    </w:lvl>
    <w:lvl w:ilvl="6" w:tplc="B6463F5A">
      <w:start w:val="1"/>
      <w:numFmt w:val="bullet"/>
      <w:lvlText w:val="•"/>
      <w:lvlJc w:val="left"/>
      <w:rPr>
        <w:rFonts w:hint="default"/>
      </w:rPr>
    </w:lvl>
    <w:lvl w:ilvl="7" w:tplc="D662278E">
      <w:start w:val="1"/>
      <w:numFmt w:val="bullet"/>
      <w:lvlText w:val="•"/>
      <w:lvlJc w:val="left"/>
      <w:rPr>
        <w:rFonts w:hint="default"/>
      </w:rPr>
    </w:lvl>
    <w:lvl w:ilvl="8" w:tplc="E964306A">
      <w:start w:val="1"/>
      <w:numFmt w:val="bullet"/>
      <w:lvlText w:val="•"/>
      <w:lvlJc w:val="left"/>
      <w:rPr>
        <w:rFonts w:hint="default"/>
      </w:rPr>
    </w:lvl>
  </w:abstractNum>
  <w:num w:numId="1" w16cid:durableId="760033407">
    <w:abstractNumId w:val="12"/>
  </w:num>
  <w:num w:numId="2" w16cid:durableId="1666325581">
    <w:abstractNumId w:val="6"/>
  </w:num>
  <w:num w:numId="3" w16cid:durableId="1516920495">
    <w:abstractNumId w:val="77"/>
  </w:num>
  <w:num w:numId="4" w16cid:durableId="1126193539">
    <w:abstractNumId w:val="44"/>
  </w:num>
  <w:num w:numId="5" w16cid:durableId="323122334">
    <w:abstractNumId w:val="51"/>
  </w:num>
  <w:num w:numId="6" w16cid:durableId="222301359">
    <w:abstractNumId w:val="47"/>
  </w:num>
  <w:num w:numId="7" w16cid:durableId="1393970503">
    <w:abstractNumId w:val="29"/>
  </w:num>
  <w:num w:numId="8" w16cid:durableId="1015688194">
    <w:abstractNumId w:val="28"/>
  </w:num>
  <w:num w:numId="9" w16cid:durableId="1490094792">
    <w:abstractNumId w:val="59"/>
  </w:num>
  <w:num w:numId="10" w16cid:durableId="1604151238">
    <w:abstractNumId w:val="69"/>
  </w:num>
  <w:num w:numId="11" w16cid:durableId="643125277">
    <w:abstractNumId w:val="22"/>
  </w:num>
  <w:num w:numId="12" w16cid:durableId="955720639">
    <w:abstractNumId w:val="35"/>
  </w:num>
  <w:num w:numId="13" w16cid:durableId="202642640">
    <w:abstractNumId w:val="71"/>
  </w:num>
  <w:num w:numId="14" w16cid:durableId="740444073">
    <w:abstractNumId w:val="40"/>
  </w:num>
  <w:num w:numId="15" w16cid:durableId="984352722">
    <w:abstractNumId w:val="60"/>
  </w:num>
  <w:num w:numId="16" w16cid:durableId="21327902">
    <w:abstractNumId w:val="9"/>
  </w:num>
  <w:num w:numId="17" w16cid:durableId="386222071">
    <w:abstractNumId w:val="36"/>
  </w:num>
  <w:num w:numId="18" w16cid:durableId="1438523099">
    <w:abstractNumId w:val="26"/>
  </w:num>
  <w:num w:numId="19" w16cid:durableId="236524600">
    <w:abstractNumId w:val="13"/>
  </w:num>
  <w:num w:numId="20" w16cid:durableId="1512790712">
    <w:abstractNumId w:val="0"/>
  </w:num>
  <w:num w:numId="21" w16cid:durableId="1353797881">
    <w:abstractNumId w:val="73"/>
  </w:num>
  <w:num w:numId="22" w16cid:durableId="319430558">
    <w:abstractNumId w:val="61"/>
  </w:num>
  <w:num w:numId="23" w16cid:durableId="1133255569">
    <w:abstractNumId w:val="43"/>
  </w:num>
  <w:num w:numId="24" w16cid:durableId="1015688675">
    <w:abstractNumId w:val="27"/>
  </w:num>
  <w:num w:numId="25" w16cid:durableId="1935354075">
    <w:abstractNumId w:val="18"/>
  </w:num>
  <w:num w:numId="26" w16cid:durableId="143090700">
    <w:abstractNumId w:val="1"/>
  </w:num>
  <w:num w:numId="27" w16cid:durableId="759840276">
    <w:abstractNumId w:val="70"/>
  </w:num>
  <w:num w:numId="28" w16cid:durableId="1702702594">
    <w:abstractNumId w:val="17"/>
  </w:num>
  <w:num w:numId="29" w16cid:durableId="286665332">
    <w:abstractNumId w:val="34"/>
  </w:num>
  <w:num w:numId="30" w16cid:durableId="454299146">
    <w:abstractNumId w:val="4"/>
  </w:num>
  <w:num w:numId="31" w16cid:durableId="14696831">
    <w:abstractNumId w:val="37"/>
  </w:num>
  <w:num w:numId="32" w16cid:durableId="1152527026">
    <w:abstractNumId w:val="11"/>
  </w:num>
  <w:num w:numId="33" w16cid:durableId="2077047939">
    <w:abstractNumId w:val="74"/>
  </w:num>
  <w:num w:numId="34" w16cid:durableId="1799956616">
    <w:abstractNumId w:val="52"/>
  </w:num>
  <w:num w:numId="35" w16cid:durableId="1478566853">
    <w:abstractNumId w:val="53"/>
  </w:num>
  <w:num w:numId="36" w16cid:durableId="789787708">
    <w:abstractNumId w:val="10"/>
  </w:num>
  <w:num w:numId="37" w16cid:durableId="247811950">
    <w:abstractNumId w:val="5"/>
  </w:num>
  <w:num w:numId="38" w16cid:durableId="401290679">
    <w:abstractNumId w:val="7"/>
  </w:num>
  <w:num w:numId="39" w16cid:durableId="924339219">
    <w:abstractNumId w:val="66"/>
  </w:num>
  <w:num w:numId="40" w16cid:durableId="1208564643">
    <w:abstractNumId w:val="15"/>
  </w:num>
  <w:num w:numId="41" w16cid:durableId="2079011812">
    <w:abstractNumId w:val="38"/>
  </w:num>
  <w:num w:numId="42" w16cid:durableId="1366517445">
    <w:abstractNumId w:val="49"/>
  </w:num>
  <w:num w:numId="43" w16cid:durableId="465397022">
    <w:abstractNumId w:val="76"/>
  </w:num>
  <w:num w:numId="44" w16cid:durableId="355035150">
    <w:abstractNumId w:val="54"/>
  </w:num>
  <w:num w:numId="45" w16cid:durableId="997540529">
    <w:abstractNumId w:val="62"/>
  </w:num>
  <w:num w:numId="46" w16cid:durableId="1279292826">
    <w:abstractNumId w:val="33"/>
  </w:num>
  <w:num w:numId="47" w16cid:durableId="174915745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468103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805259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8532437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159128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31348419">
    <w:abstractNumId w:val="45"/>
  </w:num>
  <w:num w:numId="53" w16cid:durableId="129985359">
    <w:abstractNumId w:val="19"/>
  </w:num>
  <w:num w:numId="54" w16cid:durableId="752241248">
    <w:abstractNumId w:val="64"/>
  </w:num>
  <w:num w:numId="55" w16cid:durableId="558825770">
    <w:abstractNumId w:val="20"/>
  </w:num>
  <w:num w:numId="56" w16cid:durableId="648945617">
    <w:abstractNumId w:val="68"/>
  </w:num>
  <w:num w:numId="57" w16cid:durableId="2115979909">
    <w:abstractNumId w:val="50"/>
  </w:num>
  <w:num w:numId="58" w16cid:durableId="1568414991">
    <w:abstractNumId w:val="78"/>
  </w:num>
  <w:num w:numId="59" w16cid:durableId="247005568">
    <w:abstractNumId w:val="32"/>
  </w:num>
  <w:num w:numId="60" w16cid:durableId="2007512859">
    <w:abstractNumId w:val="39"/>
  </w:num>
  <w:num w:numId="61" w16cid:durableId="297339821">
    <w:abstractNumId w:val="24"/>
  </w:num>
  <w:num w:numId="62" w16cid:durableId="1659765741">
    <w:abstractNumId w:val="31"/>
  </w:num>
  <w:num w:numId="63" w16cid:durableId="1070231601">
    <w:abstractNumId w:val="67"/>
  </w:num>
  <w:num w:numId="64" w16cid:durableId="2002808923">
    <w:abstractNumId w:val="63"/>
  </w:num>
  <w:num w:numId="65" w16cid:durableId="1523013063">
    <w:abstractNumId w:val="57"/>
  </w:num>
  <w:num w:numId="66" w16cid:durableId="1749426914">
    <w:abstractNumId w:val="65"/>
  </w:num>
  <w:num w:numId="67" w16cid:durableId="481238699">
    <w:abstractNumId w:val="16"/>
  </w:num>
  <w:num w:numId="68" w16cid:durableId="541329678">
    <w:abstractNumId w:val="8"/>
  </w:num>
  <w:num w:numId="69" w16cid:durableId="2028093039">
    <w:abstractNumId w:val="79"/>
  </w:num>
  <w:num w:numId="70" w16cid:durableId="1365015884">
    <w:abstractNumId w:val="3"/>
  </w:num>
  <w:num w:numId="71" w16cid:durableId="1864202698">
    <w:abstractNumId w:val="30"/>
  </w:num>
  <w:num w:numId="72" w16cid:durableId="1463883155">
    <w:abstractNumId w:val="21"/>
  </w:num>
  <w:num w:numId="73" w16cid:durableId="1313825641">
    <w:abstractNumId w:val="58"/>
  </w:num>
  <w:num w:numId="74" w16cid:durableId="1184630896">
    <w:abstractNumId w:val="42"/>
  </w:num>
  <w:num w:numId="75" w16cid:durableId="1921254080">
    <w:abstractNumId w:val="56"/>
  </w:num>
  <w:num w:numId="76" w16cid:durableId="930554312">
    <w:abstractNumId w:val="46"/>
  </w:num>
  <w:num w:numId="77" w16cid:durableId="1421489701">
    <w:abstractNumId w:val="2"/>
  </w:num>
  <w:num w:numId="78" w16cid:durableId="884177673">
    <w:abstractNumId w:val="48"/>
  </w:num>
  <w:num w:numId="79" w16cid:durableId="2077127721">
    <w:abstractNumId w:val="25"/>
  </w:num>
  <w:num w:numId="80" w16cid:durableId="852378743">
    <w:abstractNumId w:val="41"/>
  </w:num>
  <w:num w:numId="81" w16cid:durableId="544408953">
    <w:abstractNumId w:val="75"/>
  </w:num>
  <w:num w:numId="82" w16cid:durableId="1414739938">
    <w:abstractNumId w:val="14"/>
  </w:num>
  <w:num w:numId="83" w16cid:durableId="1388263728">
    <w:abstractNumId w:val="23"/>
  </w:num>
  <w:num w:numId="84" w16cid:durableId="803737322">
    <w:abstractNumId w:val="72"/>
  </w:num>
  <w:num w:numId="85" w16cid:durableId="721178110">
    <w:abstractNumId w:val="55"/>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3B2E"/>
    <w:rsid w:val="00006AFE"/>
    <w:rsid w:val="0000720E"/>
    <w:rsid w:val="000103A6"/>
    <w:rsid w:val="000112A9"/>
    <w:rsid w:val="00012125"/>
    <w:rsid w:val="00015007"/>
    <w:rsid w:val="00015639"/>
    <w:rsid w:val="00021206"/>
    <w:rsid w:val="0003033C"/>
    <w:rsid w:val="00032828"/>
    <w:rsid w:val="00032D70"/>
    <w:rsid w:val="0003796E"/>
    <w:rsid w:val="0004363F"/>
    <w:rsid w:val="00043CFE"/>
    <w:rsid w:val="00046746"/>
    <w:rsid w:val="00056EE2"/>
    <w:rsid w:val="00071FDC"/>
    <w:rsid w:val="0007460C"/>
    <w:rsid w:val="000775D4"/>
    <w:rsid w:val="0007795B"/>
    <w:rsid w:val="0008344D"/>
    <w:rsid w:val="00083924"/>
    <w:rsid w:val="0008503C"/>
    <w:rsid w:val="000862B8"/>
    <w:rsid w:val="000948A6"/>
    <w:rsid w:val="00095F15"/>
    <w:rsid w:val="00095F4C"/>
    <w:rsid w:val="0009792D"/>
    <w:rsid w:val="000A7699"/>
    <w:rsid w:val="000C13C0"/>
    <w:rsid w:val="000D1C50"/>
    <w:rsid w:val="000E5113"/>
    <w:rsid w:val="000E5655"/>
    <w:rsid w:val="000F0B44"/>
    <w:rsid w:val="000F35BA"/>
    <w:rsid w:val="000F6672"/>
    <w:rsid w:val="00107082"/>
    <w:rsid w:val="00112F7D"/>
    <w:rsid w:val="001163E9"/>
    <w:rsid w:val="001166DC"/>
    <w:rsid w:val="001210EE"/>
    <w:rsid w:val="001211B9"/>
    <w:rsid w:val="001249F9"/>
    <w:rsid w:val="00130A90"/>
    <w:rsid w:val="00133F69"/>
    <w:rsid w:val="001345CF"/>
    <w:rsid w:val="001362B1"/>
    <w:rsid w:val="001432C3"/>
    <w:rsid w:val="00146E60"/>
    <w:rsid w:val="00150B5C"/>
    <w:rsid w:val="00150D40"/>
    <w:rsid w:val="00150EAF"/>
    <w:rsid w:val="00155DA1"/>
    <w:rsid w:val="00161256"/>
    <w:rsid w:val="0016259F"/>
    <w:rsid w:val="001637BD"/>
    <w:rsid w:val="00165CD6"/>
    <w:rsid w:val="001715A7"/>
    <w:rsid w:val="001726DE"/>
    <w:rsid w:val="001742CB"/>
    <w:rsid w:val="00175B27"/>
    <w:rsid w:val="001778F3"/>
    <w:rsid w:val="00182ABC"/>
    <w:rsid w:val="00191EB0"/>
    <w:rsid w:val="001924DA"/>
    <w:rsid w:val="00193724"/>
    <w:rsid w:val="001A0CBC"/>
    <w:rsid w:val="001A10F9"/>
    <w:rsid w:val="001A15DB"/>
    <w:rsid w:val="001A2BD0"/>
    <w:rsid w:val="001B06C2"/>
    <w:rsid w:val="001B368E"/>
    <w:rsid w:val="001B55C6"/>
    <w:rsid w:val="001C2E77"/>
    <w:rsid w:val="001C6990"/>
    <w:rsid w:val="001D17C3"/>
    <w:rsid w:val="001D2FBB"/>
    <w:rsid w:val="001D6B41"/>
    <w:rsid w:val="001E26DC"/>
    <w:rsid w:val="001E285D"/>
    <w:rsid w:val="001E5D4B"/>
    <w:rsid w:val="001E77AC"/>
    <w:rsid w:val="001F24B7"/>
    <w:rsid w:val="001F3C14"/>
    <w:rsid w:val="001F504C"/>
    <w:rsid w:val="002022DC"/>
    <w:rsid w:val="0020484D"/>
    <w:rsid w:val="002062B2"/>
    <w:rsid w:val="00206FB7"/>
    <w:rsid w:val="0020740E"/>
    <w:rsid w:val="002077B1"/>
    <w:rsid w:val="00212ADE"/>
    <w:rsid w:val="002161A4"/>
    <w:rsid w:val="0022252E"/>
    <w:rsid w:val="00230BF9"/>
    <w:rsid w:val="00232A77"/>
    <w:rsid w:val="00235D9C"/>
    <w:rsid w:val="002452EF"/>
    <w:rsid w:val="00254743"/>
    <w:rsid w:val="002638AA"/>
    <w:rsid w:val="0026544A"/>
    <w:rsid w:val="00280E92"/>
    <w:rsid w:val="0028753A"/>
    <w:rsid w:val="00290658"/>
    <w:rsid w:val="00292859"/>
    <w:rsid w:val="002945E3"/>
    <w:rsid w:val="00295E99"/>
    <w:rsid w:val="00297060"/>
    <w:rsid w:val="00297CA7"/>
    <w:rsid w:val="002A0896"/>
    <w:rsid w:val="002A37A2"/>
    <w:rsid w:val="002A7BDE"/>
    <w:rsid w:val="002A7E72"/>
    <w:rsid w:val="002C00DA"/>
    <w:rsid w:val="002C0B1A"/>
    <w:rsid w:val="002C123E"/>
    <w:rsid w:val="002C1CC1"/>
    <w:rsid w:val="002C6021"/>
    <w:rsid w:val="002D0ED8"/>
    <w:rsid w:val="002E3B19"/>
    <w:rsid w:val="002E7FAC"/>
    <w:rsid w:val="002F0806"/>
    <w:rsid w:val="002F12BC"/>
    <w:rsid w:val="002F41A0"/>
    <w:rsid w:val="002F42D3"/>
    <w:rsid w:val="002F78F4"/>
    <w:rsid w:val="003075D7"/>
    <w:rsid w:val="0031087E"/>
    <w:rsid w:val="00315DB3"/>
    <w:rsid w:val="00316290"/>
    <w:rsid w:val="00323BF9"/>
    <w:rsid w:val="00323C66"/>
    <w:rsid w:val="0032552D"/>
    <w:rsid w:val="0032663B"/>
    <w:rsid w:val="003266CC"/>
    <w:rsid w:val="0033148D"/>
    <w:rsid w:val="00331973"/>
    <w:rsid w:val="00340954"/>
    <w:rsid w:val="00340BA6"/>
    <w:rsid w:val="003456B7"/>
    <w:rsid w:val="00347E60"/>
    <w:rsid w:val="00351CDF"/>
    <w:rsid w:val="003557F0"/>
    <w:rsid w:val="003561F0"/>
    <w:rsid w:val="003602A9"/>
    <w:rsid w:val="0036344E"/>
    <w:rsid w:val="00365A28"/>
    <w:rsid w:val="003666E3"/>
    <w:rsid w:val="00366C3E"/>
    <w:rsid w:val="00370823"/>
    <w:rsid w:val="00371396"/>
    <w:rsid w:val="00371AFC"/>
    <w:rsid w:val="00375279"/>
    <w:rsid w:val="0038364A"/>
    <w:rsid w:val="003847BF"/>
    <w:rsid w:val="0039216C"/>
    <w:rsid w:val="003A04A9"/>
    <w:rsid w:val="003A249F"/>
    <w:rsid w:val="003A3A1F"/>
    <w:rsid w:val="003A3B39"/>
    <w:rsid w:val="003A4F8F"/>
    <w:rsid w:val="003B50C6"/>
    <w:rsid w:val="003B6B97"/>
    <w:rsid w:val="003B6D41"/>
    <w:rsid w:val="003C2212"/>
    <w:rsid w:val="003C3F60"/>
    <w:rsid w:val="003D1764"/>
    <w:rsid w:val="003D2A82"/>
    <w:rsid w:val="003D4B6E"/>
    <w:rsid w:val="003D659C"/>
    <w:rsid w:val="003E58F0"/>
    <w:rsid w:val="003E6034"/>
    <w:rsid w:val="003F2845"/>
    <w:rsid w:val="003F4DF3"/>
    <w:rsid w:val="003F690B"/>
    <w:rsid w:val="003F78AB"/>
    <w:rsid w:val="0040092E"/>
    <w:rsid w:val="00402552"/>
    <w:rsid w:val="004027B4"/>
    <w:rsid w:val="00404C57"/>
    <w:rsid w:val="00412925"/>
    <w:rsid w:val="00413F67"/>
    <w:rsid w:val="00420A76"/>
    <w:rsid w:val="004224AA"/>
    <w:rsid w:val="00430564"/>
    <w:rsid w:val="0043153D"/>
    <w:rsid w:val="00432EC7"/>
    <w:rsid w:val="004337AC"/>
    <w:rsid w:val="0044642A"/>
    <w:rsid w:val="00447EBB"/>
    <w:rsid w:val="00460B0A"/>
    <w:rsid w:val="00465501"/>
    <w:rsid w:val="00467525"/>
    <w:rsid w:val="00471BD2"/>
    <w:rsid w:val="004729CE"/>
    <w:rsid w:val="0047342E"/>
    <w:rsid w:val="00475A78"/>
    <w:rsid w:val="00477B4F"/>
    <w:rsid w:val="00481635"/>
    <w:rsid w:val="004826BC"/>
    <w:rsid w:val="00491CE0"/>
    <w:rsid w:val="00494E69"/>
    <w:rsid w:val="00496A33"/>
    <w:rsid w:val="004A503B"/>
    <w:rsid w:val="004A69EB"/>
    <w:rsid w:val="004A6B44"/>
    <w:rsid w:val="004A6E13"/>
    <w:rsid w:val="004B2A74"/>
    <w:rsid w:val="004B45C9"/>
    <w:rsid w:val="004B6282"/>
    <w:rsid w:val="004B6506"/>
    <w:rsid w:val="004C045F"/>
    <w:rsid w:val="004C0867"/>
    <w:rsid w:val="004C351F"/>
    <w:rsid w:val="004C7436"/>
    <w:rsid w:val="004C7D70"/>
    <w:rsid w:val="004D357A"/>
    <w:rsid w:val="004D36FC"/>
    <w:rsid w:val="004D5AA8"/>
    <w:rsid w:val="004D6A20"/>
    <w:rsid w:val="004D7ED7"/>
    <w:rsid w:val="004E175A"/>
    <w:rsid w:val="004E474B"/>
    <w:rsid w:val="004E575C"/>
    <w:rsid w:val="004E6750"/>
    <w:rsid w:val="004F0B2E"/>
    <w:rsid w:val="004F41C7"/>
    <w:rsid w:val="004F566E"/>
    <w:rsid w:val="0050089C"/>
    <w:rsid w:val="0050099E"/>
    <w:rsid w:val="00502BED"/>
    <w:rsid w:val="00507B77"/>
    <w:rsid w:val="0051144C"/>
    <w:rsid w:val="00515324"/>
    <w:rsid w:val="00515964"/>
    <w:rsid w:val="00515981"/>
    <w:rsid w:val="00516B1A"/>
    <w:rsid w:val="005314EC"/>
    <w:rsid w:val="0053164F"/>
    <w:rsid w:val="00533B22"/>
    <w:rsid w:val="005340DB"/>
    <w:rsid w:val="0053674B"/>
    <w:rsid w:val="0053738A"/>
    <w:rsid w:val="0054018E"/>
    <w:rsid w:val="0054374A"/>
    <w:rsid w:val="005440DE"/>
    <w:rsid w:val="00544990"/>
    <w:rsid w:val="00545576"/>
    <w:rsid w:val="005458B6"/>
    <w:rsid w:val="005466D5"/>
    <w:rsid w:val="00551376"/>
    <w:rsid w:val="0055244E"/>
    <w:rsid w:val="005550B7"/>
    <w:rsid w:val="0055560E"/>
    <w:rsid w:val="00555FA5"/>
    <w:rsid w:val="00557598"/>
    <w:rsid w:val="00560F25"/>
    <w:rsid w:val="005643F9"/>
    <w:rsid w:val="005665EC"/>
    <w:rsid w:val="00566FD5"/>
    <w:rsid w:val="00570EC2"/>
    <w:rsid w:val="00576144"/>
    <w:rsid w:val="00581FAF"/>
    <w:rsid w:val="00585399"/>
    <w:rsid w:val="0059777E"/>
    <w:rsid w:val="005A5DEF"/>
    <w:rsid w:val="005A6A67"/>
    <w:rsid w:val="005B1B1B"/>
    <w:rsid w:val="005B2D45"/>
    <w:rsid w:val="005B4911"/>
    <w:rsid w:val="005B5648"/>
    <w:rsid w:val="005C2D5B"/>
    <w:rsid w:val="005D076A"/>
    <w:rsid w:val="005D2C0A"/>
    <w:rsid w:val="005D7602"/>
    <w:rsid w:val="005E6690"/>
    <w:rsid w:val="005F0C19"/>
    <w:rsid w:val="005F28B4"/>
    <w:rsid w:val="00603A86"/>
    <w:rsid w:val="00607281"/>
    <w:rsid w:val="00607949"/>
    <w:rsid w:val="00613304"/>
    <w:rsid w:val="00615F64"/>
    <w:rsid w:val="006177FD"/>
    <w:rsid w:val="00620228"/>
    <w:rsid w:val="006211EA"/>
    <w:rsid w:val="00622441"/>
    <w:rsid w:val="00622E23"/>
    <w:rsid w:val="00623335"/>
    <w:rsid w:val="006237C0"/>
    <w:rsid w:val="00626057"/>
    <w:rsid w:val="006302C2"/>
    <w:rsid w:val="0063167F"/>
    <w:rsid w:val="00633D3F"/>
    <w:rsid w:val="0063556C"/>
    <w:rsid w:val="0063588D"/>
    <w:rsid w:val="006374C0"/>
    <w:rsid w:val="006377B2"/>
    <w:rsid w:val="00642FC3"/>
    <w:rsid w:val="006436B9"/>
    <w:rsid w:val="00643F07"/>
    <w:rsid w:val="00644314"/>
    <w:rsid w:val="006501B3"/>
    <w:rsid w:val="00653A1A"/>
    <w:rsid w:val="006572BF"/>
    <w:rsid w:val="00660E7E"/>
    <w:rsid w:val="00667E0A"/>
    <w:rsid w:val="00671634"/>
    <w:rsid w:val="00672427"/>
    <w:rsid w:val="0067374F"/>
    <w:rsid w:val="0067580C"/>
    <w:rsid w:val="00675F32"/>
    <w:rsid w:val="00677D74"/>
    <w:rsid w:val="0068022B"/>
    <w:rsid w:val="006809DB"/>
    <w:rsid w:val="006813EB"/>
    <w:rsid w:val="00682A24"/>
    <w:rsid w:val="006849EE"/>
    <w:rsid w:val="00685E83"/>
    <w:rsid w:val="006950A1"/>
    <w:rsid w:val="006A15D6"/>
    <w:rsid w:val="006A5438"/>
    <w:rsid w:val="006B2715"/>
    <w:rsid w:val="006B46F3"/>
    <w:rsid w:val="006C14E6"/>
    <w:rsid w:val="006C16ED"/>
    <w:rsid w:val="006C615D"/>
    <w:rsid w:val="006C6890"/>
    <w:rsid w:val="006C75A1"/>
    <w:rsid w:val="006D5C7F"/>
    <w:rsid w:val="006F0A64"/>
    <w:rsid w:val="006F4816"/>
    <w:rsid w:val="006F57AE"/>
    <w:rsid w:val="006F7048"/>
    <w:rsid w:val="006F7D38"/>
    <w:rsid w:val="00701283"/>
    <w:rsid w:val="00704EC3"/>
    <w:rsid w:val="007071FA"/>
    <w:rsid w:val="0071062D"/>
    <w:rsid w:val="00710B9F"/>
    <w:rsid w:val="0071109F"/>
    <w:rsid w:val="00711BCD"/>
    <w:rsid w:val="00713ADC"/>
    <w:rsid w:val="0071511B"/>
    <w:rsid w:val="00716D33"/>
    <w:rsid w:val="00721704"/>
    <w:rsid w:val="007233D9"/>
    <w:rsid w:val="007233E1"/>
    <w:rsid w:val="007272F4"/>
    <w:rsid w:val="00741905"/>
    <w:rsid w:val="00745249"/>
    <w:rsid w:val="00752AA4"/>
    <w:rsid w:val="0075524C"/>
    <w:rsid w:val="00757A45"/>
    <w:rsid w:val="00757F67"/>
    <w:rsid w:val="0076212A"/>
    <w:rsid w:val="00763515"/>
    <w:rsid w:val="007635BC"/>
    <w:rsid w:val="00764403"/>
    <w:rsid w:val="0076778D"/>
    <w:rsid w:val="007750EF"/>
    <w:rsid w:val="007836F0"/>
    <w:rsid w:val="00783889"/>
    <w:rsid w:val="00784B97"/>
    <w:rsid w:val="00787805"/>
    <w:rsid w:val="00792548"/>
    <w:rsid w:val="00792789"/>
    <w:rsid w:val="00793980"/>
    <w:rsid w:val="00793CAE"/>
    <w:rsid w:val="007945E3"/>
    <w:rsid w:val="00794755"/>
    <w:rsid w:val="007A08FF"/>
    <w:rsid w:val="007A1C91"/>
    <w:rsid w:val="007A2C50"/>
    <w:rsid w:val="007A3774"/>
    <w:rsid w:val="007A5A5E"/>
    <w:rsid w:val="007A6D16"/>
    <w:rsid w:val="007A760E"/>
    <w:rsid w:val="007B05BF"/>
    <w:rsid w:val="007B1BCC"/>
    <w:rsid w:val="007B2F1E"/>
    <w:rsid w:val="007C157A"/>
    <w:rsid w:val="007C4FE1"/>
    <w:rsid w:val="007D045D"/>
    <w:rsid w:val="007D4102"/>
    <w:rsid w:val="007D706F"/>
    <w:rsid w:val="007E7C23"/>
    <w:rsid w:val="007F1E36"/>
    <w:rsid w:val="007F20E6"/>
    <w:rsid w:val="00803155"/>
    <w:rsid w:val="00803362"/>
    <w:rsid w:val="00804E1B"/>
    <w:rsid w:val="00805BD0"/>
    <w:rsid w:val="008146D6"/>
    <w:rsid w:val="00815311"/>
    <w:rsid w:val="008220D7"/>
    <w:rsid w:val="00824526"/>
    <w:rsid w:val="00824699"/>
    <w:rsid w:val="00824954"/>
    <w:rsid w:val="008372AD"/>
    <w:rsid w:val="00837F43"/>
    <w:rsid w:val="00841E18"/>
    <w:rsid w:val="00842603"/>
    <w:rsid w:val="00855C6F"/>
    <w:rsid w:val="0086108A"/>
    <w:rsid w:val="00865ACF"/>
    <w:rsid w:val="00865BDB"/>
    <w:rsid w:val="008676F0"/>
    <w:rsid w:val="00870EE8"/>
    <w:rsid w:val="00871923"/>
    <w:rsid w:val="008755ED"/>
    <w:rsid w:val="00875999"/>
    <w:rsid w:val="00880031"/>
    <w:rsid w:val="00880E93"/>
    <w:rsid w:val="0088469F"/>
    <w:rsid w:val="008922CF"/>
    <w:rsid w:val="0089270A"/>
    <w:rsid w:val="00893A16"/>
    <w:rsid w:val="008965C2"/>
    <w:rsid w:val="008975E8"/>
    <w:rsid w:val="008A3363"/>
    <w:rsid w:val="008A6AF4"/>
    <w:rsid w:val="008B1BA7"/>
    <w:rsid w:val="008B4AE7"/>
    <w:rsid w:val="008B5A7A"/>
    <w:rsid w:val="008C03E2"/>
    <w:rsid w:val="008C042A"/>
    <w:rsid w:val="008D577F"/>
    <w:rsid w:val="008D6B7A"/>
    <w:rsid w:val="008D6C99"/>
    <w:rsid w:val="008F008E"/>
    <w:rsid w:val="008F2D34"/>
    <w:rsid w:val="008F4C1A"/>
    <w:rsid w:val="008F59D9"/>
    <w:rsid w:val="008F66C6"/>
    <w:rsid w:val="008F7CC5"/>
    <w:rsid w:val="009070B8"/>
    <w:rsid w:val="009113D9"/>
    <w:rsid w:val="00912FB3"/>
    <w:rsid w:val="00913A26"/>
    <w:rsid w:val="0091500F"/>
    <w:rsid w:val="0092097A"/>
    <w:rsid w:val="00923A5E"/>
    <w:rsid w:val="00923C2C"/>
    <w:rsid w:val="00924552"/>
    <w:rsid w:val="00927211"/>
    <w:rsid w:val="00930CAF"/>
    <w:rsid w:val="00930E8B"/>
    <w:rsid w:val="00931130"/>
    <w:rsid w:val="00932020"/>
    <w:rsid w:val="00932285"/>
    <w:rsid w:val="009328A5"/>
    <w:rsid w:val="00933496"/>
    <w:rsid w:val="0093389F"/>
    <w:rsid w:val="00933A6C"/>
    <w:rsid w:val="00935701"/>
    <w:rsid w:val="00936884"/>
    <w:rsid w:val="009370D1"/>
    <w:rsid w:val="0093776C"/>
    <w:rsid w:val="009403EF"/>
    <w:rsid w:val="00943215"/>
    <w:rsid w:val="00944858"/>
    <w:rsid w:val="009459BD"/>
    <w:rsid w:val="00947378"/>
    <w:rsid w:val="00952C44"/>
    <w:rsid w:val="00953B2E"/>
    <w:rsid w:val="009557C6"/>
    <w:rsid w:val="00962B2B"/>
    <w:rsid w:val="00963203"/>
    <w:rsid w:val="00964AEE"/>
    <w:rsid w:val="00965036"/>
    <w:rsid w:val="00970422"/>
    <w:rsid w:val="009720BE"/>
    <w:rsid w:val="00972AB1"/>
    <w:rsid w:val="009739CC"/>
    <w:rsid w:val="00974170"/>
    <w:rsid w:val="009748D9"/>
    <w:rsid w:val="0097697D"/>
    <w:rsid w:val="00990435"/>
    <w:rsid w:val="009918A1"/>
    <w:rsid w:val="0099251C"/>
    <w:rsid w:val="00992D74"/>
    <w:rsid w:val="00994F16"/>
    <w:rsid w:val="00995F69"/>
    <w:rsid w:val="009971C6"/>
    <w:rsid w:val="0099795B"/>
    <w:rsid w:val="009A5AEC"/>
    <w:rsid w:val="009B005D"/>
    <w:rsid w:val="009B0E18"/>
    <w:rsid w:val="009B395A"/>
    <w:rsid w:val="009B4168"/>
    <w:rsid w:val="009B5646"/>
    <w:rsid w:val="009C00CA"/>
    <w:rsid w:val="009C0F23"/>
    <w:rsid w:val="009C3531"/>
    <w:rsid w:val="009C4C77"/>
    <w:rsid w:val="009C58F3"/>
    <w:rsid w:val="009C728E"/>
    <w:rsid w:val="009D0A47"/>
    <w:rsid w:val="009D5226"/>
    <w:rsid w:val="009D61E3"/>
    <w:rsid w:val="009E2439"/>
    <w:rsid w:val="009E2B36"/>
    <w:rsid w:val="009E3C35"/>
    <w:rsid w:val="009E4014"/>
    <w:rsid w:val="009E71A1"/>
    <w:rsid w:val="00A02C1D"/>
    <w:rsid w:val="00A0684E"/>
    <w:rsid w:val="00A073E7"/>
    <w:rsid w:val="00A11F45"/>
    <w:rsid w:val="00A12077"/>
    <w:rsid w:val="00A130F1"/>
    <w:rsid w:val="00A1430E"/>
    <w:rsid w:val="00A2214E"/>
    <w:rsid w:val="00A24854"/>
    <w:rsid w:val="00A2791E"/>
    <w:rsid w:val="00A31DCA"/>
    <w:rsid w:val="00A34731"/>
    <w:rsid w:val="00A358A8"/>
    <w:rsid w:val="00A36EBB"/>
    <w:rsid w:val="00A46D1A"/>
    <w:rsid w:val="00A473BF"/>
    <w:rsid w:val="00A51BD0"/>
    <w:rsid w:val="00A529F6"/>
    <w:rsid w:val="00A54190"/>
    <w:rsid w:val="00A54F80"/>
    <w:rsid w:val="00A55EEE"/>
    <w:rsid w:val="00A618F0"/>
    <w:rsid w:val="00A62C29"/>
    <w:rsid w:val="00A62C62"/>
    <w:rsid w:val="00A6415F"/>
    <w:rsid w:val="00A64710"/>
    <w:rsid w:val="00A67D26"/>
    <w:rsid w:val="00A710B5"/>
    <w:rsid w:val="00A7278B"/>
    <w:rsid w:val="00A768E5"/>
    <w:rsid w:val="00A827C9"/>
    <w:rsid w:val="00A842FF"/>
    <w:rsid w:val="00A871A0"/>
    <w:rsid w:val="00A90892"/>
    <w:rsid w:val="00A96424"/>
    <w:rsid w:val="00A96C58"/>
    <w:rsid w:val="00AA0084"/>
    <w:rsid w:val="00AA7BBF"/>
    <w:rsid w:val="00AB1E93"/>
    <w:rsid w:val="00AC4EB1"/>
    <w:rsid w:val="00AC614F"/>
    <w:rsid w:val="00AC6DB0"/>
    <w:rsid w:val="00AC73D8"/>
    <w:rsid w:val="00AC7639"/>
    <w:rsid w:val="00AD09F7"/>
    <w:rsid w:val="00AD1D4A"/>
    <w:rsid w:val="00AD26F3"/>
    <w:rsid w:val="00AD4FA4"/>
    <w:rsid w:val="00AF0DC3"/>
    <w:rsid w:val="00AF1CE2"/>
    <w:rsid w:val="00AF25F1"/>
    <w:rsid w:val="00AF5A99"/>
    <w:rsid w:val="00AF6161"/>
    <w:rsid w:val="00AF74BE"/>
    <w:rsid w:val="00B01321"/>
    <w:rsid w:val="00B044D4"/>
    <w:rsid w:val="00B108B7"/>
    <w:rsid w:val="00B157C8"/>
    <w:rsid w:val="00B16964"/>
    <w:rsid w:val="00B16C9B"/>
    <w:rsid w:val="00B173B3"/>
    <w:rsid w:val="00B23E53"/>
    <w:rsid w:val="00B25234"/>
    <w:rsid w:val="00B319EE"/>
    <w:rsid w:val="00B3291C"/>
    <w:rsid w:val="00B336BA"/>
    <w:rsid w:val="00B346DF"/>
    <w:rsid w:val="00B34A6F"/>
    <w:rsid w:val="00B356C0"/>
    <w:rsid w:val="00B40428"/>
    <w:rsid w:val="00B40D13"/>
    <w:rsid w:val="00B41728"/>
    <w:rsid w:val="00B445A4"/>
    <w:rsid w:val="00B45ED8"/>
    <w:rsid w:val="00B5072D"/>
    <w:rsid w:val="00B540FF"/>
    <w:rsid w:val="00B645B0"/>
    <w:rsid w:val="00B71A1B"/>
    <w:rsid w:val="00B76B77"/>
    <w:rsid w:val="00B82148"/>
    <w:rsid w:val="00B82D29"/>
    <w:rsid w:val="00B90373"/>
    <w:rsid w:val="00BA2C17"/>
    <w:rsid w:val="00BA5FEC"/>
    <w:rsid w:val="00BB1FD3"/>
    <w:rsid w:val="00BB50EF"/>
    <w:rsid w:val="00BB570C"/>
    <w:rsid w:val="00BC50D4"/>
    <w:rsid w:val="00BC5B2C"/>
    <w:rsid w:val="00BC61E7"/>
    <w:rsid w:val="00BC6B5C"/>
    <w:rsid w:val="00BC6BBC"/>
    <w:rsid w:val="00BD232C"/>
    <w:rsid w:val="00BD2AAA"/>
    <w:rsid w:val="00BE1C70"/>
    <w:rsid w:val="00BE240E"/>
    <w:rsid w:val="00BE2E4F"/>
    <w:rsid w:val="00BE674C"/>
    <w:rsid w:val="00BF0555"/>
    <w:rsid w:val="00BF572F"/>
    <w:rsid w:val="00C02647"/>
    <w:rsid w:val="00C0539A"/>
    <w:rsid w:val="00C07877"/>
    <w:rsid w:val="00C12946"/>
    <w:rsid w:val="00C129BC"/>
    <w:rsid w:val="00C21196"/>
    <w:rsid w:val="00C212A0"/>
    <w:rsid w:val="00C2234C"/>
    <w:rsid w:val="00C24817"/>
    <w:rsid w:val="00C35766"/>
    <w:rsid w:val="00C41BB7"/>
    <w:rsid w:val="00C41CCE"/>
    <w:rsid w:val="00C442CA"/>
    <w:rsid w:val="00C443AA"/>
    <w:rsid w:val="00C46467"/>
    <w:rsid w:val="00C46560"/>
    <w:rsid w:val="00C46D2D"/>
    <w:rsid w:val="00C54809"/>
    <w:rsid w:val="00C54CAA"/>
    <w:rsid w:val="00C55A85"/>
    <w:rsid w:val="00C61317"/>
    <w:rsid w:val="00C62BC0"/>
    <w:rsid w:val="00C66441"/>
    <w:rsid w:val="00C7089F"/>
    <w:rsid w:val="00C7325A"/>
    <w:rsid w:val="00C768B8"/>
    <w:rsid w:val="00C86C49"/>
    <w:rsid w:val="00C935CE"/>
    <w:rsid w:val="00C95526"/>
    <w:rsid w:val="00CA26C0"/>
    <w:rsid w:val="00CA35C0"/>
    <w:rsid w:val="00CB1414"/>
    <w:rsid w:val="00CB211B"/>
    <w:rsid w:val="00CB3E81"/>
    <w:rsid w:val="00CB576E"/>
    <w:rsid w:val="00CB6AF5"/>
    <w:rsid w:val="00CB6D79"/>
    <w:rsid w:val="00CB7B0D"/>
    <w:rsid w:val="00CB7E72"/>
    <w:rsid w:val="00CC3B59"/>
    <w:rsid w:val="00CD1189"/>
    <w:rsid w:val="00CD2A6C"/>
    <w:rsid w:val="00CD7FB2"/>
    <w:rsid w:val="00CF12C1"/>
    <w:rsid w:val="00CF6DE2"/>
    <w:rsid w:val="00D015EF"/>
    <w:rsid w:val="00D022B9"/>
    <w:rsid w:val="00D11674"/>
    <w:rsid w:val="00D13241"/>
    <w:rsid w:val="00D1517A"/>
    <w:rsid w:val="00D21855"/>
    <w:rsid w:val="00D22D52"/>
    <w:rsid w:val="00D234F3"/>
    <w:rsid w:val="00D24C04"/>
    <w:rsid w:val="00D31E95"/>
    <w:rsid w:val="00D331D8"/>
    <w:rsid w:val="00D34AD1"/>
    <w:rsid w:val="00D40321"/>
    <w:rsid w:val="00D41773"/>
    <w:rsid w:val="00D473B5"/>
    <w:rsid w:val="00D52D7E"/>
    <w:rsid w:val="00D53FB4"/>
    <w:rsid w:val="00D56D10"/>
    <w:rsid w:val="00D61BAB"/>
    <w:rsid w:val="00D63BDE"/>
    <w:rsid w:val="00D646B1"/>
    <w:rsid w:val="00D64C9B"/>
    <w:rsid w:val="00D64D13"/>
    <w:rsid w:val="00D7247D"/>
    <w:rsid w:val="00D74B3A"/>
    <w:rsid w:val="00D777F9"/>
    <w:rsid w:val="00D80EB3"/>
    <w:rsid w:val="00D8116A"/>
    <w:rsid w:val="00D8255F"/>
    <w:rsid w:val="00D83486"/>
    <w:rsid w:val="00D84998"/>
    <w:rsid w:val="00D91667"/>
    <w:rsid w:val="00D93BF0"/>
    <w:rsid w:val="00D95C47"/>
    <w:rsid w:val="00D97008"/>
    <w:rsid w:val="00D97785"/>
    <w:rsid w:val="00DA0ECF"/>
    <w:rsid w:val="00DA74AB"/>
    <w:rsid w:val="00DA79B2"/>
    <w:rsid w:val="00DB2C01"/>
    <w:rsid w:val="00DB3318"/>
    <w:rsid w:val="00DB3EAA"/>
    <w:rsid w:val="00DC38E1"/>
    <w:rsid w:val="00DC67A4"/>
    <w:rsid w:val="00DD5565"/>
    <w:rsid w:val="00DD6E3A"/>
    <w:rsid w:val="00DE2002"/>
    <w:rsid w:val="00DE2E03"/>
    <w:rsid w:val="00DF2420"/>
    <w:rsid w:val="00E038AE"/>
    <w:rsid w:val="00E108A4"/>
    <w:rsid w:val="00E12A47"/>
    <w:rsid w:val="00E16EF2"/>
    <w:rsid w:val="00E22C29"/>
    <w:rsid w:val="00E2412C"/>
    <w:rsid w:val="00E24EAA"/>
    <w:rsid w:val="00E250C0"/>
    <w:rsid w:val="00E2730F"/>
    <w:rsid w:val="00E27619"/>
    <w:rsid w:val="00E32383"/>
    <w:rsid w:val="00E3760D"/>
    <w:rsid w:val="00E415A0"/>
    <w:rsid w:val="00E44844"/>
    <w:rsid w:val="00E55B85"/>
    <w:rsid w:val="00E57AA9"/>
    <w:rsid w:val="00E66A7E"/>
    <w:rsid w:val="00E67CB3"/>
    <w:rsid w:val="00E70C4E"/>
    <w:rsid w:val="00E81705"/>
    <w:rsid w:val="00E83316"/>
    <w:rsid w:val="00E856B8"/>
    <w:rsid w:val="00EA38CA"/>
    <w:rsid w:val="00EA3C21"/>
    <w:rsid w:val="00EA6662"/>
    <w:rsid w:val="00EA6BCD"/>
    <w:rsid w:val="00EB3D47"/>
    <w:rsid w:val="00EB7F3C"/>
    <w:rsid w:val="00EC0276"/>
    <w:rsid w:val="00ED3C70"/>
    <w:rsid w:val="00EE1251"/>
    <w:rsid w:val="00EE140E"/>
    <w:rsid w:val="00EF0366"/>
    <w:rsid w:val="00EF2682"/>
    <w:rsid w:val="00EF426D"/>
    <w:rsid w:val="00EF70FD"/>
    <w:rsid w:val="00EF769A"/>
    <w:rsid w:val="00F00210"/>
    <w:rsid w:val="00F02AC8"/>
    <w:rsid w:val="00F0719E"/>
    <w:rsid w:val="00F12D78"/>
    <w:rsid w:val="00F174DA"/>
    <w:rsid w:val="00F17845"/>
    <w:rsid w:val="00F21E03"/>
    <w:rsid w:val="00F21EA0"/>
    <w:rsid w:val="00F222B8"/>
    <w:rsid w:val="00F22AAB"/>
    <w:rsid w:val="00F2395F"/>
    <w:rsid w:val="00F23969"/>
    <w:rsid w:val="00F3069E"/>
    <w:rsid w:val="00F35EB0"/>
    <w:rsid w:val="00F42533"/>
    <w:rsid w:val="00F43377"/>
    <w:rsid w:val="00F45088"/>
    <w:rsid w:val="00F470D1"/>
    <w:rsid w:val="00F479BB"/>
    <w:rsid w:val="00F5048D"/>
    <w:rsid w:val="00F514B6"/>
    <w:rsid w:val="00F51B72"/>
    <w:rsid w:val="00F575EE"/>
    <w:rsid w:val="00F62DF9"/>
    <w:rsid w:val="00F659D6"/>
    <w:rsid w:val="00F673BD"/>
    <w:rsid w:val="00F70908"/>
    <w:rsid w:val="00F725C8"/>
    <w:rsid w:val="00F729F7"/>
    <w:rsid w:val="00F72C7C"/>
    <w:rsid w:val="00F76E64"/>
    <w:rsid w:val="00F770DA"/>
    <w:rsid w:val="00F77554"/>
    <w:rsid w:val="00F816D0"/>
    <w:rsid w:val="00F81DF1"/>
    <w:rsid w:val="00F87DEF"/>
    <w:rsid w:val="00F91711"/>
    <w:rsid w:val="00F91C50"/>
    <w:rsid w:val="00FA2A6D"/>
    <w:rsid w:val="00FA32EE"/>
    <w:rsid w:val="00FA3950"/>
    <w:rsid w:val="00FB2C91"/>
    <w:rsid w:val="00FB3571"/>
    <w:rsid w:val="00FB3F40"/>
    <w:rsid w:val="00FB5293"/>
    <w:rsid w:val="00FB7F5C"/>
    <w:rsid w:val="00FD3FDA"/>
    <w:rsid w:val="00FD682D"/>
    <w:rsid w:val="00FF1D3B"/>
    <w:rsid w:val="00FF66BD"/>
    <w:rsid w:val="00FF6D51"/>
    <w:rsid w:val="00FF714E"/>
    <w:rsid w:val="00FF7A11"/>
    <w:rsid w:val="00FF7F81"/>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34A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character" w:customStyle="1" w:styleId="Collegamentoipertestuale1">
    <w:name w:val="Collegamento ipertestuale1"/>
    <w:rPr>
      <w:color w:val="0000FF"/>
      <w:u w:val="single"/>
    </w:rPr>
  </w:style>
  <w:style w:type="paragraph" w:customStyle="1" w:styleId="AAAA">
    <w:name w:val="AAAA"/>
    <w:basedOn w:val="a3"/>
    <w:uiPriority w:val="1"/>
    <w:qFormat/>
    <w:pPr>
      <w:framePr w:hSpace="142" w:wrap="around" w:vAnchor="text" w:hAnchor="margin" w:y="67"/>
      <w:ind w:left="720" w:hanging="360"/>
    </w:pPr>
    <w:rPr>
      <w:rFonts w:eastAsia="Times New Roman"/>
      <w:lang w:val="it-IT" w:eastAsia="ko-KR"/>
    </w:rPr>
  </w:style>
  <w:style w:type="paragraph" w:customStyle="1" w:styleId="bbbb">
    <w:name w:val="bbbb"/>
    <w:basedOn w:val="a"/>
    <w:uiPriority w:val="1"/>
    <w:qFormat/>
    <w:pPr>
      <w:spacing w:line="240" w:lineRule="exact"/>
      <w:jc w:val="center"/>
    </w:pPr>
    <w:rPr>
      <w:b/>
      <w:sz w:val="26"/>
    </w:rPr>
  </w:style>
  <w:style w:type="character" w:customStyle="1" w:styleId="UnresolvedMention2">
    <w:name w:val="Unresolved Mention2"/>
    <w:basedOn w:val="a0"/>
    <w:uiPriority w:val="99"/>
    <w:semiHidden/>
    <w:unhideWhenUsed/>
    <w:rsid w:val="00D84998"/>
    <w:rPr>
      <w:color w:val="605E5C"/>
      <w:shd w:val="clear" w:color="auto" w:fill="E1DFDD"/>
    </w:rPr>
  </w:style>
  <w:style w:type="character" w:customStyle="1" w:styleId="Collegamentoipertestuale2">
    <w:name w:val="Collegamento ipertestuale2"/>
    <w:rsid w:val="00C0539A"/>
    <w:rPr>
      <w:color w:val="0000FF"/>
      <w:u w:val="single"/>
    </w:rPr>
  </w:style>
  <w:style w:type="character" w:customStyle="1" w:styleId="UnresolvedMention20">
    <w:name w:val="Unresolved Mention2"/>
    <w:basedOn w:val="a0"/>
    <w:uiPriority w:val="99"/>
    <w:semiHidden/>
    <w:unhideWhenUsed/>
    <w:rsid w:val="00C0539A"/>
    <w:rPr>
      <w:color w:val="605E5C"/>
      <w:shd w:val="clear" w:color="auto" w:fill="E1DFDD"/>
    </w:rPr>
  </w:style>
  <w:style w:type="paragraph" w:customStyle="1" w:styleId="gtctablespaceafter">
    <w:name w:val="gtctablespaceafter"/>
    <w:basedOn w:val="a"/>
    <w:rsid w:val="003456B7"/>
    <w:pPr>
      <w:widowControl/>
      <w:spacing w:after="280"/>
    </w:pPr>
    <w:rPr>
      <w:rFonts w:ascii="Times New Roman" w:eastAsia="바탕" w:hAnsi="Times New Roman" w:cs="Times New Roman"/>
      <w:sz w:val="2"/>
      <w:szCs w:val="2"/>
    </w:rPr>
  </w:style>
  <w:style w:type="character" w:customStyle="1" w:styleId="normaltextrun">
    <w:name w:val="normaltextrun"/>
    <w:basedOn w:val="a0"/>
    <w:rsid w:val="003456B7"/>
  </w:style>
  <w:style w:type="paragraph" w:customStyle="1" w:styleId="gtcbodytext">
    <w:name w:val="gtcbodytext"/>
    <w:basedOn w:val="a"/>
    <w:rsid w:val="00B90373"/>
    <w:pPr>
      <w:widowControl/>
      <w:spacing w:before="240" w:after="240" w:line="300" w:lineRule="auto"/>
    </w:pPr>
    <w:rPr>
      <w:rFonts w:ascii="Times New Roman" w:eastAsia="바탕" w:hAnsi="Times New Roman" w:cs="Times New Roman"/>
      <w:sz w:val="24"/>
      <w:szCs w:val="24"/>
    </w:rPr>
  </w:style>
  <w:style w:type="paragraph" w:customStyle="1" w:styleId="paragraph">
    <w:name w:val="paragraph"/>
    <w:basedOn w:val="a"/>
    <w:rsid w:val="00B90373"/>
    <w:pPr>
      <w:widowControl/>
      <w:spacing w:before="100" w:beforeAutospacing="1" w:after="100" w:afterAutospacing="1"/>
    </w:pPr>
    <w:rPr>
      <w:rFonts w:ascii="Times New Roman" w:eastAsia="바탕" w:hAnsi="Times New Roman" w:cs="Times New Roman"/>
      <w:sz w:val="24"/>
      <w:szCs w:val="24"/>
      <w:lang w:val="it-IT"/>
    </w:rPr>
  </w:style>
  <w:style w:type="character" w:customStyle="1" w:styleId="spellingerror">
    <w:name w:val="spellingerror"/>
    <w:basedOn w:val="a0"/>
    <w:rsid w:val="00B90373"/>
  </w:style>
  <w:style w:type="character" w:customStyle="1" w:styleId="eop">
    <w:name w:val="eop"/>
    <w:basedOn w:val="a0"/>
    <w:rsid w:val="00B90373"/>
  </w:style>
  <w:style w:type="paragraph" w:styleId="af1">
    <w:name w:val="endnote text"/>
    <w:basedOn w:val="a"/>
    <w:next w:val="a"/>
    <w:link w:val="Char5"/>
    <w:semiHidden/>
    <w:rsid w:val="001F24B7"/>
    <w:pPr>
      <w:widowControl/>
      <w:tabs>
        <w:tab w:val="left" w:pos="567"/>
      </w:tabs>
    </w:pPr>
    <w:rPr>
      <w:rFonts w:ascii="Times New Roman" w:eastAsia="바탕" w:hAnsi="Times New Roman" w:cs="Times New Roman"/>
      <w:lang w:val="en-GB"/>
    </w:rPr>
  </w:style>
  <w:style w:type="character" w:customStyle="1" w:styleId="Char5">
    <w:name w:val="미주 텍스트 Char"/>
    <w:basedOn w:val="a0"/>
    <w:link w:val="af1"/>
    <w:semiHidden/>
    <w:rsid w:val="001F24B7"/>
    <w:rPr>
      <w:rFonts w:ascii="Times New Roman" w:eastAsia="바탕" w:hAnsi="Times New Roman" w:cs="Times New Roman"/>
      <w:lang w:val="en-GB"/>
    </w:rPr>
  </w:style>
  <w:style w:type="paragraph" w:customStyle="1" w:styleId="In-texttable">
    <w:name w:val="In-text table"/>
    <w:basedOn w:val="a"/>
    <w:rsid w:val="0051144C"/>
    <w:pPr>
      <w:keepNext/>
      <w:widowControl/>
      <w:overflowPunct w:val="0"/>
      <w:autoSpaceDE w:val="0"/>
      <w:autoSpaceDN w:val="0"/>
      <w:adjustRightInd w:val="0"/>
      <w:spacing w:line="288" w:lineRule="auto"/>
      <w:textAlignment w:val="baseline"/>
    </w:pPr>
    <w:rPr>
      <w:rFonts w:ascii="Arial" w:eastAsia="바탕" w:hAnsi="Arial" w:cs="Arial"/>
      <w:sz w:val="16"/>
      <w:szCs w:val="16"/>
    </w:rPr>
  </w:style>
  <w:style w:type="paragraph" w:customStyle="1" w:styleId="Style1">
    <w:name w:val="Style1"/>
    <w:basedOn w:val="a"/>
    <w:qFormat/>
    <w:rsid w:val="0088469F"/>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094778">
      <w:bodyDiv w:val="1"/>
      <w:marLeft w:val="0"/>
      <w:marRight w:val="0"/>
      <w:marTop w:val="0"/>
      <w:marBottom w:val="0"/>
      <w:divBdr>
        <w:top w:val="none" w:sz="0" w:space="0" w:color="auto"/>
        <w:left w:val="none" w:sz="0" w:space="0" w:color="auto"/>
        <w:bottom w:val="none" w:sz="0" w:space="0" w:color="auto"/>
        <w:right w:val="none" w:sz="0" w:space="0" w:color="auto"/>
      </w:divBdr>
    </w:div>
    <w:div w:id="220793047">
      <w:bodyDiv w:val="1"/>
      <w:marLeft w:val="0"/>
      <w:marRight w:val="0"/>
      <w:marTop w:val="0"/>
      <w:marBottom w:val="0"/>
      <w:divBdr>
        <w:top w:val="none" w:sz="0" w:space="0" w:color="auto"/>
        <w:left w:val="none" w:sz="0" w:space="0" w:color="auto"/>
        <w:bottom w:val="none" w:sz="0" w:space="0" w:color="auto"/>
        <w:right w:val="none" w:sz="0" w:space="0" w:color="auto"/>
      </w:divBdr>
    </w:div>
    <w:div w:id="223759300">
      <w:bodyDiv w:val="1"/>
      <w:marLeft w:val="0"/>
      <w:marRight w:val="0"/>
      <w:marTop w:val="0"/>
      <w:marBottom w:val="0"/>
      <w:divBdr>
        <w:top w:val="none" w:sz="0" w:space="0" w:color="auto"/>
        <w:left w:val="none" w:sz="0" w:space="0" w:color="auto"/>
        <w:bottom w:val="none" w:sz="0" w:space="0" w:color="auto"/>
        <w:right w:val="none" w:sz="0" w:space="0" w:color="auto"/>
      </w:divBdr>
    </w:div>
    <w:div w:id="284772212">
      <w:bodyDiv w:val="1"/>
      <w:marLeft w:val="0"/>
      <w:marRight w:val="0"/>
      <w:marTop w:val="0"/>
      <w:marBottom w:val="0"/>
      <w:divBdr>
        <w:top w:val="none" w:sz="0" w:space="0" w:color="auto"/>
        <w:left w:val="none" w:sz="0" w:space="0" w:color="auto"/>
        <w:bottom w:val="none" w:sz="0" w:space="0" w:color="auto"/>
        <w:right w:val="none" w:sz="0" w:space="0" w:color="auto"/>
      </w:divBdr>
    </w:div>
    <w:div w:id="320233571">
      <w:bodyDiv w:val="1"/>
      <w:marLeft w:val="0"/>
      <w:marRight w:val="0"/>
      <w:marTop w:val="0"/>
      <w:marBottom w:val="0"/>
      <w:divBdr>
        <w:top w:val="none" w:sz="0" w:space="0" w:color="auto"/>
        <w:left w:val="none" w:sz="0" w:space="0" w:color="auto"/>
        <w:bottom w:val="none" w:sz="0" w:space="0" w:color="auto"/>
        <w:right w:val="none" w:sz="0" w:space="0" w:color="auto"/>
      </w:divBdr>
    </w:div>
    <w:div w:id="348530480">
      <w:bodyDiv w:val="1"/>
      <w:marLeft w:val="0"/>
      <w:marRight w:val="0"/>
      <w:marTop w:val="0"/>
      <w:marBottom w:val="0"/>
      <w:divBdr>
        <w:top w:val="none" w:sz="0" w:space="0" w:color="auto"/>
        <w:left w:val="none" w:sz="0" w:space="0" w:color="auto"/>
        <w:bottom w:val="none" w:sz="0" w:space="0" w:color="auto"/>
        <w:right w:val="none" w:sz="0" w:space="0" w:color="auto"/>
      </w:divBdr>
    </w:div>
    <w:div w:id="361396714">
      <w:bodyDiv w:val="1"/>
      <w:marLeft w:val="0"/>
      <w:marRight w:val="0"/>
      <w:marTop w:val="0"/>
      <w:marBottom w:val="0"/>
      <w:divBdr>
        <w:top w:val="none" w:sz="0" w:space="0" w:color="auto"/>
        <w:left w:val="none" w:sz="0" w:space="0" w:color="auto"/>
        <w:bottom w:val="none" w:sz="0" w:space="0" w:color="auto"/>
        <w:right w:val="none" w:sz="0" w:space="0" w:color="auto"/>
      </w:divBdr>
    </w:div>
    <w:div w:id="457190754">
      <w:bodyDiv w:val="1"/>
      <w:marLeft w:val="0"/>
      <w:marRight w:val="0"/>
      <w:marTop w:val="0"/>
      <w:marBottom w:val="0"/>
      <w:divBdr>
        <w:top w:val="none" w:sz="0" w:space="0" w:color="auto"/>
        <w:left w:val="none" w:sz="0" w:space="0" w:color="auto"/>
        <w:bottom w:val="none" w:sz="0" w:space="0" w:color="auto"/>
        <w:right w:val="none" w:sz="0" w:space="0" w:color="auto"/>
      </w:divBdr>
    </w:div>
    <w:div w:id="471293281">
      <w:bodyDiv w:val="1"/>
      <w:marLeft w:val="0"/>
      <w:marRight w:val="0"/>
      <w:marTop w:val="0"/>
      <w:marBottom w:val="0"/>
      <w:divBdr>
        <w:top w:val="none" w:sz="0" w:space="0" w:color="auto"/>
        <w:left w:val="none" w:sz="0" w:space="0" w:color="auto"/>
        <w:bottom w:val="none" w:sz="0" w:space="0" w:color="auto"/>
        <w:right w:val="none" w:sz="0" w:space="0" w:color="auto"/>
      </w:divBdr>
    </w:div>
    <w:div w:id="472212110">
      <w:bodyDiv w:val="1"/>
      <w:marLeft w:val="0"/>
      <w:marRight w:val="0"/>
      <w:marTop w:val="0"/>
      <w:marBottom w:val="0"/>
      <w:divBdr>
        <w:top w:val="none" w:sz="0" w:space="0" w:color="auto"/>
        <w:left w:val="none" w:sz="0" w:space="0" w:color="auto"/>
        <w:bottom w:val="none" w:sz="0" w:space="0" w:color="auto"/>
        <w:right w:val="none" w:sz="0" w:space="0" w:color="auto"/>
      </w:divBdr>
    </w:div>
    <w:div w:id="584270239">
      <w:bodyDiv w:val="1"/>
      <w:marLeft w:val="0"/>
      <w:marRight w:val="0"/>
      <w:marTop w:val="0"/>
      <w:marBottom w:val="0"/>
      <w:divBdr>
        <w:top w:val="none" w:sz="0" w:space="0" w:color="auto"/>
        <w:left w:val="none" w:sz="0" w:space="0" w:color="auto"/>
        <w:bottom w:val="none" w:sz="0" w:space="0" w:color="auto"/>
        <w:right w:val="none" w:sz="0" w:space="0" w:color="auto"/>
      </w:divBdr>
    </w:div>
    <w:div w:id="595553399">
      <w:bodyDiv w:val="1"/>
      <w:marLeft w:val="0"/>
      <w:marRight w:val="0"/>
      <w:marTop w:val="0"/>
      <w:marBottom w:val="0"/>
      <w:divBdr>
        <w:top w:val="none" w:sz="0" w:space="0" w:color="auto"/>
        <w:left w:val="none" w:sz="0" w:space="0" w:color="auto"/>
        <w:bottom w:val="none" w:sz="0" w:space="0" w:color="auto"/>
        <w:right w:val="none" w:sz="0" w:space="0" w:color="auto"/>
      </w:divBdr>
    </w:div>
    <w:div w:id="611285236">
      <w:bodyDiv w:val="1"/>
      <w:marLeft w:val="0"/>
      <w:marRight w:val="0"/>
      <w:marTop w:val="0"/>
      <w:marBottom w:val="0"/>
      <w:divBdr>
        <w:top w:val="none" w:sz="0" w:space="0" w:color="auto"/>
        <w:left w:val="none" w:sz="0" w:space="0" w:color="auto"/>
        <w:bottom w:val="none" w:sz="0" w:space="0" w:color="auto"/>
        <w:right w:val="none" w:sz="0" w:space="0" w:color="auto"/>
      </w:divBdr>
    </w:div>
    <w:div w:id="619844833">
      <w:bodyDiv w:val="1"/>
      <w:marLeft w:val="0"/>
      <w:marRight w:val="0"/>
      <w:marTop w:val="0"/>
      <w:marBottom w:val="0"/>
      <w:divBdr>
        <w:top w:val="none" w:sz="0" w:space="0" w:color="auto"/>
        <w:left w:val="none" w:sz="0" w:space="0" w:color="auto"/>
        <w:bottom w:val="none" w:sz="0" w:space="0" w:color="auto"/>
        <w:right w:val="none" w:sz="0" w:space="0" w:color="auto"/>
      </w:divBdr>
    </w:div>
    <w:div w:id="736589773">
      <w:bodyDiv w:val="1"/>
      <w:marLeft w:val="0"/>
      <w:marRight w:val="0"/>
      <w:marTop w:val="0"/>
      <w:marBottom w:val="0"/>
      <w:divBdr>
        <w:top w:val="none" w:sz="0" w:space="0" w:color="auto"/>
        <w:left w:val="none" w:sz="0" w:space="0" w:color="auto"/>
        <w:bottom w:val="none" w:sz="0" w:space="0" w:color="auto"/>
        <w:right w:val="none" w:sz="0" w:space="0" w:color="auto"/>
      </w:divBdr>
    </w:div>
    <w:div w:id="1105998994">
      <w:bodyDiv w:val="1"/>
      <w:marLeft w:val="0"/>
      <w:marRight w:val="0"/>
      <w:marTop w:val="0"/>
      <w:marBottom w:val="0"/>
      <w:divBdr>
        <w:top w:val="none" w:sz="0" w:space="0" w:color="auto"/>
        <w:left w:val="none" w:sz="0" w:space="0" w:color="auto"/>
        <w:bottom w:val="none" w:sz="0" w:space="0" w:color="auto"/>
        <w:right w:val="none" w:sz="0" w:space="0" w:color="auto"/>
      </w:divBdr>
    </w:div>
    <w:div w:id="1194264583">
      <w:bodyDiv w:val="1"/>
      <w:marLeft w:val="0"/>
      <w:marRight w:val="0"/>
      <w:marTop w:val="0"/>
      <w:marBottom w:val="0"/>
      <w:divBdr>
        <w:top w:val="none" w:sz="0" w:space="0" w:color="auto"/>
        <w:left w:val="none" w:sz="0" w:space="0" w:color="auto"/>
        <w:bottom w:val="none" w:sz="0" w:space="0" w:color="auto"/>
        <w:right w:val="none" w:sz="0" w:space="0" w:color="auto"/>
      </w:divBdr>
    </w:div>
    <w:div w:id="1248658766">
      <w:bodyDiv w:val="1"/>
      <w:marLeft w:val="0"/>
      <w:marRight w:val="0"/>
      <w:marTop w:val="0"/>
      <w:marBottom w:val="0"/>
      <w:divBdr>
        <w:top w:val="none" w:sz="0" w:space="0" w:color="auto"/>
        <w:left w:val="none" w:sz="0" w:space="0" w:color="auto"/>
        <w:bottom w:val="none" w:sz="0" w:space="0" w:color="auto"/>
        <w:right w:val="none" w:sz="0" w:space="0" w:color="auto"/>
      </w:divBdr>
    </w:div>
    <w:div w:id="1290741375">
      <w:bodyDiv w:val="1"/>
      <w:marLeft w:val="0"/>
      <w:marRight w:val="0"/>
      <w:marTop w:val="0"/>
      <w:marBottom w:val="0"/>
      <w:divBdr>
        <w:top w:val="none" w:sz="0" w:space="0" w:color="auto"/>
        <w:left w:val="none" w:sz="0" w:space="0" w:color="auto"/>
        <w:bottom w:val="none" w:sz="0" w:space="0" w:color="auto"/>
        <w:right w:val="none" w:sz="0" w:space="0" w:color="auto"/>
      </w:divBdr>
    </w:div>
    <w:div w:id="1339192160">
      <w:bodyDiv w:val="1"/>
      <w:marLeft w:val="0"/>
      <w:marRight w:val="0"/>
      <w:marTop w:val="0"/>
      <w:marBottom w:val="0"/>
      <w:divBdr>
        <w:top w:val="none" w:sz="0" w:space="0" w:color="auto"/>
        <w:left w:val="none" w:sz="0" w:space="0" w:color="auto"/>
        <w:bottom w:val="none" w:sz="0" w:space="0" w:color="auto"/>
        <w:right w:val="none" w:sz="0" w:space="0" w:color="auto"/>
      </w:divBdr>
    </w:div>
    <w:div w:id="1469863204">
      <w:bodyDiv w:val="1"/>
      <w:marLeft w:val="0"/>
      <w:marRight w:val="0"/>
      <w:marTop w:val="0"/>
      <w:marBottom w:val="0"/>
      <w:divBdr>
        <w:top w:val="none" w:sz="0" w:space="0" w:color="auto"/>
        <w:left w:val="none" w:sz="0" w:space="0" w:color="auto"/>
        <w:bottom w:val="none" w:sz="0" w:space="0" w:color="auto"/>
        <w:right w:val="none" w:sz="0" w:space="0" w:color="auto"/>
      </w:divBdr>
    </w:div>
    <w:div w:id="1484811385">
      <w:bodyDiv w:val="1"/>
      <w:marLeft w:val="0"/>
      <w:marRight w:val="0"/>
      <w:marTop w:val="0"/>
      <w:marBottom w:val="0"/>
      <w:divBdr>
        <w:top w:val="none" w:sz="0" w:space="0" w:color="auto"/>
        <w:left w:val="none" w:sz="0" w:space="0" w:color="auto"/>
        <w:bottom w:val="none" w:sz="0" w:space="0" w:color="auto"/>
        <w:right w:val="none" w:sz="0" w:space="0" w:color="auto"/>
      </w:divBdr>
    </w:div>
    <w:div w:id="1597984101">
      <w:bodyDiv w:val="1"/>
      <w:marLeft w:val="0"/>
      <w:marRight w:val="0"/>
      <w:marTop w:val="0"/>
      <w:marBottom w:val="0"/>
      <w:divBdr>
        <w:top w:val="none" w:sz="0" w:space="0" w:color="auto"/>
        <w:left w:val="none" w:sz="0" w:space="0" w:color="auto"/>
        <w:bottom w:val="none" w:sz="0" w:space="0" w:color="auto"/>
        <w:right w:val="none" w:sz="0" w:space="0" w:color="auto"/>
      </w:divBdr>
    </w:div>
    <w:div w:id="1651786661">
      <w:bodyDiv w:val="1"/>
      <w:marLeft w:val="0"/>
      <w:marRight w:val="0"/>
      <w:marTop w:val="0"/>
      <w:marBottom w:val="0"/>
      <w:divBdr>
        <w:top w:val="none" w:sz="0" w:space="0" w:color="auto"/>
        <w:left w:val="none" w:sz="0" w:space="0" w:color="auto"/>
        <w:bottom w:val="none" w:sz="0" w:space="0" w:color="auto"/>
        <w:right w:val="none" w:sz="0" w:space="0" w:color="auto"/>
      </w:divBdr>
    </w:div>
    <w:div w:id="1835023907">
      <w:bodyDiv w:val="1"/>
      <w:marLeft w:val="0"/>
      <w:marRight w:val="0"/>
      <w:marTop w:val="0"/>
      <w:marBottom w:val="0"/>
      <w:divBdr>
        <w:top w:val="none" w:sz="0" w:space="0" w:color="auto"/>
        <w:left w:val="none" w:sz="0" w:space="0" w:color="auto"/>
        <w:bottom w:val="none" w:sz="0" w:space="0" w:color="auto"/>
        <w:right w:val="none" w:sz="0" w:space="0" w:color="auto"/>
      </w:divBdr>
    </w:div>
    <w:div w:id="1884557552">
      <w:bodyDiv w:val="1"/>
      <w:marLeft w:val="0"/>
      <w:marRight w:val="0"/>
      <w:marTop w:val="0"/>
      <w:marBottom w:val="0"/>
      <w:divBdr>
        <w:top w:val="none" w:sz="0" w:space="0" w:color="auto"/>
        <w:left w:val="none" w:sz="0" w:space="0" w:color="auto"/>
        <w:bottom w:val="none" w:sz="0" w:space="0" w:color="auto"/>
        <w:right w:val="none" w:sz="0" w:space="0" w:color="auto"/>
      </w:divBdr>
    </w:div>
    <w:div w:id="1923634512">
      <w:bodyDiv w:val="1"/>
      <w:marLeft w:val="0"/>
      <w:marRight w:val="0"/>
      <w:marTop w:val="0"/>
      <w:marBottom w:val="0"/>
      <w:divBdr>
        <w:top w:val="none" w:sz="0" w:space="0" w:color="auto"/>
        <w:left w:val="none" w:sz="0" w:space="0" w:color="auto"/>
        <w:bottom w:val="none" w:sz="0" w:space="0" w:color="auto"/>
        <w:right w:val="none" w:sz="0" w:space="0" w:color="auto"/>
      </w:divBdr>
    </w:div>
    <w:div w:id="1948538487">
      <w:bodyDiv w:val="1"/>
      <w:marLeft w:val="0"/>
      <w:marRight w:val="0"/>
      <w:marTop w:val="0"/>
      <w:marBottom w:val="0"/>
      <w:divBdr>
        <w:top w:val="none" w:sz="0" w:space="0" w:color="auto"/>
        <w:left w:val="none" w:sz="0" w:space="0" w:color="auto"/>
        <w:bottom w:val="none" w:sz="0" w:space="0" w:color="auto"/>
        <w:right w:val="none" w:sz="0" w:space="0" w:color="auto"/>
      </w:divBdr>
    </w:div>
    <w:div w:id="1970160868">
      <w:bodyDiv w:val="1"/>
      <w:marLeft w:val="0"/>
      <w:marRight w:val="0"/>
      <w:marTop w:val="0"/>
      <w:marBottom w:val="0"/>
      <w:divBdr>
        <w:top w:val="none" w:sz="0" w:space="0" w:color="auto"/>
        <w:left w:val="none" w:sz="0" w:space="0" w:color="auto"/>
        <w:bottom w:val="none" w:sz="0" w:space="0" w:color="auto"/>
        <w:right w:val="none" w:sz="0" w:space="0" w:color="auto"/>
      </w:divBdr>
    </w:div>
    <w:div w:id="20270956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18.emf"/><Relationship Id="rId63" Type="http://schemas.openxmlformats.org/officeDocument/2006/relationships/image" Target="media/image39.emf"/><Relationship Id="rId84" Type="http://schemas.openxmlformats.org/officeDocument/2006/relationships/image" Target="media/image56.emf"/><Relationship Id="rId138" Type="http://schemas.openxmlformats.org/officeDocument/2006/relationships/image" Target="media/image103.png"/><Relationship Id="rId159" Type="http://schemas.openxmlformats.org/officeDocument/2006/relationships/hyperlink" Target="http://www.ema.europa.eu" TargetMode="External"/><Relationship Id="rId170" Type="http://schemas.openxmlformats.org/officeDocument/2006/relationships/image" Target="media/image132.png"/><Relationship Id="rId107" Type="http://schemas.openxmlformats.org/officeDocument/2006/relationships/image" Target="media/image76.png"/><Relationship Id="rId11" Type="http://schemas.openxmlformats.org/officeDocument/2006/relationships/image" Target="media/image1.png"/><Relationship Id="rId32" Type="http://schemas.openxmlformats.org/officeDocument/2006/relationships/hyperlink" Target="http://en.wikipedia.org/wiki/Inframammary_fold" TargetMode="External"/><Relationship Id="rId53" Type="http://schemas.openxmlformats.org/officeDocument/2006/relationships/image" Target="media/image29.emf"/><Relationship Id="rId74" Type="http://schemas.openxmlformats.org/officeDocument/2006/relationships/image" Target="media/image50.emf"/><Relationship Id="rId128" Type="http://schemas.openxmlformats.org/officeDocument/2006/relationships/image" Target="media/image97.png"/><Relationship Id="rId149" Type="http://schemas.openxmlformats.org/officeDocument/2006/relationships/image" Target="media/image114.png"/><Relationship Id="rId5" Type="http://schemas.openxmlformats.org/officeDocument/2006/relationships/numbering" Target="numbering.xml"/><Relationship Id="rId95" Type="http://schemas.openxmlformats.org/officeDocument/2006/relationships/image" Target="media/image67.emf"/><Relationship Id="rId160" Type="http://schemas.openxmlformats.org/officeDocument/2006/relationships/image" Target="media/image122.png"/><Relationship Id="rId22" Type="http://schemas.openxmlformats.org/officeDocument/2006/relationships/hyperlink" Target="http://www.ema.europa.eu/" TargetMode="External"/><Relationship Id="rId43" Type="http://schemas.openxmlformats.org/officeDocument/2006/relationships/image" Target="media/image19.emf"/><Relationship Id="rId64" Type="http://schemas.openxmlformats.org/officeDocument/2006/relationships/image" Target="media/image40.emf"/><Relationship Id="rId118" Type="http://schemas.openxmlformats.org/officeDocument/2006/relationships/image" Target="media/image87.png"/><Relationship Id="rId139" Type="http://schemas.openxmlformats.org/officeDocument/2006/relationships/image" Target="media/image104.png"/><Relationship Id="rId85" Type="http://schemas.openxmlformats.org/officeDocument/2006/relationships/image" Target="media/image57.emf"/><Relationship Id="rId150" Type="http://schemas.openxmlformats.org/officeDocument/2006/relationships/image" Target="media/image115.png"/><Relationship Id="rId171" Type="http://schemas.openxmlformats.org/officeDocument/2006/relationships/image" Target="media/image133.png"/><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hyperlink" Target="http://www.ema.europa.eu/docs/en_GB/document_library/Template_or_form/2013/03/WC500139752.doc" TargetMode="External"/><Relationship Id="rId108" Type="http://schemas.openxmlformats.org/officeDocument/2006/relationships/image" Target="media/image77.png"/><Relationship Id="rId129" Type="http://schemas.openxmlformats.org/officeDocument/2006/relationships/image" Target="media/image98.png"/><Relationship Id="rId54" Type="http://schemas.openxmlformats.org/officeDocument/2006/relationships/image" Target="media/image30.emf"/><Relationship Id="rId75" Type="http://schemas.openxmlformats.org/officeDocument/2006/relationships/image" Target="media/image51.emf"/><Relationship Id="rId96" Type="http://schemas.openxmlformats.org/officeDocument/2006/relationships/image" Target="media/image68.emf"/><Relationship Id="rId140" Type="http://schemas.openxmlformats.org/officeDocument/2006/relationships/image" Target="media/image105.png"/><Relationship Id="rId161" Type="http://schemas.openxmlformats.org/officeDocument/2006/relationships/image" Target="media/image123.png"/><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hyperlink" Target="http://www.ema.europa.eu/docs/en_GB/document_library/Template_or_form/2013/03/WC500139752.doc" TargetMode="External"/><Relationship Id="rId49" Type="http://schemas.openxmlformats.org/officeDocument/2006/relationships/image" Target="media/image25.emf"/><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0.emf"/><Relationship Id="rId60" Type="http://schemas.openxmlformats.org/officeDocument/2006/relationships/image" Target="media/image36.emf"/><Relationship Id="rId65" Type="http://schemas.openxmlformats.org/officeDocument/2006/relationships/image" Target="media/image41.emf"/><Relationship Id="rId81" Type="http://schemas.openxmlformats.org/officeDocument/2006/relationships/image" Target="media/image53.emf"/><Relationship Id="rId86" Type="http://schemas.openxmlformats.org/officeDocument/2006/relationships/image" Target="media/image58.emf"/><Relationship Id="rId130" Type="http://schemas.openxmlformats.org/officeDocument/2006/relationships/image" Target="media/image99.png"/><Relationship Id="rId135" Type="http://schemas.openxmlformats.org/officeDocument/2006/relationships/hyperlink" Target="mailto:infoDE@celltrionhc.com" TargetMode="External"/><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footer" Target="footer2.xml"/><Relationship Id="rId172" Type="http://schemas.openxmlformats.org/officeDocument/2006/relationships/image" Target="media/image134.png"/><Relationship Id="rId13" Type="http://schemas.openxmlformats.org/officeDocument/2006/relationships/hyperlink" Target="http://www.ema.europa.eu" TargetMode="External"/><Relationship Id="rId18" Type="http://schemas.openxmlformats.org/officeDocument/2006/relationships/image" Target="media/image6.png"/><Relationship Id="rId39" Type="http://schemas.openxmlformats.org/officeDocument/2006/relationships/image" Target="media/image15.emf"/><Relationship Id="rId109" Type="http://schemas.openxmlformats.org/officeDocument/2006/relationships/image" Target="media/image78.png"/><Relationship Id="rId34" Type="http://schemas.openxmlformats.org/officeDocument/2006/relationships/hyperlink" Target="mailto:contact_se@celltrionhc.com" TargetMode="External"/><Relationship Id="rId50" Type="http://schemas.openxmlformats.org/officeDocument/2006/relationships/image" Target="media/image26.emf"/><Relationship Id="rId55" Type="http://schemas.openxmlformats.org/officeDocument/2006/relationships/image" Target="media/image31.jpeg"/><Relationship Id="rId76" Type="http://schemas.openxmlformats.org/officeDocument/2006/relationships/hyperlink" Target="http://www.ema.europa.eu/docs/en_GB/document_library/Template_or_form/2013/03/WC500139752.doc" TargetMode="External"/><Relationship Id="rId97" Type="http://schemas.openxmlformats.org/officeDocument/2006/relationships/image" Target="media/image69.jpe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29.png"/><Relationship Id="rId7" Type="http://schemas.openxmlformats.org/officeDocument/2006/relationships/settings" Target="settings.xml"/><Relationship Id="rId71" Type="http://schemas.openxmlformats.org/officeDocument/2006/relationships/image" Target="media/image47.emf"/><Relationship Id="rId92" Type="http://schemas.openxmlformats.org/officeDocument/2006/relationships/image" Target="media/image64.emf"/><Relationship Id="rId162" Type="http://schemas.openxmlformats.org/officeDocument/2006/relationships/image" Target="media/image124.png"/><Relationship Id="rId2" Type="http://schemas.openxmlformats.org/officeDocument/2006/relationships/customXml" Target="../customXml/item2.xml"/><Relationship Id="rId29" Type="http://schemas.openxmlformats.org/officeDocument/2006/relationships/hyperlink" Target="http://www.ema.europa.eu" TargetMode="External"/><Relationship Id="rId24" Type="http://schemas.openxmlformats.org/officeDocument/2006/relationships/hyperlink" Target="http://www.ema.europa.eu/docs/en_GB/document_library/Template_or_form/2013/03/WC500139752.doc" TargetMode="Externa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42.emf"/><Relationship Id="rId87" Type="http://schemas.openxmlformats.org/officeDocument/2006/relationships/image" Target="media/image59.jpe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hyperlink" Target="mailto:Contact_no@celltrionhc.com" TargetMode="External"/><Relationship Id="rId157" Type="http://schemas.openxmlformats.org/officeDocument/2006/relationships/hyperlink" Target="http://www.ema.europa.eu/docs/en_GB/document_library/Template_or_form/2013/03/WC500139752.doc" TargetMode="External"/><Relationship Id="rId178" Type="http://schemas.openxmlformats.org/officeDocument/2006/relationships/fontTable" Target="fontTable.xml"/><Relationship Id="rId61" Type="http://schemas.openxmlformats.org/officeDocument/2006/relationships/image" Target="media/image37.emf"/><Relationship Id="rId82" Type="http://schemas.openxmlformats.org/officeDocument/2006/relationships/image" Target="media/image54.emf"/><Relationship Id="rId152" Type="http://schemas.openxmlformats.org/officeDocument/2006/relationships/image" Target="media/image117.png"/><Relationship Id="rId173" Type="http://schemas.openxmlformats.org/officeDocument/2006/relationships/image" Target="media/image135.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hyperlink" Target="http://www.ema.europa.eu/" TargetMode="External"/><Relationship Id="rId35" Type="http://schemas.openxmlformats.org/officeDocument/2006/relationships/hyperlink" Target="http://www.ema.europa.eu" TargetMode="External"/><Relationship Id="rId56" Type="http://schemas.openxmlformats.org/officeDocument/2006/relationships/image" Target="media/image32.jpeg"/><Relationship Id="rId77" Type="http://schemas.openxmlformats.org/officeDocument/2006/relationships/hyperlink" Target="mailto:infoDE@celltrionhc.com" TargetMode="External"/><Relationship Id="rId100" Type="http://schemas.openxmlformats.org/officeDocument/2006/relationships/hyperlink" Target="mailto:contact_se@celltrionhc.com" TargetMode="External"/><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2.png"/><Relationship Id="rId168" Type="http://schemas.openxmlformats.org/officeDocument/2006/relationships/image" Target="media/image130.png"/><Relationship Id="rId8" Type="http://schemas.openxmlformats.org/officeDocument/2006/relationships/webSettings" Target="webSettings.xml"/><Relationship Id="rId51" Type="http://schemas.openxmlformats.org/officeDocument/2006/relationships/image" Target="media/image27.emf"/><Relationship Id="rId72" Type="http://schemas.openxmlformats.org/officeDocument/2006/relationships/image" Target="media/image48.emf"/><Relationship Id="rId93" Type="http://schemas.openxmlformats.org/officeDocument/2006/relationships/image" Target="media/image65.emf"/><Relationship Id="rId98" Type="http://schemas.openxmlformats.org/officeDocument/2006/relationships/image" Target="media/image70.jpeg"/><Relationship Id="rId121" Type="http://schemas.openxmlformats.org/officeDocument/2006/relationships/image" Target="media/image90.png"/><Relationship Id="rId142" Type="http://schemas.openxmlformats.org/officeDocument/2006/relationships/image" Target="media/image107.png"/><Relationship Id="rId163" Type="http://schemas.openxmlformats.org/officeDocument/2006/relationships/image" Target="media/image125.png"/><Relationship Id="rId3" Type="http://schemas.openxmlformats.org/officeDocument/2006/relationships/customXml" Target="../customXml/item3.xml"/><Relationship Id="rId25" Type="http://schemas.openxmlformats.org/officeDocument/2006/relationships/hyperlink" Target="http://www.ema.europa.eu" TargetMode="External"/><Relationship Id="rId46" Type="http://schemas.openxmlformats.org/officeDocument/2006/relationships/image" Target="media/image22.emf"/><Relationship Id="rId67" Type="http://schemas.openxmlformats.org/officeDocument/2006/relationships/image" Target="media/image43.emf"/><Relationship Id="rId116" Type="http://schemas.openxmlformats.org/officeDocument/2006/relationships/image" Target="media/image85.png"/><Relationship Id="rId137" Type="http://schemas.openxmlformats.org/officeDocument/2006/relationships/hyperlink" Target="mailto:contact_se@celltrionhc.com" TargetMode="External"/><Relationship Id="rId158" Type="http://schemas.openxmlformats.org/officeDocument/2006/relationships/hyperlink" Target="mailto:contact_se@celltrionhc.com" TargetMode="External"/><Relationship Id="rId20" Type="http://schemas.openxmlformats.org/officeDocument/2006/relationships/image" Target="media/image8.png"/><Relationship Id="rId41" Type="http://schemas.openxmlformats.org/officeDocument/2006/relationships/image" Target="media/image17.emf"/><Relationship Id="rId62" Type="http://schemas.openxmlformats.org/officeDocument/2006/relationships/image" Target="media/image38.emf"/><Relationship Id="rId83" Type="http://schemas.openxmlformats.org/officeDocument/2006/relationships/image" Target="media/image55.emf"/><Relationship Id="rId88" Type="http://schemas.openxmlformats.org/officeDocument/2006/relationships/image" Target="media/image60.jpeg"/><Relationship Id="rId111" Type="http://schemas.openxmlformats.org/officeDocument/2006/relationships/image" Target="media/image80.png"/><Relationship Id="rId132" Type="http://schemas.openxmlformats.org/officeDocument/2006/relationships/image" Target="media/image101.png"/><Relationship Id="rId153" Type="http://schemas.openxmlformats.org/officeDocument/2006/relationships/image" Target="media/image118.png"/><Relationship Id="rId174" Type="http://schemas.openxmlformats.org/officeDocument/2006/relationships/image" Target="media/image136.png"/><Relationship Id="rId179"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12.emf"/><Relationship Id="rId57" Type="http://schemas.openxmlformats.org/officeDocument/2006/relationships/image" Target="media/image33.jpeg"/><Relationship Id="rId106" Type="http://schemas.openxmlformats.org/officeDocument/2006/relationships/image" Target="media/image75.png"/><Relationship Id="rId127"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8.emf"/><Relationship Id="rId73" Type="http://schemas.openxmlformats.org/officeDocument/2006/relationships/image" Target="media/image49.emf"/><Relationship Id="rId78" Type="http://schemas.openxmlformats.org/officeDocument/2006/relationships/hyperlink" Target="mailto:Contact_no@celltrionhc.com" TargetMode="External"/><Relationship Id="rId94" Type="http://schemas.openxmlformats.org/officeDocument/2006/relationships/image" Target="media/image66.emf"/><Relationship Id="rId99" Type="http://schemas.openxmlformats.org/officeDocument/2006/relationships/hyperlink" Target="http://www.ema.europa.eu/docs/en_GB/document_library/Template_or_form/2013/03/WC500139752.doc" TargetMode="External"/><Relationship Id="rId101" Type="http://schemas.openxmlformats.org/officeDocument/2006/relationships/hyperlink" Target="http://www.ema.europa.eu" TargetMode="External"/><Relationship Id="rId122" Type="http://schemas.openxmlformats.org/officeDocument/2006/relationships/image" Target="media/image91.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6.png"/><Relationship Id="rId169" Type="http://schemas.openxmlformats.org/officeDocument/2006/relationships/image" Target="media/image13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ustomXml" Target="../customXml/item5.xml"/><Relationship Id="rId26" Type="http://schemas.openxmlformats.org/officeDocument/2006/relationships/hyperlink" Target="http://www.ema.europa.eu/" TargetMode="External"/><Relationship Id="rId47" Type="http://schemas.openxmlformats.org/officeDocument/2006/relationships/image" Target="media/image23.emf"/><Relationship Id="rId68" Type="http://schemas.openxmlformats.org/officeDocument/2006/relationships/image" Target="media/image44.emf"/><Relationship Id="rId89" Type="http://schemas.openxmlformats.org/officeDocument/2006/relationships/image" Target="media/image61.emf"/><Relationship Id="rId112" Type="http://schemas.openxmlformats.org/officeDocument/2006/relationships/image" Target="media/image81.png"/><Relationship Id="rId133" Type="http://schemas.openxmlformats.org/officeDocument/2006/relationships/image" Target="media/image102.png"/><Relationship Id="rId154" Type="http://schemas.openxmlformats.org/officeDocument/2006/relationships/image" Target="media/image119.png"/><Relationship Id="rId175" Type="http://schemas.openxmlformats.org/officeDocument/2006/relationships/image" Target="media/image137.png"/><Relationship Id="rId16" Type="http://schemas.openxmlformats.org/officeDocument/2006/relationships/image" Target="media/image4.png"/><Relationship Id="rId37" Type="http://schemas.openxmlformats.org/officeDocument/2006/relationships/image" Target="media/image13.emf"/><Relationship Id="rId58" Type="http://schemas.openxmlformats.org/officeDocument/2006/relationships/image" Target="media/image34.jpeg"/><Relationship Id="rId79" Type="http://schemas.openxmlformats.org/officeDocument/2006/relationships/hyperlink" Target="mailto:contact_se@celltrionhc.com" TargetMode="External"/><Relationship Id="rId102" Type="http://schemas.openxmlformats.org/officeDocument/2006/relationships/image" Target="media/image71.png"/><Relationship Id="rId123" Type="http://schemas.openxmlformats.org/officeDocument/2006/relationships/image" Target="media/image92.png"/><Relationship Id="rId144" Type="http://schemas.openxmlformats.org/officeDocument/2006/relationships/image" Target="media/image109.png"/><Relationship Id="rId90" Type="http://schemas.openxmlformats.org/officeDocument/2006/relationships/image" Target="media/image62.emf"/><Relationship Id="rId165" Type="http://schemas.openxmlformats.org/officeDocument/2006/relationships/image" Target="media/image127.png"/><Relationship Id="rId27" Type="http://schemas.openxmlformats.org/officeDocument/2006/relationships/footer" Target="footer1.xml"/><Relationship Id="rId48" Type="http://schemas.openxmlformats.org/officeDocument/2006/relationships/image" Target="media/image24.emf"/><Relationship Id="rId69" Type="http://schemas.openxmlformats.org/officeDocument/2006/relationships/image" Target="media/image45.emf"/><Relationship Id="rId113" Type="http://schemas.openxmlformats.org/officeDocument/2006/relationships/image" Target="media/image82.png"/><Relationship Id="rId134" Type="http://schemas.openxmlformats.org/officeDocument/2006/relationships/hyperlink" Target="http://www.ema.europa.eu/docs/en_GB/document_library/Template_or_form/2013/03/WC500139752.doc" TargetMode="External"/><Relationship Id="rId80" Type="http://schemas.openxmlformats.org/officeDocument/2006/relationships/image" Target="media/image52.png"/><Relationship Id="rId155" Type="http://schemas.openxmlformats.org/officeDocument/2006/relationships/image" Target="media/image120.png"/><Relationship Id="rId176" Type="http://schemas.openxmlformats.org/officeDocument/2006/relationships/image" Target="media/image138.png"/><Relationship Id="rId17" Type="http://schemas.openxmlformats.org/officeDocument/2006/relationships/image" Target="media/image5.png"/><Relationship Id="rId38" Type="http://schemas.openxmlformats.org/officeDocument/2006/relationships/image" Target="media/image14.emf"/><Relationship Id="rId59" Type="http://schemas.openxmlformats.org/officeDocument/2006/relationships/image" Target="media/image35.png"/><Relationship Id="rId103" Type="http://schemas.openxmlformats.org/officeDocument/2006/relationships/image" Target="media/image72.png"/><Relationship Id="rId124" Type="http://schemas.openxmlformats.org/officeDocument/2006/relationships/image" Target="media/image93.png"/><Relationship Id="rId70" Type="http://schemas.openxmlformats.org/officeDocument/2006/relationships/image" Target="media/image46.emf"/><Relationship Id="rId91" Type="http://schemas.openxmlformats.org/officeDocument/2006/relationships/image" Target="media/image63.emf"/><Relationship Id="rId145" Type="http://schemas.openxmlformats.org/officeDocument/2006/relationships/image" Target="media/image110.png"/><Relationship Id="rId166" Type="http://schemas.openxmlformats.org/officeDocument/2006/relationships/image" Target="media/image128.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EMADOC-1700519818-2474352</_dlc_DocId>
    <_dlc_DocIdUrl xmlns="a034c160-bfb7-45f5-8632-2eb7e0508071">
      <Url>https://euema.sharepoint.com/sites/CRM/_layouts/15/DocIdRedir.aspx?ID=EMADOC-1700519818-2474352</Url>
      <Description>EMADOC-1700519818-2474352</Description>
    </_dlc_DocIdUrl>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44E752A-D5BD-4530-86E1-456233BE3F0B}">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2.xml><?xml version="1.0" encoding="utf-8"?>
<ds:datastoreItem xmlns:ds="http://schemas.openxmlformats.org/officeDocument/2006/customXml" ds:itemID="{8BB6822C-825A-46EA-A1EE-D8ED3DFE59E8}">
  <ds:schemaRefs>
    <ds:schemaRef ds:uri="http://schemas.openxmlformats.org/officeDocument/2006/bibliography"/>
  </ds:schemaRefs>
</ds:datastoreItem>
</file>

<file path=customXml/itemProps3.xml><?xml version="1.0" encoding="utf-8"?>
<ds:datastoreItem xmlns:ds="http://schemas.openxmlformats.org/officeDocument/2006/customXml" ds:itemID="{5D99983D-3F81-4062-A5C2-B107461CE326}"/>
</file>

<file path=customXml/itemProps4.xml><?xml version="1.0" encoding="utf-8"?>
<ds:datastoreItem xmlns:ds="http://schemas.openxmlformats.org/officeDocument/2006/customXml" ds:itemID="{1E83052D-3797-4213-80B8-9684E6F91D91}">
  <ds:schemaRefs>
    <ds:schemaRef ds:uri="http://schemas.microsoft.com/sharepoint/v3/contenttype/forms"/>
  </ds:schemaRefs>
</ds:datastoreItem>
</file>

<file path=customXml/itemProps5.xml><?xml version="1.0" encoding="utf-8"?>
<ds:datastoreItem xmlns:ds="http://schemas.openxmlformats.org/officeDocument/2006/customXml" ds:itemID="{091C3F65-E0AB-4DF7-9CCE-CBBAA5B89DCE}"/>
</file>

<file path=docProps/app.xml><?xml version="1.0" encoding="utf-8"?>
<Properties xmlns="http://schemas.openxmlformats.org/officeDocument/2006/extended-properties" xmlns:vt="http://schemas.openxmlformats.org/officeDocument/2006/docPropsVTypes">
  <Template>Normal</Template>
  <TotalTime>0</TotalTime>
  <Pages>314</Pages>
  <Words>106215</Words>
  <Characters>605431</Characters>
  <Application>Microsoft Office Word</Application>
  <DocSecurity>0</DocSecurity>
  <Lines>5045</Lines>
  <Paragraphs>1420</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710226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cp:lastModifiedBy/>
  <cp:revision>1</cp:revision>
  <dcterms:created xsi:type="dcterms:W3CDTF">2024-10-17T05:10:00Z</dcterms:created>
  <dcterms:modified xsi:type="dcterms:W3CDTF">2025-09-10T02:10:00Z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dd6680ef-fec4-4fa3-8e21-b8615c5db3ad</vt:lpwstr>
  </property>
</Properties>
</file>